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8a07f15a5d65467c890bc2f94488ad85"/>
        <w:lock w:val="sdtLocked"/>
        <w:richText/>
      </w:sdtPr>
      <w:sdtContent>
        <w:p>
          <w:pPr>
            <w:suppressAutoHyphens/>
            <w:overflowPunct w:val="0"/>
            <w:spacing w:line="360" w:lineRule="atLeast"/>
            <w:ind w:left="6408" w:firstLine="3448"/>
            <w:jc w:val="both"/>
            <w:textAlignment w:val="center"/>
            <w:rPr>
              <w:b/>
              <w:bCs/>
              <w:color w:val="000000"/>
              <w:sz w:val="27"/>
              <w:szCs w:val="27"/>
              <w:lang w:eastAsia="lt-LT"/>
            </w:rPr>
          </w:pPr>
          <w:r>
            <w:rPr>
              <w:b/>
              <w:bCs/>
              <w:color w:val="000000"/>
              <w:sz w:val="27"/>
              <w:szCs w:val="27"/>
              <w:lang w:eastAsia="lt-LT"/>
            </w:rPr>
            <w:t>Projekto</w:t>
          </w:r>
        </w:p>
        <w:p>
          <w:pPr>
            <w:suppressAutoHyphens/>
            <w:overflowPunct w:val="0"/>
            <w:spacing w:line="360" w:lineRule="atLeast"/>
            <w:ind w:left="6408"/>
            <w:jc w:val="both"/>
            <w:textAlignment w:val="center"/>
            <w:rPr>
              <w:b/>
              <w:color w:val="000000"/>
              <w:sz w:val="27"/>
              <w:szCs w:val="27"/>
              <w:lang w:eastAsia="lt-LT"/>
            </w:rPr>
          </w:pPr>
          <w:r>
            <w:rPr>
              <w:b/>
              <w:color w:val="000000"/>
              <w:sz w:val="27"/>
              <w:szCs w:val="27"/>
              <w:lang w:eastAsia="lt-LT"/>
            </w:rPr>
            <w:t>Lyginamasis variantas</w:t>
          </w:r>
        </w:p>
        <w:p>
          <w:pPr>
            <w:tabs>
              <w:tab w:val="center" w:pos="4819"/>
              <w:tab w:val="right" w:pos="9638"/>
            </w:tabs>
            <w:suppressAutoHyphens/>
            <w:overflowPunct w:val="0"/>
            <w:textAlignment w:val="baseline"/>
            <w:rPr>
              <w:lang w:eastAsia="zh-CN"/>
            </w:rPr>
          </w:pPr>
        </w:p>
        <w:p>
          <w:pPr>
            <w:suppressAutoHyphens/>
            <w:overflowPunct w:val="0"/>
            <w:jc w:val="center"/>
            <w:textAlignment w:val="baseline"/>
            <w:rPr>
              <w:b/>
              <w:color w:val="FF0000"/>
              <w:szCs w:val="24"/>
              <w:lang w:eastAsia="zh-CN"/>
            </w:rPr>
          </w:pPr>
        </w:p>
        <w:p>
          <w:pPr>
            <w:suppressAutoHyphens/>
            <w:overflowPunct w:val="0"/>
            <w:jc w:val="center"/>
            <w:textAlignment w:val="baseline"/>
            <w:rPr>
              <w:b/>
              <w:color w:val="FF0000"/>
              <w:szCs w:val="24"/>
              <w:lang w:eastAsia="zh-CN"/>
            </w:rPr>
          </w:pPr>
        </w:p>
        <w:p>
          <w:pPr>
            <w:suppressAutoHyphens/>
            <w:overflowPunct w:val="0"/>
            <w:jc w:val="center"/>
            <w:textAlignment w:val="baseline"/>
            <w:rPr>
              <w:lang w:eastAsia="zh-CN"/>
            </w:rPr>
          </w:pPr>
          <w:r>
            <w:rPr>
              <w:b/>
              <w:szCs w:val="24"/>
              <w:lang w:eastAsia="zh-CN"/>
            </w:rPr>
            <w:t>ŠIAULIŲ MIESTO SAVIVALDYBĖS TARYBA</w:t>
          </w:r>
        </w:p>
        <w:p>
          <w:pPr>
            <w:suppressAutoHyphens/>
            <w:overflowPunct w:val="0"/>
            <w:jc w:val="center"/>
            <w:textAlignment w:val="baseline"/>
            <w:rPr>
              <w:b/>
              <w:szCs w:val="24"/>
              <w:lang w:eastAsia="zh-CN"/>
            </w:rPr>
          </w:pPr>
        </w:p>
        <w:p>
          <w:pPr>
            <w:suppressAutoHyphens/>
            <w:overflowPunct w:val="0"/>
            <w:jc w:val="center"/>
            <w:textAlignment w:val="baseline"/>
            <w:rPr>
              <w:lang w:eastAsia="zh-CN"/>
            </w:rPr>
          </w:pPr>
          <w:r>
            <w:rPr>
              <w:b/>
              <w:szCs w:val="24"/>
              <w:lang w:eastAsia="zh-CN"/>
            </w:rPr>
            <w:t>SPRENDIMAS</w:t>
          </w:r>
        </w:p>
        <w:p>
          <w:pPr>
            <w:suppressAutoHyphens/>
            <w:overflowPunct w:val="0"/>
            <w:ind w:left="283"/>
            <w:jc w:val="center"/>
            <w:textAlignment w:val="baseline"/>
            <w:rPr>
              <w:lang w:eastAsia="zh-CN"/>
            </w:rPr>
          </w:pPr>
          <w:r>
            <w:rPr>
              <w:b/>
              <w:bCs/>
              <w:color w:val="000000"/>
              <w:szCs w:val="24"/>
              <w:lang w:eastAsia="zh-CN"/>
            </w:rPr>
            <w:t>DĖL ŠIAULIŲ MIESTO SAVIVALDYBĖS TARYBOS 2022 M. KOVO 3 D. SPRENDIMO NR. T-53 „DĖL KELIŲ PRIEŽIŪROS IR PLĖTROS PROGRAMOS FINANSAVIMO LĖŠŲ NAUDOJIMO IR PASKIRSTYMO TVARKOS APRAŠO PATVIRTINIMO“ PAKEITIMO</w:t>
          </w:r>
        </w:p>
        <w:p>
          <w:pPr>
            <w:rPr>
              <w:sz w:val="10"/>
              <w:szCs w:val="10"/>
            </w:rPr>
          </w:pPr>
        </w:p>
        <w:p>
          <w:pPr>
            <w:suppressAutoHyphens/>
            <w:overflowPunct w:val="0"/>
            <w:jc w:val="center"/>
            <w:textAlignment w:val="baseline"/>
            <w:rPr>
              <w:szCs w:val="24"/>
              <w:lang w:eastAsia="zh-CN"/>
            </w:rPr>
          </w:pPr>
        </w:p>
        <w:p>
          <w:pPr>
            <w:suppressAutoHyphens/>
            <w:overflowPunct w:val="0"/>
            <w:jc w:val="center"/>
            <w:textAlignment w:val="baseline"/>
            <w:rPr>
              <w:lang w:eastAsia="zh-CN"/>
            </w:rPr>
          </w:pPr>
          <w:r>
            <w:rPr>
              <w:szCs w:val="24"/>
              <w:lang w:eastAsia="zh-CN"/>
            </w:rPr>
            <w:t xml:space="preserve">2023 m.                          d. Nr. T-</w:t>
          </w:r>
        </w:p>
        <w:p>
          <w:pPr>
            <w:suppressAutoHyphens/>
            <w:overflowPunct w:val="0"/>
            <w:jc w:val="center"/>
            <w:textAlignment w:val="baseline"/>
            <w:rPr>
              <w:lang w:eastAsia="zh-CN"/>
            </w:rPr>
          </w:pPr>
          <w:r>
            <w:rPr>
              <w:szCs w:val="24"/>
              <w:lang w:eastAsia="zh-CN"/>
            </w:rPr>
            <w:t>Šiauliai</w:t>
          </w:r>
        </w:p>
        <w:p>
          <w:pPr>
            <w:suppressAutoHyphens/>
            <w:overflowPunct w:val="0"/>
            <w:jc w:val="center"/>
            <w:textAlignment w:val="baseline"/>
            <w:rPr>
              <w:szCs w:val="24"/>
              <w:lang w:eastAsia="zh-CN"/>
            </w:rPr>
          </w:pPr>
        </w:p>
        <w:p>
          <w:pPr>
            <w:suppressAutoHyphens/>
            <w:overflowPunct w:val="0"/>
            <w:jc w:val="center"/>
            <w:textAlignment w:val="baseline"/>
            <w:rPr>
              <w:szCs w:val="24"/>
              <w:lang w:eastAsia="zh-CN"/>
            </w:rPr>
          </w:pPr>
        </w:p>
        <w:sdt>
          <w:sdtPr>
            <w:alias w:val="preambule"/>
            <w:tag w:val="part_f2e5c347ae744b648e7b5d9fa70546c3"/>
            <w:lock w:val="sdtLocked"/>
            <w:richText/>
          </w:sdtPr>
          <w:sdtContent>
            <w:p>
              <w:pPr>
                <w:tabs>
                  <w:tab w:val="left" w:pos="6360"/>
                </w:tabs>
                <w:suppressAutoHyphens/>
                <w:overflowPunct w:val="0"/>
                <w:ind w:firstLine="825"/>
                <w:jc w:val="both"/>
                <w:textAlignment w:val="baseline"/>
                <w:rPr>
                  <w:lang w:eastAsia="zh-CN"/>
                </w:rPr>
              </w:pPr>
              <w:r>
                <w:rPr>
                  <w:szCs w:val="24"/>
                  <w:lang w:eastAsia="zh-CN"/>
                </w:rPr>
                <w:t xml:space="preserve">Vadovaudamasi Lietuvos Respublikos vietos savivaldos įstatymo 6 straipsnio 32 punktu, </w:t>
              </w:r>
              <w:r>
                <w:rPr>
                  <w:bCs/>
                  <w:szCs w:val="24"/>
                  <w:lang w:eastAsia="zh-CN"/>
                </w:rPr>
                <w:t xml:space="preserve">Lietuvos Respublikos kelių priežiūros ir plėtros programos finansavimo įstatymu, Šiaulių miesto savivaldybės taryba </w:t>
              </w:r>
              <w:r>
                <w:rPr>
                  <w:bCs/>
                  <w:spacing w:val="60"/>
                  <w:szCs w:val="24"/>
                  <w:lang w:eastAsia="zh-CN"/>
                </w:rPr>
                <w:t>nusprendžia:</w:t>
              </w:r>
            </w:p>
          </w:sdtContent>
        </w:sdt>
        <w:sdt>
          <w:sdtPr>
            <w:alias w:val="pastraipa"/>
            <w:tag w:val="part_e7d1884e3ffa40ccaf17f488de7fca94"/>
            <w:lock w:val="sdtLocked"/>
            <w:richText/>
          </w:sdtPr>
          <w:sdtContent>
            <w:p>
              <w:pPr>
                <w:shd w:val="clear" w:color="auto" w:fill="FFFFFF"/>
                <w:ind w:firstLine="844"/>
                <w:jc w:val="both"/>
                <w:rPr>
                  <w:szCs w:val="24"/>
                  <w:lang w:eastAsia="lt-LT"/>
                </w:rPr>
              </w:pPr>
              <w:r>
                <w:rPr>
                  <w:szCs w:val="24"/>
                  <w:lang w:eastAsia="lt-LT"/>
                </w:rPr>
                <w:t>Pakeisti Kelių priežiūros ir plėtros programos finansavimo lėšų naudojimo ir paskirstymo tvarkos aprašą, patvirtintą Šiaulių miesto savivaldybės tarybos 2022 m. kovo 3 d. sprendimu Nr. T‑53 „Dėl Kelių priežiūros ir plėtros programos finansavimo lėšų naudojimo ir paskirstymo tvarkos aprašo patvirtinimo“:</w:t>
              </w:r>
            </w:p>
          </w:sdtContent>
        </w:sdt>
        <w:sdt>
          <w:sdtPr>
            <w:alias w:val="1 p."/>
            <w:tag w:val="part_1b0174ab9ddf457b8311b7372ca003a5"/>
            <w:lock w:val="sdtLocked"/>
            <w:richText/>
          </w:sdtPr>
          <w:sdtContent>
            <w:p>
              <w:pPr>
                <w:shd w:val="clear" w:color="auto" w:fill="FFFFFF"/>
                <w:ind w:firstLine="720"/>
                <w:jc w:val="both"/>
                <w:rPr>
                  <w:szCs w:val="24"/>
                  <w:lang w:eastAsia="lt-LT"/>
                </w:rPr>
              </w:pPr>
              <w:sdt>
                <w:sdtPr>
                  <w:alias w:val="Numeris"/>
                  <w:tag w:val="nr_1b0174ab9ddf457b8311b7372ca003a5"/>
                  <w:lock w:val="sdtLocked"/>
                  <w:richText/>
                </w:sdtPr>
                <w:sdtContent>
                  <w:r>
                    <w:rPr>
                      <w:szCs w:val="24"/>
                      <w:lang w:eastAsia="lt-LT"/>
                    </w:rPr>
                    <w:t>1</w:t>
                  </w:r>
                </w:sdtContent>
              </w:sdt>
              <w:r>
                <w:rPr>
                  <w:szCs w:val="24"/>
                  <w:lang w:eastAsia="lt-LT"/>
                </w:rPr>
                <w:t>.</w:t>
                <w:tab/>
                <w:t>Pakeisti 1 punktą ir jį išdėstyti taip:</w:t>
              </w:r>
            </w:p>
            <w:sdt>
              <w:sdtPr>
                <w:alias w:val="citata"/>
                <w:tag w:val="part_b5935ef5a9734b04945e91d04e64dc34"/>
                <w:lock w:val="sdtLocked"/>
                <w:richText/>
              </w:sdtPr>
              <w:sdtContent>
                <w:sdt>
                  <w:sdtPr>
                    <w:alias w:val="1 p."/>
                    <w:tag w:val="part_db64c264c2024a47ae20ae6e2db1d55c"/>
                    <w:lock w:val="sdtLocked"/>
                    <w:richText/>
                  </w:sdtPr>
                  <w:sdtContent>
                    <w:p>
                      <w:pPr>
                        <w:suppressAutoHyphens/>
                        <w:overflowPunct w:val="0"/>
                        <w:ind w:firstLine="720"/>
                        <w:jc w:val="both"/>
                        <w:textAlignment w:val="baseline"/>
                        <w:rPr>
                          <w:color w:val="FF0000"/>
                          <w:sz w:val="18"/>
                          <w:szCs w:val="18"/>
                          <w:lang w:eastAsia="zh-CN"/>
                        </w:rPr>
                      </w:pPr>
                      <w:r>
                        <w:rPr>
                          <w:lang w:eastAsia="lt-LT"/>
                        </w:rPr>
                        <w:t>„</w:t>
                      </w:r>
                      <w:sdt>
                        <w:sdtPr>
                          <w:alias w:val="Numeris"/>
                          <w:tag w:val="nr_db64c264c2024a47ae20ae6e2db1d55c"/>
                          <w:lock w:val="sdtLocked"/>
                          <w:richText/>
                        </w:sdtPr>
                        <w:sdtContent>
                          <w:r>
                            <w:rPr>
                              <w:lang w:eastAsia="lt-LT"/>
                            </w:rPr>
                            <w:t>1</w:t>
                          </w:r>
                        </w:sdtContent>
                      </w:sdt>
                      <w:r>
                        <w:rPr>
                          <w:lang w:eastAsia="lt-LT"/>
                        </w:rPr>
                        <w:t xml:space="preserve">. Kelių priežiūros ir plėtros programos finansavimo lėšų naudojimo ir paskirstymo tvarkos aprašas (toliau – Aprašas) nustato Kelių priežiūros ir plėtros programos (toliau – Programa) finansavimo lėšų naudojimo ir </w:t>
                      </w:r>
                      <w:r>
                        <w:rPr>
                          <w:color w:val="000000"/>
                          <w:lang w:eastAsia="lt-LT"/>
                        </w:rPr>
                        <w:t xml:space="preserve">paskirstymo tvarką. </w:t>
                      </w:r>
                      <w:r>
                        <w:rPr>
                          <w:b/>
                          <w:color w:val="000000"/>
                          <w:lang w:eastAsia="lt-LT"/>
                        </w:rPr>
                        <w:t>Aprašas netaikomas nuolatinės priežiūros darbams.</w:t>
                      </w:r>
                      <w:r>
                        <w:rPr>
                          <w:color w:val="000000"/>
                          <w:lang w:eastAsia="lt-LT"/>
                        </w:rPr>
                        <w:t>“</w:t>
                      </w:r>
                    </w:p>
                  </w:sdtContent>
                </w:sdt>
              </w:sdtContent>
            </w:sdt>
          </w:sdtContent>
        </w:sdt>
        <w:sdt>
          <w:sdtPr>
            <w:alias w:val="2 p."/>
            <w:tag w:val="part_7cdec8181c2f47d089a0945606afa9fd"/>
            <w:lock w:val="sdtLocked"/>
            <w:richText/>
          </w:sdtPr>
          <w:sdtContent>
            <w:p>
              <w:pPr>
                <w:shd w:val="clear" w:color="auto" w:fill="FFFFFF"/>
                <w:ind w:firstLine="720"/>
                <w:jc w:val="both"/>
                <w:rPr>
                  <w:szCs w:val="24"/>
                  <w:lang w:eastAsia="lt-LT"/>
                </w:rPr>
              </w:pPr>
              <w:sdt>
                <w:sdtPr>
                  <w:alias w:val="Numeris"/>
                  <w:tag w:val="nr_7cdec8181c2f47d089a0945606afa9fd"/>
                  <w:lock w:val="sdtLocked"/>
                  <w:richText/>
                </w:sdtPr>
                <w:sdtContent>
                  <w:r>
                    <w:rPr>
                      <w:szCs w:val="24"/>
                      <w:lang w:eastAsia="lt-LT"/>
                    </w:rPr>
                    <w:t>2</w:t>
                  </w:r>
                </w:sdtContent>
              </w:sdt>
              <w:r>
                <w:rPr>
                  <w:szCs w:val="24"/>
                  <w:lang w:eastAsia="lt-LT"/>
                </w:rPr>
                <w:t>.</w:t>
                <w:tab/>
                <w:t>Pakeisti 8.3 punktą ir jį išdėstyti taip:</w:t>
              </w:r>
            </w:p>
            <w:sdt>
              <w:sdtPr>
                <w:alias w:val="citata"/>
                <w:tag w:val="part_0e9345e5985a4107bb9d8d79aa5aa1b8"/>
                <w:lock w:val="sdtLocked"/>
                <w:richText/>
              </w:sdtPr>
              <w:sdtContent>
                <w:sdt>
                  <w:sdtPr>
                    <w:alias w:val="8.3 pp."/>
                    <w:tag w:val="part_43fae01d81d047e7bf39855ba12d378e"/>
                    <w:lock w:val="sdtLocked"/>
                    <w:richText/>
                  </w:sdtPr>
                  <w:sdtContent>
                    <w:p>
                      <w:pPr>
                        <w:shd w:val="clear" w:color="auto" w:fill="FFFFFF"/>
                        <w:ind w:firstLine="720"/>
                        <w:jc w:val="both"/>
                        <w:rPr>
                          <w:szCs w:val="24"/>
                          <w:lang w:eastAsia="lt-LT"/>
                        </w:rPr>
                      </w:pPr>
                      <w:r>
                        <w:rPr>
                          <w:szCs w:val="24"/>
                          <w:lang w:eastAsia="lt-LT"/>
                        </w:rPr>
                        <w:t>„</w:t>
                      </w:r>
                      <w:sdt>
                        <w:sdtPr>
                          <w:alias w:val="Numeris"/>
                          <w:tag w:val="nr_43fae01d81d047e7bf39855ba12d378e"/>
                          <w:lock w:val="sdtLocked"/>
                          <w:richText/>
                        </w:sdtPr>
                        <w:sdtContent>
                          <w:r>
                            <w:rPr>
                              <w:szCs w:val="24"/>
                            </w:rPr>
                            <w:t>8.3</w:t>
                          </w:r>
                        </w:sdtContent>
                      </w:sdt>
                      <w:r>
                        <w:rPr>
                          <w:szCs w:val="24"/>
                        </w:rPr>
                        <w:t xml:space="preserve">. </w:t>
                      </w:r>
                      <w:r>
                        <w:rPr>
                          <w:bCs/>
                          <w:szCs w:val="24"/>
                        </w:rPr>
                        <w:t>žvyruotų</w:t>
                      </w:r>
                      <w:r>
                        <w:rPr>
                          <w:szCs w:val="24"/>
                        </w:rPr>
                        <w:t xml:space="preserve"> gatvių įrengimas, įgyvendinant Žvyruotų gatvių nutiesimo individualios statybos kvartaluose 2008 m. programą </w:t>
                      </w:r>
                      <w:r>
                        <w:rPr>
                          <w:bCs/>
                          <w:strike/>
                          <w:szCs w:val="24"/>
                        </w:rPr>
                        <w:t>(toliau – Programa)</w:t>
                      </w:r>
                      <w:r>
                        <w:rPr>
                          <w:szCs w:val="24"/>
                        </w:rPr>
                        <w:t xml:space="preserve">, patvirtintą Šiaulių miesto savivaldybės tarybos 2008 m. vasario 28 d. sprendimu Nr. T-50. </w:t>
                      </w:r>
                      <w:r>
                        <w:rPr>
                          <w:bCs/>
                          <w:szCs w:val="24"/>
                        </w:rPr>
                        <w:t xml:space="preserve">Į trejų metų prioritetines objektų eiles </w:t>
                      </w:r>
                      <w:r>
                        <w:rPr>
                          <w:bCs/>
                          <w:strike/>
                          <w:szCs w:val="24"/>
                        </w:rPr>
                        <w:t>iš Programos eilės tvarka</w:t>
                      </w:r>
                      <w:r>
                        <w:rPr>
                          <w:bCs/>
                          <w:szCs w:val="24"/>
                        </w:rPr>
                        <w:t xml:space="preserve"> atrenkami </w:t>
                      </w:r>
                      <w:r>
                        <w:rPr>
                          <w:b/>
                          <w:bCs/>
                          <w:szCs w:val="24"/>
                        </w:rPr>
                        <w:t>ne mažiau kaip</w:t>
                      </w:r>
                      <w:r>
                        <w:rPr>
                          <w:bCs/>
                          <w:szCs w:val="24"/>
                        </w:rPr>
                        <w:t xml:space="preserve"> trys objektai;“.</w:t>
                      </w:r>
                    </w:p>
                  </w:sdtContent>
                </w:sdt>
              </w:sdtContent>
            </w:sdt>
          </w:sdtContent>
        </w:sdt>
        <w:sdt>
          <w:sdtPr>
            <w:alias w:val="3 p."/>
            <w:tag w:val="part_1d2e0611e2ba4a24a17639c9c74ceea7"/>
            <w:lock w:val="sdtLocked"/>
            <w:richText/>
          </w:sdtPr>
          <w:sdtContent>
            <w:p>
              <w:pPr>
                <w:tabs>
                  <w:tab w:val="left" w:pos="1260"/>
                </w:tabs>
                <w:suppressAutoHyphens/>
                <w:overflowPunct w:val="0"/>
                <w:ind w:firstLine="720"/>
                <w:jc w:val="both"/>
                <w:textAlignment w:val="baseline"/>
                <w:rPr>
                  <w:bCs/>
                  <w:szCs w:val="24"/>
                </w:rPr>
              </w:pPr>
              <w:sdt>
                <w:sdtPr>
                  <w:alias w:val="Numeris"/>
                  <w:tag w:val="nr_1d2e0611e2ba4a24a17639c9c74ceea7"/>
                  <w:lock w:val="sdtLocked"/>
                  <w:richText/>
                </w:sdtPr>
                <w:sdtContent>
                  <w:r>
                    <w:rPr>
                      <w:bCs/>
                      <w:szCs w:val="24"/>
                    </w:rPr>
                    <w:t>3</w:t>
                  </w:r>
                </w:sdtContent>
              </w:sdt>
              <w:r>
                <w:rPr>
                  <w:bCs/>
                  <w:szCs w:val="24"/>
                </w:rPr>
                <w:t>.</w:t>
                <w:tab/>
                <w:t>Pakeisti 8.5 punktą ir jį išdėstyti taip:</w:t>
              </w:r>
            </w:p>
            <w:sdt>
              <w:sdtPr>
                <w:alias w:val="citata"/>
                <w:tag w:val="part_bd04be36d85e4d46800e500582aee7f5"/>
                <w:lock w:val="sdtLocked"/>
                <w:richText/>
              </w:sdtPr>
              <w:sdtContent>
                <w:sdt>
                  <w:sdtPr>
                    <w:alias w:val="8.5 pp."/>
                    <w:tag w:val="part_c070d7b05e604ba7842c6c44405ca734"/>
                    <w:lock w:val="sdtLocked"/>
                    <w:richText/>
                  </w:sdtPr>
                  <w:sdtContent>
                    <w:p>
                      <w:pPr>
                        <w:tabs>
                          <w:tab w:val="left" w:pos="1260"/>
                        </w:tabs>
                        <w:ind w:firstLine="720"/>
                        <w:jc w:val="both"/>
                        <w:rPr>
                          <w:bCs/>
                          <w:szCs w:val="24"/>
                        </w:rPr>
                      </w:pPr>
                      <w:r>
                        <w:rPr>
                          <w:szCs w:val="24"/>
                        </w:rPr>
                        <w:t>„</w:t>
                      </w:r>
                      <w:sdt>
                        <w:sdtPr>
                          <w:alias w:val="Numeris"/>
                          <w:tag w:val="nr_c070d7b05e604ba7842c6c44405ca734"/>
                          <w:lock w:val="sdtLocked"/>
                          <w:richText/>
                        </w:sdtPr>
                        <w:sdtContent>
                          <w:r>
                            <w:rPr>
                              <w:szCs w:val="24"/>
                            </w:rPr>
                            <w:t>8.5</w:t>
                          </w:r>
                        </w:sdtContent>
                      </w:sdt>
                      <w:r>
                        <w:rPr>
                          <w:szCs w:val="24"/>
                        </w:rPr>
                        <w:t>. B, C kategorijų gatvių su asfalto danga remontas, įgyvendinant VšĮ Vilniaus Gedimino technikos universiteto 2017 metais atlikt</w:t>
                      </w:r>
                      <w:r>
                        <w:rPr>
                          <w:b/>
                          <w:szCs w:val="24"/>
                        </w:rPr>
                        <w:t>o</w:t>
                      </w:r>
                      <w:r>
                        <w:rPr>
                          <w:strike/>
                          <w:szCs w:val="24"/>
                        </w:rPr>
                        <w:t>ą</w:t>
                      </w:r>
                      <w:r>
                        <w:rPr>
                          <w:szCs w:val="24"/>
                        </w:rPr>
                        <w:t xml:space="preserve"> tyrim</w:t>
                      </w:r>
                      <w:r>
                        <w:rPr>
                          <w:b/>
                          <w:szCs w:val="24"/>
                        </w:rPr>
                        <w:t>o</w:t>
                      </w:r>
                      <w:r>
                        <w:rPr>
                          <w:strike/>
                          <w:szCs w:val="24"/>
                        </w:rPr>
                        <w:t>ą</w:t>
                      </w:r>
                      <w:r>
                        <w:rPr>
                          <w:szCs w:val="24"/>
                        </w:rPr>
                        <w:t xml:space="preserve"> </w:t>
                      </w:r>
                      <w:r>
                        <w:rPr>
                          <w:strike/>
                          <w:szCs w:val="24"/>
                        </w:rPr>
                        <w:t>ir jo</w:t>
                      </w:r>
                      <w:r>
                        <w:rPr>
                          <w:szCs w:val="24"/>
                        </w:rPr>
                        <w:t xml:space="preserve"> pagrindu parengt</w:t>
                      </w:r>
                      <w:r>
                        <w:rPr>
                          <w:b/>
                          <w:szCs w:val="24"/>
                        </w:rPr>
                        <w:t>os</w:t>
                      </w:r>
                      <w:r>
                        <w:rPr>
                          <w:strike/>
                          <w:szCs w:val="24"/>
                        </w:rPr>
                        <w:t>ą</w:t>
                      </w:r>
                      <w:r>
                        <w:rPr>
                          <w:szCs w:val="24"/>
                        </w:rPr>
                        <w:t xml:space="preserve"> ataskait</w:t>
                      </w:r>
                      <w:r>
                        <w:rPr>
                          <w:b/>
                          <w:szCs w:val="24"/>
                        </w:rPr>
                        <w:t>os</w:t>
                      </w:r>
                      <w:r>
                        <w:rPr>
                          <w:strike/>
                          <w:szCs w:val="24"/>
                        </w:rPr>
                        <w:t>ą</w:t>
                      </w:r>
                      <w:r>
                        <w:rPr>
                          <w:szCs w:val="24"/>
                        </w:rPr>
                        <w:t xml:space="preserve"> „Šiaulių miesto gatvių būklės įvertinimo, prioriteto remontui, rekonstravimui sąrašo sudarymo ir darbų atlikimo technologijų parinkimas“ </w:t>
                      </w:r>
                      <w:r>
                        <w:rPr>
                          <w:bCs/>
                          <w:szCs w:val="24"/>
                        </w:rPr>
                        <w:t xml:space="preserve">(toliau – Ataskaita) </w:t>
                      </w:r>
                      <w:r>
                        <w:rPr>
                          <w:b/>
                          <w:bCs/>
                          <w:szCs w:val="24"/>
                        </w:rPr>
                        <w:t>sprendinius.</w:t>
                      </w:r>
                      <w:r>
                        <w:rPr>
                          <w:b/>
                          <w:bCs/>
                          <w:strike/>
                          <w:szCs w:val="24"/>
                        </w:rPr>
                        <w:t>,</w:t>
                      </w:r>
                      <w:r>
                        <w:rPr>
                          <w:szCs w:val="24"/>
                        </w:rPr>
                        <w:t xml:space="preserve"> </w:t>
                      </w:r>
                      <w:r>
                        <w:rPr>
                          <w:b/>
                          <w:szCs w:val="24"/>
                        </w:rPr>
                        <w:t>Ataskaita</w:t>
                      </w:r>
                      <w:r>
                        <w:rPr>
                          <w:szCs w:val="24"/>
                        </w:rPr>
                        <w:t xml:space="preserve"> sudaryt</w:t>
                      </w:r>
                      <w:r>
                        <w:rPr>
                          <w:b/>
                          <w:szCs w:val="24"/>
                        </w:rPr>
                        <w:t>a</w:t>
                      </w:r>
                      <w:r>
                        <w:rPr>
                          <w:strike/>
                          <w:szCs w:val="24"/>
                        </w:rPr>
                        <w:t>ą</w:t>
                      </w:r>
                      <w:r>
                        <w:rPr>
                          <w:szCs w:val="24"/>
                        </w:rPr>
                        <w:t xml:space="preserve"> vadovaujantis vidutiniu suminiu dangos būklės indeksu, įvertinus dangos nelygumo būklės indeksą,  provėžų būklės indeksą, defektų būklės indeksą, plyšių būklės indeksą, laikomosios gebos būklės indeksą, ir vidutiniu metiniu bendru paros eismo intensyvumu</w:t>
                      </w:r>
                      <w:r>
                        <w:rPr>
                          <w:bCs/>
                          <w:szCs w:val="24"/>
                        </w:rPr>
                        <w:t xml:space="preserve">. Į trejų metų prioritetines objektų eiles iš Ataskaitoje nurodytų B, C kategorijos gatvių eilės tvarka atrenkami </w:t>
                      </w:r>
                      <w:r>
                        <w:rPr>
                          <w:b/>
                          <w:bCs/>
                          <w:szCs w:val="24"/>
                        </w:rPr>
                        <w:t>ne mažiau kaip</w:t>
                      </w:r>
                      <w:r>
                        <w:rPr>
                          <w:bCs/>
                          <w:szCs w:val="24"/>
                        </w:rPr>
                        <w:t xml:space="preserve"> šeši objektai;“.</w:t>
                      </w:r>
                    </w:p>
                  </w:sdtContent>
                </w:sdt>
              </w:sdtContent>
            </w:sdt>
          </w:sdtContent>
        </w:sdt>
        <w:sdt>
          <w:sdtPr>
            <w:alias w:val="4 p."/>
            <w:tag w:val="part_486ba118483d46e59cadf18f3833115c"/>
            <w:lock w:val="sdtLocked"/>
            <w:richText/>
          </w:sdtPr>
          <w:sdtContent>
            <w:p>
              <w:pPr>
                <w:tabs>
                  <w:tab w:val="left" w:pos="1260"/>
                </w:tabs>
                <w:ind w:firstLine="720"/>
                <w:jc w:val="both"/>
                <w:rPr>
                  <w:bCs/>
                  <w:szCs w:val="24"/>
                </w:rPr>
              </w:pPr>
              <w:sdt>
                <w:sdtPr>
                  <w:alias w:val="Numeris"/>
                  <w:tag w:val="nr_486ba118483d46e59cadf18f3833115c"/>
                  <w:lock w:val="sdtLocked"/>
                  <w:richText/>
                </w:sdtPr>
                <w:sdtContent>
                  <w:r>
                    <w:rPr>
                      <w:bCs/>
                      <w:szCs w:val="24"/>
                    </w:rPr>
                    <w:t>4</w:t>
                  </w:r>
                </w:sdtContent>
              </w:sdt>
              <w:r>
                <w:rPr>
                  <w:bCs/>
                  <w:szCs w:val="24"/>
                </w:rPr>
                <w:t>.</w:t>
                <w:tab/>
                <w:t>Pakeisti 8.6 punktą ir jį išdėstyti taip:</w:t>
              </w:r>
            </w:p>
            <w:sdt>
              <w:sdtPr>
                <w:alias w:val="citata"/>
                <w:tag w:val="part_4f1b08f3140c4a62b3c9e4d87bf2ab90"/>
                <w:lock w:val="sdtLocked"/>
                <w:richText/>
              </w:sdtPr>
              <w:sdtContent>
                <w:sdt>
                  <w:sdtPr>
                    <w:alias w:val="8.6 pp."/>
                    <w:tag w:val="part_6590cf41f073437582a4b18f9e82d3dd"/>
                    <w:lock w:val="sdtLocked"/>
                    <w:richText/>
                  </w:sdtPr>
                  <w:sdtContent>
                    <w:p>
                      <w:pPr>
                        <w:tabs>
                          <w:tab w:val="left" w:pos="1260"/>
                        </w:tabs>
                        <w:ind w:firstLine="720"/>
                        <w:jc w:val="both"/>
                        <w:rPr>
                          <w:bCs/>
                          <w:szCs w:val="24"/>
                        </w:rPr>
                      </w:pPr>
                      <w:r>
                        <w:rPr>
                          <w:szCs w:val="24"/>
                        </w:rPr>
                        <w:t>„</w:t>
                      </w:r>
                      <w:sdt>
                        <w:sdtPr>
                          <w:alias w:val="Numeris"/>
                          <w:tag w:val="nr_6590cf41f073437582a4b18f9e82d3dd"/>
                          <w:lock w:val="sdtLocked"/>
                          <w:richText/>
                        </w:sdtPr>
                        <w:sdtContent>
                          <w:r>
                            <w:rPr>
                              <w:szCs w:val="24"/>
                            </w:rPr>
                            <w:t>8.6</w:t>
                          </w:r>
                        </w:sdtContent>
                      </w:sdt>
                      <w:r>
                        <w:rPr>
                          <w:szCs w:val="24"/>
                        </w:rPr>
                        <w:t xml:space="preserve">. </w:t>
                      </w:r>
                      <w:r>
                        <w:rPr>
                          <w:bCs/>
                          <w:szCs w:val="24"/>
                        </w:rPr>
                        <w:t>D ir Ds kategorijų gatvių ar j</w:t>
                      </w:r>
                      <w:r>
                        <w:rPr>
                          <w:b/>
                          <w:bCs/>
                          <w:szCs w:val="24"/>
                        </w:rPr>
                        <w:t>ų</w:t>
                      </w:r>
                      <w:r>
                        <w:rPr>
                          <w:bCs/>
                          <w:strike/>
                          <w:szCs w:val="24"/>
                        </w:rPr>
                        <w:t>os</w:t>
                      </w:r>
                      <w:r>
                        <w:rPr>
                          <w:bCs/>
                          <w:szCs w:val="24"/>
                        </w:rPr>
                        <w:t xml:space="preserve"> atkarpų (toliau – gatvė</w:t>
                      </w:r>
                      <w:r>
                        <w:rPr>
                          <w:b/>
                          <w:bCs/>
                          <w:szCs w:val="24"/>
                        </w:rPr>
                        <w:t>s</w:t>
                      </w:r>
                      <w:r>
                        <w:rPr>
                          <w:bCs/>
                          <w:szCs w:val="24"/>
                        </w:rPr>
                        <w:t xml:space="preserve">) su asfalto danga remontas. </w:t>
                      </w:r>
                      <w:r>
                        <w:rPr>
                          <w:szCs w:val="24"/>
                          <w:lang w:eastAsia="lt-LT"/>
                        </w:rPr>
                        <w:t xml:space="preserve">Sudarant sąrašą gatvės </w:t>
                      </w:r>
                      <w:r>
                        <w:rPr>
                          <w:strike/>
                          <w:szCs w:val="24"/>
                          <w:lang w:eastAsia="lt-LT"/>
                        </w:rPr>
                        <w:t>ir jų atkarpos</w:t>
                      </w:r>
                      <w:r>
                        <w:rPr>
                          <w:szCs w:val="24"/>
                          <w:lang w:eastAsia="lt-LT"/>
                        </w:rPr>
                        <w:t xml:space="preserve"> skirstomos pagal seniūnaitijų teritorijas. </w:t>
                      </w:r>
                      <w:r>
                        <w:rPr>
                          <w:bCs/>
                          <w:szCs w:val="24"/>
                        </w:rPr>
                        <w:t xml:space="preserve">Gatvių sąrašas sudaromas iš gatvių, kurių danga, vertinant pagal Lietuvos automobilių kelių direkcijos patvirtinto Vietinės reikšmės kelių (gatvių) defektų (pažaidų) nustatymo ir statybos darbų rūšies parinkimo rekomendacijų 3 priedą, atitinka labai blogos ar nepatenkinamos būklės įvertinimą ir atitinka bent vieną iš 8.6.1 papunktyje nurodytų sąlygų. Sąrašas pagal šį kriterijų sudaromas ne vėliau kaip iki einamųjų metų pabaigos nuo šio Aprašo patvirtinimo. Į trejų metų prioritetines objektų eiles atrenkami </w:t>
                      </w:r>
                      <w:r>
                        <w:rPr>
                          <w:b/>
                          <w:bCs/>
                          <w:szCs w:val="24"/>
                        </w:rPr>
                        <w:t>ne mažiau kaip</w:t>
                      </w:r>
                      <w:r>
                        <w:rPr>
                          <w:bCs/>
                          <w:szCs w:val="24"/>
                        </w:rPr>
                        <w:t xml:space="preserve"> aštuoni objektai sudaryto sąrašo eilės tvarka;“.</w:t>
                      </w:r>
                    </w:p>
                  </w:sdtContent>
                </w:sdt>
              </w:sdtContent>
            </w:sdt>
          </w:sdtContent>
        </w:sdt>
        <w:sdt>
          <w:sdtPr>
            <w:alias w:val="5 p."/>
            <w:tag w:val="part_83845ea8c7514b29bc42dda17e60839e"/>
            <w:lock w:val="sdtLocked"/>
            <w:richText/>
          </w:sdtPr>
          <w:sdtContent>
            <w:p>
              <w:pPr>
                <w:tabs>
                  <w:tab w:val="left" w:pos="1260"/>
                </w:tabs>
                <w:ind w:firstLine="720"/>
                <w:jc w:val="both"/>
                <w:rPr>
                  <w:bCs/>
                  <w:szCs w:val="24"/>
                </w:rPr>
              </w:pPr>
              <w:sdt>
                <w:sdtPr>
                  <w:alias w:val="Numeris"/>
                  <w:tag w:val="nr_83845ea8c7514b29bc42dda17e60839e"/>
                  <w:lock w:val="sdtLocked"/>
                  <w:richText/>
                </w:sdtPr>
                <w:sdtContent>
                  <w:r>
                    <w:rPr>
                      <w:bCs/>
                      <w:szCs w:val="24"/>
                    </w:rPr>
                    <w:t>5</w:t>
                  </w:r>
                </w:sdtContent>
              </w:sdt>
              <w:r>
                <w:rPr>
                  <w:bCs/>
                  <w:szCs w:val="24"/>
                </w:rPr>
                <w:t>.</w:t>
                <w:tab/>
                <w:t xml:space="preserve"> Pakeisti 10 punktą ir jį išdėstyti taip:</w:t>
              </w:r>
            </w:p>
            <w:sdt>
              <w:sdtPr>
                <w:alias w:val="citata"/>
                <w:tag w:val="part_439f090d87dc4bd7aef201e4f0c87b7c"/>
                <w:lock w:val="sdtLocked"/>
                <w:richText/>
              </w:sdtPr>
              <w:sdtContent>
                <w:sdt>
                  <w:sdtPr>
                    <w:alias w:val="10 p."/>
                    <w:tag w:val="part_7dd3ee4da4e24d6ab51b0f4caddaf245"/>
                    <w:lock w:val="sdtLocked"/>
                    <w:richText/>
                  </w:sdtPr>
                  <w:sdtContent>
                    <w:p>
                      <w:pPr>
                        <w:tabs>
                          <w:tab w:val="left" w:pos="1260"/>
                        </w:tabs>
                        <w:ind w:firstLine="720"/>
                        <w:jc w:val="both"/>
                        <w:rPr>
                          <w:szCs w:val="24"/>
                        </w:rPr>
                      </w:pPr>
                      <w:r>
                        <w:rPr>
                          <w:szCs w:val="24"/>
                        </w:rPr>
                        <w:t>„</w:t>
                      </w:r>
                      <w:sdt>
                        <w:sdtPr>
                          <w:alias w:val="Numeris"/>
                          <w:tag w:val="nr_7dd3ee4da4e24d6ab51b0f4caddaf245"/>
                          <w:lock w:val="sdtLocked"/>
                          <w:richText/>
                        </w:sdtPr>
                        <w:sdtContent>
                          <w:r>
                            <w:rPr>
                              <w:szCs w:val="24"/>
                            </w:rPr>
                            <w:t>10</w:t>
                          </w:r>
                        </w:sdtContent>
                      </w:sdt>
                      <w:r>
                        <w:rPr>
                          <w:szCs w:val="24"/>
                        </w:rPr>
                        <w:t xml:space="preserve">. Trejų metų prioritetinių objektų eilių sąrašo projektą, vadovaudamasis Aprašo 8 punkte nustatytais kriterijais (dokumentais), parengia Šiaulių miesto savivaldybės administracijos Miesto ūkio ir aplinkos skyrius ir teikia Šiaulių miesto savivaldybės infrastruktūros objektų atrankos komisijai (toliau – Komisija). Komisijai pritarus, Prioritetinių objektų eilių sąrašą iki </w:t>
                      </w:r>
                      <w:r>
                        <w:rPr>
                          <w:strike/>
                          <w:szCs w:val="24"/>
                        </w:rPr>
                        <w:t>F</w:t>
                      </w:r>
                      <w:r>
                        <w:rPr>
                          <w:b/>
                          <w:szCs w:val="24"/>
                        </w:rPr>
                        <w:t>f</w:t>
                      </w:r>
                      <w:r>
                        <w:rPr>
                          <w:szCs w:val="24"/>
                        </w:rPr>
                        <w:t xml:space="preserve">inansavimo sutarčių su </w:t>
                      </w:r>
                      <w:r>
                        <w:rPr>
                          <w:strike/>
                          <w:szCs w:val="24"/>
                        </w:rPr>
                        <w:t>AB Lietuvos automobilių kelių direkcija</w:t>
                      </w:r>
                      <w:r>
                        <w:rPr>
                          <w:szCs w:val="24"/>
                        </w:rPr>
                        <w:t xml:space="preserve"> </w:t>
                      </w:r>
                      <w:r>
                        <w:rPr>
                          <w:b/>
                          <w:szCs w:val="24"/>
                        </w:rPr>
                        <w:t xml:space="preserve">AB „Via Lietuva“ </w:t>
                      </w:r>
                      <w:r>
                        <w:rPr>
                          <w:szCs w:val="24"/>
                        </w:rPr>
                        <w:t>pasirašymo tvirtina Administracijos direktorius.“.</w:t>
                      </w:r>
                    </w:p>
                  </w:sdtContent>
                </w:sdt>
              </w:sdtContent>
            </w:sdt>
          </w:sdtContent>
        </w:sdt>
        <w:sdt>
          <w:sdtPr>
            <w:alias w:val="6 p."/>
            <w:tag w:val="part_6c10e27995a54ddb8e54582af6ee353d"/>
            <w:lock w:val="sdtLocked"/>
            <w:richText/>
          </w:sdtPr>
          <w:sdtContent>
            <w:p>
              <w:pPr>
                <w:tabs>
                  <w:tab w:val="left" w:pos="1260"/>
                </w:tabs>
                <w:ind w:firstLine="720"/>
                <w:jc w:val="both"/>
                <w:rPr>
                  <w:szCs w:val="24"/>
                </w:rPr>
              </w:pPr>
              <w:sdt>
                <w:sdtPr>
                  <w:alias w:val="Numeris"/>
                  <w:tag w:val="nr_6c10e27995a54ddb8e54582af6ee353d"/>
                  <w:lock w:val="sdtLocked"/>
                  <w:richText/>
                </w:sdtPr>
                <w:sdtContent>
                  <w:r>
                    <w:rPr>
                      <w:szCs w:val="24"/>
                    </w:rPr>
                    <w:t>6</w:t>
                  </w:r>
                </w:sdtContent>
              </w:sdt>
              <w:r>
                <w:rPr>
                  <w:szCs w:val="24"/>
                </w:rPr>
                <w:t>.</w:t>
                <w:tab/>
                <w:t xml:space="preserve"> Pakeisti 11 punktą ir jį išdėstyti taip:</w:t>
              </w:r>
            </w:p>
            <w:sdt>
              <w:sdtPr>
                <w:alias w:val="citata"/>
                <w:tag w:val="part_7b13566e4cfd496eb61d94a46cf920a4"/>
                <w:lock w:val="sdtLocked"/>
                <w:richText/>
              </w:sdtPr>
              <w:sdtContent>
                <w:sdt>
                  <w:sdtPr>
                    <w:alias w:val="11 p."/>
                    <w:tag w:val="part_75ebe638bc1d4b9199a8686171d7265a"/>
                    <w:lock w:val="sdtLocked"/>
                    <w:richText/>
                  </w:sdtPr>
                  <w:sdtContent>
                    <w:p>
                      <w:pPr>
                        <w:ind w:firstLine="720"/>
                        <w:jc w:val="both"/>
                        <w:rPr>
                          <w:szCs w:val="24"/>
                        </w:rPr>
                      </w:pPr>
                      <w:r>
                        <w:rPr>
                          <w:szCs w:val="24"/>
                        </w:rPr>
                        <w:t>„</w:t>
                      </w:r>
                      <w:sdt>
                        <w:sdtPr>
                          <w:alias w:val="Numeris"/>
                          <w:tag w:val="nr_75ebe638bc1d4b9199a8686171d7265a"/>
                          <w:lock w:val="sdtLocked"/>
                          <w:richText/>
                        </w:sdtPr>
                        <w:sdtContent>
                          <w:r>
                            <w:rPr>
                              <w:szCs w:val="24"/>
                            </w:rPr>
                            <w:t>11</w:t>
                          </w:r>
                        </w:sdtContent>
                      </w:sdt>
                      <w:r>
                        <w:rPr>
                          <w:szCs w:val="24"/>
                        </w:rPr>
                        <w:t xml:space="preserve">.  Patvirtintas Šiaulių miesto savivaldybės trejų metų vietinės reikšmės kelių (gatvių) objektų prioritetinių eilių sąrašas viešai skelbiamas Savivaldybės interneto svetainėje.  Prioritetinės objektų eilės tvirtinamos iki </w:t>
                      </w:r>
                      <w:r>
                        <w:rPr>
                          <w:strike/>
                          <w:szCs w:val="24"/>
                        </w:rPr>
                        <w:t>F</w:t>
                      </w:r>
                      <w:r>
                        <w:rPr>
                          <w:b/>
                          <w:szCs w:val="24"/>
                        </w:rPr>
                        <w:t>f</w:t>
                      </w:r>
                      <w:r>
                        <w:rPr>
                          <w:szCs w:val="24"/>
                        </w:rPr>
                        <w:t xml:space="preserve">inansavimo sutarčių su </w:t>
                      </w:r>
                      <w:r>
                        <w:rPr>
                          <w:strike/>
                          <w:szCs w:val="24"/>
                        </w:rPr>
                        <w:t>AB „Lietuvos automobilių kelių direkcija“</w:t>
                      </w:r>
                      <w:r>
                        <w:rPr>
                          <w:szCs w:val="24"/>
                        </w:rPr>
                        <w:t xml:space="preserve"> </w:t>
                      </w:r>
                      <w:r>
                        <w:rPr>
                          <w:b/>
                          <w:szCs w:val="24"/>
                        </w:rPr>
                        <w:t xml:space="preserve">AB „Via Lietuva“ </w:t>
                      </w:r>
                      <w:r>
                        <w:rPr>
                          <w:szCs w:val="24"/>
                        </w:rPr>
                        <w:t>pasirašymo.“</w:t>
                      </w:r>
                    </w:p>
                  </w:sdtContent>
                </w:sdt>
              </w:sdtContent>
            </w:sdt>
          </w:sdtContent>
        </w:sdt>
        <w:sdt>
          <w:sdtPr>
            <w:alias w:val="7 p."/>
            <w:tag w:val="part_d7e2b1dd4d66473f9ec9225d8baa41e4"/>
            <w:lock w:val="sdtLocked"/>
            <w:richText/>
          </w:sdtPr>
          <w:sdtContent>
            <w:p>
              <w:pPr>
                <w:ind w:firstLine="720"/>
                <w:jc w:val="both"/>
                <w:rPr>
                  <w:szCs w:val="24"/>
                </w:rPr>
              </w:pPr>
              <w:sdt>
                <w:sdtPr>
                  <w:alias w:val="Numeris"/>
                  <w:tag w:val="nr_d7e2b1dd4d66473f9ec9225d8baa41e4"/>
                  <w:lock w:val="sdtLocked"/>
                  <w:richText/>
                </w:sdtPr>
                <w:sdtContent>
                  <w:r>
                    <w:rPr>
                      <w:szCs w:val="24"/>
                    </w:rPr>
                    <w:t>7</w:t>
                  </w:r>
                </w:sdtContent>
              </w:sdt>
              <w:r>
                <w:rPr>
                  <w:szCs w:val="24"/>
                </w:rPr>
                <w:t>.</w:t>
                <w:tab/>
                <w:t xml:space="preserve"> Pakeisti 13 punktą ir jį išdėstyti taip:</w:t>
              </w:r>
            </w:p>
            <w:sdt>
              <w:sdtPr>
                <w:alias w:val="citata"/>
                <w:tag w:val="part_6cf617cf7dee42ae8240ef7dc4774134"/>
                <w:lock w:val="sdtLocked"/>
                <w:richText/>
              </w:sdtPr>
              <w:sdtContent>
                <w:sdt>
                  <w:sdtPr>
                    <w:alias w:val="13 p."/>
                    <w:tag w:val="part_ff9a71d59d8046e5ab71d5237fd54bcf"/>
                    <w:lock w:val="sdtLocked"/>
                    <w:richText/>
                  </w:sdtPr>
                  <w:sdtContent>
                    <w:p>
                      <w:pPr>
                        <w:tabs>
                          <w:tab w:val="left" w:pos="851"/>
                        </w:tabs>
                        <w:ind w:firstLine="720"/>
                        <w:jc w:val="both"/>
                        <w:rPr>
                          <w:szCs w:val="24"/>
                        </w:rPr>
                      </w:pPr>
                      <w:r>
                        <w:rPr>
                          <w:szCs w:val="24"/>
                        </w:rPr>
                        <w:t>„</w:t>
                      </w:r>
                      <w:sdt>
                        <w:sdtPr>
                          <w:alias w:val="Numeris"/>
                          <w:tag w:val="nr_ff9a71d59d8046e5ab71d5237fd54bcf"/>
                          <w:lock w:val="sdtLocked"/>
                          <w:richText/>
                        </w:sdtPr>
                        <w:sdtContent>
                          <w:r>
                            <w:rPr>
                              <w:szCs w:val="24"/>
                            </w:rPr>
                            <w:t>13</w:t>
                          </w:r>
                        </w:sdtContent>
                      </w:sdt>
                      <w:r>
                        <w:rPr>
                          <w:szCs w:val="24"/>
                        </w:rPr>
                        <w:t xml:space="preserve">. Finansavimo sutartis ir objektų sąrašus tarp Savivaldybės administracijos ir </w:t>
                      </w:r>
                      <w:r>
                        <w:rPr>
                          <w:strike/>
                          <w:szCs w:val="24"/>
                        </w:rPr>
                        <w:t>AB Lietuvos automobilių kelių direkcija</w:t>
                      </w:r>
                      <w:r>
                        <w:rPr>
                          <w:szCs w:val="24"/>
                        </w:rPr>
                        <w:t xml:space="preserve"> </w:t>
                      </w:r>
                      <w:r>
                        <w:rPr>
                          <w:b/>
                          <w:szCs w:val="24"/>
                        </w:rPr>
                        <w:t xml:space="preserve">AB „Via Lietuva“ </w:t>
                      </w:r>
                      <w:r>
                        <w:rPr>
                          <w:szCs w:val="24"/>
                        </w:rPr>
                        <w:t>pasirašo ir tvirtina Administracijos direktorius.“</w:t>
                      </w:r>
                    </w:p>
                    <w:p>
                      <w:pPr>
                        <w:shd w:val="clear" w:color="auto" w:fill="FFFFFF"/>
                        <w:ind w:firstLine="720"/>
                        <w:jc w:val="both"/>
                        <w:rPr>
                          <w:lang w:eastAsia="zh-CN"/>
                        </w:rPr>
                      </w:pPr>
                    </w:p>
                    <w:p>
                      <w:pPr>
                        <w:suppressAutoHyphens/>
                        <w:overflowPunct w:val="0"/>
                        <w:spacing w:line="100" w:lineRule="atLeast"/>
                        <w:textAlignment w:val="baseline"/>
                        <w:rPr>
                          <w:strike/>
                          <w:szCs w:val="24"/>
                          <w:lang w:eastAsia="lt-LT"/>
                        </w:rPr>
                      </w:pPr>
                    </w:p>
                    <w:p>
                      <w:pPr>
                        <w:suppressAutoHyphens/>
                        <w:overflowPunct w:val="0"/>
                        <w:spacing w:line="100" w:lineRule="atLeast"/>
                        <w:textAlignment w:val="baseline"/>
                        <w:rPr>
                          <w:strike/>
                          <w:szCs w:val="24"/>
                          <w:lang w:eastAsia="lt-LT"/>
                        </w:rPr>
                      </w:pPr>
                    </w:p>
                    <w:p>
                      <w:pPr>
                        <w:suppressAutoHyphens/>
                        <w:overflowPunct w:val="0"/>
                        <w:spacing w:line="100" w:lineRule="atLeast"/>
                        <w:textAlignment w:val="baseline"/>
                        <w:rPr>
                          <w:szCs w:val="24"/>
                          <w:lang w:eastAsia="zh-CN"/>
                        </w:rPr>
                      </w:pPr>
                    </w:p>
                    <w:p>
                      <w:pPr>
                        <w:suppressAutoHyphens/>
                        <w:overflowPunct w:val="0"/>
                        <w:spacing w:line="100" w:lineRule="atLeast"/>
                        <w:textAlignment w:val="baseline"/>
                        <w:rPr>
                          <w:szCs w:val="24"/>
                          <w:lang w:eastAsia="zh-CN"/>
                        </w:rPr>
                      </w:pPr>
                    </w:p>
                  </w:sdtContent>
                </w:sdt>
              </w:sdtContent>
            </w:sdt>
          </w:sdtContent>
        </w:sdt>
        <w:sdt>
          <w:sdtPr>
            <w:alias w:val="signatura"/>
            <w:tag w:val="part_8a1b06a47af142d0b045e6a52ecb018e"/>
            <w:lock w:val="sdtLocked"/>
            <w:richText/>
          </w:sdtPr>
          <w:sdtContent>
            <w:p>
              <w:pPr>
                <w:tabs>
                  <w:tab w:val="left" w:pos="6360"/>
                </w:tabs>
                <w:suppressAutoHyphens/>
                <w:overflowPunct w:val="0"/>
                <w:jc w:val="both"/>
                <w:textAlignment w:val="baseline"/>
                <w:rPr>
                  <w:lang w:eastAsia="zh-CN"/>
                </w:rPr>
              </w:pPr>
              <w:r>
                <w:rPr>
                  <w:szCs w:val="24"/>
                  <w:lang w:eastAsia="zh-CN"/>
                </w:rPr>
                <w:t>Savivaldybės meras</w:t>
              </w:r>
            </w:p>
            <w:p>
              <w:pPr>
                <w:suppressAutoHyphens/>
                <w:overflowPunct w:val="0"/>
                <w:spacing w:line="100" w:lineRule="atLeast"/>
                <w:ind w:firstLine="124"/>
                <w:textAlignment w:val="baseline"/>
                <w:rPr>
                  <w:szCs w:val="24"/>
                  <w:lang w:eastAsia="zh-CN"/>
                </w:rPr>
              </w:pPr>
            </w:p>
            <w:p>
              <w:pPr>
                <w:suppressAutoHyphens/>
                <w:overflowPunct w:val="0"/>
                <w:jc w:val="center"/>
                <w:textAlignment w:val="baseline"/>
                <w:rPr>
                  <w:szCs w:val="24"/>
                  <w:lang w:eastAsia="zh-CN"/>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482" w:footer="567" w:gutter="0"/>
      <w:cols w:space="1296"/>
      <w:titlePg/>
      <w:docGrid w:linePitch="600" w:charSpace="32768"/>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overflowPunct w:val="0"/>
        <w:textAlignment w:val="baseline"/>
        <w:rPr>
          <w:lang w:eastAsia="zh-CN"/>
        </w:rPr>
      </w:pPr>
      <w:r>
        <w:rPr>
          <w:lang w:eastAsia="zh-CN"/>
        </w:rPr>
        <w:separator/>
      </w:r>
    </w:p>
  </w:endnote>
  <w:endnote w:type="continuationSeparator" w:id="0">
    <w:p>
      <w:pPr>
        <w:suppressAutoHyphens/>
        <w:overflowPunct w:val="0"/>
        <w:textAlignment w:val="baseline"/>
        <w:rPr>
          <w:lang w:eastAsia="zh-CN"/>
        </w:rPr>
      </w:pPr>
      <w:r>
        <w:rPr>
          <w:lang w:eastAsia="zh-CN"/>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overflowPunct w:val="0"/>
      <w:textAlignment w:val="baseline"/>
      <w:rPr>
        <w:lang w:eastAsia="zh-C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overflowPunct w:val="0"/>
      <w:textAlignment w:val="baseline"/>
      <w:rPr>
        <w:lang w:eastAsia="zh-C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overflowPunct w:val="0"/>
      <w:textAlignment w:val="baseline"/>
      <w:rPr>
        <w:lang w:eastAsia="zh-C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overflowPunct w:val="0"/>
        <w:textAlignment w:val="baseline"/>
        <w:rPr>
          <w:lang w:eastAsia="zh-CN"/>
        </w:rPr>
      </w:pPr>
      <w:r>
        <w:rPr>
          <w:lang w:eastAsia="zh-CN"/>
        </w:rPr>
        <w:separator/>
      </w:r>
    </w:p>
  </w:footnote>
  <w:footnote w:type="continuationSeparator" w:id="0">
    <w:p>
      <w:pPr>
        <w:suppressAutoHyphens/>
        <w:overflowPunct w:val="0"/>
        <w:textAlignment w:val="baseline"/>
        <w:rPr>
          <w:lang w:eastAsia="zh-CN"/>
        </w:rPr>
      </w:pPr>
      <w:r>
        <w:rPr>
          <w:lang w:eastAsia="zh-CN"/>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overflowPunct w:val="0"/>
      <w:textAlignment w:val="baseline"/>
      <w:rPr>
        <w:lang w:eastAsia="zh-C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overflowPunct w:val="0"/>
      <w:jc w:val="right"/>
      <w:textAlignment w:val="baseline"/>
      <w:rPr>
        <w:lang w:eastAsia="zh-CN"/>
      </w:rPr>
    </w:pPr>
    <w:r>
      <w:rPr>
        <w:lang w:val="en-US"/>
      </w:rPr>
      <mc:AlternateContent>
        <mc:Choice Requires="wps">
          <w:drawing>
            <wp:anchor distT="0" distB="0" distL="114300" distR="114300" simplePos="0" relativeHeight="251657728" behindDoc="0" locked="0" layoutInCell="1" allowOverlap="1" wp14:anchorId="50C522C9" wp14:editId="4212D634">
              <wp:simplePos x="0" y="0"/>
              <wp:positionH relativeFrom="column">
                <wp:posOffset>0</wp:posOffset>
              </wp:positionH>
              <wp:positionV relativeFrom="paragraph">
                <wp:posOffset>635</wp:posOffset>
              </wp:positionV>
              <wp:extent cx="13970" cy="132715"/>
              <wp:effectExtent l="9525" t="10160" r="5080" b="9525"/>
              <wp:wrapSquare wrapText="largest"/>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70" cy="132715"/>
                      </a:xfrm>
                      <a:prstGeom prst="rect">
                        <a:avLst/>
                      </a:prstGeom>
                      <a:solidFill>
                        <a:srgbClr val="FFFFFF"/>
                      </a:solidFill>
                      <a:ln w="9360" cap="sq">
                        <a:solidFill>
                          <a:srgbClr val="000000"/>
                        </a:solidFill>
                        <a:miter lim="800000"/>
                        <a:headEnd/>
                        <a:tailEnd/>
                      </a:ln>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CA2AD64" id="Rectangle 1" o:spid="_x0000_s1026" style="position:absolute;margin-left:0;margin-top:.05pt;width:1.1pt;height:10.45pt;z-index:25165772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hzYbSDgIAAB0EAAAOAAAAZHJzL2Uyb0RvYy54bWysU9tu2zAMfR+wfxD0vjhO0kuMOEWRLsOA 7gJ0+wBFlm1hkqhRSpzs60cpaZpdnob5QRBN6vDwkFzc7a1hO4VBg6t5ORpzppyERruu5l+/rN/c chaicI0w4FTNDyrwu+XrV4vBV2oCPZhGISMQF6rB17yP0VdFEWSvrAgj8MqRswW0IpKJXdGgGAjd mmIyHl8XA2DjEaQKgf4+HJ18mfHbVsn4qW2DiszUnLjFfGI+N+kslgtRdSh8r+WJhvgHFlZoR0nP UA8iCrZF/QeU1RIhQBtHEmwBbaulyjVQNeX4t2qeeuFVroXECf4sU/h/sPLj7sl/xkQ9+EeQ3wJz sOqF69Q9Igy9Eg2lK5NQxeBDdX6QjEBP2Wb4AA21VmwjZA32LdoESNWxfZb6cJZa7SOT9LOczm+o H5I85XRyU17lBKJ6fusxxHcKLEuXmiM1MmOL3WOIiYuonkMydzC6WWtjsoHdZmWQ7QQ1fZ2/E3q4 DDOODTWfT68TD0GzF77nFL8EhUuscf7+hmV1pDE22tb89hwkqqTeW9fkIYtCm+OduBt3kjMpmIY1 VBtoDqQmwnFGaafo0gP+4Gyg+ay5owXizLx31I95OZulcc7G7OpmQgZeejaXHuEkAdVcRuTsaKzi cQm2HnXXU6Yy1+7gnrrY6izxC6sTWZrBrPxpX9KQX9o56mWrlz8BAAD//wMAUEsDBBQABgAIAAAA IQA5hOj22QAAAAIBAAAPAAAAZHJzL2Rvd25yZXYueG1sTI9BT8MwDIXvSPsPkSdxY8kqQKg0ndhG pR3gwIB71pi2WuJUTbYWfj3eCU7W87Pe+1ysJu/EGYfYBdKwXCgQSHWwHTUaPt6rmwcQMRmyxgVC Dd8YYVXOrgqT2zDSG573qREcQjE3GtqU+lzKWLfoTVyEHom9rzB4k1gOjbSDGTncO5kpdS+96Ygb WtPjpsX6uD95DetddfeyO47h1m3V67p5rrof/NT6ej49PYJIOKW/Y7jgMzqUzHQIJ7JROA38SLps BXtZBuLAY6lAloX8j17+AgAA//8DAFBLAQItABQABgAIAAAAIQC2gziS/gAAAOEBAAATAAAAAAAA AAAAAAAAAAAAAABbQ29udGVudF9UeXBlc10ueG1sUEsBAi0AFAAGAAgAAAAhADj9If/WAAAAlAEA AAsAAAAAAAAAAAAAAAAALwEAAF9yZWxzLy5yZWxzUEsBAi0AFAAGAAgAAAAhAGHNhtIOAgAAHQQA AA4AAAAAAAAAAAAAAAAALgIAAGRycy9lMm9Eb2MueG1sUEsBAi0AFAAGAAgAAAAhADmE6PbZAAAA AgEAAA8AAAAAAAAAAAAAAAAAaAQAAGRycy9kb3ducmV2LnhtbFBLBQYAAAAABAAEAPMAAABuBQAA AAA= " strokeweight=".26mm">
              <v:stroke endcap="square"/>
              <w10:wrap type="square" side="largest"/>
            </v:rect>
          </w:pict>
        </mc:Fallback>
      </mc:AlternateConten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overflowPunct w:val="0"/>
      <w:textAlignment w:val="baseline"/>
      <w:rPr>
        <w:lang w:eastAsia="zh-C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8193"/>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56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oNotEmbedSmartTags/>
  <w:decimalSymbol w:val="."/>
  <w:listSeparator w:val=","/>
  <w15:docId w15:val="{1984F64A-69AC-4516-AD25-DDF9A815F0F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cf3d26db6b04f2cb2616c679eaa34f9" PartId="8a07f15a5d65467c890bc2f94488ad85">
    <Part Type="preambule" DocPartId="af29a172868e4e4886b3cd63f863c41f" PartId="f2e5c347ae744b648e7b5d9fa70546c3"/>
    <Part Type="pastraipa" DocPartId="fa174ce12a5a453c8069afedf9cf6871" PartId="e7d1884e3ffa40ccaf17f488de7fca94"/>
    <Part Type="punktas" Nr="1" Abbr="1 p." DocPartId="e331982091724282a5f492eb115d5ed0" PartId="1b0174ab9ddf457b8311b7372ca003a5">
      <Part Type="citata" DocPartId="c79b844e5a434cbbaca91cad5d27ecb0" PartId="b5935ef5a9734b04945e91d04e64dc34">
        <Part Type="punktas" Nr="1" Abbr="1 p." DocPartId="851e4e94344840beab143fea6d1f2f28" PartId="db64c264c2024a47ae20ae6e2db1d55c"/>
      </Part>
    </Part>
    <Part Type="punktas" Nr="2" Abbr="2 p." DocPartId="cf68bd458b4b41ec8bcd11d53db8ee59" PartId="7cdec8181c2f47d089a0945606afa9fd">
      <Part Type="citata" DocPartId="b71ba1c229a341d6bcfa61685c1da6e6" PartId="0e9345e5985a4107bb9d8d79aa5aa1b8">
        <Part Type="papunktis" Nr="8.3" Abbr="8.3 pp." DocPartId="12bb615d08cd4ee4a92e6743ac5ed3a6" PartId="43fae01d81d047e7bf39855ba12d378e"/>
      </Part>
    </Part>
    <Part Type="punktas" Nr="3" Abbr="3 p." DocPartId="ea9c72d5e2324809b216d66eb9cc75c4" PartId="1d2e0611e2ba4a24a17639c9c74ceea7">
      <Part Type="citata" DocPartId="7c1be9dc45944419bbc7cf46f55d9fef" PartId="bd04be36d85e4d46800e500582aee7f5">
        <Part Type="papunktis" Nr="8.5" Abbr="8.5 pp." DocPartId="e6a17d7e13e34eb1b38b56f274576bbe" PartId="c070d7b05e604ba7842c6c44405ca734"/>
      </Part>
    </Part>
    <Part Type="punktas" Nr="4" Abbr="4 p." DocPartId="60244971906f4742aac641474de36b66" PartId="486ba118483d46e59cadf18f3833115c">
      <Part Type="citata" DocPartId="c6bfbd6b65794d06940ba38cc062a12f" PartId="4f1b08f3140c4a62b3c9e4d87bf2ab90">
        <Part Type="papunktis" Nr="8.6" Abbr="8.6 pp." DocPartId="6b90ad8a31c049d8a4b789099cc4ac87" PartId="6590cf41f073437582a4b18f9e82d3dd"/>
      </Part>
    </Part>
    <Part Type="punktas" Nr="5" Abbr="5 p." DocPartId="2cc9d6f64d384b0194a222a22443a8ca" PartId="83845ea8c7514b29bc42dda17e60839e">
      <Part Type="citata" DocPartId="19b8b17d3d7e44a2bd33718ecb34519b" PartId="439f090d87dc4bd7aef201e4f0c87b7c">
        <Part Type="punktas" Nr="10" Abbr="10 p." DocPartId="14cd1ec74b2e4532b7c1a5fec442380f" PartId="7dd3ee4da4e24d6ab51b0f4caddaf245"/>
      </Part>
    </Part>
    <Part Type="punktas" Nr="6" Abbr="6 p." DocPartId="1dbb18672a5a4f83a4e27034b47e8634" PartId="6c10e27995a54ddb8e54582af6ee353d">
      <Part Type="citata" DocPartId="a603629f26f44e5f8684ddd943f35b71" PartId="7b13566e4cfd496eb61d94a46cf920a4">
        <Part Type="punktas" Nr="11" Abbr="11 p." DocPartId="f8295b07cdfa4ec08273cd19836ff623" PartId="75ebe638bc1d4b9199a8686171d7265a"/>
      </Part>
    </Part>
    <Part Type="punktas" Nr="7" Abbr="7 p." DocPartId="c9d2733251f54f0fa5e58888323c3bf4" PartId="d7e2b1dd4d66473f9ec9225d8baa41e4">
      <Part Type="citata" DocPartId="4c57fe1014e645058206a8ca727b05dd" PartId="6cf617cf7dee42ae8240ef7dc4774134">
        <Part Type="punktas" Nr="13" Abbr="13 p." DocPartId="99e6df987e8147f7bd1529a145bccb79" PartId="ff9a71d59d8046e5ab71d5237fd54bcf"/>
      </Part>
    </Part>
    <Part Type="signatura" DocPartId="157ef6b53aff4e1b8ccce6ea75869b61" PartId="8a1b06a47af142d0b045e6a52ecb018e"/>
  </Part>
</Parts>
</file>

<file path=customXml/itemProps1.xml><?xml version="1.0" encoding="utf-8"?>
<ds:datastoreItem xmlns:ds="http://schemas.openxmlformats.org/officeDocument/2006/customXml" ds:itemID="{908F7821-0AE3-4666-A35A-32E73ADEB4D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565</Words>
  <Characters>3807</Characters>
  <Application>Microsoft Office Word</Application>
  <DocSecurity>4</DocSecurity>
  <Lines>73</Lines>
  <Paragraphs>25</Paragraphs>
  <ScaleCrop>false</ScaleCrop>
  <HeadingPairs>
    <vt:vector size="2" baseType="variant">
      <vt:variant>
        <vt:lpstr>Pavadinimas</vt:lpstr>
      </vt:variant>
      <vt:variant>
        <vt:i4>1</vt:i4>
      </vt:variant>
    </vt:vector>
  </HeadingPairs>
  <TitlesOfParts>
    <vt:vector size="1" baseType="lpstr">
      <vt:lpstr>PATVIRTINTA</vt:lpstr>
    </vt:vector>
  </TitlesOfParts>
  <Company/>
  <LinksUpToDate>false</LinksUpToDate>
  <CharactersWithSpaces>4347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2024-09-11T06:09:00Z</dcterms:created>
  <dc:creator>Balco Valued Customer</dc:creator>
  <lastModifiedBy>adlibuser</lastModifiedBy>
  <lastPrinted>2019-10-30T05:55:00Z</lastPrinted>
  <dcterms:modified xsi:type="dcterms:W3CDTF">2024-09-11T06:09:00Z</dcterms:modified>
  <revision>2</revision>
  <dc:title>PATVIRTINTA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FF35749D-3898-4474-9D0A-2881C4CFABB9</vt:lpwstr>
  </property>
</Properties>
</file>