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a9cce1e32645d0a05b6618a0861c80"/>
        <w:lock w:val="sdtLocked"/>
        <w:richText/>
      </w:sdtPr>
      <w:sdtContent>
        <w:p>
          <w:pPr>
            <w:jc w:val="center"/>
            <w:rPr>
              <w:b/>
              <w:bCs/>
              <w:szCs w:val="24"/>
              <w:lang w:eastAsia="lt-LT"/>
            </w:rPr>
          </w:pPr>
          <w:r>
            <w:rPr>
              <w:b/>
              <w:bCs/>
              <w:szCs w:val="24"/>
              <w:lang w:eastAsia="lt-LT"/>
            </w:rPr>
            <w:t>ŠIAULIŲ MIESTO SAVIVALDYBĖS ADMINISTRACIJOS</w:t>
          </w:r>
        </w:p>
        <w:sdt>
          <w:sdtPr>
            <w:alias w:val="skyrius"/>
            <w:tag w:val="part_4d0f2008e9b54380920ce87d97a347f1"/>
            <w:lock w:val="sdtLocked"/>
            <w:richText/>
          </w:sdtPr>
          <w:sdtContent>
            <w:p>
              <w:pPr>
                <w:jc w:val="center"/>
                <w:rPr>
                  <w:szCs w:val="24"/>
                  <w:lang w:eastAsia="lt-LT"/>
                </w:rPr>
              </w:pPr>
              <w:r>
                <w:rPr>
                  <w:b/>
                  <w:bCs/>
                  <w:szCs w:val="24"/>
                  <w:lang w:eastAsia="lt-LT"/>
                </w:rPr>
                <w:t>MIESTO KOORDINAVIMO SKYRIUS</w:t>
              </w:r>
            </w:p>
            <w:p>
              <w:pPr>
                <w:rPr>
                  <w:szCs w:val="24"/>
                  <w:lang w:eastAsia="lt-LT"/>
                </w:rPr>
              </w:pPr>
            </w:p>
            <w:sdt>
              <w:sdtPr>
                <w:alias w:val="Pavadinimas"/>
                <w:tag w:val="title_4d0f2008e9b54380920ce87d97a347f1"/>
                <w:lock w:val="sdtLocked"/>
                <w:richText/>
              </w:sdtPr>
              <w:sdtContent>
                <w:p>
                  <w:pPr>
                    <w:keepNext/>
                    <w:suppressAutoHyphens/>
                    <w:jc w:val="center"/>
                    <w:outlineLvl w:val="3"/>
                    <w:rPr>
                      <w:b/>
                      <w:bCs/>
                      <w:szCs w:val="24"/>
                    </w:rPr>
                  </w:pPr>
                  <w:r>
                    <w:rPr>
                      <w:b/>
                      <w:bCs/>
                      <w:szCs w:val="24"/>
                    </w:rPr>
                    <w:t>SPRENDIMO</w:t>
                  </w:r>
                </w:p>
                <w:p>
                  <w:pPr>
                    <w:widowControl w:val="0"/>
                    <w:jc w:val="center"/>
                    <w:outlineLvl w:val="3"/>
                    <w:rPr>
                      <w:rFonts w:ascii="Calibri" w:hAnsi="Calibri"/>
                      <w:b/>
                      <w:bCs/>
                      <w:sz w:val="28"/>
                      <w:szCs w:val="28"/>
                    </w:rPr>
                  </w:pPr>
                  <w:r>
                    <w:rPr>
                      <w:rFonts w:ascii="Calibri" w:hAnsi="Calibri"/>
                      <w:b/>
                      <w:bCs/>
                      <w:sz w:val="28"/>
                      <w:szCs w:val="28"/>
                    </w:rPr>
                    <w:t>„</w:t>
                  </w:r>
                  <w:r>
                    <w:rPr>
                      <w:b/>
                      <w:bCs/>
                      <w:szCs w:val="24"/>
                    </w:rPr>
                    <w:t xml:space="preserve">DĖL </w:t>
                  </w:r>
                  <w:r>
                    <w:rPr>
                      <w:b/>
                      <w:bCs/>
                      <w:caps/>
                      <w:szCs w:val="28"/>
                    </w:rPr>
                    <w:t>SAUGAUS ELGESIO</w:t>
                  </w:r>
                  <w:r>
                    <w:rPr>
                      <w:b/>
                      <w:bCs/>
                      <w:szCs w:val="24"/>
                    </w:rPr>
                    <w:t xml:space="preserve"> ŠIAULIŲ MIESTO  SAVIVALDYBĖS TERITORIJOJE </w:t>
                  </w:r>
                  <w:r>
                    <w:rPr>
                      <w:b/>
                      <w:bCs/>
                      <w:caps/>
                      <w:szCs w:val="28"/>
                    </w:rPr>
                    <w:t>PAVIRŠINIŲ VANDENS TELKINIŲ VANDENYJE IR ANT PAVIRŠINIŲ VANDENS TELKINIŲ LEDO</w:t>
                  </w:r>
                  <w:r>
                    <w:rPr>
                      <w:b/>
                      <w:bCs/>
                      <w:szCs w:val="24"/>
                    </w:rPr>
                    <w:t xml:space="preserve"> </w:t>
                  </w:r>
                  <w:r>
                    <w:rPr>
                      <w:b/>
                      <w:bCs/>
                      <w:caps/>
                      <w:szCs w:val="28"/>
                    </w:rPr>
                    <w:t>TAISYKLIŲ patvirtinimo“ PROJEKTO</w:t>
                  </w:r>
                </w:p>
                <w:p>
                  <w:pPr>
                    <w:jc w:val="center"/>
                    <w:outlineLvl w:val="1"/>
                    <w:rPr>
                      <w:b/>
                      <w:szCs w:val="24"/>
                    </w:rPr>
                  </w:pPr>
                  <w:r>
                    <w:rPr>
                      <w:b/>
                      <w:szCs w:val="24"/>
                    </w:rPr>
                    <w:t>AIŠKINAMASIS RAŠTAS</w:t>
                  </w:r>
                </w:p>
              </w:sdtContent>
            </w:sdt>
            <w:p>
              <w:pPr>
                <w:jc w:val="center"/>
                <w:rPr>
                  <w:szCs w:val="24"/>
                  <w:lang w:eastAsia="lt-LT"/>
                </w:rPr>
              </w:pPr>
            </w:p>
            <w:p>
              <w:pPr>
                <w:jc w:val="center"/>
                <w:rPr>
                  <w:szCs w:val="24"/>
                  <w:lang w:eastAsia="lt-LT"/>
                </w:rPr>
              </w:pPr>
              <w:r>
                <w:rPr>
                  <w:szCs w:val="24"/>
                  <w:lang w:eastAsia="lt-LT"/>
                </w:rPr>
                <w:t>2025-11-12</w:t>
              </w:r>
            </w:p>
            <w:p>
              <w:pPr>
                <w:jc w:val="center"/>
                <w:rPr>
                  <w:szCs w:val="24"/>
                  <w:lang w:eastAsia="lt-LT"/>
                </w:rPr>
              </w:pPr>
              <w:r>
                <w:rPr>
                  <w:szCs w:val="24"/>
                  <w:lang w:eastAsia="lt-LT"/>
                </w:rPr>
                <w:t>Šiauliai</w:t>
              </w:r>
            </w:p>
            <w:p>
              <w:pPr>
                <w:rPr>
                  <w:szCs w:val="24"/>
                  <w:lang w:eastAsia="lt-LT"/>
                </w:rPr>
              </w:pPr>
            </w:p>
            <w:sdt>
              <w:sdtPr>
                <w:alias w:val="poskyris"/>
                <w:tag w:val="part_5c655fd5fb95476cb84c1fa491e088d7"/>
                <w:lock w:val="sdtLocked"/>
                <w:richText/>
              </w:sdtPr>
              <w:sdtContent>
                <w:p>
                  <w:pPr>
                    <w:ind w:firstLine="856"/>
                    <w:jc w:val="both"/>
                    <w:rPr>
                      <w:szCs w:val="24"/>
                      <w:lang w:eastAsia="lt-LT"/>
                    </w:rPr>
                  </w:pPr>
                  <w:sdt>
                    <w:sdtPr>
                      <w:alias w:val="Pavadinimas"/>
                      <w:tag w:val="title_5c655fd5fb95476cb84c1fa491e088d7"/>
                      <w:lock w:val="sdtLocked"/>
                      <w:richText/>
                    </w:sdtPr>
                    <w:sdtContent>
                      <w:r>
                        <w:rPr>
                          <w:b/>
                          <w:bCs/>
                          <w:szCs w:val="24"/>
                          <w:lang w:eastAsia="lt-LT"/>
                        </w:rPr>
                        <w:t>Parengto sprendimo projekto tikslas ir uždavinia</w:t>
                      </w:r>
                      <w:r>
                        <w:rPr>
                          <w:b/>
                          <w:bCs/>
                          <w:szCs w:val="24"/>
                          <w:shd w:val="clear" w:color="auto" w:fill="FFFFFF"/>
                          <w:lang w:eastAsia="lt-LT"/>
                        </w:rPr>
                        <w:t>i</w:t>
                      </w:r>
                    </w:sdtContent>
                  </w:sdt>
                </w:p>
                <w:p>
                  <w:pPr>
                    <w:tabs>
                      <w:tab w:val="left" w:pos="709"/>
                    </w:tabs>
                    <w:ind w:firstLine="833"/>
                    <w:jc w:val="both"/>
                    <w:rPr>
                      <w:szCs w:val="22"/>
                    </w:rPr>
                  </w:pPr>
                  <w:r>
                    <w:rPr>
                      <w:szCs w:val="22"/>
                    </w:rPr>
                    <w:t>Tikslas – patvirtinti naujas Saugaus elgesio Šiaulių miesto savivaldybės teritorijoje paviršinių vandens telkinių vandenyje ir ant paviršinių vandens telkinių ledo taisykles (toliau – Taisyklės), siekiant užtikrinti gyventojų saugumą vandens telkiniuose ir ant jų ledo, atsižvelgiant į pasikeitusį teisinį reguliavimą.</w:t>
                  </w:r>
                </w:p>
                <w:p>
                  <w:pPr>
                    <w:tabs>
                      <w:tab w:val="left" w:pos="709"/>
                    </w:tabs>
                    <w:ind w:firstLine="709"/>
                    <w:jc w:val="both"/>
                    <w:rPr>
                      <w:szCs w:val="22"/>
                    </w:rPr>
                  </w:pPr>
                  <w:r>
                    <w:rPr>
                      <w:szCs w:val="22"/>
                    </w:rPr>
                    <w:t xml:space="preserve">Uždavinys – suderinti Taisykles su galiojančiais teisės aktais, reguliuojančiais paplūdimių ir maudyklių vandens kokybės priežiūrą, užtikrinant Taisyklių atitikimą Lietuvos higienos normos HN 92:2018 „Paplūdimiai ir jų maudyklų vandens kokybė“ (toliau – HN 92:2018) reikalavimams, pavyzdinėms Saugaus elgesio paviršinių vandens telkinių vandenyje ir ant paviršinių vandens telkinių ledo taisyklėms (toliau – pavyzdinės Taisyklės), patvirtintoms Lietuvos Respublikos vidaus reikalų ministro 2019 m. gruodžio 12 d. įsakymu Nr. 1V-988 „Dėl pavyzdinių Saugaus elgesio paviršinių vandens telkinių vandenyje ir ant paviršinių vandens telkinių ledo taisyklių patvirtinimo“, ir kitiems teisės aktams. </w:t>
                  </w:r>
                </w:p>
                <w:p>
                  <w:pPr>
                    <w:rPr>
                      <w:sz w:val="10"/>
                      <w:szCs w:val="10"/>
                    </w:rPr>
                  </w:pPr>
                </w:p>
              </w:sdtContent>
            </w:sdt>
            <w:sdt>
              <w:sdtPr>
                <w:alias w:val="poskyris"/>
                <w:tag w:val="part_cc86857cf2a744dc8ee87debba8f37ca"/>
                <w:lock w:val="sdtLocked"/>
                <w:richText/>
              </w:sdtPr>
              <w:sdtContent>
                <w:p>
                  <w:pPr>
                    <w:tabs>
                      <w:tab w:val="left" w:pos="709"/>
                    </w:tabs>
                    <w:ind w:firstLine="895"/>
                    <w:jc w:val="both"/>
                    <w:rPr>
                      <w:rFonts w:eastAsia="Calibri"/>
                      <w:b/>
                      <w:bCs/>
                      <w:sz w:val="22"/>
                      <w:szCs w:val="22"/>
                      <w:shd w:val="clear" w:color="auto" w:fill="FFFFFF"/>
                    </w:rPr>
                  </w:pPr>
                  <w:sdt>
                    <w:sdtPr>
                      <w:alias w:val="Pavadinimas"/>
                      <w:tag w:val="title_cc86857cf2a744dc8ee87debba8f37ca"/>
                      <w:lock w:val="sdtLocked"/>
                      <w:richText/>
                    </w:sdtPr>
                    <w:sdtContent>
                      <w:r>
                        <w:rPr>
                          <w:rFonts w:eastAsia="Calibri"/>
                          <w:b/>
                          <w:bCs/>
                          <w:szCs w:val="24"/>
                        </w:rPr>
                        <w:t>Dabartinis sprendimo projekte aptariamų klausimų reguliavima</w:t>
                      </w:r>
                      <w:r>
                        <w:rPr>
                          <w:rFonts w:eastAsia="Calibri"/>
                          <w:b/>
                          <w:bCs/>
                          <w:szCs w:val="24"/>
                          <w:shd w:val="clear" w:color="auto" w:fill="FFFFFF"/>
                        </w:rPr>
                        <w:t>s</w:t>
                      </w:r>
                      <w:r>
                        <w:rPr>
                          <w:rFonts w:eastAsia="Calibri"/>
                          <w:strike/>
                          <w:szCs w:val="24"/>
                        </w:rPr>
                        <w:t xml:space="preserve">      </w:t>
                      </w:r>
                    </w:sdtContent>
                  </w:sdt>
                </w:p>
                <w:p>
                  <w:pPr>
                    <w:tabs>
                      <w:tab w:val="left" w:pos="709"/>
                    </w:tabs>
                    <w:ind w:firstLine="833"/>
                    <w:jc w:val="both"/>
                    <w:rPr>
                      <w:szCs w:val="22"/>
                    </w:rPr>
                  </w:pPr>
                  <w:r>
                    <w:rPr>
                      <w:szCs w:val="22"/>
                    </w:rPr>
                    <w:t xml:space="preserve">Šiuo metu galioja Saugaus elgesio Šiaulių miesto savivaldybės paviršinių vandens telkinių vandenyje ir ant paviršinių vandens telkinių ledo taisyklės, patvirtintos Šiaulių miesto savivaldybės tarybos 2020 m. liepos 2 d. sprendimu Nr. T-289 „Dėl Saugaus elgesio Šiaulių miesto savivaldybės paviršinių vandens telkinių vandenyje ir ant paviršinių vandens telkinių ledo taisyklių patvirtinimo“. Vadovaudamasi Lietuvos Respublikos vietos savivaldos įstatymo 15 straipsnio 2 dalies 28 punktu, išimtinei savivaldybės tarybos kompetencijai priskirtas „taisyklių, už kurių pažeidimą atsiranda administracinė atsakomybė, ir kitų taisyklių tvirtinimas“. Administracinė atsakomybė už Taisyklių pažeidimą numatyta Administracinių nusižengimų kodekso 491 straipsnyje.  </w:t>
                  </w:r>
                </w:p>
                <w:p>
                  <w:pPr>
                    <w:tabs>
                      <w:tab w:val="left" w:pos="709"/>
                    </w:tabs>
                    <w:ind w:firstLine="709"/>
                    <w:jc w:val="both"/>
                    <w:rPr>
                      <w:szCs w:val="22"/>
                    </w:rPr>
                  </w:pPr>
                  <w:r>
                    <w:rPr>
                      <w:szCs w:val="22"/>
                    </w:rPr>
                    <w:t xml:space="preserve">Dabartinė Taisyklių redakcija nebeatitinka HN 92:2018 reikalavimų, susijusių su atsakomybių pasiskirstymu tarp Visuomenės sveikatos biuro, paplūdimių ir maudyklų administratoriaus ir savivaldybės vykdomosios institucijos. Vyriausybės atstovo 2025-09-03 gautose pastabose nurodyta, kad dabartinė Taisyklių redakcija taip pat neatitinka pavyzdinių Taisyklių 2 punkto reikalavimų Taisyklėse nurodyti paplūdimių lankymo valandų ir paskirti institucijas, atsakingas už paplūdimių ir maudyklų administravimą. </w:t>
                  </w:r>
                </w:p>
                <w:p>
                  <w:pPr>
                    <w:tabs>
                      <w:tab w:val="left" w:pos="709"/>
                    </w:tabs>
                    <w:ind w:firstLine="709"/>
                    <w:jc w:val="both"/>
                    <w:rPr>
                      <w:rFonts w:eastAsia="HG Mincho Light J"/>
                      <w:color w:val="000000"/>
                      <w:szCs w:val="24"/>
                      <w:lang w:eastAsia="lt-LT"/>
                    </w:rPr>
                  </w:pPr>
                  <w:r>
                    <w:rPr>
                      <w:szCs w:val="22"/>
                    </w:rPr>
                    <w:t xml:space="preserve">Galiojančiose taisyklėse taip pat pateikiamos nuorodos į nebegaliojančią </w:t>
                  </w:r>
                  <w:r>
                    <w:rPr>
                      <w:rFonts w:eastAsia="HG Mincho Light J"/>
                      <w:color w:val="000000"/>
                      <w:szCs w:val="24"/>
                      <w:lang w:eastAsia="lt-LT"/>
                    </w:rPr>
                    <w:t xml:space="preserve">Lietuvos higienos normą HN 92:2007 „Paplūdimiai ir jų maudyklų vandens kokybė“; nurodyti teisės aktai, kurių pavadinimai yra pasikeitę; numatyti  besidubliuojantys ir pertekliniai draudimai, kurie yra reglamentuoti kituose teisės aktuose. </w:t>
                  </w:r>
                </w:p>
                <w:p>
                  <w:pPr>
                    <w:rPr>
                      <w:sz w:val="10"/>
                      <w:szCs w:val="10"/>
                    </w:rPr>
                  </w:pPr>
                </w:p>
              </w:sdtContent>
            </w:sdt>
            <w:sdt>
              <w:sdtPr>
                <w:alias w:val="poskyris"/>
                <w:tag w:val="part_440e775e699a4dd6864d0dc39a2c9387"/>
                <w:lock w:val="sdtLocked"/>
                <w:richText/>
              </w:sdtPr>
              <w:sdtContent>
                <w:p>
                  <w:pPr>
                    <w:tabs>
                      <w:tab w:val="left" w:pos="810"/>
                    </w:tabs>
                    <w:ind w:firstLine="709"/>
                    <w:jc w:val="both"/>
                    <w:rPr>
                      <w:b/>
                      <w:bCs/>
                      <w:szCs w:val="24"/>
                      <w:lang w:eastAsia="lt-LT"/>
                    </w:rPr>
                  </w:pPr>
                  <w:sdt>
                    <w:sdtPr>
                      <w:alias w:val="Pavadinimas"/>
                      <w:tag w:val="title_440e775e699a4dd6864d0dc39a2c9387"/>
                      <w:lock w:val="sdtLocked"/>
                      <w:richText/>
                    </w:sdtPr>
                    <w:sdtContent>
                      <w:r>
                        <w:rPr>
                          <w:b/>
                          <w:bCs/>
                          <w:szCs w:val="24"/>
                          <w:lang w:eastAsia="lt-LT"/>
                        </w:rPr>
                        <w:t>Sprendimo projekte numatytos naujo teisinio reglamentavimo nuostatos</w:t>
                      </w:r>
                    </w:sdtContent>
                  </w:sdt>
                </w:p>
                <w:p>
                  <w:pPr>
                    <w:tabs>
                      <w:tab w:val="left" w:pos="810"/>
                    </w:tabs>
                    <w:ind w:firstLine="709"/>
                    <w:jc w:val="both"/>
                    <w:rPr>
                      <w:b/>
                      <w:bCs/>
                      <w:szCs w:val="24"/>
                      <w:lang w:eastAsia="lt-LT"/>
                    </w:rPr>
                  </w:pPr>
                  <w:r>
                    <w:rPr>
                      <w:szCs w:val="24"/>
                      <w:shd w:val="clear" w:color="auto" w:fill="FFFFFF"/>
                      <w:lang w:eastAsia="lt-LT"/>
                    </w:rPr>
                    <w:t xml:space="preserve">Sprendimo projekte yra numatyta tvirtinti naujas Taisykles, pripažįstant netekusiu galios Šiaulių miesto savivaldybės tarybos 2020 m. liepos 2 d. sprendimą Nr. T-289 „Dėl Saugaus elgesio Šiaulių miesto savivaldybės paviršinių vandens telkinių vandenyje ir ant paviršinių vandens telkinių ledo taisyklių patvirtinimo“. </w:t>
                  </w:r>
                </w:p>
                <w:p>
                  <w:pPr>
                    <w:tabs>
                      <w:tab w:val="left" w:pos="709"/>
                    </w:tabs>
                    <w:ind w:firstLine="709"/>
                    <w:jc w:val="both"/>
                    <w:rPr>
                      <w:szCs w:val="24"/>
                      <w:shd w:val="clear" w:color="auto" w:fill="FFFFFF"/>
                    </w:rPr>
                  </w:pPr>
                  <w:r>
                    <w:rPr>
                      <w:szCs w:val="24"/>
                      <w:shd w:val="clear" w:color="auto" w:fill="FFFFFF"/>
                    </w:rPr>
                    <w:t xml:space="preserve">Rengiant naują taisyklių redakciją, buvo iš naujo peržiūrėtas visas dokumentas ir patikslinti Visuomenės sveikatos biuro ir savivaldybės vykdomosios institucijos įsipareigojimai, draudimų vandens telkinio vandenyje ir paplūdimyje sąrašas, reikalavimai paplūdimių ir maudyklų priežiūrai. Taisyklėse nurodytos paplūdimių lankymo valandos (nuo birželio 1 d. iki rugpjūčio 15 d. nuo 10:00 iki 21:00 val., nuo rugpjūčio 16 d. iki rugpjūčio 31 d. nuo 10:00 ir 20:00 val.), ir paplūdimių ir maudyklų administratorius – biudžetinė įstaiga Šiaulių sporto centras „Atžalynas“. Taip pat, remiantis pastarųjų metų praktika, nurodytas trumpesnis maudymosi sezonas: nuo  birželio 1 d. iki rugpjūčio 31 d. </w:t>
                  </w:r>
                </w:p>
                <w:p>
                  <w:pPr>
                    <w:tabs>
                      <w:tab w:val="left" w:pos="709"/>
                    </w:tabs>
                    <w:ind w:firstLine="709"/>
                    <w:jc w:val="both"/>
                    <w:rPr>
                      <w:szCs w:val="24"/>
                      <w:shd w:val="clear" w:color="auto" w:fill="FFFFFF"/>
                    </w:rPr>
                  </w:pPr>
                  <w:r>
                    <w:rPr>
                      <w:szCs w:val="24"/>
                      <w:shd w:val="clear" w:color="auto" w:fill="FFFFFF"/>
                    </w:rPr>
                    <w:t xml:space="preserve">Naujos redakcijos taisyklėse atsisakyta perteklinių besidubliuojančių draudimų žaloti ar naikinti esamą infrastruktūrą, kirsti ar kitaip naikinti želdinius neturint tam skirtų leidimų, renginių ant ledo metu žiūrovui stovėti ant ledo, maudytis tamsiu paros metu; patikslinti reikalavimai paplūdimiuose tiekiamojo geriamojo vandens kokybei, įtrauktas draudimas skalbti vandens telkiniuose ir jų pakrantėse, maudytis naudojant šampūnus ir kitas prausimosi priemones; patikslintas draudimas važiuoti ar stovėti su motorinėmis transporto priemonėmis arčiau kaip 25 m iki vandens telkinio kranto, numatant Lietuvos Respublikos specialiųjų žemės naudojimo sąlygų įstatyme 99 straipsnio 11 punkte nurodytas išimtis.  </w:t>
                  </w:r>
                </w:p>
                <w:p>
                  <w:pPr>
                    <w:tabs>
                      <w:tab w:val="left" w:pos="709"/>
                    </w:tabs>
                    <w:ind w:firstLine="709"/>
                    <w:jc w:val="both"/>
                    <w:rPr>
                      <w:szCs w:val="24"/>
                      <w:shd w:val="clear" w:color="auto" w:fill="FFFFFF"/>
                    </w:rPr>
                  </w:pPr>
                  <w:r>
                    <w:rPr>
                      <w:szCs w:val="24"/>
                      <w:shd w:val="clear" w:color="auto" w:fill="FFFFFF"/>
                    </w:rPr>
                    <w:t xml:space="preserve">Siekiant užtikrinti teisės akto atitikimą  </w:t>
                  </w:r>
                  <w:r>
                    <w:rPr>
                      <w:szCs w:val="22"/>
                    </w:rPr>
                    <w:t xml:space="preserve">HN 92:2018 ir pavyzdinėms Taisyklėms, dokumento </w:t>
                  </w:r>
                  <w:r>
                    <w:rPr>
                      <w:szCs w:val="24"/>
                      <w:shd w:val="clear" w:color="auto" w:fill="FFFFFF"/>
                    </w:rPr>
                    <w:t xml:space="preserve">vientisumą, aiškumą, prieinamumą ir supratimą yra parengtos Tarybos sprendimas dėl Taisyklių tvirtinimo. Kadangi atlikti pokyčiai yra sisteminiai, naujos Taisyklių redakcijos rengimas ir tvirtinimas yra strategiškai naudingesnis, užtikrinantis didesnį aiškumą, skaidrumą, teisinį tikslumą ir efektyvesnį reguliavimo įgyvendinimą. </w:t>
                  </w:r>
                </w:p>
                <w:p>
                  <w:pPr>
                    <w:rPr>
                      <w:sz w:val="10"/>
                      <w:szCs w:val="10"/>
                    </w:rPr>
                  </w:pPr>
                </w:p>
              </w:sdtContent>
            </w:sdt>
            <w:sdt>
              <w:sdtPr>
                <w:alias w:val="poskyris"/>
                <w:tag w:val="part_e68b638803a34601b854597c76602305"/>
                <w:lock w:val="sdtLocked"/>
                <w:richText/>
              </w:sdtPr>
              <w:sdtContent>
                <w:p>
                  <w:pPr>
                    <w:tabs>
                      <w:tab w:val="left" w:pos="709"/>
                    </w:tabs>
                    <w:ind w:firstLine="709"/>
                    <w:jc w:val="both"/>
                    <w:rPr>
                      <w:rFonts w:eastAsia="Calibri"/>
                      <w:b/>
                      <w:bCs/>
                      <w:szCs w:val="24"/>
                    </w:rPr>
                  </w:pPr>
                  <w:sdt>
                    <w:sdtPr>
                      <w:alias w:val="Pavadinimas"/>
                      <w:tag w:val="title_e68b638803a34601b854597c76602305"/>
                      <w:lock w:val="sdtLocked"/>
                      <w:richText/>
                    </w:sdtPr>
                    <w:sdtContent>
                      <w:r>
                        <w:rPr>
                          <w:rFonts w:eastAsia="Calibri"/>
                          <w:b/>
                          <w:bCs/>
                          <w:szCs w:val="24"/>
                        </w:rPr>
                        <w:t>Priėmus sprendimą, galimos pasekmės:</w:t>
                      </w:r>
                    </w:sdtContent>
                  </w:sdt>
                </w:p>
                <w:p>
                  <w:pPr>
                    <w:ind w:firstLine="709"/>
                    <w:jc w:val="both"/>
                    <w:rPr>
                      <w:rFonts w:eastAsia="Calibri"/>
                      <w:szCs w:val="24"/>
                    </w:rPr>
                  </w:pPr>
                  <w:r>
                    <w:rPr>
                      <w:rFonts w:eastAsia="Calibri"/>
                      <w:szCs w:val="24"/>
                    </w:rPr>
                    <w:t>Neigiamų pasekmių nenumatyta, Taisyklės atitiks teisės aktus.</w:t>
                  </w:r>
                </w:p>
                <w:p>
                  <w:pPr>
                    <w:rPr>
                      <w:sz w:val="10"/>
                      <w:szCs w:val="10"/>
                    </w:rPr>
                  </w:pPr>
                </w:p>
              </w:sdtContent>
            </w:sdt>
            <w:sdt>
              <w:sdtPr>
                <w:alias w:val="poskyris"/>
                <w:tag w:val="part_d71ecbd2598a4f319b13e4009d88e8e1"/>
                <w:lock w:val="sdtLocked"/>
                <w:richText/>
              </w:sdtPr>
              <w:sdtContent>
                <w:p>
                  <w:pPr>
                    <w:tabs>
                      <w:tab w:val="left" w:pos="709"/>
                    </w:tabs>
                    <w:ind w:firstLine="709"/>
                    <w:jc w:val="both"/>
                    <w:rPr>
                      <w:rFonts w:eastAsia="Calibri"/>
                      <w:b/>
                      <w:szCs w:val="24"/>
                      <w:shd w:val="clear" w:color="auto" w:fill="FFFFFF"/>
                    </w:rPr>
                  </w:pPr>
                  <w:sdt>
                    <w:sdtPr>
                      <w:alias w:val="Pavadinimas"/>
                      <w:tag w:val="title_d71ecbd2598a4f319b13e4009d88e8e1"/>
                      <w:lock w:val="sdtLocked"/>
                      <w:richText/>
                    </w:sdtPr>
                    <w:sdtContent>
                      <w:r>
                        <w:rPr>
                          <w:rFonts w:eastAsia="Calibri"/>
                          <w:b/>
                          <w:szCs w:val="24"/>
                          <w:shd w:val="clear" w:color="auto" w:fill="FFFFFF"/>
                        </w:rPr>
                        <w:t>Priėmus sprendimą, keičiami ar pripažįstami negaliojančiais teisės aktai:</w:t>
                      </w:r>
                    </w:sdtContent>
                  </w:sdt>
                </w:p>
                <w:p>
                  <w:pPr>
                    <w:tabs>
                      <w:tab w:val="left" w:pos="709"/>
                    </w:tabs>
                    <w:ind w:firstLine="709"/>
                    <w:jc w:val="both"/>
                    <w:rPr>
                      <w:szCs w:val="22"/>
                    </w:rPr>
                  </w:pPr>
                  <w:r>
                    <w:rPr>
                      <w:szCs w:val="22"/>
                    </w:rPr>
                    <w:t xml:space="preserve">Priėmus sprendimą netenka galios Šiaulių miesto savivaldybės tarybos 2020 m. liepos 2 d. sprendimas Nr. T-289 „Dėl Saugaus elgesio Šiaulių miesto savivaldybės paviršinių vandens telkinių vandenyje ir ant paviršinių vandens telkinių ledo taisyklių patvirtinimo“.       </w:t>
                  </w:r>
                </w:p>
                <w:p>
                  <w:pPr>
                    <w:rPr>
                      <w:sz w:val="10"/>
                      <w:szCs w:val="10"/>
                    </w:rPr>
                  </w:pPr>
                </w:p>
              </w:sdtContent>
            </w:sdt>
            <w:sdt>
              <w:sdtPr>
                <w:alias w:val="poskyris"/>
                <w:tag w:val="part_9015988c9a2f4fe4920435644a3dea7e"/>
                <w:lock w:val="sdtLocked"/>
                <w:richText/>
              </w:sdtPr>
              <w:sdtContent>
                <w:p>
                  <w:pPr>
                    <w:tabs>
                      <w:tab w:val="left" w:pos="709"/>
                    </w:tabs>
                    <w:ind w:firstLine="709"/>
                    <w:jc w:val="both"/>
                    <w:rPr>
                      <w:rFonts w:eastAsia="Calibri"/>
                      <w:szCs w:val="24"/>
                      <w:shd w:val="clear" w:color="auto" w:fill="FFFFFF"/>
                    </w:rPr>
                  </w:pPr>
                  <w:sdt>
                    <w:sdtPr>
                      <w:alias w:val="Pavadinimas"/>
                      <w:tag w:val="title_9015988c9a2f4fe4920435644a3dea7e"/>
                      <w:lock w:val="sdtLocked"/>
                      <w:richText/>
                    </w:sdtPr>
                    <w:sdtContent>
                      <w:r>
                        <w:rPr>
                          <w:rFonts w:eastAsia="Calibri"/>
                          <w:b/>
                          <w:szCs w:val="24"/>
                          <w:shd w:val="clear" w:color="auto" w:fill="FFFFFF"/>
                        </w:rPr>
                        <w:t>Sprendimui įgyvendinti reikalingi priimti papildomi teisės aktai:</w:t>
                      </w:r>
                      <w:r>
                        <w:rPr>
                          <w:rFonts w:eastAsia="Calibri"/>
                          <w:szCs w:val="24"/>
                          <w:shd w:val="clear" w:color="auto" w:fill="FFFFFF"/>
                        </w:rPr>
                        <w:t xml:space="preserve"> </w:t>
                      </w:r>
                    </w:sdtContent>
                  </w:sdt>
                </w:p>
                <w:p>
                  <w:pPr>
                    <w:rPr>
                      <w:sz w:val="10"/>
                      <w:szCs w:val="10"/>
                    </w:rPr>
                  </w:pPr>
                </w:p>
              </w:sdtContent>
            </w:sdt>
            <w:sdt>
              <w:sdtPr>
                <w:alias w:val="poskyris"/>
                <w:tag w:val="part_ddcc0d89e7bc450191372372481c3c65"/>
                <w:lock w:val="sdtLocked"/>
                <w:richText/>
              </w:sdtPr>
              <w:sdtContent>
                <w:p>
                  <w:pPr>
                    <w:ind w:firstLine="709"/>
                    <w:jc w:val="both"/>
                    <w:rPr>
                      <w:rFonts w:eastAsia="Calibri"/>
                      <w:b/>
                      <w:bCs/>
                      <w:szCs w:val="24"/>
                    </w:rPr>
                  </w:pPr>
                  <w:sdt>
                    <w:sdtPr>
                      <w:alias w:val="Pavadinimas"/>
                      <w:tag w:val="title_ddcc0d89e7bc450191372372481c3c65"/>
                      <w:lock w:val="sdtLocked"/>
                      <w:richText/>
                    </w:sdtPr>
                    <w:sdtContent>
                      <w:r>
                        <w:rPr>
                          <w:rFonts w:eastAsia="Calibri"/>
                          <w:b/>
                          <w:bCs/>
                          <w:szCs w:val="24"/>
                        </w:rPr>
                        <w:t>-</w:t>
                      </w:r>
                    </w:sdtContent>
                  </w:sdt>
                </w:p>
                <w:p>
                  <w:pPr>
                    <w:rPr>
                      <w:sz w:val="10"/>
                      <w:szCs w:val="10"/>
                    </w:rPr>
                  </w:pPr>
                </w:p>
              </w:sdtContent>
            </w:sdt>
            <w:sdt>
              <w:sdtPr>
                <w:alias w:val="poskyris"/>
                <w:tag w:val="part_7df43ab9a9e94014ae26f42082dff41c"/>
                <w:lock w:val="sdtLocked"/>
                <w:richText/>
              </w:sdtPr>
              <w:sdtContent>
                <w:p>
                  <w:pPr>
                    <w:ind w:firstLine="709"/>
                    <w:jc w:val="both"/>
                    <w:rPr>
                      <w:rFonts w:eastAsia="Calibri"/>
                      <w:szCs w:val="24"/>
                    </w:rPr>
                  </w:pPr>
                  <w:sdt>
                    <w:sdtPr>
                      <w:alias w:val="Pavadinimas"/>
                      <w:tag w:val="title_7df43ab9a9e94014ae26f42082dff41c"/>
                      <w:lock w:val="sdtLocked"/>
                      <w:richText/>
                    </w:sdtPr>
                    <w:sdtContent>
                      <w:r>
                        <w:rPr>
                          <w:rFonts w:eastAsia="Calibri"/>
                          <w:b/>
                          <w:bCs/>
                          <w:szCs w:val="24"/>
                        </w:rPr>
                        <w:t>Sprendimui įgyvendinti reikalingos lėšos:</w:t>
                      </w:r>
                    </w:sdtContent>
                  </w:sdt>
                </w:p>
                <w:p>
                  <w:pPr>
                    <w:ind w:firstLine="709"/>
                    <w:jc w:val="both"/>
                    <w:rPr>
                      <w:rFonts w:eastAsia="Calibri"/>
                      <w:szCs w:val="24"/>
                    </w:rPr>
                  </w:pPr>
                  <w:r>
                    <w:rPr>
                      <w:rFonts w:eastAsia="Calibri"/>
                      <w:szCs w:val="24"/>
                    </w:rPr>
                    <w:t>Nereikalingos</w:t>
                  </w:r>
                </w:p>
                <w:p>
                  <w:pPr>
                    <w:rPr>
                      <w:sz w:val="10"/>
                      <w:szCs w:val="10"/>
                    </w:rPr>
                  </w:pPr>
                </w:p>
              </w:sdtContent>
            </w:sdt>
            <w:sdt>
              <w:sdtPr>
                <w:alias w:val="poskyris"/>
                <w:tag w:val="part_02317ef190a342d69e907150f8736d1b"/>
                <w:lock w:val="sdtLocked"/>
                <w:richText/>
              </w:sdtPr>
              <w:sdtContent>
                <w:p>
                  <w:pPr>
                    <w:ind w:firstLine="709"/>
                    <w:jc w:val="both"/>
                    <w:rPr>
                      <w:rFonts w:eastAsia="Calibri"/>
                      <w:b/>
                      <w:szCs w:val="24"/>
                      <w:shd w:val="clear" w:color="auto" w:fill="FFFFFF"/>
                    </w:rPr>
                  </w:pPr>
                  <w:sdt>
                    <w:sdtPr>
                      <w:alias w:val="Pavadinimas"/>
                      <w:tag w:val="title_02317ef190a342d69e907150f8736d1b"/>
                      <w:lock w:val="sdtLocked"/>
                      <w:richText/>
                    </w:sdtPr>
                    <w:sdtContent>
                      <w:r>
                        <w:rPr>
                          <w:rFonts w:eastAsia="Calibri"/>
                          <w:b/>
                          <w:szCs w:val="24"/>
                          <w:shd w:val="clear" w:color="auto" w:fill="FFFFFF"/>
                        </w:rPr>
                        <w:t>Sprendimo projekto antikorupcinis vertinimas:</w:t>
                      </w:r>
                    </w:sdtContent>
                  </w:sdt>
                </w:p>
                <w:p>
                  <w:pPr>
                    <w:rPr>
                      <w:sz w:val="10"/>
                      <w:szCs w:val="10"/>
                    </w:rPr>
                  </w:pPr>
                </w:p>
                <w:p>
                  <w:pPr>
                    <w:widowControl w:val="0"/>
                    <w:tabs>
                      <w:tab w:val="left" w:pos="0"/>
                    </w:tabs>
                    <w:suppressAutoHyphens/>
                    <w:ind w:firstLine="709"/>
                    <w:jc w:val="both"/>
                    <w:rPr>
                      <w:rFonts w:eastAsia="HG Mincho Light J"/>
                      <w:strike/>
                      <w:szCs w:val="24"/>
                      <w:shd w:val="clear" w:color="auto" w:fill="FFFFFF"/>
                      <w:lang w:eastAsia="ar-SA"/>
                    </w:rPr>
                  </w:pPr>
                  <w:r>
                    <w:rPr>
                      <w:rFonts w:eastAsia="Calibri"/>
                      <w:strike/>
                      <w:szCs w:val="24"/>
                      <w:shd w:val="clear" w:color="auto" w:fill="FFFFFF"/>
                    </w:rPr>
                    <w:t>-</w:t>
                  </w:r>
                </w:p>
                <w:p>
                  <w:pPr>
                    <w:rPr>
                      <w:sz w:val="10"/>
                      <w:szCs w:val="10"/>
                    </w:rPr>
                  </w:pPr>
                </w:p>
              </w:sdtContent>
            </w:sdt>
            <w:sdt>
              <w:sdtPr>
                <w:alias w:val="poskyris"/>
                <w:tag w:val="part_3de3f367b24842e7a140ef8a48b70896"/>
                <w:lock w:val="sdtLocked"/>
                <w:richText/>
              </w:sdtPr>
              <w:sdtContent>
                <w:p>
                  <w:pPr>
                    <w:ind w:firstLine="709"/>
                    <w:jc w:val="both"/>
                    <w:rPr>
                      <w:rFonts w:eastAsia="Calibri"/>
                      <w:b/>
                      <w:bCs/>
                      <w:szCs w:val="24"/>
                      <w:shd w:val="clear" w:color="auto" w:fill="FFFFFF"/>
                    </w:rPr>
                  </w:pPr>
                  <w:sdt>
                    <w:sdtPr>
                      <w:alias w:val="Pavadinimas"/>
                      <w:tag w:val="title_3de3f367b24842e7a140ef8a48b70896"/>
                      <w:lock w:val="sdtLocked"/>
                      <w:richText/>
                    </w:sdtPr>
                    <w:sdtContent>
                      <w:r>
                        <w:rPr>
                          <w:rFonts w:eastAsia="Calibri"/>
                          <w:b/>
                          <w:bCs/>
                          <w:szCs w:val="24"/>
                          <w:shd w:val="clear" w:color="auto" w:fill="FFFFFF"/>
                        </w:rPr>
                        <w:t>Sprendimo projektą parengė:</w:t>
                      </w:r>
                    </w:sdtContent>
                  </w:sdt>
                </w:p>
                <w:p>
                  <w:pPr>
                    <w:rPr>
                      <w:sz w:val="10"/>
                      <w:szCs w:val="10"/>
                    </w:rPr>
                  </w:pPr>
                </w:p>
                <w:p>
                  <w:pPr>
                    <w:ind w:firstLine="709"/>
                    <w:jc w:val="both"/>
                    <w:rPr>
                      <w:rFonts w:eastAsia="Calibri"/>
                      <w:szCs w:val="24"/>
                    </w:rPr>
                  </w:pPr>
                  <w:r>
                    <w:rPr>
                      <w:rFonts w:eastAsia="Calibri"/>
                      <w:bCs/>
                      <w:szCs w:val="24"/>
                      <w:shd w:val="clear" w:color="auto" w:fill="FFFFFF"/>
                    </w:rPr>
                    <w:t>Šiaulių miesto savivaldybės administracijos</w:t>
                  </w:r>
                  <w:r>
                    <w:rPr>
                      <w:rFonts w:eastAsia="Calibri"/>
                      <w:b/>
                      <w:bCs/>
                      <w:szCs w:val="24"/>
                      <w:shd w:val="clear" w:color="auto" w:fill="FFFFFF"/>
                    </w:rPr>
                    <w:t xml:space="preserve"> </w:t>
                  </w:r>
                  <w:r>
                    <w:rPr>
                      <w:rFonts w:eastAsia="Calibri"/>
                      <w:bCs/>
                      <w:szCs w:val="24"/>
                      <w:shd w:val="clear" w:color="auto" w:fill="FFFFFF"/>
                    </w:rPr>
                    <w:t>Miesto koordinavimo skyrius. Tiesioginis rengėjas – Miesto koordinavimo skyriaus vedėjo pavaduotoja Oksana Mejerė</w:t>
                  </w:r>
                  <w:r>
                    <w:rPr>
                      <w:rFonts w:eastAsia="Calibri"/>
                      <w:szCs w:val="24"/>
                      <w:shd w:val="clear" w:color="auto" w:fill="FFFFFF"/>
                    </w:rPr>
                    <w:t xml:space="preserve">, tel. (+37041 500 536). </w:t>
                  </w:r>
                </w:p>
                <w:p>
                  <w:pPr>
                    <w:rPr>
                      <w:sz w:val="10"/>
                      <w:szCs w:val="10"/>
                    </w:rPr>
                  </w:pPr>
                </w:p>
              </w:sdtContent>
            </w:sdt>
            <w:sdt>
              <w:sdtPr>
                <w:alias w:val="poskyris"/>
                <w:tag w:val="part_5f6ad5888cf1406dba5fb1d16fe674b1"/>
                <w:lock w:val="sdtLocked"/>
                <w:richText/>
              </w:sdtPr>
              <w:sdtContent>
                <w:p>
                  <w:pPr>
                    <w:tabs>
                      <w:tab w:val="left" w:pos="855"/>
                    </w:tabs>
                    <w:ind w:firstLine="709"/>
                    <w:jc w:val="both"/>
                    <w:rPr>
                      <w:rFonts w:eastAsia="Calibri"/>
                      <w:szCs w:val="24"/>
                      <w:shd w:val="clear" w:color="auto" w:fill="FFFFFF"/>
                    </w:rPr>
                  </w:pPr>
                  <w:sdt>
                    <w:sdtPr>
                      <w:alias w:val="Pavadinimas"/>
                      <w:tag w:val="title_5f6ad5888cf1406dba5fb1d16fe674b1"/>
                      <w:lock w:val="sdtLocked"/>
                      <w:richText/>
                    </w:sdtPr>
                    <w:sdtContent>
                      <w:r>
                        <w:rPr>
                          <w:rFonts w:eastAsia="Calibri"/>
                          <w:b/>
                          <w:szCs w:val="24"/>
                          <w:shd w:val="clear" w:color="auto" w:fill="FFFFFF"/>
                        </w:rPr>
                        <w:t>N</w:t>
                      </w:r>
                      <w:r>
                        <w:rPr>
                          <w:rFonts w:eastAsia="Calibri"/>
                          <w:b/>
                          <w:szCs w:val="24"/>
                        </w:rPr>
                        <w:t>umatomo teisinio reguliavimo poveikio vertinimo rezultatai:</w:t>
                      </w:r>
                    </w:sdtContent>
                  </w:sdt>
                </w:p>
                <w:p>
                  <w:pPr>
                    <w:ind w:firstLine="709"/>
                    <w:jc w:val="both"/>
                    <w:rPr>
                      <w:rFonts w:eastAsia="Calibri"/>
                      <w:color w:val="000000"/>
                      <w:szCs w:val="24"/>
                    </w:rPr>
                  </w:pPr>
                  <w:r>
                    <w:rPr>
                      <w:rFonts w:eastAsia="Calibri"/>
                      <w:color w:val="000000"/>
                      <w:szCs w:val="24"/>
                    </w:rPr>
                    <w:t>Numatomo teisinio reguliavimo poveikio vertinimas neatliekamas, nes sprendimo projektu nėra numatoma reglamentuoti iki tol nereglamentuotus santykius.</w:t>
                  </w:r>
                </w:p>
                <w:p>
                  <w:pPr>
                    <w:ind w:firstLine="709"/>
                    <w:jc w:val="both"/>
                    <w:rPr>
                      <w:szCs w:val="24"/>
                      <w:lang w:eastAsia="lt-LT"/>
                    </w:rPr>
                  </w:pPr>
                </w:p>
                <w:p>
                  <w:pPr>
                    <w:spacing w:line="276" w:lineRule="auto"/>
                    <w:jc w:val="both"/>
                    <w:rPr>
                      <w:rFonts w:eastAsia="Calibri"/>
                      <w:color w:val="000000"/>
                      <w:szCs w:val="24"/>
                    </w:rPr>
                  </w:pPr>
                </w:p>
              </w:sdtContent>
            </w:sdt>
          </w:sdtContent>
        </w:sdt>
        <w:sdt>
          <w:sdtPr>
            <w:alias w:val="signatura"/>
            <w:tag w:val="part_08767586c8024d75a9c14eadebe748f1"/>
            <w:lock w:val="sdtLocked"/>
            <w:richText/>
          </w:sdtPr>
          <w:sdtContent>
            <w:p>
              <w:pPr>
                <w:spacing w:line="276" w:lineRule="auto"/>
                <w:ind w:firstLine="709"/>
                <w:rPr>
                  <w:rFonts w:eastAsia="Calibri"/>
                  <w:szCs w:val="24"/>
                  <w:lang w:bidi="lt-LT"/>
                </w:rPr>
              </w:pPr>
              <w:r>
                <w:rPr>
                  <w:rFonts w:eastAsia="Calibri"/>
                  <w:szCs w:val="24"/>
                </w:rPr>
                <w:t xml:space="preserve">Miesto koordinavimo skyriaus vedėjo pavaduotoja                                         Oksana Mejerė</w:t>
              </w:r>
            </w:p>
            <w:p>
              <w:pPr>
                <w:spacing w:line="276" w:lineRule="auto"/>
                <w:jc w:val="both"/>
                <w:rPr>
                  <w:rFonts w:eastAsia="Calibri"/>
                  <w:color w:val="000000"/>
                  <w:szCs w:val="24"/>
                </w:rPr>
              </w:pPr>
            </w:p>
            <w:p>
              <w:pPr>
                <w:spacing w:line="276" w:lineRule="auto"/>
                <w:jc w:val="both"/>
                <w:rPr>
                  <w:rFonts w:eastAsia="Calibri"/>
                  <w:color w:val="000000"/>
                  <w:szCs w:val="24"/>
                </w:rPr>
              </w:pPr>
            </w:p>
          </w:sdtContent>
        </w:sdt>
      </w:sdtContent>
    </w:sdt>
    <w:sectPr>
      <w:footnotePr>
        <w:pos w:val="beneathText"/>
      </w:footnotePr>
      <w:pgSz w:w="11905" w:h="16837"/>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EDCB41-9AE6-4B45-9CF2-F700C2550E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204522">
      <w:bodyDiv w:val="1"/>
      <w:marLeft w:val="0"/>
      <w:marRight w:val="0"/>
      <w:marTop w:val="0"/>
      <w:marBottom w:val="0"/>
      <w:divBdr>
        <w:top w:val="none" w:sz="0" w:space="0" w:color="auto"/>
        <w:left w:val="none" w:sz="0" w:space="0" w:color="auto"/>
        <w:bottom w:val="none" w:sz="0" w:space="0" w:color="auto"/>
        <w:right w:val="none" w:sz="0" w:space="0" w:color="auto"/>
      </w:divBdr>
    </w:div>
    <w:div w:id="540559336">
      <w:bodyDiv w:val="1"/>
      <w:marLeft w:val="0"/>
      <w:marRight w:val="0"/>
      <w:marTop w:val="0"/>
      <w:marBottom w:val="0"/>
      <w:divBdr>
        <w:top w:val="none" w:sz="0" w:space="0" w:color="auto"/>
        <w:left w:val="none" w:sz="0" w:space="0" w:color="auto"/>
        <w:bottom w:val="none" w:sz="0" w:space="0" w:color="auto"/>
        <w:right w:val="none" w:sz="0" w:space="0" w:color="auto"/>
      </w:divBdr>
    </w:div>
    <w:div w:id="934748836">
      <w:bodyDiv w:val="1"/>
      <w:marLeft w:val="0"/>
      <w:marRight w:val="0"/>
      <w:marTop w:val="0"/>
      <w:marBottom w:val="0"/>
      <w:divBdr>
        <w:top w:val="none" w:sz="0" w:space="0" w:color="auto"/>
        <w:left w:val="none" w:sz="0" w:space="0" w:color="auto"/>
        <w:bottom w:val="none" w:sz="0" w:space="0" w:color="auto"/>
        <w:right w:val="none" w:sz="0" w:space="0" w:color="auto"/>
      </w:divBdr>
    </w:div>
    <w:div w:id="1083184130">
      <w:bodyDiv w:val="1"/>
      <w:marLeft w:val="0"/>
      <w:marRight w:val="0"/>
      <w:marTop w:val="0"/>
      <w:marBottom w:val="0"/>
      <w:divBdr>
        <w:top w:val="none" w:sz="0" w:space="0" w:color="auto"/>
        <w:left w:val="none" w:sz="0" w:space="0" w:color="auto"/>
        <w:bottom w:val="none" w:sz="0" w:space="0" w:color="auto"/>
        <w:right w:val="none" w:sz="0" w:space="0" w:color="auto"/>
      </w:divBdr>
    </w:div>
    <w:div w:id="1523084637">
      <w:bodyDiv w:val="1"/>
      <w:marLeft w:val="0"/>
      <w:marRight w:val="0"/>
      <w:marTop w:val="0"/>
      <w:marBottom w:val="0"/>
      <w:divBdr>
        <w:top w:val="none" w:sz="0" w:space="0" w:color="auto"/>
        <w:left w:val="none" w:sz="0" w:space="0" w:color="auto"/>
        <w:bottom w:val="none" w:sz="0" w:space="0" w:color="auto"/>
        <w:right w:val="none" w:sz="0" w:space="0" w:color="auto"/>
      </w:divBdr>
    </w:div>
    <w:div w:id="1554924638">
      <w:bodyDiv w:val="1"/>
      <w:marLeft w:val="0"/>
      <w:marRight w:val="0"/>
      <w:marTop w:val="0"/>
      <w:marBottom w:val="0"/>
      <w:divBdr>
        <w:top w:val="none" w:sz="0" w:space="0" w:color="auto"/>
        <w:left w:val="none" w:sz="0" w:space="0" w:color="auto"/>
        <w:bottom w:val="none" w:sz="0" w:space="0" w:color="auto"/>
        <w:right w:val="none" w:sz="0" w:space="0" w:color="auto"/>
      </w:divBdr>
    </w:div>
    <w:div w:id="1827934214">
      <w:bodyDiv w:val="1"/>
      <w:marLeft w:val="0"/>
      <w:marRight w:val="0"/>
      <w:marTop w:val="0"/>
      <w:marBottom w:val="0"/>
      <w:divBdr>
        <w:top w:val="none" w:sz="0" w:space="0" w:color="auto"/>
        <w:left w:val="none" w:sz="0" w:space="0" w:color="auto"/>
        <w:bottom w:val="none" w:sz="0" w:space="0" w:color="auto"/>
        <w:right w:val="none" w:sz="0" w:space="0" w:color="auto"/>
      </w:divBdr>
    </w:div>
    <w:div w:id="1911309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9050d53b45b43b394e0db1cc7bb4fc6" PartId="42a9cce1e32645d0a05b6618a0861c80">
    <Part Type="skyrius" Nr="999" Title="SPRENDIMO „DĖL SAUGAUS ELGESIO ŠIAULIŲ MIESTO SAVIVALDYBĖS TERITORIJOJE PAVIRŠINIŲ VANDENS TELKINIŲ VANDENYJE IR ANT PAVIRŠINIŲ VANDENS TELKINIŲ LEDO TAISYKLIŲ PATVIRTINIMO“ PROJEKTO AIŠKINAMASIS RAŠTAS" DocPartId="11bfc8b3940e41d8b83ff5c8c7402abf" PartId="4d0f2008e9b54380920ce87d97a347f1">
      <Part Type="poskyris" Title="Parengto sprendimo projekto tikslas ir uždaviniai" DocPartId="215779af85a7433bbb2a09a048e53d1b" PartId="5c655fd5fb95476cb84c1fa491e088d7"/>
      <Part Type="poskyris" Title="Dabartinis sprendimo projekte aptariamų klausimų reguliavimas" DocPartId="0046623384594ee1a477afba09a35078" PartId="cc86857cf2a744dc8ee87debba8f37ca"/>
      <Part Type="poskyris" Title="Sprendimo projekte numatytos naujo teisinio reglamentavimo nuostatos" DocPartId="9c1e9d5940814d2ca17560613e9479d1" PartId="440e775e699a4dd6864d0dc39a2c9387"/>
      <Part Type="poskyris" Title="Priėmus sprendimą, galimos pasekmės:" DocPartId="2bdcf2d416fe472a8895ed015d98ebef" PartId="e68b638803a34601b854597c76602305"/>
      <Part Type="poskyris" Title="Priėmus sprendimą, keičiami ar pripažįstami negaliojančiais teisės aktai:" DocPartId="e7f59bdd800248f880af2da388395f09" PartId="d71ecbd2598a4f319b13e4009d88e8e1"/>
      <Part Type="poskyris" Title="Sprendimui įgyvendinti reikalingi priimti papildomi teisės aktai:" DocPartId="a75014a742ac467cb7a6e393a0229023" PartId="9015988c9a2f4fe4920435644a3dea7e"/>
      <Part Type="poskyris" Title="-" DocPartId="843e8e8e17e1439d915f2e02dc9d5e39" PartId="ddcc0d89e7bc450191372372481c3c65"/>
      <Part Type="poskyris" Title="Sprendimui įgyvendinti reikalingos lėšos:" DocPartId="8844c711c31f4b7698b52cf77b009ed2" PartId="7df43ab9a9e94014ae26f42082dff41c"/>
      <Part Type="poskyris" Title="Sprendimo projekto antikorupcinis vertinimas:" DocPartId="593733c0d84748b39725edabdbeb93c8" PartId="02317ef190a342d69e907150f8736d1b"/>
      <Part Type="poskyris" Title="Sprendimo projektą parengė:" DocPartId="61466056ad2c4d9cb9ee89c7202ca6df" PartId="3de3f367b24842e7a140ef8a48b70896"/>
      <Part Type="poskyris" Title="Numatomo teisinio reguliavimo poveikio vertinimo rezultatai:" DocPartId="7e2e993a972e4058b6b27be08f22839f" PartId="5f6ad5888cf1406dba5fb1d16fe674b1"/>
    </Part>
    <Part Type="signatura" DocPartId="7039106d37994ac6aa8c6bcc0449cc7e" PartId="08767586c8024d75a9c14eadebe748f1"/>
  </Part>
</Parts>
</file>

<file path=customXml/itemProps1.xml><?xml version="1.0" encoding="utf-8"?>
<ds:datastoreItem xmlns:ds="http://schemas.openxmlformats.org/officeDocument/2006/customXml" ds:itemID="{4159D63F-6CC4-4CF7-8178-3091F3ED526C}">
  <ds:schemaRefs>
    <ds:schemaRef ds:uri="http://schemas.openxmlformats.org/officeDocument/2006/bibliography"/>
  </ds:schemaRefs>
</ds:datastoreItem>
</file>

<file path=customXml/itemProps2.xml><?xml version="1.0" encoding="utf-8"?>
<ds:datastoreItem xmlns:ds="http://schemas.openxmlformats.org/officeDocument/2006/customXml" ds:itemID="{71EF6E90-6F9C-4364-ADAB-6991DE087B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751</Words>
  <Characters>5622</Characters>
  <Application>Microsoft Office Word</Application>
  <DocSecurity>4</DocSecurity>
  <Lines>93</Lines>
  <Paragraphs>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2025-11-20T11:37:00Z</dcterms:created>
  <dc:creator>Virgilijus Statkus</dc:creator>
  <lastModifiedBy>adlibuser</lastModifiedBy>
  <lastPrinted>2023-01-25T12:34:00Z</lastPrinted>
  <dcterms:modified xsi:type="dcterms:W3CDTF">2025-11-20T11:37:00Z</dcterms:modified>
  <revision>2</revision>
</coreProperties>
</file>