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543F" w14:textId="77777777" w:rsidR="00E90C8B" w:rsidRPr="00131668" w:rsidRDefault="00E90C8B" w:rsidP="00E90C8B">
      <w:pPr>
        <w:tabs>
          <w:tab w:val="center" w:pos="4819"/>
          <w:tab w:val="right" w:pos="9638"/>
        </w:tabs>
        <w:ind w:firstLine="6804"/>
        <w:rPr>
          <w:b/>
        </w:rPr>
      </w:pPr>
      <w:r w:rsidRPr="00131668">
        <w:rPr>
          <w:b/>
        </w:rPr>
        <w:t xml:space="preserve">Projekto </w:t>
      </w:r>
    </w:p>
    <w:p w14:paraId="67C04653" w14:textId="77777777" w:rsidR="00E90C8B" w:rsidRDefault="00E90C8B" w:rsidP="00E90C8B">
      <w:pPr>
        <w:tabs>
          <w:tab w:val="left" w:pos="3284"/>
          <w:tab w:val="left" w:pos="6203"/>
        </w:tabs>
        <w:jc w:val="center"/>
        <w:rPr>
          <w:b/>
          <w:sz w:val="28"/>
          <w:szCs w:val="28"/>
          <w:lang w:eastAsia="lt-LT"/>
        </w:rPr>
      </w:pPr>
      <w:r>
        <w:rPr>
          <w:b/>
        </w:rPr>
        <w:tab/>
      </w:r>
      <w:r>
        <w:rPr>
          <w:b/>
        </w:rPr>
        <w:tab/>
      </w:r>
      <w:r w:rsidRPr="00131668">
        <w:rPr>
          <w:b/>
        </w:rPr>
        <w:t>lyginamasis variantas</w:t>
      </w:r>
      <w:r w:rsidRPr="00507F5B">
        <w:rPr>
          <w:b/>
          <w:sz w:val="28"/>
          <w:szCs w:val="28"/>
          <w:lang w:eastAsia="lt-LT"/>
        </w:rPr>
        <w:t xml:space="preserve"> </w:t>
      </w:r>
    </w:p>
    <w:p w14:paraId="5DD0D867" w14:textId="77777777" w:rsidR="00E90C8B" w:rsidRDefault="00E90C8B" w:rsidP="00E90C8B">
      <w:pPr>
        <w:tabs>
          <w:tab w:val="left" w:pos="3284"/>
          <w:tab w:val="left" w:pos="6203"/>
        </w:tabs>
        <w:jc w:val="center"/>
        <w:rPr>
          <w:b/>
          <w:sz w:val="28"/>
          <w:szCs w:val="28"/>
          <w:lang w:eastAsia="lt-LT"/>
        </w:rPr>
      </w:pPr>
    </w:p>
    <w:p w14:paraId="51BD8357" w14:textId="5656DFB4" w:rsidR="00630EE5" w:rsidRPr="00507F5B" w:rsidRDefault="003E61B3" w:rsidP="00E90C8B">
      <w:pPr>
        <w:tabs>
          <w:tab w:val="left" w:pos="3284"/>
          <w:tab w:val="left" w:pos="6203"/>
        </w:tabs>
        <w:jc w:val="center"/>
        <w:rPr>
          <w:b/>
          <w:sz w:val="28"/>
          <w:szCs w:val="28"/>
          <w:lang w:eastAsia="lt-LT"/>
        </w:rPr>
      </w:pPr>
      <w:r w:rsidRPr="00507F5B">
        <w:rPr>
          <w:b/>
          <w:sz w:val="28"/>
          <w:szCs w:val="28"/>
          <w:lang w:eastAsia="lt-LT"/>
        </w:rPr>
        <w:t>LIETUVOS RESPUBLIKOS SUSISIEKIMO MINISTRAS</w:t>
      </w:r>
    </w:p>
    <w:p w14:paraId="51BD8358" w14:textId="77777777" w:rsidR="00630EE5" w:rsidRPr="00507F5B" w:rsidRDefault="00630EE5">
      <w:pPr>
        <w:jc w:val="center"/>
        <w:rPr>
          <w:b/>
          <w:sz w:val="28"/>
          <w:szCs w:val="28"/>
          <w:lang w:eastAsia="lt-LT"/>
        </w:rPr>
      </w:pPr>
    </w:p>
    <w:p w14:paraId="51BD8359" w14:textId="77777777" w:rsidR="00630EE5" w:rsidRPr="00507F5B" w:rsidRDefault="003E61B3">
      <w:pPr>
        <w:jc w:val="center"/>
        <w:rPr>
          <w:b/>
          <w:sz w:val="28"/>
          <w:szCs w:val="28"/>
          <w:lang w:eastAsia="lt-LT"/>
        </w:rPr>
      </w:pPr>
      <w:r w:rsidRPr="00507F5B">
        <w:rPr>
          <w:b/>
          <w:sz w:val="28"/>
          <w:szCs w:val="28"/>
          <w:lang w:eastAsia="lt-LT"/>
        </w:rPr>
        <w:t>ĮSAKYMAS</w:t>
      </w:r>
    </w:p>
    <w:p w14:paraId="51BD835A" w14:textId="20F9B38B" w:rsidR="00630EE5" w:rsidRPr="00507F5B" w:rsidRDefault="003E61B3">
      <w:pPr>
        <w:jc w:val="center"/>
        <w:rPr>
          <w:b/>
          <w:caps/>
          <w:szCs w:val="24"/>
        </w:rPr>
      </w:pPr>
      <w:r w:rsidRPr="00507F5B">
        <w:rPr>
          <w:b/>
          <w:caps/>
          <w:sz w:val="28"/>
          <w:szCs w:val="28"/>
        </w:rPr>
        <w:t xml:space="preserve">DĖL LIETUVOS RESPUBLIKOS SUSISIEKIMO MINISTRO </w:t>
      </w:r>
      <w:r w:rsidR="00A77016" w:rsidRPr="00A77016">
        <w:rPr>
          <w:b/>
          <w:caps/>
          <w:sz w:val="28"/>
          <w:szCs w:val="28"/>
          <w:lang w:eastAsia="lt-LT"/>
        </w:rPr>
        <w:t>2016 M. LAPKRIČIO 17</w:t>
      </w:r>
      <w:r w:rsidRPr="00507F5B">
        <w:rPr>
          <w:b/>
          <w:caps/>
          <w:sz w:val="28"/>
          <w:szCs w:val="28"/>
          <w:lang w:eastAsia="lt-LT"/>
        </w:rPr>
        <w:t xml:space="preserve"> d. </w:t>
      </w:r>
      <w:r w:rsidRPr="00507F5B">
        <w:rPr>
          <w:b/>
          <w:caps/>
          <w:sz w:val="28"/>
          <w:szCs w:val="28"/>
        </w:rPr>
        <w:t>ĮSAKYMO NR. 3-</w:t>
      </w:r>
      <w:r w:rsidR="00A77016" w:rsidRPr="00A77016">
        <w:rPr>
          <w:b/>
          <w:caps/>
          <w:sz w:val="28"/>
          <w:szCs w:val="28"/>
        </w:rPr>
        <w:t>392</w:t>
      </w:r>
      <w:r w:rsidR="00E06F23" w:rsidRPr="00E06F23">
        <w:rPr>
          <w:b/>
          <w:caps/>
          <w:sz w:val="28"/>
          <w:szCs w:val="28"/>
        </w:rPr>
        <w:t>(1.5 E)</w:t>
      </w:r>
      <w:r w:rsidRPr="00507F5B">
        <w:rPr>
          <w:b/>
          <w:caps/>
          <w:sz w:val="28"/>
          <w:szCs w:val="28"/>
        </w:rPr>
        <w:t xml:space="preserve"> „</w:t>
      </w:r>
      <w:r w:rsidRPr="00507F5B">
        <w:rPr>
          <w:b/>
          <w:caps/>
          <w:sz w:val="28"/>
          <w:szCs w:val="28"/>
          <w:lang w:eastAsia="lt-LT"/>
        </w:rPr>
        <w:t xml:space="preserve">DĖL 2014–2020 METŲ EUROPOS SĄJUNGOS FONDŲ INVESTICIJŲ VEIKSMŲ PROGRAMOS </w:t>
      </w:r>
      <w:r w:rsidR="00537725">
        <w:rPr>
          <w:b/>
          <w:caps/>
          <w:sz w:val="28"/>
          <w:szCs w:val="28"/>
          <w:lang w:eastAsia="lt-LT"/>
        </w:rPr>
        <w:br/>
      </w:r>
      <w:r w:rsidRPr="00507F5B">
        <w:rPr>
          <w:b/>
          <w:caps/>
          <w:sz w:val="28"/>
          <w:szCs w:val="28"/>
          <w:lang w:eastAsia="lt-LT"/>
        </w:rPr>
        <w:t xml:space="preserve">2 PRIORITETO „INFORMACINĖS VISUOMENĖS SKATINIMAS“ </w:t>
      </w:r>
      <w:r w:rsidR="00537725">
        <w:rPr>
          <w:b/>
          <w:caps/>
          <w:sz w:val="28"/>
          <w:szCs w:val="28"/>
          <w:lang w:eastAsia="lt-LT"/>
        </w:rPr>
        <w:br/>
      </w:r>
      <w:r w:rsidR="00A77016" w:rsidRPr="00A77016">
        <w:rPr>
          <w:b/>
          <w:bCs/>
          <w:caps/>
          <w:sz w:val="28"/>
          <w:szCs w:val="28"/>
          <w:lang w:eastAsia="lt-LT"/>
        </w:rPr>
        <w:t>02.3.1-CPVA-V-528 PRIEMONĖS „INTELEKTINĖS TRANSPORTO PASLAUGOS IR TAIKOMIEJI SPRENDIMAI“ PROJEKTŲ FINANSAVIMO SĄLYGŲ APRAŠO</w:t>
      </w:r>
      <w:r w:rsidR="00E06F23" w:rsidRPr="00E06F23">
        <w:rPr>
          <w:b/>
          <w:bCs/>
          <w:caps/>
          <w:sz w:val="28"/>
          <w:szCs w:val="28"/>
          <w:lang w:eastAsia="lt-LT"/>
        </w:rPr>
        <w:t xml:space="preserve"> </w:t>
      </w:r>
      <w:r w:rsidRPr="00507F5B">
        <w:rPr>
          <w:b/>
          <w:caps/>
          <w:sz w:val="28"/>
          <w:szCs w:val="28"/>
          <w:lang w:eastAsia="lt-LT"/>
        </w:rPr>
        <w:t>PATVIRTINIMO</w:t>
      </w:r>
      <w:r w:rsidRPr="00507F5B">
        <w:rPr>
          <w:b/>
          <w:caps/>
          <w:sz w:val="28"/>
          <w:szCs w:val="28"/>
        </w:rPr>
        <w:t>“ PAKEITIMO</w:t>
      </w:r>
      <w:r w:rsidR="00F73E4B">
        <w:rPr>
          <w:b/>
          <w:caps/>
          <w:sz w:val="28"/>
          <w:szCs w:val="28"/>
        </w:rPr>
        <w:t xml:space="preserve"> </w:t>
      </w:r>
    </w:p>
    <w:p w14:paraId="51BD835B" w14:textId="77777777" w:rsidR="00630EE5" w:rsidRPr="00507F5B" w:rsidRDefault="00630EE5">
      <w:pPr>
        <w:jc w:val="center"/>
        <w:rPr>
          <w:lang w:eastAsia="lt-LT"/>
        </w:rPr>
      </w:pPr>
    </w:p>
    <w:p w14:paraId="51BD835C" w14:textId="2669AFB8" w:rsidR="00630EE5" w:rsidRPr="00507F5B" w:rsidRDefault="00537725">
      <w:pPr>
        <w:jc w:val="center"/>
        <w:rPr>
          <w:lang w:eastAsia="lt-LT"/>
        </w:rPr>
      </w:pPr>
      <w:r>
        <w:rPr>
          <w:lang w:eastAsia="lt-LT"/>
        </w:rPr>
        <w:t>2020 m.</w:t>
      </w:r>
      <w:r w:rsidR="008824E6" w:rsidRPr="00507F5B">
        <w:rPr>
          <w:lang w:eastAsia="lt-LT"/>
        </w:rPr>
        <w:t xml:space="preserve">__________ </w:t>
      </w:r>
      <w:r w:rsidR="003E61B3" w:rsidRPr="00507F5B">
        <w:rPr>
          <w:lang w:eastAsia="lt-LT"/>
        </w:rPr>
        <w:t xml:space="preserve">Nr. </w:t>
      </w:r>
      <w:r w:rsidR="008824E6" w:rsidRPr="00507F5B">
        <w:rPr>
          <w:lang w:eastAsia="lt-LT"/>
        </w:rPr>
        <w:t>_______</w:t>
      </w:r>
    </w:p>
    <w:p w14:paraId="51BD835D" w14:textId="77777777" w:rsidR="00630EE5" w:rsidRPr="00507F5B" w:rsidRDefault="003E61B3">
      <w:pPr>
        <w:jc w:val="center"/>
        <w:rPr>
          <w:lang w:eastAsia="lt-LT"/>
        </w:rPr>
      </w:pPr>
      <w:r w:rsidRPr="00507F5B">
        <w:rPr>
          <w:lang w:eastAsia="lt-LT"/>
        </w:rPr>
        <w:t>Vilnius</w:t>
      </w:r>
    </w:p>
    <w:p w14:paraId="51BD835E" w14:textId="77777777" w:rsidR="00630EE5" w:rsidRPr="00507F5B" w:rsidRDefault="00630EE5">
      <w:pPr>
        <w:jc w:val="center"/>
        <w:rPr>
          <w:lang w:eastAsia="lt-LT"/>
        </w:rPr>
      </w:pPr>
    </w:p>
    <w:p w14:paraId="51BD835F" w14:textId="77777777" w:rsidR="00630EE5" w:rsidRPr="00507F5B" w:rsidRDefault="00630EE5">
      <w:pPr>
        <w:jc w:val="center"/>
        <w:rPr>
          <w:lang w:eastAsia="lt-LT"/>
        </w:rPr>
      </w:pPr>
    </w:p>
    <w:p w14:paraId="51BD8360" w14:textId="60812CED" w:rsidR="00630EE5" w:rsidRPr="00507F5B" w:rsidRDefault="00E90C8B">
      <w:pPr>
        <w:tabs>
          <w:tab w:val="left" w:pos="720"/>
        </w:tabs>
        <w:ind w:firstLine="709"/>
        <w:jc w:val="both"/>
        <w:rPr>
          <w:szCs w:val="24"/>
        </w:rPr>
      </w:pPr>
      <w:r>
        <w:rPr>
          <w:szCs w:val="24"/>
        </w:rPr>
        <w:t>P</w:t>
      </w:r>
      <w:r w:rsidR="003E61B3" w:rsidRPr="00507F5B">
        <w:rPr>
          <w:szCs w:val="24"/>
        </w:rPr>
        <w:t xml:space="preserve"> a k e i č i u 2</w:t>
      </w:r>
      <w:r w:rsidR="003E61B3" w:rsidRPr="00507F5B">
        <w:rPr>
          <w:color w:val="000000"/>
        </w:rPr>
        <w:t>014–2020 metų Europos Sąjungos fondų investicijų veiksmų programos </w:t>
      </w:r>
      <w:r w:rsidR="00537725">
        <w:rPr>
          <w:color w:val="000000"/>
        </w:rPr>
        <w:br/>
      </w:r>
      <w:r w:rsidR="003E61B3" w:rsidRPr="00507F5B">
        <w:rPr>
          <w:color w:val="000000"/>
        </w:rPr>
        <w:t xml:space="preserve">2 prioriteto „Informacinės visuomenės skatinimas“ </w:t>
      </w:r>
      <w:r w:rsidR="00E470E0" w:rsidRPr="00E470E0">
        <w:rPr>
          <w:color w:val="000000"/>
        </w:rPr>
        <w:t>02.3.1-CPVA-V-528 priemonės „Intelektinės transporto paslaugos ir taikomieji sprendimai“ projektų finansavimo sąlygų aprašą</w:t>
      </w:r>
      <w:r w:rsidR="003E61B3" w:rsidRPr="00507F5B">
        <w:rPr>
          <w:lang w:eastAsia="lt-LT"/>
        </w:rPr>
        <w:t>, patvirtintą</w:t>
      </w:r>
      <w:r w:rsidR="003E61B3" w:rsidRPr="00507F5B">
        <w:rPr>
          <w:szCs w:val="24"/>
        </w:rPr>
        <w:t xml:space="preserve"> Lietuvos Respublikos susisiekimo ministro </w:t>
      </w:r>
      <w:r w:rsidR="00635E1C" w:rsidRPr="00635E1C">
        <w:rPr>
          <w:szCs w:val="24"/>
        </w:rPr>
        <w:t>2016 m. lapkričio 17</w:t>
      </w:r>
      <w:r w:rsidR="003E61B3" w:rsidRPr="00507F5B">
        <w:rPr>
          <w:szCs w:val="24"/>
        </w:rPr>
        <w:t xml:space="preserve"> d. įsakymu Nr. 3-</w:t>
      </w:r>
      <w:r w:rsidR="00D77DD4" w:rsidRPr="00D77DD4">
        <w:rPr>
          <w:szCs w:val="24"/>
        </w:rPr>
        <w:t>392</w:t>
      </w:r>
      <w:r w:rsidR="009E22C2" w:rsidRPr="009E22C2">
        <w:rPr>
          <w:szCs w:val="24"/>
        </w:rPr>
        <w:t>(1.5 E)</w:t>
      </w:r>
      <w:r w:rsidR="003E61B3" w:rsidRPr="00507F5B">
        <w:rPr>
          <w:szCs w:val="24"/>
        </w:rPr>
        <w:t xml:space="preserve"> „Dėl 2014–2020 metų Europos Sąjungos fondų investicijų veiksmų programos 2 prioriteto „Informacinės visuomenės skatinimas“ </w:t>
      </w:r>
      <w:r w:rsidR="00D77DD4" w:rsidRPr="00D77DD4">
        <w:rPr>
          <w:szCs w:val="24"/>
        </w:rPr>
        <w:t>02.3.1-CPVA-V-528 priemonės „Intelektinės transporto paslaugos ir taikomieji sprendimai“ projektų finansavimo sąlygų aprašo patvirtinimo</w:t>
      </w:r>
      <w:r w:rsidR="003E61B3" w:rsidRPr="00507F5B">
        <w:rPr>
          <w:szCs w:val="24"/>
        </w:rPr>
        <w:t xml:space="preserve">“, ir </w:t>
      </w:r>
      <w:r>
        <w:rPr>
          <w:szCs w:val="24"/>
        </w:rPr>
        <w:t>8</w:t>
      </w:r>
      <w:r w:rsidRPr="00507F5B">
        <w:rPr>
          <w:color w:val="000000"/>
          <w:vertAlign w:val="superscript"/>
        </w:rPr>
        <w:t xml:space="preserve"> </w:t>
      </w:r>
      <w:r w:rsidRPr="00507F5B">
        <w:rPr>
          <w:rFonts w:eastAsia="Calibri"/>
          <w:szCs w:val="24"/>
        </w:rPr>
        <w:t>punkt</w:t>
      </w:r>
      <w:r>
        <w:rPr>
          <w:rFonts w:eastAsia="Calibri"/>
          <w:szCs w:val="24"/>
        </w:rPr>
        <w:t>ą išdėstau taip</w:t>
      </w:r>
      <w:r w:rsidR="003E61B3" w:rsidRPr="00507F5B">
        <w:rPr>
          <w:szCs w:val="24"/>
        </w:rPr>
        <w:t>:</w:t>
      </w:r>
    </w:p>
    <w:p w14:paraId="339D3D1E" w14:textId="19AC1689" w:rsidR="004A7B1F" w:rsidRPr="00507F5B" w:rsidRDefault="003E61B3" w:rsidP="003E61B3">
      <w:pPr>
        <w:tabs>
          <w:tab w:val="left" w:pos="720"/>
        </w:tabs>
        <w:ind w:firstLine="709"/>
        <w:jc w:val="both"/>
        <w:rPr>
          <w:color w:val="000000"/>
        </w:rPr>
      </w:pPr>
      <w:r w:rsidRPr="00507F5B">
        <w:rPr>
          <w:spacing w:val="-2"/>
          <w:szCs w:val="24"/>
          <w:lang w:eastAsia="lt-LT"/>
        </w:rPr>
        <w:t>„</w:t>
      </w:r>
      <w:r w:rsidR="009E22C2">
        <w:rPr>
          <w:spacing w:val="-2"/>
          <w:szCs w:val="24"/>
          <w:lang w:eastAsia="lt-LT"/>
        </w:rPr>
        <w:t>8</w:t>
      </w:r>
      <w:r w:rsidRPr="00507F5B">
        <w:t xml:space="preserve">. </w:t>
      </w:r>
      <w:r w:rsidR="00E90C8B" w:rsidRPr="00E90C8B">
        <w:rPr>
          <w:color w:val="000000"/>
        </w:rPr>
        <w:t>Pagal Aprašą projektams įgyvendinti numatoma skirti iki  </w:t>
      </w:r>
      <w:r w:rsidR="00E90C8B" w:rsidRPr="003B79A5">
        <w:rPr>
          <w:strike/>
          <w:color w:val="000000"/>
        </w:rPr>
        <w:t>17 090 155 </w:t>
      </w:r>
      <w:r w:rsidR="00EF0A0C" w:rsidRPr="00EF0A0C">
        <w:rPr>
          <w:b/>
          <w:color w:val="000000"/>
        </w:rPr>
        <w:t>7 364 339</w:t>
      </w:r>
      <w:r w:rsidR="00EF0A0C" w:rsidRPr="00EF0A0C">
        <w:rPr>
          <w:color w:val="000000"/>
        </w:rPr>
        <w:t xml:space="preserve"> </w:t>
      </w:r>
      <w:r w:rsidR="00E90C8B" w:rsidRPr="00E90C8B">
        <w:rPr>
          <w:color w:val="000000"/>
        </w:rPr>
        <w:t>(</w:t>
      </w:r>
      <w:proofErr w:type="spellStart"/>
      <w:r w:rsidR="00E90C8B" w:rsidRPr="00E90C8B">
        <w:rPr>
          <w:color w:val="000000"/>
        </w:rPr>
        <w:t>septyni</w:t>
      </w:r>
      <w:r w:rsidR="003B79A5" w:rsidRPr="003B79A5">
        <w:rPr>
          <w:b/>
          <w:color w:val="000000"/>
        </w:rPr>
        <w:t>ų</w:t>
      </w:r>
      <w:r w:rsidR="00E90C8B" w:rsidRPr="003B79A5">
        <w:rPr>
          <w:strike/>
          <w:color w:val="000000"/>
        </w:rPr>
        <w:t>olikos</w:t>
      </w:r>
      <w:proofErr w:type="spellEnd"/>
      <w:r w:rsidR="00E90C8B" w:rsidRPr="00E90C8B">
        <w:rPr>
          <w:color w:val="000000"/>
        </w:rPr>
        <w:t xml:space="preserve"> milijonų </w:t>
      </w:r>
      <w:r w:rsidR="00E90C8B" w:rsidRPr="003B79A5">
        <w:rPr>
          <w:strike/>
          <w:color w:val="000000"/>
        </w:rPr>
        <w:t>devyniasdešimties</w:t>
      </w:r>
      <w:r w:rsidR="003B79A5">
        <w:rPr>
          <w:color w:val="000000"/>
        </w:rPr>
        <w:t xml:space="preserve"> </w:t>
      </w:r>
      <w:r w:rsidR="003B79A5">
        <w:rPr>
          <w:b/>
          <w:color w:val="000000"/>
        </w:rPr>
        <w:t>trijų šimtų šešiasdešimt keturių</w:t>
      </w:r>
      <w:r w:rsidR="00E90C8B" w:rsidRPr="00E90C8B">
        <w:rPr>
          <w:color w:val="000000"/>
        </w:rPr>
        <w:t xml:space="preserve"> tūkstančių </w:t>
      </w:r>
      <w:r w:rsidR="00E90C8B" w:rsidRPr="003B79A5">
        <w:rPr>
          <w:strike/>
          <w:color w:val="000000"/>
        </w:rPr>
        <w:t>vieno</w:t>
      </w:r>
      <w:r w:rsidR="00E90C8B" w:rsidRPr="00E90C8B">
        <w:rPr>
          <w:color w:val="000000"/>
        </w:rPr>
        <w:t xml:space="preserve"> </w:t>
      </w:r>
      <w:r w:rsidR="003B79A5">
        <w:rPr>
          <w:b/>
          <w:color w:val="000000"/>
        </w:rPr>
        <w:t xml:space="preserve">trijų </w:t>
      </w:r>
      <w:proofErr w:type="spellStart"/>
      <w:r w:rsidR="00E90C8B" w:rsidRPr="00E90C8B">
        <w:rPr>
          <w:color w:val="000000"/>
        </w:rPr>
        <w:t>šimt</w:t>
      </w:r>
      <w:r w:rsidR="003B79A5" w:rsidRPr="003B79A5">
        <w:rPr>
          <w:b/>
          <w:color w:val="000000"/>
        </w:rPr>
        <w:t>ų</w:t>
      </w:r>
      <w:r w:rsidR="00E90C8B" w:rsidRPr="003B79A5">
        <w:rPr>
          <w:strike/>
          <w:color w:val="000000"/>
        </w:rPr>
        <w:t>o</w:t>
      </w:r>
      <w:proofErr w:type="spellEnd"/>
      <w:r w:rsidR="00E90C8B" w:rsidRPr="00E90C8B">
        <w:rPr>
          <w:color w:val="000000"/>
        </w:rPr>
        <w:t xml:space="preserve"> </w:t>
      </w:r>
      <w:proofErr w:type="spellStart"/>
      <w:r w:rsidR="00E90C8B" w:rsidRPr="003B79A5">
        <w:rPr>
          <w:strike/>
          <w:color w:val="000000"/>
        </w:rPr>
        <w:t>penkia</w:t>
      </w:r>
      <w:r w:rsidR="003B79A5" w:rsidRPr="003B79A5">
        <w:rPr>
          <w:b/>
          <w:color w:val="000000"/>
        </w:rPr>
        <w:t>tri</w:t>
      </w:r>
      <w:r w:rsidR="00E90C8B" w:rsidRPr="00E90C8B">
        <w:rPr>
          <w:color w:val="000000"/>
        </w:rPr>
        <w:t>sdešimt</w:t>
      </w:r>
      <w:proofErr w:type="spellEnd"/>
      <w:r w:rsidR="00E90C8B" w:rsidRPr="00E90C8B">
        <w:rPr>
          <w:color w:val="000000"/>
        </w:rPr>
        <w:t xml:space="preserve"> </w:t>
      </w:r>
      <w:proofErr w:type="spellStart"/>
      <w:r w:rsidR="00E90C8B" w:rsidRPr="003B79A5">
        <w:rPr>
          <w:strike/>
          <w:color w:val="000000"/>
        </w:rPr>
        <w:t>penk</w:t>
      </w:r>
      <w:r w:rsidR="003B79A5" w:rsidRPr="003B79A5">
        <w:rPr>
          <w:b/>
          <w:color w:val="000000"/>
        </w:rPr>
        <w:t>d</w:t>
      </w:r>
      <w:r w:rsidR="003B79A5">
        <w:rPr>
          <w:b/>
          <w:color w:val="000000"/>
        </w:rPr>
        <w:t>e</w:t>
      </w:r>
      <w:r w:rsidR="003B79A5" w:rsidRPr="003B79A5">
        <w:rPr>
          <w:b/>
          <w:color w:val="000000"/>
        </w:rPr>
        <w:t>vyn</w:t>
      </w:r>
      <w:r w:rsidR="00E90C8B" w:rsidRPr="00E90C8B">
        <w:rPr>
          <w:color w:val="000000"/>
        </w:rPr>
        <w:t>ių</w:t>
      </w:r>
      <w:proofErr w:type="spellEnd"/>
      <w:r w:rsidR="00E90C8B" w:rsidRPr="00E90C8B">
        <w:rPr>
          <w:color w:val="000000"/>
        </w:rPr>
        <w:t xml:space="preserve">) eurų, iš kurių iki </w:t>
      </w:r>
      <w:r w:rsidR="00E90C8B" w:rsidRPr="007B59B2">
        <w:rPr>
          <w:strike/>
          <w:color w:val="000000"/>
        </w:rPr>
        <w:t>15 060 240</w:t>
      </w:r>
      <w:r w:rsidR="00E90C8B" w:rsidRPr="00E90C8B">
        <w:rPr>
          <w:color w:val="000000"/>
        </w:rPr>
        <w:t> </w:t>
      </w:r>
      <w:r w:rsidR="003C00F5" w:rsidRPr="003C00F5">
        <w:rPr>
          <w:b/>
          <w:color w:val="000000"/>
        </w:rPr>
        <w:t>6 259</w:t>
      </w:r>
      <w:r w:rsidR="003C00F5" w:rsidRPr="003C00F5">
        <w:rPr>
          <w:b/>
          <w:color w:val="000000"/>
        </w:rPr>
        <w:t> </w:t>
      </w:r>
      <w:r w:rsidR="003C00F5" w:rsidRPr="003C00F5">
        <w:rPr>
          <w:b/>
          <w:color w:val="000000"/>
        </w:rPr>
        <w:t>688</w:t>
      </w:r>
      <w:r w:rsidR="003C00F5" w:rsidRPr="00E90C8B">
        <w:rPr>
          <w:color w:val="000000"/>
        </w:rPr>
        <w:t xml:space="preserve"> </w:t>
      </w:r>
      <w:r w:rsidR="00E90C8B" w:rsidRPr="00E90C8B">
        <w:rPr>
          <w:color w:val="000000"/>
        </w:rPr>
        <w:t>(</w:t>
      </w:r>
      <w:r w:rsidR="00E90C8B" w:rsidRPr="007B59B2">
        <w:rPr>
          <w:strike/>
          <w:color w:val="000000"/>
        </w:rPr>
        <w:t>penkiolikos</w:t>
      </w:r>
      <w:r w:rsidR="00E90C8B" w:rsidRPr="00E90C8B">
        <w:rPr>
          <w:color w:val="000000"/>
        </w:rPr>
        <w:t xml:space="preserve"> </w:t>
      </w:r>
      <w:r w:rsidR="007B59B2">
        <w:rPr>
          <w:b/>
          <w:color w:val="000000"/>
        </w:rPr>
        <w:t xml:space="preserve">šešių </w:t>
      </w:r>
      <w:r w:rsidR="00E90C8B" w:rsidRPr="00E90C8B">
        <w:rPr>
          <w:color w:val="000000"/>
        </w:rPr>
        <w:t xml:space="preserve">milijonų </w:t>
      </w:r>
      <w:r w:rsidR="00E90C8B" w:rsidRPr="007B59B2">
        <w:rPr>
          <w:strike/>
          <w:color w:val="000000"/>
        </w:rPr>
        <w:t>šešiasdešimties</w:t>
      </w:r>
      <w:r w:rsidR="00E90C8B" w:rsidRPr="00E90C8B">
        <w:rPr>
          <w:color w:val="000000"/>
        </w:rPr>
        <w:t xml:space="preserve"> </w:t>
      </w:r>
      <w:r w:rsidR="007B59B2">
        <w:rPr>
          <w:b/>
          <w:color w:val="000000"/>
        </w:rPr>
        <w:t xml:space="preserve">dviejų šimtų penkiasdešimt devynių </w:t>
      </w:r>
      <w:r w:rsidR="00E90C8B" w:rsidRPr="00E90C8B">
        <w:rPr>
          <w:color w:val="000000"/>
        </w:rPr>
        <w:t xml:space="preserve">tūkstančių </w:t>
      </w:r>
      <w:proofErr w:type="spellStart"/>
      <w:r w:rsidR="00E90C8B" w:rsidRPr="007B59B2">
        <w:rPr>
          <w:strike/>
          <w:color w:val="000000"/>
        </w:rPr>
        <w:t>dviej</w:t>
      </w:r>
      <w:r w:rsidR="007B59B2" w:rsidRPr="007B59B2">
        <w:rPr>
          <w:b/>
          <w:color w:val="000000"/>
        </w:rPr>
        <w:t>šeši</w:t>
      </w:r>
      <w:r w:rsidR="00E90C8B" w:rsidRPr="00E90C8B">
        <w:rPr>
          <w:color w:val="000000"/>
        </w:rPr>
        <w:t>ų</w:t>
      </w:r>
      <w:proofErr w:type="spellEnd"/>
      <w:r w:rsidR="00E90C8B" w:rsidRPr="00E90C8B">
        <w:rPr>
          <w:color w:val="000000"/>
        </w:rPr>
        <w:t xml:space="preserve"> šimtų </w:t>
      </w:r>
      <w:proofErr w:type="spellStart"/>
      <w:r w:rsidR="00E90C8B" w:rsidRPr="007B59B2">
        <w:rPr>
          <w:strike/>
          <w:color w:val="000000"/>
        </w:rPr>
        <w:t>ketur</w:t>
      </w:r>
      <w:r w:rsidR="007B59B2" w:rsidRPr="007B59B2">
        <w:rPr>
          <w:b/>
          <w:color w:val="000000"/>
        </w:rPr>
        <w:t>aštuon</w:t>
      </w:r>
      <w:r w:rsidR="00E90C8B" w:rsidRPr="00E90C8B">
        <w:rPr>
          <w:color w:val="000000"/>
        </w:rPr>
        <w:t>iasdešimt</w:t>
      </w:r>
      <w:r w:rsidR="00E90C8B" w:rsidRPr="007B59B2">
        <w:rPr>
          <w:strike/>
          <w:color w:val="000000"/>
        </w:rPr>
        <w:t>ies</w:t>
      </w:r>
      <w:proofErr w:type="spellEnd"/>
      <w:r w:rsidR="007B59B2" w:rsidRPr="007B59B2">
        <w:rPr>
          <w:color w:val="000000"/>
        </w:rPr>
        <w:t xml:space="preserve"> </w:t>
      </w:r>
      <w:r w:rsidR="007B59B2" w:rsidRPr="007B59B2">
        <w:rPr>
          <w:b/>
          <w:color w:val="000000"/>
        </w:rPr>
        <w:t>aštuonių</w:t>
      </w:r>
      <w:r w:rsidR="00E90C8B" w:rsidRPr="00E90C8B">
        <w:rPr>
          <w:color w:val="000000"/>
        </w:rPr>
        <w:t xml:space="preserve">) eurų – ES struktūrinių fondų (Europos regioninės plėtros fondo) lėšos, iki </w:t>
      </w:r>
      <w:r w:rsidR="00E90C8B" w:rsidRPr="007B59B2">
        <w:rPr>
          <w:strike/>
          <w:color w:val="000000"/>
        </w:rPr>
        <w:t>2 029 915</w:t>
      </w:r>
      <w:r w:rsidR="00E90C8B" w:rsidRPr="00E90C8B">
        <w:rPr>
          <w:color w:val="000000"/>
        </w:rPr>
        <w:t xml:space="preserve"> </w:t>
      </w:r>
      <w:r w:rsidR="003C00F5" w:rsidRPr="003C00F5">
        <w:rPr>
          <w:b/>
          <w:color w:val="000000"/>
        </w:rPr>
        <w:t>1 104</w:t>
      </w:r>
      <w:r w:rsidR="003C00F5" w:rsidRPr="003C00F5">
        <w:rPr>
          <w:b/>
          <w:color w:val="000000"/>
        </w:rPr>
        <w:t> </w:t>
      </w:r>
      <w:r w:rsidR="003C00F5" w:rsidRPr="003C00F5">
        <w:rPr>
          <w:b/>
          <w:color w:val="000000"/>
        </w:rPr>
        <w:t>651</w:t>
      </w:r>
      <w:r w:rsidR="003C00F5" w:rsidRPr="00E90C8B">
        <w:rPr>
          <w:color w:val="000000"/>
        </w:rPr>
        <w:t xml:space="preserve"> </w:t>
      </w:r>
      <w:r w:rsidR="00E90C8B" w:rsidRPr="00E90C8B">
        <w:rPr>
          <w:color w:val="000000"/>
        </w:rPr>
        <w:t>(</w:t>
      </w:r>
      <w:r w:rsidR="00E90C8B" w:rsidRPr="00C3429E">
        <w:rPr>
          <w:strike/>
          <w:color w:val="000000"/>
        </w:rPr>
        <w:t>dviejų</w:t>
      </w:r>
      <w:r w:rsidR="00E90C8B" w:rsidRPr="00E90C8B">
        <w:rPr>
          <w:color w:val="000000"/>
        </w:rPr>
        <w:t xml:space="preserve"> </w:t>
      </w:r>
      <w:r w:rsidR="00C3429E">
        <w:rPr>
          <w:b/>
          <w:color w:val="000000"/>
        </w:rPr>
        <w:t xml:space="preserve">vieno </w:t>
      </w:r>
      <w:proofErr w:type="spellStart"/>
      <w:r w:rsidR="00E90C8B" w:rsidRPr="00E90C8B">
        <w:rPr>
          <w:color w:val="000000"/>
        </w:rPr>
        <w:t>milijon</w:t>
      </w:r>
      <w:r w:rsidR="00C3429E" w:rsidRPr="00C3429E">
        <w:rPr>
          <w:b/>
          <w:color w:val="000000"/>
        </w:rPr>
        <w:t>o</w:t>
      </w:r>
      <w:r w:rsidR="00E90C8B" w:rsidRPr="00C3429E">
        <w:rPr>
          <w:strike/>
          <w:color w:val="000000"/>
        </w:rPr>
        <w:t>ų</w:t>
      </w:r>
      <w:proofErr w:type="spellEnd"/>
      <w:r w:rsidR="00E90C8B" w:rsidRPr="00E90C8B">
        <w:rPr>
          <w:color w:val="000000"/>
        </w:rPr>
        <w:t xml:space="preserve"> </w:t>
      </w:r>
      <w:r w:rsidR="00E90C8B" w:rsidRPr="00C3429E">
        <w:rPr>
          <w:strike/>
          <w:color w:val="000000"/>
        </w:rPr>
        <w:t>dvidešimt</w:t>
      </w:r>
      <w:r w:rsidR="00E90C8B" w:rsidRPr="00E90C8B">
        <w:rPr>
          <w:color w:val="000000"/>
        </w:rPr>
        <w:t xml:space="preserve"> </w:t>
      </w:r>
      <w:r w:rsidR="00E90C8B" w:rsidRPr="00C3429E">
        <w:rPr>
          <w:strike/>
          <w:color w:val="000000"/>
        </w:rPr>
        <w:t>devynių</w:t>
      </w:r>
      <w:r w:rsidR="00E90C8B" w:rsidRPr="00E90C8B">
        <w:rPr>
          <w:color w:val="000000"/>
        </w:rPr>
        <w:t xml:space="preserve"> </w:t>
      </w:r>
      <w:r w:rsidR="00C3429E">
        <w:rPr>
          <w:b/>
          <w:color w:val="000000"/>
        </w:rPr>
        <w:t xml:space="preserve">vieno šimto keturių </w:t>
      </w:r>
      <w:r w:rsidR="00E90C8B" w:rsidRPr="00E90C8B">
        <w:rPr>
          <w:color w:val="000000"/>
        </w:rPr>
        <w:t xml:space="preserve">tūkstančių </w:t>
      </w:r>
      <w:proofErr w:type="spellStart"/>
      <w:r w:rsidR="00E90C8B" w:rsidRPr="00C3429E">
        <w:rPr>
          <w:strike/>
          <w:color w:val="000000"/>
        </w:rPr>
        <w:t>devyn</w:t>
      </w:r>
      <w:r w:rsidR="00C3429E" w:rsidRPr="00C3429E">
        <w:rPr>
          <w:b/>
          <w:color w:val="000000"/>
        </w:rPr>
        <w:t>šeš</w:t>
      </w:r>
      <w:r w:rsidR="00E90C8B" w:rsidRPr="00E90C8B">
        <w:rPr>
          <w:color w:val="000000"/>
        </w:rPr>
        <w:t>ių</w:t>
      </w:r>
      <w:proofErr w:type="spellEnd"/>
      <w:r w:rsidR="00E90C8B" w:rsidRPr="00E90C8B">
        <w:rPr>
          <w:color w:val="000000"/>
        </w:rPr>
        <w:t xml:space="preserve"> šimtų </w:t>
      </w:r>
      <w:proofErr w:type="spellStart"/>
      <w:r w:rsidR="00E90C8B" w:rsidRPr="006F2335">
        <w:rPr>
          <w:color w:val="000000"/>
        </w:rPr>
        <w:t>penki</w:t>
      </w:r>
      <w:r w:rsidR="00C3429E" w:rsidRPr="00C3429E">
        <w:rPr>
          <w:b/>
          <w:color w:val="000000"/>
        </w:rPr>
        <w:t>asdešimt</w:t>
      </w:r>
      <w:bookmarkStart w:id="0" w:name="_GoBack"/>
      <w:bookmarkEnd w:id="0"/>
      <w:r w:rsidR="00E90C8B" w:rsidRPr="00C3429E">
        <w:rPr>
          <w:strike/>
          <w:color w:val="000000"/>
        </w:rPr>
        <w:t>olikos</w:t>
      </w:r>
      <w:proofErr w:type="spellEnd"/>
      <w:r w:rsidR="00C3429E" w:rsidRPr="00C3429E">
        <w:rPr>
          <w:color w:val="000000"/>
        </w:rPr>
        <w:t xml:space="preserve"> </w:t>
      </w:r>
      <w:r w:rsidR="00C3429E" w:rsidRPr="00C3429E">
        <w:rPr>
          <w:b/>
          <w:color w:val="000000"/>
        </w:rPr>
        <w:t>vieno</w:t>
      </w:r>
      <w:r w:rsidR="00E90C8B" w:rsidRPr="00E90C8B">
        <w:rPr>
          <w:color w:val="000000"/>
        </w:rPr>
        <w:t xml:space="preserve">) </w:t>
      </w:r>
      <w:proofErr w:type="spellStart"/>
      <w:r w:rsidR="00E90C8B" w:rsidRPr="00E90C8B">
        <w:rPr>
          <w:color w:val="000000"/>
        </w:rPr>
        <w:t>eur</w:t>
      </w:r>
      <w:r w:rsidR="00C3429E" w:rsidRPr="00C3429E">
        <w:rPr>
          <w:b/>
          <w:color w:val="000000"/>
        </w:rPr>
        <w:t>o</w:t>
      </w:r>
      <w:r w:rsidR="00E90C8B" w:rsidRPr="00466FBF">
        <w:rPr>
          <w:strike/>
          <w:color w:val="000000"/>
        </w:rPr>
        <w:t>ų</w:t>
      </w:r>
      <w:proofErr w:type="spellEnd"/>
      <w:r w:rsidR="00E90C8B" w:rsidRPr="00E90C8B">
        <w:rPr>
          <w:color w:val="000000"/>
        </w:rPr>
        <w:t xml:space="preserve"> – Lietuvos Respublikos valstybės biudžeto lėšos. </w:t>
      </w:r>
      <w:r w:rsidR="00E90C8B" w:rsidRPr="009D4C86">
        <w:rPr>
          <w:strike/>
          <w:color w:val="000000"/>
        </w:rPr>
        <w:t>Pagal Aprašą projektams įgyvendinti numatoma pritraukti ne mažiau kaip 627 774 (šešis šimtus dvidešimt septynis tūkstančius septynis šimtus septyniasdešimt keturis) eurus privačių lėšų.</w:t>
      </w:r>
      <w:r w:rsidR="004A7B1F" w:rsidRPr="00507F5B">
        <w:t>“</w:t>
      </w:r>
    </w:p>
    <w:p w14:paraId="140505AE" w14:textId="77777777" w:rsidR="003E61B3" w:rsidRPr="00507F5B" w:rsidRDefault="003E61B3">
      <w:pPr>
        <w:rPr>
          <w:spacing w:val="-2"/>
          <w:lang w:eastAsia="lt-LT"/>
        </w:rPr>
      </w:pPr>
    </w:p>
    <w:p w14:paraId="6162AB2F" w14:textId="77777777" w:rsidR="003E61B3" w:rsidRPr="00507F5B" w:rsidRDefault="003E61B3">
      <w:pPr>
        <w:rPr>
          <w:spacing w:val="-2"/>
          <w:lang w:eastAsia="lt-LT"/>
        </w:rPr>
      </w:pPr>
    </w:p>
    <w:p w14:paraId="51BD8364" w14:textId="5829EF36" w:rsidR="00630EE5" w:rsidRPr="00507F5B" w:rsidRDefault="003E61B3">
      <w:pPr>
        <w:rPr>
          <w:spacing w:val="-2"/>
          <w:lang w:eastAsia="lt-LT"/>
        </w:rPr>
      </w:pPr>
      <w:r w:rsidRPr="00507F5B">
        <w:rPr>
          <w:spacing w:val="-2"/>
          <w:lang w:eastAsia="lt-LT"/>
        </w:rPr>
        <w:t xml:space="preserve">Susisiekimo ministras </w:t>
      </w:r>
      <w:r w:rsidRPr="00507F5B">
        <w:rPr>
          <w:spacing w:val="-2"/>
          <w:lang w:eastAsia="lt-LT"/>
        </w:rPr>
        <w:tab/>
      </w:r>
      <w:r w:rsidRPr="00507F5B">
        <w:rPr>
          <w:spacing w:val="-2"/>
          <w:lang w:eastAsia="lt-LT"/>
        </w:rPr>
        <w:tab/>
      </w:r>
      <w:r w:rsidRPr="00507F5B">
        <w:rPr>
          <w:spacing w:val="-2"/>
          <w:lang w:eastAsia="lt-LT"/>
        </w:rPr>
        <w:tab/>
      </w:r>
      <w:proofErr w:type="spellStart"/>
      <w:r w:rsidR="00E90C8B" w:rsidRPr="00DB4060">
        <w:t>Jaroslav</w:t>
      </w:r>
      <w:proofErr w:type="spellEnd"/>
      <w:r w:rsidR="00E90C8B" w:rsidRPr="00DB4060">
        <w:t xml:space="preserve"> </w:t>
      </w:r>
      <w:proofErr w:type="spellStart"/>
      <w:r w:rsidR="00E90C8B" w:rsidRPr="00DB4060">
        <w:t>Narkevič</w:t>
      </w:r>
      <w:proofErr w:type="spellEnd"/>
      <w:r w:rsidRPr="00507F5B">
        <w:rPr>
          <w:spacing w:val="-2"/>
          <w:lang w:eastAsia="lt-LT"/>
        </w:rPr>
        <w:tab/>
      </w:r>
      <w:r w:rsidRPr="00507F5B">
        <w:rPr>
          <w:spacing w:val="-2"/>
          <w:lang w:eastAsia="lt-LT"/>
        </w:rPr>
        <w:tab/>
      </w:r>
    </w:p>
    <w:p w14:paraId="51BD8365" w14:textId="77777777" w:rsidR="00630EE5" w:rsidRPr="00507F5B" w:rsidRDefault="00630EE5">
      <w:pPr>
        <w:rPr>
          <w:spacing w:val="-2"/>
          <w:sz w:val="20"/>
          <w:lang w:eastAsia="lt-LT"/>
        </w:rPr>
      </w:pPr>
    </w:p>
    <w:p w14:paraId="51BD8366" w14:textId="3FB0A062" w:rsidR="00630EE5" w:rsidRPr="00507F5B" w:rsidRDefault="00630EE5">
      <w:pPr>
        <w:rPr>
          <w:spacing w:val="-2"/>
          <w:sz w:val="20"/>
          <w:lang w:eastAsia="lt-LT"/>
        </w:rPr>
      </w:pPr>
    </w:p>
    <w:p w14:paraId="1C6E586A" w14:textId="77777777" w:rsidR="0051061F" w:rsidRDefault="0051061F">
      <w:pPr>
        <w:tabs>
          <w:tab w:val="left" w:pos="5103"/>
        </w:tabs>
        <w:overflowPunct w:val="0"/>
        <w:ind w:right="4535"/>
        <w:jc w:val="both"/>
        <w:textAlignment w:val="baseline"/>
        <w:rPr>
          <w:color w:val="000000"/>
          <w:szCs w:val="24"/>
          <w:lang w:val="en-US" w:eastAsia="lt-LT"/>
        </w:rPr>
      </w:pPr>
    </w:p>
    <w:p w14:paraId="5BCAD324" w14:textId="77777777" w:rsidR="00E90C8B" w:rsidRDefault="00E90C8B">
      <w:pPr>
        <w:tabs>
          <w:tab w:val="left" w:pos="5103"/>
        </w:tabs>
        <w:overflowPunct w:val="0"/>
        <w:ind w:right="4535"/>
        <w:jc w:val="both"/>
        <w:textAlignment w:val="baseline"/>
        <w:rPr>
          <w:color w:val="000000"/>
          <w:szCs w:val="24"/>
          <w:lang w:val="en-US" w:eastAsia="lt-LT"/>
        </w:rPr>
      </w:pPr>
    </w:p>
    <w:p w14:paraId="0F12F4D5" w14:textId="77777777" w:rsidR="00E90C8B" w:rsidRDefault="00E90C8B">
      <w:pPr>
        <w:tabs>
          <w:tab w:val="left" w:pos="5103"/>
        </w:tabs>
        <w:overflowPunct w:val="0"/>
        <w:ind w:right="4535"/>
        <w:jc w:val="both"/>
        <w:textAlignment w:val="baseline"/>
        <w:rPr>
          <w:color w:val="000000"/>
          <w:szCs w:val="24"/>
          <w:lang w:val="en-US" w:eastAsia="lt-LT"/>
        </w:rPr>
      </w:pPr>
    </w:p>
    <w:p w14:paraId="6547404E" w14:textId="77777777" w:rsidR="00E90C8B" w:rsidRDefault="00E90C8B">
      <w:pPr>
        <w:tabs>
          <w:tab w:val="left" w:pos="5103"/>
        </w:tabs>
        <w:overflowPunct w:val="0"/>
        <w:ind w:right="4535"/>
        <w:jc w:val="both"/>
        <w:textAlignment w:val="baseline"/>
        <w:rPr>
          <w:color w:val="000000"/>
          <w:szCs w:val="24"/>
          <w:lang w:val="en-US" w:eastAsia="lt-LT"/>
        </w:rPr>
      </w:pPr>
    </w:p>
    <w:p w14:paraId="797AE1A0" w14:textId="77777777" w:rsidR="00E90C8B" w:rsidRDefault="00E90C8B">
      <w:pPr>
        <w:tabs>
          <w:tab w:val="left" w:pos="5103"/>
        </w:tabs>
        <w:overflowPunct w:val="0"/>
        <w:ind w:right="4535"/>
        <w:jc w:val="both"/>
        <w:textAlignment w:val="baseline"/>
        <w:rPr>
          <w:color w:val="000000"/>
          <w:szCs w:val="24"/>
          <w:lang w:val="en-US" w:eastAsia="lt-LT"/>
        </w:rPr>
      </w:pPr>
    </w:p>
    <w:p w14:paraId="7A2EA98A" w14:textId="77777777" w:rsidR="00E90C8B" w:rsidRPr="00F244A0" w:rsidRDefault="00E90C8B">
      <w:pPr>
        <w:tabs>
          <w:tab w:val="left" w:pos="5103"/>
        </w:tabs>
        <w:overflowPunct w:val="0"/>
        <w:ind w:right="4535"/>
        <w:jc w:val="both"/>
        <w:textAlignment w:val="baseline"/>
        <w:rPr>
          <w:color w:val="000000"/>
          <w:szCs w:val="24"/>
          <w:lang w:val="en-US" w:eastAsia="lt-LT"/>
        </w:rPr>
      </w:pPr>
    </w:p>
    <w:p w14:paraId="4C8795DB" w14:textId="77777777" w:rsidR="0051061F" w:rsidRDefault="0051061F">
      <w:pPr>
        <w:tabs>
          <w:tab w:val="left" w:pos="5103"/>
        </w:tabs>
        <w:overflowPunct w:val="0"/>
        <w:ind w:right="4535"/>
        <w:jc w:val="both"/>
        <w:textAlignment w:val="baseline"/>
        <w:rPr>
          <w:color w:val="000000"/>
          <w:szCs w:val="24"/>
          <w:lang w:eastAsia="lt-LT"/>
        </w:rPr>
      </w:pPr>
    </w:p>
    <w:p w14:paraId="51FC14C4" w14:textId="77777777" w:rsidR="00E90C8B" w:rsidRDefault="00E90C8B">
      <w:pPr>
        <w:tabs>
          <w:tab w:val="left" w:pos="5103"/>
        </w:tabs>
        <w:overflowPunct w:val="0"/>
        <w:ind w:right="4535"/>
        <w:jc w:val="both"/>
        <w:textAlignment w:val="baseline"/>
        <w:rPr>
          <w:color w:val="000000"/>
          <w:szCs w:val="24"/>
          <w:lang w:eastAsia="lt-LT"/>
        </w:rPr>
      </w:pPr>
    </w:p>
    <w:p w14:paraId="4EB5946B" w14:textId="77777777" w:rsidR="00E90C8B" w:rsidRDefault="00E90C8B">
      <w:pPr>
        <w:tabs>
          <w:tab w:val="left" w:pos="5103"/>
        </w:tabs>
        <w:overflowPunct w:val="0"/>
        <w:ind w:right="4535"/>
        <w:jc w:val="both"/>
        <w:textAlignment w:val="baseline"/>
        <w:rPr>
          <w:color w:val="000000"/>
          <w:szCs w:val="24"/>
          <w:lang w:eastAsia="lt-LT"/>
        </w:rPr>
      </w:pPr>
    </w:p>
    <w:p w14:paraId="1E72E0BE" w14:textId="77777777" w:rsidR="0051061F" w:rsidRDefault="0051061F" w:rsidP="0051061F">
      <w:r>
        <w:t xml:space="preserve">Parengė </w:t>
      </w:r>
    </w:p>
    <w:p w14:paraId="3824A860" w14:textId="77777777" w:rsidR="0051061F" w:rsidRDefault="0051061F" w:rsidP="0051061F"/>
    <w:p w14:paraId="715C2C0F" w14:textId="77777777" w:rsidR="0051061F" w:rsidRDefault="0051061F" w:rsidP="0051061F">
      <w:r w:rsidRPr="00D83297">
        <w:t>E. Ramaškevičius</w:t>
      </w:r>
      <w:r>
        <w:t xml:space="preserve"> </w:t>
      </w:r>
    </w:p>
    <w:p w14:paraId="088CD924" w14:textId="6AEE45E3" w:rsidR="0051061F" w:rsidRPr="00507F5B" w:rsidRDefault="0051061F" w:rsidP="0051061F">
      <w:pPr>
        <w:tabs>
          <w:tab w:val="left" w:pos="5103"/>
        </w:tabs>
        <w:overflowPunct w:val="0"/>
        <w:ind w:right="4535"/>
        <w:jc w:val="both"/>
        <w:textAlignment w:val="baseline"/>
        <w:rPr>
          <w:color w:val="000000"/>
          <w:szCs w:val="24"/>
          <w:lang w:eastAsia="lt-LT"/>
        </w:rPr>
      </w:pPr>
      <w:r>
        <w:lastRenderedPageBreak/>
        <w:t>20</w:t>
      </w:r>
      <w:r w:rsidR="00E90C8B">
        <w:t>20</w:t>
      </w:r>
      <w:r>
        <w:t>-</w:t>
      </w:r>
    </w:p>
    <w:sectPr w:rsidR="0051061F" w:rsidRPr="00507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7" w:bottom="993" w:left="1701" w:header="567" w:footer="567" w:gutter="0"/>
      <w:cols w:space="1296"/>
      <w:titlePg/>
      <w:docGrid w:linePitch="360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B4998" w16cid:durableId="1E883A7C"/>
  <w16cid:commentId w16cid:paraId="64EF30B1" w16cid:durableId="1E883B91"/>
  <w16cid:commentId w16cid:paraId="0AF67E78" w16cid:durableId="1E883A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3DB5B" w14:textId="77777777" w:rsidR="00FC4D30" w:rsidRDefault="00FC4D30">
      <w:r>
        <w:separator/>
      </w:r>
    </w:p>
  </w:endnote>
  <w:endnote w:type="continuationSeparator" w:id="0">
    <w:p w14:paraId="1435BB3E" w14:textId="77777777" w:rsidR="00FC4D30" w:rsidRDefault="00FC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8378" w14:textId="77777777" w:rsidR="00630EE5" w:rsidRDefault="00630EE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8379" w14:textId="77777777" w:rsidR="00630EE5" w:rsidRDefault="00630EE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837B" w14:textId="77777777" w:rsidR="00630EE5" w:rsidRDefault="00630EE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6532E" w14:textId="77777777" w:rsidR="00FC4D30" w:rsidRDefault="00FC4D30">
      <w:r>
        <w:separator/>
      </w:r>
    </w:p>
  </w:footnote>
  <w:footnote w:type="continuationSeparator" w:id="0">
    <w:p w14:paraId="553FE7D4" w14:textId="77777777" w:rsidR="00FC4D30" w:rsidRDefault="00FC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8375" w14:textId="77777777" w:rsidR="00630EE5" w:rsidRDefault="00630EE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8376" w14:textId="77777777" w:rsidR="00630EE5" w:rsidRDefault="003E61B3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C3429E">
      <w:rPr>
        <w:noProof/>
      </w:rPr>
      <w:t>2</w:t>
    </w:r>
    <w:r>
      <w:fldChar w:fldCharType="end"/>
    </w:r>
  </w:p>
  <w:p w14:paraId="51BD8377" w14:textId="77777777" w:rsidR="00630EE5" w:rsidRDefault="00630EE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837A" w14:textId="77777777" w:rsidR="00630EE5" w:rsidRDefault="00630EE5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9"/>
    <w:rsid w:val="000E3AB9"/>
    <w:rsid w:val="000F478D"/>
    <w:rsid w:val="00106257"/>
    <w:rsid w:val="0016451A"/>
    <w:rsid w:val="00181D3B"/>
    <w:rsid w:val="001A4C80"/>
    <w:rsid w:val="001D05E4"/>
    <w:rsid w:val="00227539"/>
    <w:rsid w:val="003931A2"/>
    <w:rsid w:val="003B79A5"/>
    <w:rsid w:val="003C00F5"/>
    <w:rsid w:val="003E61B3"/>
    <w:rsid w:val="00466FBF"/>
    <w:rsid w:val="004A7B1F"/>
    <w:rsid w:val="00507F5B"/>
    <w:rsid w:val="0051061F"/>
    <w:rsid w:val="00537725"/>
    <w:rsid w:val="005C7F20"/>
    <w:rsid w:val="00630EE5"/>
    <w:rsid w:val="00635E1C"/>
    <w:rsid w:val="006A4086"/>
    <w:rsid w:val="006E65FB"/>
    <w:rsid w:val="006F2335"/>
    <w:rsid w:val="00745D07"/>
    <w:rsid w:val="00787F73"/>
    <w:rsid w:val="007B59B2"/>
    <w:rsid w:val="008824E6"/>
    <w:rsid w:val="009041E8"/>
    <w:rsid w:val="00925DC1"/>
    <w:rsid w:val="009A1E1B"/>
    <w:rsid w:val="009A4E87"/>
    <w:rsid w:val="009D4C86"/>
    <w:rsid w:val="009E22C2"/>
    <w:rsid w:val="00A77016"/>
    <w:rsid w:val="00AD684E"/>
    <w:rsid w:val="00B22E65"/>
    <w:rsid w:val="00B37596"/>
    <w:rsid w:val="00B6390F"/>
    <w:rsid w:val="00B9785F"/>
    <w:rsid w:val="00BA4844"/>
    <w:rsid w:val="00BA76FF"/>
    <w:rsid w:val="00C238B2"/>
    <w:rsid w:val="00C3429E"/>
    <w:rsid w:val="00D16B2B"/>
    <w:rsid w:val="00D77DD4"/>
    <w:rsid w:val="00E0611B"/>
    <w:rsid w:val="00E06F23"/>
    <w:rsid w:val="00E35A78"/>
    <w:rsid w:val="00E470E0"/>
    <w:rsid w:val="00E90C8B"/>
    <w:rsid w:val="00EC3B91"/>
    <w:rsid w:val="00ED2326"/>
    <w:rsid w:val="00EF0A0C"/>
    <w:rsid w:val="00F244A0"/>
    <w:rsid w:val="00F73E4B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8354"/>
  <w15:docId w15:val="{DBDBD299-4287-49A2-A1A8-D13FFD2F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6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10" Target="header3.xml" Type="http://schemas.openxmlformats.org/officeDocument/2006/relationships/header"/>
<Relationship Id="rId11" Target="footer3.xml" Type="http://schemas.openxmlformats.org/officeDocument/2006/relationships/foot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19" Target="commentsIds.xml" Type="http://schemas.microsoft.com/office/2016/09/relationships/commentsId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header1.xml" Type="http://schemas.openxmlformats.org/officeDocument/2006/relationships/header"/>
<Relationship Id="rId7" Target="header2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2020-09-25T11:27:00Z</dcterms:created>
  <dc:creator>sevol</dc:creator>
  <cp:lastModifiedBy>Eugenijus Ramaškevicius</cp:lastModifiedBy>
  <cp:lastPrinted>2017-11-27T09:34:00Z</cp:lastPrinted>
  <dcterms:modified xsi:type="dcterms:W3CDTF">2020-09-25T11:41:00Z</dcterms:modified>
  <cp:revision>11</cp:revision>
</cp:coreProperties>
</file>