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282"/>
        <w:gridCol w:w="1841"/>
        <w:gridCol w:w="565"/>
        <w:gridCol w:w="2133"/>
      </w:tblGrid>
      <w:tr w:rsidR="00796197" w:rsidTr="00A17FAA">
        <w:tc>
          <w:tcPr>
            <w:tcW w:w="9496" w:type="dxa"/>
            <w:gridSpan w:val="5"/>
            <w:tcBorders>
              <w:bottom w:val="single" w:sz="4" w:space="0" w:color="000000"/>
            </w:tcBorders>
          </w:tcPr>
          <w:p w:rsidR="00796197" w:rsidRDefault="00155D04" w:rsidP="00D2764D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pacing w:val="20"/>
                <w:sz w:val="26"/>
                <w:szCs w:val="26"/>
                <w:lang w:eastAsia="lt-LT" w:bidi="ar-SA"/>
              </w:rPr>
              <w:drawing>
                <wp:inline distT="0" distB="0" distL="0" distR="0" wp14:anchorId="76BF9BA2" wp14:editId="2FC28E56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197" w:rsidRDefault="00796197" w:rsidP="00D2764D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1" w:name="DDE_LINK"/>
            <w:r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:rsidR="00796197" w:rsidRDefault="00205479" w:rsidP="00D2764D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:rsidR="00796197" w:rsidRDefault="00796197" w:rsidP="00D2764D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tel. (8~5) 266 3661, faks. (8~5) 266 3663, el. p. </w:t>
            </w:r>
            <w:proofErr w:type="spellStart"/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info@am.lt</w:t>
            </w:r>
            <w:proofErr w:type="spellEnd"/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http://www.am.lt.</w:t>
            </w:r>
          </w:p>
          <w:p w:rsidR="00796197" w:rsidRDefault="00796197" w:rsidP="00D2764D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1"/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 w:rsidTr="00A17FAA">
        <w:tc>
          <w:tcPr>
            <w:tcW w:w="9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>
            <w:pPr>
              <w:pStyle w:val="TableContents"/>
            </w:pPr>
          </w:p>
        </w:tc>
      </w:tr>
      <w:tr w:rsidR="00796197" w:rsidTr="00A17FAA">
        <w:trPr>
          <w:cantSplit/>
          <w:trHeight w:val="340"/>
        </w:trPr>
        <w:tc>
          <w:tcPr>
            <w:tcW w:w="46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D2764D" w:rsidP="00D2764D">
            <w:pPr>
              <w:pStyle w:val="TableContents"/>
            </w:pPr>
            <w:r>
              <w:t>Adresatams pagal sąrašą</w:t>
            </w:r>
          </w:p>
          <w:p w:rsidR="00796197" w:rsidRDefault="00796197" w:rsidP="00D2764D">
            <w:pPr>
              <w:pStyle w:val="TableContents"/>
              <w:rPr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>
            <w:pPr>
              <w:ind w:right="67"/>
              <w:jc w:val="right"/>
              <w:rPr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D2764D" w:rsidP="00CB4E61">
            <w:pPr>
              <w:pStyle w:val="TableContents"/>
              <w:ind w:right="67"/>
            </w:pPr>
            <w:r>
              <w:t>201</w:t>
            </w:r>
            <w:r w:rsidR="00473C12">
              <w:t>8</w:t>
            </w:r>
            <w:r>
              <w:t>-</w:t>
            </w:r>
            <w:r w:rsidR="00473C12">
              <w:t>0</w:t>
            </w:r>
            <w:r w:rsidR="00CB4E61">
              <w:t>4</w:t>
            </w:r>
            <w:r>
              <w:t>-</w:t>
            </w:r>
            <w:r w:rsidR="00AB436D">
              <w:t>19</w:t>
            </w:r>
          </w:p>
        </w:tc>
        <w:tc>
          <w:tcPr>
            <w:tcW w:w="565" w:type="dxa"/>
          </w:tcPr>
          <w:p w:rsidR="00796197" w:rsidRDefault="00796197" w:rsidP="00D2764D">
            <w:pPr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:rsidR="00796197" w:rsidRDefault="00D2764D" w:rsidP="00473C12">
            <w:pPr>
              <w:pStyle w:val="TableContents"/>
              <w:ind w:right="67"/>
            </w:pPr>
            <w:r>
              <w:t>(14-5)-D8-</w:t>
            </w:r>
            <w:r w:rsidR="00AB436D">
              <w:t>2214</w:t>
            </w:r>
          </w:p>
        </w:tc>
      </w:tr>
      <w:tr w:rsidR="00796197" w:rsidTr="00A17FAA">
        <w:trPr>
          <w:cantSplit/>
          <w:trHeight w:val="340"/>
        </w:trPr>
        <w:tc>
          <w:tcPr>
            <w:tcW w:w="46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/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Į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>
            <w:pPr>
              <w:pStyle w:val="TableContents"/>
              <w:ind w:right="67"/>
            </w:pPr>
          </w:p>
        </w:tc>
        <w:tc>
          <w:tcPr>
            <w:tcW w:w="565" w:type="dxa"/>
          </w:tcPr>
          <w:p w:rsidR="00796197" w:rsidRDefault="00796197" w:rsidP="00D2764D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:rsidR="00796197" w:rsidRDefault="00796197" w:rsidP="00D2764D">
            <w:pPr>
              <w:pStyle w:val="TableContents"/>
              <w:ind w:right="67"/>
            </w:pPr>
          </w:p>
        </w:tc>
      </w:tr>
      <w:tr w:rsidR="00796197" w:rsidTr="00A17FAA">
        <w:trPr>
          <w:cantSplit/>
        </w:trPr>
        <w:tc>
          <w:tcPr>
            <w:tcW w:w="46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/>
        </w:tc>
        <w:tc>
          <w:tcPr>
            <w:tcW w:w="482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 w:rsidP="00D2764D">
            <w:pPr>
              <w:tabs>
                <w:tab w:val="left" w:pos="2869"/>
              </w:tabs>
              <w:ind w:right="67"/>
              <w:rPr>
                <w:spacing w:val="10"/>
              </w:rPr>
            </w:pPr>
          </w:p>
        </w:tc>
      </w:tr>
      <w:tr w:rsidR="00796197" w:rsidTr="00A17FAA">
        <w:trPr>
          <w:trHeight w:val="340"/>
        </w:trPr>
        <w:tc>
          <w:tcPr>
            <w:tcW w:w="9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D2764D" w:rsidP="00D2764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caps/>
              </w:rPr>
              <w:t>dėl lietuvos respublikos aplinkos ministro įsakymo projekto derinimo</w:t>
            </w:r>
          </w:p>
        </w:tc>
      </w:tr>
    </w:tbl>
    <w:p w:rsidR="00D2764D" w:rsidRDefault="00D2764D" w:rsidP="00D2764D">
      <w:pPr>
        <w:pStyle w:val="BodyText"/>
      </w:pPr>
    </w:p>
    <w:p w:rsidR="0056357B" w:rsidRDefault="0056357B" w:rsidP="00D2764D">
      <w:pPr>
        <w:pStyle w:val="BodyText"/>
      </w:pPr>
    </w:p>
    <w:p w:rsidR="00EE51B8" w:rsidRPr="00030280" w:rsidRDefault="00D2764D" w:rsidP="0056357B">
      <w:pPr>
        <w:spacing w:line="340" w:lineRule="atLeast"/>
        <w:ind w:firstLine="567"/>
        <w:jc w:val="both"/>
        <w:rPr>
          <w:b/>
          <w:color w:val="000000" w:themeColor="text1"/>
        </w:rPr>
      </w:pPr>
      <w:r w:rsidRPr="00030280">
        <w:rPr>
          <w:color w:val="000000" w:themeColor="text1"/>
        </w:rPr>
        <w:t>Aplinkos ministerij</w:t>
      </w:r>
      <w:r w:rsidR="0056357B" w:rsidRPr="00030280">
        <w:rPr>
          <w:color w:val="000000" w:themeColor="text1"/>
        </w:rPr>
        <w:t xml:space="preserve">a </w:t>
      </w:r>
      <w:r w:rsidR="00B9706E" w:rsidRPr="00030280">
        <w:rPr>
          <w:color w:val="000000" w:themeColor="text1"/>
        </w:rPr>
        <w:t xml:space="preserve">parengė </w:t>
      </w:r>
      <w:r w:rsidR="00750E0B" w:rsidRPr="00030280">
        <w:rPr>
          <w:color w:val="000000" w:themeColor="text1"/>
        </w:rPr>
        <w:t xml:space="preserve">ir teikia išvadoms gauti </w:t>
      </w:r>
      <w:r w:rsidR="00EE51B8" w:rsidRPr="00030280">
        <w:rPr>
          <w:color w:val="000000" w:themeColor="text1"/>
        </w:rPr>
        <w:t>Lietuvos Respublikos aplinkos ministro įsakymo „Dėl Lietuvos Respublikos aplinkos ministro</w:t>
      </w:r>
      <w:r w:rsidR="00EE51B8" w:rsidRPr="00030280">
        <w:rPr>
          <w:b/>
          <w:color w:val="000000" w:themeColor="text1"/>
        </w:rPr>
        <w:t xml:space="preserve"> </w:t>
      </w:r>
      <w:r w:rsidR="00EE51B8" w:rsidRPr="00030280">
        <w:rPr>
          <w:color w:val="000000" w:themeColor="text1"/>
        </w:rPr>
        <w:t>2</w:t>
      </w:r>
      <w:r w:rsidR="00EE51B8" w:rsidRPr="00030280">
        <w:rPr>
          <w:bCs/>
          <w:caps/>
          <w:color w:val="000000" w:themeColor="text1"/>
        </w:rPr>
        <w:t xml:space="preserve">016 </w:t>
      </w:r>
      <w:r w:rsidR="00EE51B8" w:rsidRPr="00030280">
        <w:rPr>
          <w:bCs/>
          <w:color w:val="000000" w:themeColor="text1"/>
        </w:rPr>
        <w:t>m</w:t>
      </w:r>
      <w:r w:rsidR="00EE51B8" w:rsidRPr="00030280">
        <w:rPr>
          <w:bCs/>
          <w:caps/>
          <w:color w:val="000000" w:themeColor="text1"/>
        </w:rPr>
        <w:t xml:space="preserve">. </w:t>
      </w:r>
      <w:r w:rsidR="00EE51B8" w:rsidRPr="00030280">
        <w:rPr>
          <w:bCs/>
          <w:color w:val="000000" w:themeColor="text1"/>
        </w:rPr>
        <w:t xml:space="preserve">lapkričio 7 d. įsakymo Nr. D1-738 „Dėl statybos techninio reglamento STR 1.04.04:2017 „Statinio projektavimas, projekto ekspertizė“ patvirtinimo“ </w:t>
      </w:r>
      <w:r w:rsidR="00EE51B8" w:rsidRPr="00030280">
        <w:rPr>
          <w:color w:val="000000" w:themeColor="text1"/>
        </w:rPr>
        <w:t>pakeitimo projekt</w:t>
      </w:r>
      <w:r w:rsidR="0056357B" w:rsidRPr="00030280">
        <w:rPr>
          <w:color w:val="000000" w:themeColor="text1"/>
        </w:rPr>
        <w:t>ą</w:t>
      </w:r>
      <w:r w:rsidR="00492A85" w:rsidRPr="00030280">
        <w:rPr>
          <w:color w:val="000000" w:themeColor="text1"/>
        </w:rPr>
        <w:t xml:space="preserve"> (toliau – įsakymo projektas)</w:t>
      </w:r>
      <w:r w:rsidR="00EE51B8" w:rsidRPr="00030280">
        <w:rPr>
          <w:color w:val="000000" w:themeColor="text1"/>
        </w:rPr>
        <w:t>.</w:t>
      </w:r>
      <w:r w:rsidR="00EE51B8" w:rsidRPr="00030280">
        <w:rPr>
          <w:b/>
          <w:color w:val="000000" w:themeColor="text1"/>
        </w:rPr>
        <w:t xml:space="preserve"> </w:t>
      </w:r>
    </w:p>
    <w:p w:rsidR="00492A85" w:rsidRPr="00030280" w:rsidRDefault="00473C12" w:rsidP="0056357B">
      <w:pPr>
        <w:spacing w:line="340" w:lineRule="atLeast"/>
        <w:ind w:firstLine="567"/>
        <w:jc w:val="both"/>
        <w:rPr>
          <w:color w:val="000000" w:themeColor="text1"/>
        </w:rPr>
      </w:pPr>
      <w:r w:rsidRPr="00030280">
        <w:rPr>
          <w:color w:val="000000" w:themeColor="text1"/>
        </w:rPr>
        <w:t xml:space="preserve">Įsakymo projekte </w:t>
      </w:r>
      <w:r w:rsidR="00492A85" w:rsidRPr="00030280">
        <w:rPr>
          <w:color w:val="000000" w:themeColor="text1"/>
        </w:rPr>
        <w:t xml:space="preserve">siūloma: </w:t>
      </w:r>
    </w:p>
    <w:p w:rsidR="00CB4E61" w:rsidRPr="00030280" w:rsidRDefault="00473C12" w:rsidP="0056357B">
      <w:pPr>
        <w:spacing w:line="340" w:lineRule="atLeast"/>
        <w:ind w:firstLine="567"/>
        <w:jc w:val="both"/>
      </w:pPr>
      <w:r w:rsidRPr="00030280">
        <w:rPr>
          <w:rFonts w:cs="Times New Roman"/>
          <w:color w:val="000000" w:themeColor="text1"/>
        </w:rPr>
        <w:t>1)</w:t>
      </w:r>
      <w:r w:rsidR="00CB4E61" w:rsidRPr="00030280">
        <w:rPr>
          <w:rFonts w:cs="Times New Roman"/>
          <w:color w:val="000000" w:themeColor="text1"/>
        </w:rPr>
        <w:t xml:space="preserve"> reglament</w:t>
      </w:r>
      <w:r w:rsidR="00B9706E" w:rsidRPr="00030280">
        <w:rPr>
          <w:rFonts w:cs="Times New Roman"/>
          <w:color w:val="000000" w:themeColor="text1"/>
        </w:rPr>
        <w:t>o IX skyrių</w:t>
      </w:r>
      <w:r w:rsidR="00CB4E61" w:rsidRPr="00030280">
        <w:rPr>
          <w:rFonts w:cs="Times New Roman"/>
          <w:color w:val="000000" w:themeColor="text1"/>
        </w:rPr>
        <w:t xml:space="preserve"> papildyti nauju skirsniu</w:t>
      </w:r>
      <w:r w:rsidR="00B9706E" w:rsidRPr="00030280">
        <w:rPr>
          <w:rFonts w:cs="Times New Roman"/>
          <w:color w:val="000000" w:themeColor="text1"/>
        </w:rPr>
        <w:t>,</w:t>
      </w:r>
      <w:r w:rsidRPr="00030280">
        <w:rPr>
          <w:rFonts w:cs="Times New Roman"/>
          <w:color w:val="000000" w:themeColor="text1"/>
        </w:rPr>
        <w:t xml:space="preserve"> </w:t>
      </w:r>
      <w:r w:rsidR="00CB4E61" w:rsidRPr="00030280">
        <w:rPr>
          <w:rFonts w:cs="Times New Roman"/>
          <w:color w:val="000000" w:themeColor="text1"/>
        </w:rPr>
        <w:t>nustatančiu</w:t>
      </w:r>
      <w:r w:rsidR="00CB4E61" w:rsidRPr="00030280">
        <w:t xml:space="preserve">  Lietuvos Respublikos statybos įstatymo 1 priede apibrėžtai įmokai už savavališką statybą įteisinti atliekamos statinio ar statinio projekto ekspertizės reikalavimus; </w:t>
      </w:r>
    </w:p>
    <w:p w:rsidR="00CB4E61" w:rsidRPr="00030280" w:rsidRDefault="00017EAF" w:rsidP="0056357B">
      <w:pPr>
        <w:spacing w:line="340" w:lineRule="atLeast"/>
        <w:ind w:firstLine="567"/>
        <w:jc w:val="both"/>
      </w:pPr>
      <w:r w:rsidRPr="00030280">
        <w:t>2</w:t>
      </w:r>
      <w:r w:rsidR="00CB4E61" w:rsidRPr="00030280">
        <w:t xml:space="preserve">) reglamento 4 priedą „Visuomenei svarbių </w:t>
      </w:r>
      <w:r w:rsidRPr="00030280">
        <w:t>statinių (jų dalių) sąrašas</w:t>
      </w:r>
      <w:r w:rsidR="006B7706" w:rsidRPr="00030280">
        <w:t>“</w:t>
      </w:r>
      <w:r w:rsidR="00CB4E61" w:rsidRPr="00030280">
        <w:t xml:space="preserve"> </w:t>
      </w:r>
      <w:r w:rsidRPr="00030280">
        <w:t>papildyti nauj</w:t>
      </w:r>
      <w:r w:rsidR="006B7706" w:rsidRPr="00030280">
        <w:t>omis statinių pagal paskirtį grupėmis;</w:t>
      </w:r>
      <w:r w:rsidRPr="00030280">
        <w:t xml:space="preserve"> </w:t>
      </w:r>
    </w:p>
    <w:p w:rsidR="00473C12" w:rsidRPr="00030280" w:rsidRDefault="00017EAF" w:rsidP="0056357B">
      <w:pPr>
        <w:spacing w:line="340" w:lineRule="atLeast"/>
        <w:ind w:firstLine="567"/>
        <w:jc w:val="both"/>
        <w:rPr>
          <w:rFonts w:cs="Times New Roman"/>
          <w:color w:val="000000" w:themeColor="text1"/>
        </w:rPr>
      </w:pPr>
      <w:r w:rsidRPr="00030280">
        <w:rPr>
          <w:rFonts w:cs="Times New Roman"/>
          <w:color w:val="000000" w:themeColor="text1"/>
        </w:rPr>
        <w:t xml:space="preserve">3) </w:t>
      </w:r>
      <w:r w:rsidR="00CB4E61" w:rsidRPr="00030280">
        <w:rPr>
          <w:rFonts w:cs="Times New Roman"/>
          <w:color w:val="000000" w:themeColor="text1"/>
        </w:rPr>
        <w:t xml:space="preserve">reglamentą </w:t>
      </w:r>
      <w:r w:rsidR="00473C12" w:rsidRPr="00030280">
        <w:rPr>
          <w:rFonts w:cs="Times New Roman"/>
          <w:color w:val="000000" w:themeColor="text1"/>
        </w:rPr>
        <w:t>papildyti 17 priedu „</w:t>
      </w:r>
      <w:r w:rsidR="00473C12" w:rsidRPr="00030280">
        <w:rPr>
          <w:rStyle w:val="LLCTekstas"/>
          <w:rFonts w:cs="Times New Roman"/>
        </w:rPr>
        <w:t xml:space="preserve">Vandens (jūrų) uosto ir laivininkystės statinio projekto rengimo tvarkos aprašas“, </w:t>
      </w:r>
      <w:r w:rsidR="00473C12" w:rsidRPr="00030280">
        <w:rPr>
          <w:rFonts w:cs="Times New Roman"/>
          <w:color w:val="000000" w:themeColor="text1"/>
        </w:rPr>
        <w:t xml:space="preserve">reglamentuojančiu </w:t>
      </w:r>
      <w:r w:rsidR="00473C12" w:rsidRPr="00030280">
        <w:rPr>
          <w:rStyle w:val="LLCTekstas"/>
          <w:rFonts w:cs="Times New Roman"/>
        </w:rPr>
        <w:t xml:space="preserve">techninio projekto, darbo projekto dalių sudėtį rengiant </w:t>
      </w:r>
      <w:r w:rsidR="00473C12" w:rsidRPr="00030280">
        <w:rPr>
          <w:rStyle w:val="Bodytext2"/>
          <w:rFonts w:eastAsiaTheme="majorEastAsia" w:cs="Times New Roman"/>
        </w:rPr>
        <w:t>vandens (jūrų) uosto ir laivininkystės statinių</w:t>
      </w:r>
      <w:r w:rsidR="00473C12" w:rsidRPr="00030280">
        <w:rPr>
          <w:rStyle w:val="LLCTekstas"/>
          <w:rFonts w:cs="Times New Roman"/>
        </w:rPr>
        <w:t xml:space="preserve"> naujos statybos, rekonstravimo ir kapitalinio remonto projektus;</w:t>
      </w:r>
      <w:r w:rsidR="00473C12" w:rsidRPr="00030280">
        <w:rPr>
          <w:rFonts w:cs="Times New Roman"/>
          <w:color w:val="000000" w:themeColor="text1"/>
        </w:rPr>
        <w:t xml:space="preserve"> </w:t>
      </w:r>
    </w:p>
    <w:p w:rsidR="00CB4E61" w:rsidRPr="00030280" w:rsidRDefault="00017EAF" w:rsidP="0056357B">
      <w:pPr>
        <w:spacing w:line="340" w:lineRule="atLeast"/>
        <w:ind w:firstLine="567"/>
        <w:jc w:val="both"/>
        <w:rPr>
          <w:rFonts w:cs="Times New Roman"/>
        </w:rPr>
      </w:pPr>
      <w:r w:rsidRPr="00030280">
        <w:rPr>
          <w:rFonts w:cs="Times New Roman"/>
          <w:color w:val="000000" w:themeColor="text1"/>
        </w:rPr>
        <w:t>4</w:t>
      </w:r>
      <w:r w:rsidR="00473C12" w:rsidRPr="00030280">
        <w:rPr>
          <w:rFonts w:cs="Times New Roman"/>
          <w:color w:val="000000" w:themeColor="text1"/>
        </w:rPr>
        <w:t xml:space="preserve">) </w:t>
      </w:r>
      <w:r w:rsidR="00CB4E61" w:rsidRPr="00030280">
        <w:rPr>
          <w:rFonts w:cs="Times New Roman"/>
          <w:color w:val="000000" w:themeColor="text1"/>
        </w:rPr>
        <w:t xml:space="preserve"> reglamentą </w:t>
      </w:r>
      <w:r w:rsidR="00473C12" w:rsidRPr="00030280">
        <w:rPr>
          <w:rFonts w:cs="Times New Roman"/>
          <w:color w:val="000000" w:themeColor="text1"/>
        </w:rPr>
        <w:t>papildyti 18 priedu „Statybos techninės priežiūros laiko skaičiavimas pagal objektus“, reglamentuojančiu</w:t>
      </w:r>
      <w:r w:rsidR="006B7706" w:rsidRPr="00030280">
        <w:rPr>
          <w:rFonts w:cs="Times New Roman"/>
          <w:color w:val="000000" w:themeColor="text1"/>
        </w:rPr>
        <w:t xml:space="preserve"> statinio statybos techninei priežiūrai skiriam</w:t>
      </w:r>
      <w:r w:rsidR="00B9706E" w:rsidRPr="00030280">
        <w:rPr>
          <w:rFonts w:cs="Times New Roman"/>
          <w:color w:val="000000" w:themeColor="text1"/>
        </w:rPr>
        <w:t>ą</w:t>
      </w:r>
      <w:r w:rsidR="006B7706" w:rsidRPr="00030280">
        <w:rPr>
          <w:rFonts w:cs="Times New Roman"/>
          <w:color w:val="000000" w:themeColor="text1"/>
        </w:rPr>
        <w:t xml:space="preserve"> </w:t>
      </w:r>
      <w:r w:rsidR="00473C12" w:rsidRPr="00030280">
        <w:rPr>
          <w:rFonts w:cs="Times New Roman"/>
        </w:rPr>
        <w:t>minimal</w:t>
      </w:r>
      <w:r w:rsidR="00B9706E" w:rsidRPr="00030280">
        <w:rPr>
          <w:rFonts w:cs="Times New Roman"/>
        </w:rPr>
        <w:t>ų</w:t>
      </w:r>
      <w:r w:rsidR="00473C12" w:rsidRPr="00030280">
        <w:rPr>
          <w:rFonts w:cs="Times New Roman"/>
        </w:rPr>
        <w:t xml:space="preserve"> laik</w:t>
      </w:r>
      <w:r w:rsidR="00B9706E" w:rsidRPr="00030280">
        <w:rPr>
          <w:rFonts w:cs="Times New Roman"/>
        </w:rPr>
        <w:t>ą</w:t>
      </w:r>
      <w:r w:rsidR="00473C12" w:rsidRPr="00030280">
        <w:rPr>
          <w:rFonts w:cs="Times New Roman"/>
        </w:rPr>
        <w:t xml:space="preserve"> pagal </w:t>
      </w:r>
      <w:r w:rsidRPr="00030280">
        <w:rPr>
          <w:rFonts w:cs="Times New Roman"/>
        </w:rPr>
        <w:t>konkreči</w:t>
      </w:r>
      <w:r w:rsidR="00B9706E" w:rsidRPr="00030280">
        <w:rPr>
          <w:rFonts w:cs="Times New Roman"/>
        </w:rPr>
        <w:t>ą</w:t>
      </w:r>
      <w:r w:rsidRPr="00030280">
        <w:rPr>
          <w:rFonts w:cs="Times New Roman"/>
        </w:rPr>
        <w:t xml:space="preserve"> </w:t>
      </w:r>
      <w:r w:rsidR="00B9706E" w:rsidRPr="00030280">
        <w:rPr>
          <w:rFonts w:cs="Times New Roman"/>
        </w:rPr>
        <w:t xml:space="preserve">statinio </w:t>
      </w:r>
      <w:r w:rsidRPr="00030280">
        <w:rPr>
          <w:rFonts w:cs="Times New Roman"/>
        </w:rPr>
        <w:t>paskir</w:t>
      </w:r>
      <w:r w:rsidR="00B9706E" w:rsidRPr="00030280">
        <w:rPr>
          <w:rFonts w:cs="Times New Roman"/>
        </w:rPr>
        <w:t>tį</w:t>
      </w:r>
      <w:r w:rsidR="00473C12" w:rsidRPr="00030280">
        <w:rPr>
          <w:rFonts w:cs="Times New Roman"/>
        </w:rPr>
        <w:t>.</w:t>
      </w:r>
      <w:r w:rsidR="00473C12" w:rsidRPr="00030280">
        <w:rPr>
          <w:rFonts w:cs="Times New Roman"/>
          <w:color w:val="000000" w:themeColor="text1"/>
        </w:rPr>
        <w:t xml:space="preserve"> </w:t>
      </w:r>
      <w:r w:rsidR="00473C12" w:rsidRPr="00030280">
        <w:rPr>
          <w:rFonts w:cs="Times New Roman"/>
        </w:rPr>
        <w:t>Keičiamas reglamentavimas leis</w:t>
      </w:r>
      <w:r w:rsidR="006B7706" w:rsidRPr="00030280">
        <w:rPr>
          <w:rFonts w:cs="Times New Roman"/>
        </w:rPr>
        <w:t>tų</w:t>
      </w:r>
      <w:r w:rsidR="00473C12" w:rsidRPr="00030280">
        <w:rPr>
          <w:rFonts w:cs="Times New Roman"/>
        </w:rPr>
        <w:t xml:space="preserve">  statytojui (užsakovui) įvertinti jo </w:t>
      </w:r>
      <w:r w:rsidRPr="00030280">
        <w:rPr>
          <w:rFonts w:cs="Times New Roman"/>
        </w:rPr>
        <w:t xml:space="preserve">statiniui </w:t>
      </w:r>
      <w:r w:rsidR="00B9706E" w:rsidRPr="00030280">
        <w:rPr>
          <w:rFonts w:cs="Times New Roman"/>
        </w:rPr>
        <w:t xml:space="preserve">būtiną </w:t>
      </w:r>
      <w:r w:rsidRPr="00030280">
        <w:rPr>
          <w:rFonts w:cs="Times New Roman"/>
        </w:rPr>
        <w:t xml:space="preserve">statybos </w:t>
      </w:r>
      <w:r w:rsidR="00473C12" w:rsidRPr="00030280">
        <w:rPr>
          <w:rFonts w:cs="Times New Roman"/>
        </w:rPr>
        <w:t xml:space="preserve">techninės priežiūros valandų skaičių ir pasirinkti </w:t>
      </w:r>
      <w:r w:rsidRPr="00030280">
        <w:rPr>
          <w:rFonts w:cs="Times New Roman"/>
        </w:rPr>
        <w:t xml:space="preserve">statinio statybos </w:t>
      </w:r>
      <w:r w:rsidR="00473C12" w:rsidRPr="00030280">
        <w:rPr>
          <w:rFonts w:cs="Times New Roman"/>
        </w:rPr>
        <w:t xml:space="preserve">techninį prižiūrėtoją, kurio </w:t>
      </w:r>
      <w:r w:rsidRPr="00030280">
        <w:rPr>
          <w:rFonts w:cs="Times New Roman"/>
        </w:rPr>
        <w:t>prižiūrimų statinių</w:t>
      </w:r>
      <w:r w:rsidR="00473C12" w:rsidRPr="00030280">
        <w:rPr>
          <w:rFonts w:cs="Times New Roman"/>
        </w:rPr>
        <w:t xml:space="preserve"> skaičius neviršys </w:t>
      </w:r>
      <w:r w:rsidR="00B9706E" w:rsidRPr="00030280">
        <w:rPr>
          <w:rFonts w:cs="Times New Roman"/>
        </w:rPr>
        <w:t>jo</w:t>
      </w:r>
      <w:r w:rsidR="00473C12" w:rsidRPr="00030280">
        <w:rPr>
          <w:rFonts w:cs="Times New Roman"/>
        </w:rPr>
        <w:t xml:space="preserve"> galimų laiko resursų ir užtikrins kokybišką paslaugos teikimą. </w:t>
      </w:r>
      <w:r w:rsidRPr="00030280">
        <w:rPr>
          <w:rFonts w:cs="Times New Roman"/>
        </w:rPr>
        <w:t>I</w:t>
      </w:r>
      <w:r w:rsidR="00473C12" w:rsidRPr="00030280">
        <w:rPr>
          <w:rFonts w:cs="Times New Roman"/>
        </w:rPr>
        <w:t>nformacinėje sistemoje „</w:t>
      </w:r>
      <w:proofErr w:type="spellStart"/>
      <w:r w:rsidR="00473C12" w:rsidRPr="00030280">
        <w:rPr>
          <w:rFonts w:cs="Times New Roman"/>
        </w:rPr>
        <w:t>Infostatyba</w:t>
      </w:r>
      <w:proofErr w:type="spellEnd"/>
      <w:r w:rsidR="00473C12" w:rsidRPr="00030280">
        <w:rPr>
          <w:rFonts w:cs="Times New Roman"/>
        </w:rPr>
        <w:t xml:space="preserve">“ viešai atveriami </w:t>
      </w:r>
      <w:r w:rsidRPr="00030280">
        <w:rPr>
          <w:rFonts w:cs="Times New Roman"/>
        </w:rPr>
        <w:t xml:space="preserve">statinio statybos </w:t>
      </w:r>
      <w:r w:rsidR="00473C12" w:rsidRPr="00030280">
        <w:rPr>
          <w:rFonts w:cs="Times New Roman"/>
        </w:rPr>
        <w:t xml:space="preserve">techninio prižiūrėtojo </w:t>
      </w:r>
      <w:r w:rsidRPr="00030280">
        <w:rPr>
          <w:rFonts w:cs="Times New Roman"/>
        </w:rPr>
        <w:t>prižiūrimų statinių</w:t>
      </w:r>
      <w:r w:rsidR="00473C12" w:rsidRPr="00030280">
        <w:rPr>
          <w:rFonts w:cs="Times New Roman"/>
        </w:rPr>
        <w:t xml:space="preserve"> ir laiko resursų duomenys užtikrin</w:t>
      </w:r>
      <w:r w:rsidR="006B7706" w:rsidRPr="00030280">
        <w:rPr>
          <w:rFonts w:cs="Times New Roman"/>
        </w:rPr>
        <w:t>tų</w:t>
      </w:r>
      <w:r w:rsidR="00473C12" w:rsidRPr="00030280">
        <w:rPr>
          <w:rFonts w:cs="Times New Roman"/>
        </w:rPr>
        <w:t xml:space="preserve"> sąžiningą ir atsakingą konkurenciją</w:t>
      </w:r>
      <w:r w:rsidR="00CB4E61" w:rsidRPr="00030280">
        <w:rPr>
          <w:rFonts w:cs="Times New Roman"/>
        </w:rPr>
        <w:t>;</w:t>
      </w:r>
    </w:p>
    <w:p w:rsidR="00BB0891" w:rsidRPr="00030280" w:rsidRDefault="00017EAF" w:rsidP="0056357B">
      <w:pPr>
        <w:spacing w:line="340" w:lineRule="atLeast"/>
        <w:ind w:firstLine="567"/>
        <w:jc w:val="both"/>
        <w:rPr>
          <w:color w:val="000000" w:themeColor="text1"/>
        </w:rPr>
      </w:pPr>
      <w:r w:rsidRPr="00030280">
        <w:rPr>
          <w:rFonts w:cs="Times New Roman"/>
        </w:rPr>
        <w:t>5</w:t>
      </w:r>
      <w:r w:rsidR="00CB4E61" w:rsidRPr="00030280">
        <w:rPr>
          <w:rFonts w:cs="Times New Roman"/>
        </w:rPr>
        <w:t xml:space="preserve">) </w:t>
      </w:r>
      <w:r w:rsidRPr="00030280">
        <w:rPr>
          <w:rFonts w:cs="Times New Roman"/>
        </w:rPr>
        <w:t>reglamento 8 priedą papildyti</w:t>
      </w:r>
      <w:r w:rsidR="006B7706" w:rsidRPr="00030280">
        <w:rPr>
          <w:rFonts w:cs="Times New Roman"/>
        </w:rPr>
        <w:t xml:space="preserve"> </w:t>
      </w:r>
      <w:r w:rsidR="006B7706" w:rsidRPr="00030280">
        <w:rPr>
          <w:rStyle w:val="LLCTekstas"/>
        </w:rPr>
        <w:t>2.21 papunkčiu</w:t>
      </w:r>
      <w:r w:rsidR="006B7706" w:rsidRPr="00030280">
        <w:rPr>
          <w:color w:val="000000" w:themeColor="text1"/>
        </w:rPr>
        <w:t xml:space="preserve"> „gaisrų gesinimo</w:t>
      </w:r>
      <w:r w:rsidR="00FB2472" w:rsidRPr="00030280">
        <w:rPr>
          <w:color w:val="000000" w:themeColor="text1"/>
        </w:rPr>
        <w:t xml:space="preserve"> sistema“, reglamentuojančiu techninio projekto papildymą nauja sudėtine dalimi; papildyti</w:t>
      </w:r>
      <w:r w:rsidR="006B7706" w:rsidRPr="00030280">
        <w:rPr>
          <w:color w:val="000000" w:themeColor="text1"/>
        </w:rPr>
        <w:t xml:space="preserve"> </w:t>
      </w:r>
      <w:r w:rsidRPr="00030280">
        <w:rPr>
          <w:color w:val="000000" w:themeColor="text1"/>
        </w:rPr>
        <w:t>dvidešimt pirmuoju skirsniu „Gaisrų gesinimo sistem</w:t>
      </w:r>
      <w:r w:rsidR="00FB2472" w:rsidRPr="00030280">
        <w:rPr>
          <w:color w:val="000000" w:themeColor="text1"/>
        </w:rPr>
        <w:t>os dalis</w:t>
      </w:r>
      <w:r w:rsidRPr="00030280">
        <w:rPr>
          <w:color w:val="000000" w:themeColor="text1"/>
        </w:rPr>
        <w:t>“</w:t>
      </w:r>
      <w:r w:rsidR="007F0C47" w:rsidRPr="00030280">
        <w:rPr>
          <w:color w:val="000000" w:themeColor="text1"/>
        </w:rPr>
        <w:t xml:space="preserve">, reglamentuojančiu </w:t>
      </w:r>
      <w:r w:rsidR="00FB2472" w:rsidRPr="00030280">
        <w:rPr>
          <w:color w:val="000000" w:themeColor="text1"/>
        </w:rPr>
        <w:t xml:space="preserve">šios </w:t>
      </w:r>
      <w:r w:rsidR="007F0C47" w:rsidRPr="00030280">
        <w:rPr>
          <w:color w:val="000000" w:themeColor="text1"/>
        </w:rPr>
        <w:t xml:space="preserve">techninio projekto </w:t>
      </w:r>
      <w:r w:rsidR="00FB2472" w:rsidRPr="00030280">
        <w:rPr>
          <w:color w:val="000000" w:themeColor="text1"/>
        </w:rPr>
        <w:t>dalies sudėtį;</w:t>
      </w:r>
      <w:r w:rsidR="00BB0891" w:rsidRPr="00030280">
        <w:rPr>
          <w:color w:val="000000" w:themeColor="text1"/>
        </w:rPr>
        <w:t xml:space="preserve"> </w:t>
      </w:r>
    </w:p>
    <w:p w:rsidR="00473C12" w:rsidRPr="00030280" w:rsidRDefault="00BB0891" w:rsidP="0056357B">
      <w:pPr>
        <w:spacing w:line="340" w:lineRule="atLeast"/>
        <w:ind w:firstLine="567"/>
        <w:jc w:val="both"/>
        <w:rPr>
          <w:rFonts w:cs="Times New Roman"/>
          <w:color w:val="000000" w:themeColor="text1"/>
        </w:rPr>
      </w:pPr>
      <w:r w:rsidRPr="00030280">
        <w:rPr>
          <w:color w:val="000000" w:themeColor="text1"/>
        </w:rPr>
        <w:t>6) atlikti su minėtais papildymais ir pakeitimais susijusius</w:t>
      </w:r>
      <w:r w:rsidR="00017EAF" w:rsidRPr="00030280">
        <w:rPr>
          <w:color w:val="000000" w:themeColor="text1"/>
        </w:rPr>
        <w:t xml:space="preserve"> </w:t>
      </w:r>
      <w:r w:rsidRPr="00030280">
        <w:rPr>
          <w:color w:val="000000" w:themeColor="text1"/>
        </w:rPr>
        <w:t>kitus reglamento redakcini</w:t>
      </w:r>
      <w:r w:rsidR="00B9706E" w:rsidRPr="00030280">
        <w:rPr>
          <w:color w:val="000000" w:themeColor="text1"/>
        </w:rPr>
        <w:t>us</w:t>
      </w:r>
      <w:r w:rsidRPr="00030280">
        <w:rPr>
          <w:color w:val="000000" w:themeColor="text1"/>
        </w:rPr>
        <w:t xml:space="preserve"> pataisymus</w:t>
      </w:r>
      <w:r w:rsidR="006B7706" w:rsidRPr="00030280">
        <w:rPr>
          <w:color w:val="000000" w:themeColor="text1"/>
        </w:rPr>
        <w:t>, papildyti reglamento Nuorodų skyrių naujais teisės aktais.</w:t>
      </w:r>
      <w:r w:rsidRPr="00030280">
        <w:rPr>
          <w:color w:val="000000" w:themeColor="text1"/>
        </w:rPr>
        <w:t xml:space="preserve"> </w:t>
      </w:r>
      <w:r w:rsidR="00017EAF" w:rsidRPr="00030280">
        <w:rPr>
          <w:color w:val="000000" w:themeColor="text1"/>
        </w:rPr>
        <w:t xml:space="preserve"> </w:t>
      </w:r>
    </w:p>
    <w:p w:rsidR="00FB76D6" w:rsidRPr="00030280" w:rsidRDefault="00D2764D" w:rsidP="0056357B">
      <w:pPr>
        <w:spacing w:line="340" w:lineRule="atLeast"/>
        <w:ind w:firstLine="567"/>
        <w:jc w:val="both"/>
        <w:rPr>
          <w:color w:val="000000" w:themeColor="text1"/>
        </w:rPr>
      </w:pPr>
      <w:r w:rsidRPr="00030280">
        <w:rPr>
          <w:color w:val="000000" w:themeColor="text1"/>
        </w:rPr>
        <w:t xml:space="preserve">Įsakymo projektas su institucijomis ir visuomene derinamas skelbiant jį Lietuvos Respublikos Seimo teisės aktų informacinės sistemos Projektų registravimo posistemėje (TAIS). Kitų </w:t>
      </w:r>
      <w:r w:rsidRPr="00030280">
        <w:rPr>
          <w:color w:val="000000" w:themeColor="text1"/>
        </w:rPr>
        <w:lastRenderedPageBreak/>
        <w:t xml:space="preserve">konsultavimosi būdų su visuomene nenumatoma. </w:t>
      </w:r>
      <w:r w:rsidR="00473C12" w:rsidRPr="00030280">
        <w:rPr>
          <w:color w:val="000000" w:themeColor="text1"/>
        </w:rPr>
        <w:t>P</w:t>
      </w:r>
      <w:r w:rsidRPr="00030280">
        <w:rPr>
          <w:color w:val="000000" w:themeColor="text1"/>
        </w:rPr>
        <w:t>astabas ir pasiūlymus įsakymo projekt</w:t>
      </w:r>
      <w:r w:rsidR="00582D99" w:rsidRPr="00030280">
        <w:rPr>
          <w:color w:val="000000" w:themeColor="text1"/>
        </w:rPr>
        <w:t>ui</w:t>
      </w:r>
      <w:r w:rsidRPr="00030280">
        <w:rPr>
          <w:color w:val="000000" w:themeColor="text1"/>
        </w:rPr>
        <w:t xml:space="preserve"> prašome</w:t>
      </w:r>
      <w:r w:rsidR="00473C12" w:rsidRPr="00030280">
        <w:rPr>
          <w:color w:val="000000" w:themeColor="text1"/>
        </w:rPr>
        <w:t xml:space="preserve"> teikti </w:t>
      </w:r>
      <w:r w:rsidR="00473C12" w:rsidRPr="00030280">
        <w:rPr>
          <w:noProof/>
        </w:rPr>
        <w:t xml:space="preserve">per </w:t>
      </w:r>
      <w:r w:rsidR="00473C12" w:rsidRPr="00030280">
        <w:rPr>
          <w:bCs/>
          <w:noProof/>
        </w:rPr>
        <w:t>10 darbo dienų</w:t>
      </w:r>
      <w:r w:rsidR="00473C12" w:rsidRPr="00030280">
        <w:rPr>
          <w:noProof/>
        </w:rPr>
        <w:t xml:space="preserve"> nuo </w:t>
      </w:r>
      <w:r w:rsidR="00FB76D6" w:rsidRPr="00030280">
        <w:rPr>
          <w:noProof/>
        </w:rPr>
        <w:t>jo</w:t>
      </w:r>
      <w:r w:rsidR="00473C12" w:rsidRPr="00030280">
        <w:rPr>
          <w:noProof/>
        </w:rPr>
        <w:t xml:space="preserve"> paskelbimo TAIS</w:t>
      </w:r>
      <w:r w:rsidRPr="00030280">
        <w:rPr>
          <w:color w:val="000000" w:themeColor="text1"/>
        </w:rPr>
        <w:t>.</w:t>
      </w:r>
      <w:r w:rsidR="00473C12" w:rsidRPr="00030280">
        <w:rPr>
          <w:color w:val="000000" w:themeColor="text1"/>
        </w:rPr>
        <w:t xml:space="preserve"> </w:t>
      </w:r>
    </w:p>
    <w:p w:rsidR="00D2764D" w:rsidRPr="00030280" w:rsidRDefault="00D2764D" w:rsidP="0056357B">
      <w:pPr>
        <w:spacing w:line="340" w:lineRule="atLeast"/>
        <w:ind w:firstLine="567"/>
        <w:jc w:val="both"/>
      </w:pPr>
      <w:r w:rsidRPr="00030280">
        <w:rPr>
          <w:color w:val="000000" w:themeColor="text1"/>
        </w:rPr>
        <w:t xml:space="preserve">Įsakymo projektą parengė Aplinkos ministerijos Statybos ir teritorijų planavimo departamento (direktorius Marius Narmontas, tel. 8~706 63608, el. p. </w:t>
      </w:r>
      <w:hyperlink r:id="rId9" w:history="1">
        <w:r w:rsidRPr="00030280">
          <w:rPr>
            <w:rStyle w:val="Hyperlink"/>
            <w:color w:val="000000" w:themeColor="text1"/>
            <w:u w:val="none"/>
          </w:rPr>
          <w:t>marius.narmontas@am.lt</w:t>
        </w:r>
      </w:hyperlink>
      <w:r w:rsidRPr="00030280">
        <w:rPr>
          <w:color w:val="000000" w:themeColor="text1"/>
        </w:rPr>
        <w:t xml:space="preserve">) Statybos normavimo skyriaus </w:t>
      </w:r>
      <w:r w:rsidR="000C79F5" w:rsidRPr="00030280">
        <w:rPr>
          <w:color w:val="000000" w:themeColor="text1"/>
        </w:rPr>
        <w:t>(</w:t>
      </w:r>
      <w:r w:rsidRPr="00030280">
        <w:rPr>
          <w:color w:val="000000" w:themeColor="text1"/>
        </w:rPr>
        <w:t xml:space="preserve">vedėjas </w:t>
      </w:r>
      <w:r w:rsidR="006B7706" w:rsidRPr="00030280">
        <w:rPr>
          <w:color w:val="000000" w:themeColor="text1"/>
        </w:rPr>
        <w:t>Mindaugas Stepanas</w:t>
      </w:r>
      <w:r w:rsidRPr="00030280">
        <w:rPr>
          <w:color w:val="000000" w:themeColor="text1"/>
        </w:rPr>
        <w:t xml:space="preserve"> (tel. </w:t>
      </w:r>
      <w:r w:rsidR="006B7706" w:rsidRPr="00030280">
        <w:rPr>
          <w:color w:val="000000" w:themeColor="text1"/>
        </w:rPr>
        <w:t>8~706 63577</w:t>
      </w:r>
      <w:r w:rsidRPr="00030280">
        <w:rPr>
          <w:color w:val="000000" w:themeColor="text1"/>
        </w:rPr>
        <w:t xml:space="preserve">, el. p. </w:t>
      </w:r>
      <w:proofErr w:type="spellStart"/>
      <w:r w:rsidR="006B7706" w:rsidRPr="00030280">
        <w:rPr>
          <w:color w:val="000000" w:themeColor="text1"/>
        </w:rPr>
        <w:t>mindaugas.stepanas@am.lt</w:t>
      </w:r>
      <w:proofErr w:type="spellEnd"/>
      <w:r w:rsidR="006B7706" w:rsidRPr="00030280">
        <w:rPr>
          <w:color w:val="000000" w:themeColor="text1"/>
        </w:rPr>
        <w:t>)</w:t>
      </w:r>
      <w:r w:rsidRPr="00030280">
        <w:rPr>
          <w:color w:val="000000" w:themeColor="text1"/>
        </w:rPr>
        <w:t xml:space="preserve"> vyriausioji specialistė Vilia Kriaučiukaitė (tel. 8~706 63579, el. p. </w:t>
      </w:r>
      <w:hyperlink r:id="rId10" w:history="1">
        <w:r w:rsidR="006B7706" w:rsidRPr="00030280">
          <w:rPr>
            <w:rStyle w:val="Hyperlink"/>
            <w:color w:val="auto"/>
            <w:u w:val="none"/>
          </w:rPr>
          <w:t>vilia.kriauciukaite@am.lt</w:t>
        </w:r>
      </w:hyperlink>
      <w:r w:rsidRPr="00030280">
        <w:t>).</w:t>
      </w:r>
    </w:p>
    <w:p w:rsidR="00A17FAA" w:rsidRPr="00030280" w:rsidRDefault="009402A3" w:rsidP="0056357B">
      <w:pPr>
        <w:pStyle w:val="BodyText"/>
        <w:spacing w:line="340" w:lineRule="atLeast"/>
        <w:rPr>
          <w:color w:val="000000" w:themeColor="text1"/>
        </w:rPr>
      </w:pPr>
      <w:r w:rsidRPr="00030280">
        <w:rPr>
          <w:color w:val="000000" w:themeColor="text1"/>
        </w:rPr>
        <w:t>PRIDEDAMA:</w:t>
      </w:r>
    </w:p>
    <w:p w:rsidR="009402A3" w:rsidRDefault="009402A3" w:rsidP="0056357B">
      <w:pPr>
        <w:pStyle w:val="BodyText"/>
        <w:spacing w:line="340" w:lineRule="atLeast"/>
        <w:rPr>
          <w:color w:val="000000" w:themeColor="text1"/>
        </w:rPr>
      </w:pPr>
      <w:r>
        <w:rPr>
          <w:color w:val="000000" w:themeColor="text1"/>
        </w:rPr>
        <w:t xml:space="preserve">1. Įsakymo projektas, </w:t>
      </w:r>
      <w:r w:rsidR="00974A75">
        <w:rPr>
          <w:color w:val="000000" w:themeColor="text1"/>
        </w:rPr>
        <w:t>1</w:t>
      </w:r>
      <w:r w:rsidR="00DA55FD">
        <w:rPr>
          <w:color w:val="000000" w:themeColor="text1"/>
        </w:rPr>
        <w:t>2</w:t>
      </w:r>
      <w:r>
        <w:rPr>
          <w:color w:val="000000" w:themeColor="text1"/>
        </w:rPr>
        <w:t xml:space="preserve"> lap</w:t>
      </w:r>
      <w:r w:rsidR="00974A75">
        <w:rPr>
          <w:color w:val="000000" w:themeColor="text1"/>
        </w:rPr>
        <w:t>ų</w:t>
      </w:r>
      <w:r>
        <w:rPr>
          <w:color w:val="000000" w:themeColor="text1"/>
        </w:rPr>
        <w:t>.</w:t>
      </w:r>
    </w:p>
    <w:p w:rsidR="009402A3" w:rsidRDefault="009402A3" w:rsidP="0056357B">
      <w:pPr>
        <w:pStyle w:val="BodyText"/>
        <w:spacing w:line="340" w:lineRule="atLeast"/>
        <w:rPr>
          <w:color w:val="000000" w:themeColor="text1"/>
        </w:rPr>
      </w:pPr>
      <w:r>
        <w:rPr>
          <w:color w:val="000000" w:themeColor="text1"/>
        </w:rPr>
        <w:t xml:space="preserve">2. Įsakymo projekto lyginamasis variantas, </w:t>
      </w:r>
      <w:r w:rsidR="0096064C">
        <w:rPr>
          <w:color w:val="000000" w:themeColor="text1"/>
        </w:rPr>
        <w:t>1</w:t>
      </w:r>
      <w:r w:rsidR="00DA55FD">
        <w:rPr>
          <w:color w:val="000000" w:themeColor="text1"/>
        </w:rPr>
        <w:t>3</w:t>
      </w:r>
      <w:r>
        <w:rPr>
          <w:color w:val="000000" w:themeColor="text1"/>
        </w:rPr>
        <w:t xml:space="preserve"> lap</w:t>
      </w:r>
      <w:r w:rsidR="0096064C">
        <w:rPr>
          <w:color w:val="000000" w:themeColor="text1"/>
        </w:rPr>
        <w:t>ų</w:t>
      </w:r>
      <w:r w:rsidR="0092063D">
        <w:rPr>
          <w:color w:val="000000" w:themeColor="text1"/>
        </w:rPr>
        <w:t>.</w:t>
      </w:r>
    </w:p>
    <w:p w:rsidR="009402A3" w:rsidRDefault="009402A3" w:rsidP="0056357B">
      <w:pPr>
        <w:pStyle w:val="BodyText"/>
        <w:spacing w:line="340" w:lineRule="atLeast"/>
        <w:rPr>
          <w:color w:val="000000" w:themeColor="text1"/>
        </w:rPr>
      </w:pPr>
      <w:r>
        <w:rPr>
          <w:color w:val="000000" w:themeColor="text1"/>
        </w:rPr>
        <w:t>3. Numatomo teisinio reguliavimo pažyma, 1 lapas.</w:t>
      </w:r>
    </w:p>
    <w:p w:rsidR="009402A3" w:rsidRPr="006C37A0" w:rsidRDefault="009402A3" w:rsidP="0056357B">
      <w:pPr>
        <w:pStyle w:val="BodyText"/>
        <w:spacing w:line="340" w:lineRule="atLeast"/>
        <w:rPr>
          <w:color w:val="000000" w:themeColor="text1"/>
        </w:rPr>
      </w:pPr>
      <w:r>
        <w:rPr>
          <w:color w:val="000000" w:themeColor="text1"/>
        </w:rPr>
        <w:t xml:space="preserve">4. Antikorupcinio vertinimo pažyma, </w:t>
      </w:r>
      <w:r w:rsidR="00974A75">
        <w:rPr>
          <w:color w:val="000000" w:themeColor="text1"/>
        </w:rPr>
        <w:t>3</w:t>
      </w:r>
      <w:r>
        <w:rPr>
          <w:color w:val="000000" w:themeColor="text1"/>
        </w:rPr>
        <w:t xml:space="preserve"> lapai.</w:t>
      </w:r>
    </w:p>
    <w:p w:rsidR="00360506" w:rsidRDefault="00360506" w:rsidP="0056357B">
      <w:pPr>
        <w:pStyle w:val="BodyText"/>
        <w:spacing w:line="340" w:lineRule="atLeast"/>
      </w:pPr>
    </w:p>
    <w:p w:rsidR="00492A85" w:rsidRDefault="00492A85" w:rsidP="0056357B">
      <w:pPr>
        <w:pStyle w:val="BodyText"/>
        <w:spacing w:line="340" w:lineRule="atLeast"/>
      </w:pPr>
    </w:p>
    <w:p w:rsidR="009402A3" w:rsidRDefault="009402A3" w:rsidP="00D2764D">
      <w:pPr>
        <w:pStyle w:val="BodyText"/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:rsidTr="00F31B6A">
        <w:trPr>
          <w:trHeight w:val="340"/>
        </w:trPr>
        <w:tc>
          <w:tcPr>
            <w:tcW w:w="4817" w:type="dxa"/>
            <w:vAlign w:val="bottom"/>
          </w:tcPr>
          <w:p w:rsidR="00796197" w:rsidRDefault="00796197" w:rsidP="00D2764D">
            <w:pPr>
              <w:pStyle w:val="TableContents"/>
            </w:pPr>
            <w:r>
              <w:t xml:space="preserve">Aplinkos </w:t>
            </w:r>
            <w:r w:rsidR="00D2764D">
              <w:t>viceministrė</w:t>
            </w:r>
          </w:p>
        </w:tc>
        <w:tc>
          <w:tcPr>
            <w:tcW w:w="4826" w:type="dxa"/>
            <w:vAlign w:val="bottom"/>
          </w:tcPr>
          <w:p w:rsidR="00796197" w:rsidRDefault="00D2764D" w:rsidP="00D2764D">
            <w:pPr>
              <w:ind w:right="34"/>
              <w:jc w:val="right"/>
            </w:pPr>
            <w:r>
              <w:t>Rėda Brandišauskienė</w:t>
            </w:r>
          </w:p>
        </w:tc>
      </w:tr>
    </w:tbl>
    <w:p w:rsidR="00974A75" w:rsidRDefault="00974A75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p w:rsidR="0056357B" w:rsidRDefault="0056357B" w:rsidP="00D2764D">
      <w:pPr>
        <w:pStyle w:val="BodyText"/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796197" w:rsidTr="00D2764D">
        <w:trPr>
          <w:trHeight w:val="340"/>
        </w:trPr>
        <w:tc>
          <w:tcPr>
            <w:tcW w:w="9643" w:type="dxa"/>
          </w:tcPr>
          <w:p w:rsidR="00796197" w:rsidRDefault="00D2764D" w:rsidP="00D2764D">
            <w:pPr>
              <w:pStyle w:val="TableContents"/>
            </w:pPr>
            <w:r>
              <w:t>V. Kriaučiukaitė</w:t>
            </w:r>
            <w:r w:rsidR="00796197">
              <w:t xml:space="preserve">, </w:t>
            </w:r>
            <w:r>
              <w:t xml:space="preserve"> 8 706 63579</w:t>
            </w:r>
            <w:r w:rsidR="00796197">
              <w:t xml:space="preserve">, el. p. </w:t>
            </w:r>
            <w:r>
              <w:t>vilia.kriauciukaite</w:t>
            </w:r>
            <w:r w:rsidR="00796197">
              <w:t>@am.lt</w:t>
            </w:r>
          </w:p>
        </w:tc>
      </w:tr>
    </w:tbl>
    <w:p w:rsidR="00C9121B" w:rsidRDefault="00C9121B" w:rsidP="001F4592">
      <w:pPr>
        <w:pStyle w:val="BodyText"/>
      </w:pPr>
    </w:p>
    <w:sectPr w:rsidR="00C9121B" w:rsidSect="00292187">
      <w:headerReference w:type="even" r:id="rId11"/>
      <w:headerReference w:type="default" r:id="rId12"/>
      <w:footerReference w:type="defaul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3F" w:rsidRDefault="00687B3F">
      <w:r>
        <w:separator/>
      </w:r>
    </w:p>
  </w:endnote>
  <w:endnote w:type="continuationSeparator" w:id="0">
    <w:p w:rsidR="00687B3F" w:rsidRDefault="006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  <w:p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  <w:p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97" w:rsidRPr="00796197" w:rsidRDefault="00A27E74" w:rsidP="0053170E">
    <w:pPr>
      <w:pStyle w:val="Footer"/>
      <w:jc w:val="right"/>
    </w:pPr>
    <w:r>
      <w:rPr>
        <w:noProof/>
        <w:lang w:eastAsia="lt-LT" w:bidi="ar-SA"/>
      </w:rPr>
      <w:drawing>
        <wp:inline distT="0" distB="0" distL="0" distR="0" wp14:anchorId="0326B54B" wp14:editId="7F05B6BD">
          <wp:extent cx="1880620" cy="664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kurtailietuvai100-horizontalus-logo-tamsus-rgb__c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D04">
      <w:rPr>
        <w:noProof/>
        <w:lang w:eastAsia="lt-LT" w:bidi="ar-SA"/>
      </w:rPr>
      <w:drawing>
        <wp:inline distT="0" distB="0" distL="0" distR="0" wp14:anchorId="19406F38" wp14:editId="57F779CE">
          <wp:extent cx="467995" cy="775335"/>
          <wp:effectExtent l="19050" t="0" r="8255" b="0"/>
          <wp:docPr id="2" name="Picture 2" descr="emas_zenkla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zenklas_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3F" w:rsidRDefault="00687B3F">
      <w:r>
        <w:separator/>
      </w:r>
    </w:p>
  </w:footnote>
  <w:footnote w:type="continuationSeparator" w:id="0">
    <w:p w:rsidR="00687B3F" w:rsidRDefault="0068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197" w:rsidRDefault="0079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197" w:rsidRDefault="00796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7B3040"/>
    <w:multiLevelType w:val="hybridMultilevel"/>
    <w:tmpl w:val="639CB1FC"/>
    <w:lvl w:ilvl="0" w:tplc="F72E5D6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4D"/>
    <w:rsid w:val="00006847"/>
    <w:rsid w:val="00017EAF"/>
    <w:rsid w:val="00030280"/>
    <w:rsid w:val="00053B27"/>
    <w:rsid w:val="00071C3A"/>
    <w:rsid w:val="000C79F5"/>
    <w:rsid w:val="000E0895"/>
    <w:rsid w:val="000F3D9D"/>
    <w:rsid w:val="001003F1"/>
    <w:rsid w:val="00121D30"/>
    <w:rsid w:val="00152C1F"/>
    <w:rsid w:val="00155D04"/>
    <w:rsid w:val="001E4374"/>
    <w:rsid w:val="001F4592"/>
    <w:rsid w:val="00205479"/>
    <w:rsid w:val="00223812"/>
    <w:rsid w:val="002418A7"/>
    <w:rsid w:val="002811B6"/>
    <w:rsid w:val="002824A1"/>
    <w:rsid w:val="00292187"/>
    <w:rsid w:val="002C133B"/>
    <w:rsid w:val="002C31C0"/>
    <w:rsid w:val="00304E72"/>
    <w:rsid w:val="00342850"/>
    <w:rsid w:val="00360506"/>
    <w:rsid w:val="003C0DBD"/>
    <w:rsid w:val="003D6511"/>
    <w:rsid w:val="003E2AAB"/>
    <w:rsid w:val="004435E2"/>
    <w:rsid w:val="00445BE1"/>
    <w:rsid w:val="00473C12"/>
    <w:rsid w:val="00492A85"/>
    <w:rsid w:val="004E4085"/>
    <w:rsid w:val="0052261A"/>
    <w:rsid w:val="0053170E"/>
    <w:rsid w:val="0056357B"/>
    <w:rsid w:val="00582D99"/>
    <w:rsid w:val="00604224"/>
    <w:rsid w:val="00606A09"/>
    <w:rsid w:val="00645CC7"/>
    <w:rsid w:val="006523C3"/>
    <w:rsid w:val="00687B3F"/>
    <w:rsid w:val="0069377C"/>
    <w:rsid w:val="006A00A9"/>
    <w:rsid w:val="006B7706"/>
    <w:rsid w:val="006C37A0"/>
    <w:rsid w:val="006E7EF9"/>
    <w:rsid w:val="007152A6"/>
    <w:rsid w:val="00750E0B"/>
    <w:rsid w:val="00794057"/>
    <w:rsid w:val="00796197"/>
    <w:rsid w:val="007C2745"/>
    <w:rsid w:val="007F0C47"/>
    <w:rsid w:val="007F5CEF"/>
    <w:rsid w:val="0085652D"/>
    <w:rsid w:val="00873794"/>
    <w:rsid w:val="00882860"/>
    <w:rsid w:val="008A0FAB"/>
    <w:rsid w:val="0092063D"/>
    <w:rsid w:val="009210E7"/>
    <w:rsid w:val="009402A3"/>
    <w:rsid w:val="0096064C"/>
    <w:rsid w:val="00974A75"/>
    <w:rsid w:val="009975B2"/>
    <w:rsid w:val="00A15D3D"/>
    <w:rsid w:val="00A17FAA"/>
    <w:rsid w:val="00A27E74"/>
    <w:rsid w:val="00A65FD0"/>
    <w:rsid w:val="00A713A1"/>
    <w:rsid w:val="00A93C31"/>
    <w:rsid w:val="00AA31AE"/>
    <w:rsid w:val="00AB436D"/>
    <w:rsid w:val="00AD60E5"/>
    <w:rsid w:val="00AE1712"/>
    <w:rsid w:val="00AE3C8F"/>
    <w:rsid w:val="00AF2BF4"/>
    <w:rsid w:val="00B05DC6"/>
    <w:rsid w:val="00B12BBE"/>
    <w:rsid w:val="00B322CD"/>
    <w:rsid w:val="00B71356"/>
    <w:rsid w:val="00B9706E"/>
    <w:rsid w:val="00BB0891"/>
    <w:rsid w:val="00BE0CF6"/>
    <w:rsid w:val="00BF581E"/>
    <w:rsid w:val="00C02D0C"/>
    <w:rsid w:val="00C035C6"/>
    <w:rsid w:val="00C05284"/>
    <w:rsid w:val="00C275A6"/>
    <w:rsid w:val="00C45C66"/>
    <w:rsid w:val="00C558D0"/>
    <w:rsid w:val="00C61C91"/>
    <w:rsid w:val="00C74037"/>
    <w:rsid w:val="00C9121B"/>
    <w:rsid w:val="00CB4E61"/>
    <w:rsid w:val="00CB6D9B"/>
    <w:rsid w:val="00CC5793"/>
    <w:rsid w:val="00CD09C2"/>
    <w:rsid w:val="00D032CD"/>
    <w:rsid w:val="00D03EC6"/>
    <w:rsid w:val="00D12A9A"/>
    <w:rsid w:val="00D2764D"/>
    <w:rsid w:val="00D96781"/>
    <w:rsid w:val="00DA08F7"/>
    <w:rsid w:val="00DA4360"/>
    <w:rsid w:val="00DA55FD"/>
    <w:rsid w:val="00DB23FC"/>
    <w:rsid w:val="00DD601A"/>
    <w:rsid w:val="00E3156C"/>
    <w:rsid w:val="00E70367"/>
    <w:rsid w:val="00EB4F00"/>
    <w:rsid w:val="00EC756A"/>
    <w:rsid w:val="00EE51B8"/>
    <w:rsid w:val="00F31208"/>
    <w:rsid w:val="00F31B6A"/>
    <w:rsid w:val="00FB2472"/>
    <w:rsid w:val="00FB76D6"/>
    <w:rsid w:val="00FC51E2"/>
    <w:rsid w:val="00FE2A53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C912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LLCTekstas">
    <w:name w:val="LLCTekstas"/>
    <w:basedOn w:val="DefaultParagraphFont"/>
    <w:rsid w:val="00473C12"/>
  </w:style>
  <w:style w:type="character" w:customStyle="1" w:styleId="Bodytext2">
    <w:name w:val="Body text (2)_"/>
    <w:link w:val="Bodytext20"/>
    <w:rsid w:val="00473C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C12"/>
    <w:pPr>
      <w:shd w:val="clear" w:color="auto" w:fill="FFFFFF"/>
      <w:suppressAutoHyphens w:val="0"/>
      <w:spacing w:before="420" w:after="1080" w:line="274" w:lineRule="exact"/>
      <w:ind w:hanging="900"/>
      <w:jc w:val="both"/>
    </w:pPr>
    <w:rPr>
      <w:rFonts w:eastAsia="Times New Roman" w:cs="Times New Roman"/>
      <w:sz w:val="20"/>
      <w:szCs w:val="2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C912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LLCTekstas">
    <w:name w:val="LLCTekstas"/>
    <w:basedOn w:val="DefaultParagraphFont"/>
    <w:rsid w:val="00473C12"/>
  </w:style>
  <w:style w:type="character" w:customStyle="1" w:styleId="Bodytext2">
    <w:name w:val="Body text (2)_"/>
    <w:link w:val="Bodytext20"/>
    <w:rsid w:val="00473C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C12"/>
    <w:pPr>
      <w:shd w:val="clear" w:color="auto" w:fill="FFFFFF"/>
      <w:suppressAutoHyphens w:val="0"/>
      <w:spacing w:before="420" w:after="1080" w:line="274" w:lineRule="exact"/>
      <w:ind w:hanging="900"/>
      <w:jc w:val="both"/>
    </w:pPr>
    <w:rPr>
      <w:rFonts w:eastAsia="Times New Roman" w:cs="Times New Roman"/>
      <w:sz w:val="20"/>
      <w:szCs w:val="2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lia.kriauciukaite@a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.narmontas@am.l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\Blankai\am_rash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am_rashtas</Template>
  <TotalTime>0</TotalTime>
  <Pages>2</Pages>
  <Words>2361</Words>
  <Characters>1346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2018-04-19T13:02:00Z</dcterms:created>
  <dcterms:modified xsi:type="dcterms:W3CDTF">2018-04-19T13:02:00Z</dcterms:modified>
</cp:coreProperties>
</file>