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0fd0cf1e4643929ebf9fd35356b8a7"/>
        <w:lock w:val="sdtLocked"/>
        <w:richText/>
      </w:sdtPr>
      <w:sdtContent>
        <w:p w14:paraId="7E8E011A"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1e14a5ade2c4c099263aa3ab1211cf1"/>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f1e14a5ade2c4c099263aa3ab1211cf1"/>
                <w:lock w:val="sdtLocked"/>
                <w:richText/>
              </w:sdtPr>
              <w:sdtContent>
                <w:p w14:paraId="6854A663" w14:textId="2522B72A">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DAUBOS G. 6,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490863B"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77A54B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19c667cd2f484368a983ca313e27621f"/>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19c667cd2f484368a983ca313e27621f"/>
                      <w:lock w:val="sdtLocked"/>
                      <w:richText/>
                    </w:sdtPr>
                    <w:sdtContent>
                      <w:r>
                        <w:rPr>
                          <w:rFonts w:eastAsia="Lucida Sans Unicode"/>
                          <w:b/>
                          <w:bCs/>
                          <w:kern w:val="1"/>
                          <w:szCs w:val="24"/>
                          <w:lang w:eastAsia="lt-LT"/>
                        </w:rPr>
                        <w:t xml:space="preserve">Parengto sprendimo projekto tikslai ir uždaviniai. </w:t>
                      </w:r>
                    </w:sdtContent>
                  </w:sdt>
                </w:p>
                <w:p w14:paraId="4F36AF56" w14:textId="7E3D2088">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1,1715 ha ploto kitos paskirties (naudojimo būdas – pramonės ir sandėliavimo objektų teritorijos) valstybinės žemės sklypą (unikalus Nr. 4400-6326-1010, kadastro Nr. 2901/0023:1150 Šiaulių m. k. v.), esantį Daubos g. 6, Šiaulių mieste (toliau – Žemės sklypas). </w:t>
                  </w:r>
                </w:p>
              </w:sdtContent>
            </w:sdt>
            <w:sdt>
              <w:sdtPr>
                <w:alias w:val="poskyris"/>
                <w:tag w:val="part_b4a8b075add444549edd63836c786e36"/>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b4a8b075add444549edd63836c786e36"/>
                      <w:lock w:val="sdtLocked"/>
                      <w:richText/>
                    </w:sdtPr>
                    <w:sdtContent>
                      <w:r>
                        <w:rPr>
                          <w:rFonts w:eastAsia="Lucida Sans Unicode"/>
                          <w:b/>
                          <w:bCs/>
                          <w:kern w:val="1"/>
                          <w:szCs w:val="24"/>
                          <w:lang w:eastAsia="lt-LT"/>
                        </w:rPr>
                        <w:t>Dabartinis sprendimo projekte aptariamų klausimų reguliavimas.</w:t>
                      </w:r>
                    </w:sdtContent>
                  </w:sdt>
                </w:p>
                <w:p w14:paraId="14B820E3" w14:textId="76361295">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Statybos techninio reglamento STR 1.01.03:2017 „Statinių ir patalpų klasifikavimas“, patvirtinto Lietuvos Respublikos aplinkos ministro 2016 m. spalio 27 d. įsakymu Nr. D1-713 „Dėl statybos techninio reglamento STR 1.01.03:2017 „Statinių klasifikavimas“ patvirtinimo, 1 priedo 7 punktu, Šiaulių miesto bendrojo plano koregavimu, patvirtintu Šiaulių miesto savivaldybės tarybos 2018 m. balandžio 5 d. sprendimu Nr. T-87 „Dėl Šiaulių miesto bendrojo plano koregavimo patvirtinimo“ (su visais pakeitimais),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įgyvendinant Šiaulių miesto savivaldybės tarybos 2024 m. gegužės 2 d. sprendimo Nr. T-150 „Dėl nuomos mokesčio už valstybinę žemę tarifų nustatymo“ (toliau – Tarybos sprendimas dėl nuomos mokesčio tarifo) 4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36747BC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4C373887"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Sprendimo projekto 2 punkte nustatoma, kad Žemės sklypas išnuomojamas atvirojo aukciono būdu tik gamybos, pramonės paskirties pastatams statyti ir eksploatuoti. Minėtas sprendimo projekto punktas nustatomas vadovaujantis šiais teisės aktais:</w:t>
                  </w:r>
                </w:p>
                <w:sdt>
                  <w:sdtPr>
                    <w:alias w:val="a pp."/>
                    <w:tag w:val="part_46f471266f4949e1a3d2e4a8175e8b15"/>
                    <w:lock w:val="sdtLocked"/>
                    <w:richText/>
                  </w:sdtPr>
                  <w:sdtContent>
                    <w:p w14:paraId="7D807A67" w14:textId="64918B0A">
                      <w:pPr>
                        <w:widowControl w:val="0"/>
                        <w:suppressAutoHyphens/>
                        <w:ind w:firstLine="969"/>
                        <w:jc w:val="both"/>
                        <w:rPr>
                          <w:rFonts w:eastAsia="Lucida Sans Unicode"/>
                          <w:kern w:val="1"/>
                          <w:szCs w:val="24"/>
                          <w:lang w:eastAsia="lt-LT"/>
                        </w:rPr>
                      </w:pPr>
                      <w:sdt>
                        <w:sdtPr>
                          <w:alias w:val="Numeris"/>
                          <w:tag w:val="nr_46f471266f4949e1a3d2e4a8175e8b15"/>
                          <w:lock w:val="sdtLocked"/>
                          <w:richText/>
                        </w:sdtPr>
                        <w:sdtContent>
                          <w:r>
                            <w:rPr>
                              <w:rFonts w:eastAsia="Lucida Sans Unicode"/>
                              <w:kern w:val="1"/>
                              <w:szCs w:val="24"/>
                              <w:lang w:eastAsia="lt-LT"/>
                            </w:rPr>
                            <w:t>a</w:t>
                          </w:r>
                        </w:sdtContent>
                      </w:sdt>
                      <w:r>
                        <w:rPr>
                          <w:rFonts w:eastAsia="Lucida Sans Unicode"/>
                          <w:kern w:val="1"/>
                          <w:szCs w:val="24"/>
                          <w:lang w:eastAsia="lt-LT"/>
                        </w:rPr>
                        <w:t>) statybos techninio reglamento STR 1.01.03:2017 „Statinių ir patalpų klasifikavimas“, patvirtinto Lietuvos Respublikos aplinkos ministro 2016 m. spalio 27 d. įsakymu Nr. D1-713 „Dėl statybos techninio reglamento STR 1.01.03:2017 „Statinių klasifikavimas“ patvirtinimo, 1 priedo 7 punktu, kuriame numatyta, kad pagal Žemės sklypo naudojimo būdą - pramonės ir sandėliavimo teritorijos – Žemės sklype gali būti statomi pramonės ir sandėliavimo pastatų paskirties gamybos, pramonės pastatai;</w:t>
                      </w:r>
                    </w:p>
                  </w:sdtContent>
                </w:sdt>
                <w:sdt>
                  <w:sdtPr>
                    <w:alias w:val="b pp."/>
                    <w:tag w:val="part_8cc63fe295c74c6e81577cc6ac01f32e"/>
                    <w:lock w:val="sdtLocked"/>
                    <w:richText/>
                  </w:sdtPr>
                  <w:sdtContent>
                    <w:p w14:paraId="44E4C465" w14:textId="606A0DFD">
                      <w:pPr>
                        <w:widowControl w:val="0"/>
                        <w:suppressAutoHyphens/>
                        <w:ind w:firstLine="907"/>
                        <w:jc w:val="both"/>
                        <w:rPr>
                          <w:rFonts w:eastAsia="Lucida Sans Unicode"/>
                          <w:kern w:val="1"/>
                          <w:szCs w:val="24"/>
                          <w:lang w:eastAsia="lt-LT"/>
                        </w:rPr>
                      </w:pPr>
                      <w:sdt>
                        <w:sdtPr>
                          <w:alias w:val="Numeris"/>
                          <w:tag w:val="nr_8cc63fe295c74c6e81577cc6ac01f32e"/>
                          <w:lock w:val="sdtLocked"/>
                          <w:richText/>
                        </w:sdtPr>
                        <w:sdtContent>
                          <w:r>
                            <w:rPr>
                              <w:rFonts w:eastAsia="Lucida Sans Unicode"/>
                              <w:kern w:val="1"/>
                              <w:szCs w:val="24"/>
                              <w:lang w:eastAsia="lt-LT"/>
                            </w:rPr>
                            <w:t>b</w:t>
                          </w:r>
                        </w:sdtContent>
                      </w:sdt>
                      <w:r>
                        <w:rPr>
                          <w:rFonts w:eastAsia="Lucida Sans Unicode"/>
                          <w:kern w:val="1"/>
                          <w:szCs w:val="24"/>
                          <w:lang w:eastAsia="lt-LT"/>
                        </w:rPr>
                        <w:t>) Šiaulių miesto bendrojo plano koregavimu, patvirtintu Šiaulių miesto savivaldybės tarybos 2018 m. balandžio 5 d. sprendimu Nr. T-87 „Dėl Šiaulių miesto bendrojo plano koregavimo patvirtinimo“ (su visais pakeitimais), kuriame numatyta, kad Žemės sklypas pagal Šiaulių miesto bendrąjį planą patenka į uPS-1 pramonės ir sandėliavimo objektų teritorijas, tad numatomi statyti pastatai atitinka Šiaulių miesto bendrojo plano numatytą galimą veiklą (prioritetus);</w:t>
                      </w:r>
                    </w:p>
                  </w:sdtContent>
                </w:sdt>
                <w:sdt>
                  <w:sdtPr>
                    <w:alias w:val="c pp."/>
                    <w:tag w:val="part_dbbdfcfb106a446bb55e6ad9a0cfe6e2"/>
                    <w:lock w:val="sdtLocked"/>
                    <w:richText/>
                  </w:sdtPr>
                  <w:sdtContent>
                    <w:p w14:paraId="174F1DA7" w14:textId="1701611E">
                      <w:pPr>
                        <w:widowControl w:val="0"/>
                        <w:suppressAutoHyphens/>
                        <w:ind w:firstLine="907"/>
                        <w:jc w:val="both"/>
                        <w:rPr>
                          <w:rFonts w:eastAsia="Lucida Sans Unicode"/>
                          <w:kern w:val="1"/>
                          <w:szCs w:val="24"/>
                          <w:lang w:eastAsia="lt-LT"/>
                        </w:rPr>
                      </w:pPr>
                      <w:sdt>
                        <w:sdtPr>
                          <w:alias w:val="Numeris"/>
                          <w:tag w:val="nr_dbbdfcfb106a446bb55e6ad9a0cfe6e2"/>
                          <w:lock w:val="sdtLocked"/>
                          <w:richText/>
                        </w:sdtPr>
                        <w:sdtContent>
                          <w:r>
                            <w:rPr>
                              <w:rFonts w:eastAsia="Lucida Sans Unicode"/>
                              <w:kern w:val="1"/>
                              <w:szCs w:val="24"/>
                              <w:lang w:eastAsia="lt-LT"/>
                            </w:rPr>
                            <w:t>c</w:t>
                          </w:r>
                        </w:sdtContent>
                      </w:sdt>
                      <w:r>
                        <w:rPr>
                          <w:rFonts w:eastAsia="Lucida Sans Unicode"/>
                          <w:kern w:val="1"/>
                          <w:szCs w:val="24"/>
                          <w:lang w:eastAsia="lt-LT"/>
                        </w:rPr>
                        <w:t>) Šiaulių miesto ekonominės plėtros ir investicijų pritraukimo strategija, patvirtinta Šiaulių miesto savivaldybės tarybos 2019 m. liepos 4 d. sprendimu Nr. T-280 „Dėl Šiaulių miesto ekonominės plėtros ir investicijų pritraukimo strategijos patvirtinimo ir įgaliojimų suteikimo“, kurios 5.2 ir 5.3 papunkčiuose numatyta, kad „Šiaulių modernios ekonomikos vizija – Šiauliai – ekonomiškai stiprus, konkurencingas Lietuvos regioninis centras, kuriame telkiasi išmani tradicinė pramonė &lt;...&gt;“; „Šiaulių miesto ekonominės plėtros ir investicijų pritraukimo strategijoje išskirti ekonominės plėtros vystymosi prioritetai – inovatyvaus verslo skatinimas ir tradicinės pramonės plėtra“;</w:t>
                      </w:r>
                    </w:p>
                  </w:sdtContent>
                </w:sdt>
                <w:sdt>
                  <w:sdtPr>
                    <w:alias w:val="d pp."/>
                    <w:tag w:val="part_4e753b824eab4f50a1baa1497cdbf598"/>
                    <w:lock w:val="sdtLocked"/>
                    <w:richText/>
                  </w:sdtPr>
                  <w:sdtContent>
                    <w:p w14:paraId="734BCFE5" w14:textId="2A8ED42F">
                      <w:pPr>
                        <w:widowControl w:val="0"/>
                        <w:suppressAutoHyphens/>
                        <w:ind w:firstLine="907"/>
                        <w:jc w:val="both"/>
                        <w:rPr>
                          <w:rFonts w:eastAsia="Lucida Sans Unicode"/>
                          <w:kern w:val="1"/>
                          <w:szCs w:val="24"/>
                          <w:lang w:eastAsia="lt-LT"/>
                        </w:rPr>
                      </w:pPr>
                      <w:sdt>
                        <w:sdtPr>
                          <w:alias w:val="Numeris"/>
                          <w:tag w:val="nr_4e753b824eab4f50a1baa1497cdbf598"/>
                          <w:lock w:val="sdtLocked"/>
                          <w:richText/>
                        </w:sdtPr>
                        <w:sdtContent>
                          <w:r>
                            <w:rPr>
                              <w:rFonts w:eastAsia="Lucida Sans Unicode"/>
                              <w:kern w:val="1"/>
                              <w:szCs w:val="24"/>
                              <w:lang w:eastAsia="lt-LT"/>
                            </w:rPr>
                            <w:t>d</w:t>
                          </w:r>
                        </w:sdtContent>
                      </w:sdt>
                      <w:r>
                        <w:rPr>
                          <w:rFonts w:eastAsia="Lucida Sans Unicode"/>
                          <w:kern w:val="1"/>
                          <w:szCs w:val="24"/>
                          <w:lang w:eastAsia="lt-LT"/>
                        </w:rPr>
                        <w:t>) Šiaulių miesto 2025-2033 metų strateginiu plėtros planu, patvirtintu Šiaulių miesto savivaldybės tarybos 2024 m. birželio 6 d. sprendimu Nr. T-202 „Dėl Šiaulių miesto 2025-2033 metų strateginio plėtros plano patvirtinimo”, kurio III skyriuje nurodoma, jog Savivaldybės plėtros vizija - regiono inovatyvios inžinerinės pramonės ir prekybos variklis, mokslo ir technologijų naujovių centras – traukiantis miestas.</w:t>
                      </w:r>
                    </w:p>
                    <w:p w14:paraId="064947C6" w14:textId="3949C308">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Daubos g. 6, Šiauliuose, yra atliktas individualus vertinimas ir nustatyta Žemės sklypo rinkos vertė – 168 000 Eur (vienas šimtas šešiasdešimt aštuoni tūkstančiai eurų). Žemės sklypo projektavimo (žemės valdos projekto) ir Žemės sklypo plano su nustatytais žemės sklypų ribų posūkio taškais ir riboženklių koordinatėmis valstybinėje koordinačių sistemoje (kadastriniai matavimai) parengimo išlaidos – 596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(168 000 Eur), patirtas Žemės sklypo projektavimo ir kadastrinių matavimų (596 Eur) išlaidas gaunama pradinė pardavimo kaina 168 596 Eur. Vadovaujantis Šiaulių miesto savivaldybės tarybos 2024 m. gegužės 2 d. sprendimo Nr. T-150 „Dėl nuomos mokesčio už valstybinę žemę tarifų nustatymo“ </w:t>
                      </w:r>
                      <w:r>
                        <w:rPr>
                          <w:rFonts w:eastAsia="Calibri"/>
                          <w:kern w:val="1"/>
                          <w:szCs w:val="24"/>
                          <w:lang w:eastAsia="lt-LT"/>
                        </w:rPr>
                        <w:t>4</w:t>
                      </w:r>
                      <w:r>
                        <w:rPr>
                          <w:rFonts w:eastAsia="Lucida Sans Unicode"/>
                          <w:kern w:val="1"/>
                          <w:szCs w:val="24"/>
                          <w:lang w:eastAsia="lt-LT"/>
                        </w:rPr>
                        <w:t xml:space="preserve"> punktu</w:t>
                      </w:r>
                      <w:r>
                        <w:rPr>
                          <w:rFonts w:eastAsia="Calibri"/>
                          <w:kern w:val="1"/>
                          <w:szCs w:val="24"/>
                          <w:lang w:eastAsia="lt-LT"/>
                        </w:rPr>
                        <w:t>,</w:t>
                      </w:r>
                      <w:r>
                        <w:rPr>
                          <w:rFonts w:eastAsia="Lucida Sans Unicode"/>
                          <w:kern w:val="1"/>
                          <w:szCs w:val="24"/>
                          <w:lang w:eastAsia="lt-LT"/>
                        </w:rPr>
                        <w:t xml:space="preserve"> 1.2 papunkčiu, patvirtintas žemės nuomos mokesčio tarifas yra 0,80 %. Vadinasi, pradinei pardavimo kainai (168 596 Eur) pritaikius nustatytą 0,80 % žemės nuomos mokesčio tarifą, gaunamas pradinis metinis žemės nuomos mokestis 1348,768 Eur. Aukciono organizavimo taisyklių 6.8 papunktyje nurodyta, kad kaina apvalinama pagal matematines skaičių </w:t>
                      </w:r>
                      <w:r>
                        <w:rPr>
                          <w:rFonts w:eastAsia="Lucida Sans Unicode"/>
                          <w:color w:val="000000"/>
                          <w:kern w:val="1"/>
                          <w:szCs w:val="24"/>
                          <w:lang w:eastAsia="lt-LT"/>
                        </w:rPr>
                        <w:t xml:space="preserve">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3 punkte – 1 349 Eur (vienas tūkstantis trys šimtai keturiasdešimt devyni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Content>
                </w:sdt>
                <w:sdt>
                  <w:sdtPr>
                    <w:alias w:val="93.1 pp."/>
                    <w:tag w:val="part_4a32370a76144ed49a6e9e8ff69be534"/>
                    <w:lock w:val="sdtLocked"/>
                    <w:richText/>
                  </w:sdtPr>
                  <w:sdtContent>
                    <w:p w14:paraId="40ED30BA" w14:textId="5D4372A2">
                      <w:pPr>
                        <w:widowControl w:val="0"/>
                        <w:suppressAutoHyphens/>
                        <w:ind w:firstLine="907"/>
                        <w:jc w:val="both"/>
                        <w:rPr>
                          <w:rFonts w:eastAsia="Lucida Sans Unicode"/>
                          <w:kern w:val="1"/>
                          <w:szCs w:val="24"/>
                          <w:lang w:eastAsia="lt-LT"/>
                        </w:rPr>
                      </w:pPr>
                      <w:sdt>
                        <w:sdtPr>
                          <w:alias w:val="Numeris"/>
                          <w:tag w:val="nr_4a32370a76144ed49a6e9e8ff69be534"/>
                          <w:lock w:val="sdtLocked"/>
                          <w:richText/>
                        </w:sdtPr>
                        <w:sdtContent>
                          <w:r>
                            <w:rPr>
                              <w:rFonts w:eastAsia="Lucida Sans Unicode"/>
                              <w:kern w:val="1"/>
                              <w:szCs w:val="24"/>
                              <w:lang w:eastAsia="lt-LT"/>
                            </w:rPr>
                            <w:t>93.1</w:t>
                          </w:r>
                        </w:sdtContent>
                      </w:sdt>
                      <w:r>
                        <w:rPr>
                          <w:rFonts w:eastAsia="Lucida Sans Unicode"/>
                          <w:kern w:val="1"/>
                          <w:szCs w:val="24"/>
                          <w:lang w:eastAsia="lt-LT"/>
                        </w:rPr>
                        <w:t>. aukciono objekto nuomos terminas, kuris nustatomas atsižvelgiant į Žemės įstatymo 9 straipsnio 3 dalies reikalavimus, jeigu aukciono objektas išnuomojamas statinių statybai;</w:t>
                      </w:r>
                    </w:p>
                  </w:sdtContent>
                </w:sdt>
                <w:sdt>
                  <w:sdtPr>
                    <w:alias w:val="93.2 pp."/>
                    <w:tag w:val="part_ba0a4588ad16430f969b8c4abf825836"/>
                    <w:lock w:val="sdtLocked"/>
                    <w:richText/>
                  </w:sdtPr>
                  <w:sdtContent>
                    <w:p w14:paraId="4B5D5B26" w14:textId="578520AE">
                      <w:pPr>
                        <w:widowControl w:val="0"/>
                        <w:suppressAutoHyphens/>
                        <w:ind w:firstLine="907"/>
                        <w:jc w:val="both"/>
                        <w:rPr>
                          <w:rFonts w:eastAsia="Lucida Sans Unicode"/>
                          <w:kern w:val="1"/>
                          <w:szCs w:val="24"/>
                          <w:lang w:eastAsia="lt-LT"/>
                        </w:rPr>
                      </w:pPr>
                      <w:sdt>
                        <w:sdtPr>
                          <w:alias w:val="Numeris"/>
                          <w:tag w:val="nr_ba0a4588ad16430f969b8c4abf825836"/>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1C13CDD5" w14:textId="0B1999C5">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w:t>
                      </w:r>
                    </w:p>
                    <w:p w14:paraId="15D5ACED" w14:textId="3C6B2BD4">
                      <w:pPr>
                        <w:widowControl w:val="0"/>
                        <w:suppressAutoHyphens/>
                        <w:ind w:firstLine="969"/>
                        <w:jc w:val="both"/>
                        <w:rPr>
                          <w:szCs w:val="24"/>
                          <w:lang w:eastAsia="lt-LT"/>
                        </w:rPr>
                      </w:pPr>
                      <w:r>
                        <w:rPr>
                          <w:szCs w:val="24"/>
                          <w:lang w:eastAsia="lt-LT"/>
                        </w:rPr>
                        <w:t xml:space="preserve">Kadangi žemės sklypas siūlomas išnuomoti aukcione ir iš anksto nėra žinoma, kokį konkrečiai statinį statys būsimas aukciono laimėtojas. Žemės sklypo nuomos terminas nustatytas vadovaujantis Pastatų gyvavimo trukmės STR priedo </w:t>
                      </w:r>
                      <w:r>
                        <w:rPr>
                          <w:bCs/>
                          <w:szCs w:val="24"/>
                          <w:lang w:eastAsia="lt-LT"/>
                        </w:rPr>
                        <w:t xml:space="preserve">16.1, 16.2, 16.3, 16.4 </w:t>
                      </w:r>
                      <w:r>
                        <w:rPr>
                          <w:szCs w:val="24"/>
                          <w:lang w:eastAsia="lt-LT"/>
                        </w:rPr>
                        <w:t>papunkčių reikalavimus, pagal kuriuos, nustatoma statinių gyvavimo trukmė, atsižvelgiant į galimų statyti pastatų paskirtį (gamybos, pramonės paskirties), statinių pavadinimą (gamybiniai pastatai) ir statybos produkto, iš kurio statinys bus pastatytas (plytų mūro, stambiaplokščiai, betono blokų, rąstų, mediniai su karkasu, mediniai apmūryti). Kadangi nėra žinoma, iš kokių statybos produktų statytojas planuos statyti statinius, numatoma statinių gyvavimo trukmė yra 55 metai, išvedant vidurkį iš visų galimų statybos produktų: (80+50+40+50)/4</w:t>
                      </w:r>
                      <w:r>
                        <w:rPr>
                          <w:szCs w:val="24"/>
                          <w:lang w:val="en-US" w:eastAsia="lt-LT"/>
                        </w:rPr>
                        <w:t>=</w:t>
                      </w:r>
                      <w:r>
                        <w:rPr>
                          <w:szCs w:val="24"/>
                          <w:lang w:eastAsia="lt-LT"/>
                        </w:rPr>
                        <w:t>55.</w:t>
                      </w:r>
                    </w:p>
                    <w:p w14:paraId="797557A3" w14:textId="70DBF8E0">
                      <w:pPr>
                        <w:widowControl w:val="0"/>
                        <w:suppressAutoHyphens/>
                        <w:ind w:firstLine="907"/>
                        <w:jc w:val="both"/>
                        <w:rPr>
                          <w:szCs w:val="24"/>
                          <w:lang w:eastAsia="lt-LT"/>
                        </w:rPr>
                      </w:pPr>
                      <w:r>
                        <w:rPr>
                          <w:szCs w:val="24"/>
                          <w:lang w:eastAsia="lt-LT"/>
                        </w:rPr>
                        <w:t>Sprendimo projekto 5.2 papunktyje siūloma aukcioną laikyti specialiuoju, kuriam taikoma Lietuvos Respublikos civilinio kodekso 6.423 straipsnyje numatyta išimtis. Šiame straipsnyje numatyta, kad daiktą, dėl kurio paskelbtas aukcionas, galima iš aukciono atsiimti bet kada, jeigu skelbiamas specialus aukcionas.</w:t>
                      </w:r>
                    </w:p>
                    <w:p w14:paraId="69AF85DE" w14:textId="7C057C0F">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589E7827">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išnuomoti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8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sdtContent>
                </w:sdt>
              </w:sdtContent>
            </w:sdt>
            <w:sdt>
              <w:sdtPr>
                <w:alias w:val="poskyris"/>
                <w:tag w:val="part_a029ecf5c7ea42fbbb3c444596458e31"/>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029ecf5c7ea42fbbb3c444596458e31"/>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2987cf57543d4611aa1fac9d0612df89"/>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2987cf57543d4611aa1fac9d0612df89"/>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546a1a1783cd4d6aaf48e8295eb5ead3"/>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546a1a1783cd4d6aaf48e8295eb5ead3"/>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fac3bac7aed4d25a6b3deed3a95969c"/>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0fac3bac7aed4d25a6b3deed3a95969c"/>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4c35dd2a5f440e1b4799719a91dd804"/>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4c35dd2a5f440e1b4799719a91dd804"/>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d9054d2ccda040ce92ed84f737082eac"/>
                <w:lock w:val="sdtLocked"/>
                <w:richText/>
              </w:sdtPr>
              <w:sdtContent>
                <w:p w14:paraId="2D12E31D" w14:textId="285B08D3">
                  <w:pPr>
                    <w:widowControl w:val="0"/>
                    <w:suppressAutoHyphens/>
                    <w:ind w:firstLine="907"/>
                    <w:jc w:val="both"/>
                    <w:rPr>
                      <w:rFonts w:eastAsia="Lucida Sans Unicode"/>
                      <w:b/>
                      <w:kern w:val="1"/>
                      <w:szCs w:val="24"/>
                      <w:lang w:eastAsia="lt-LT"/>
                    </w:rPr>
                  </w:pPr>
                  <w:sdt>
                    <w:sdtPr>
                      <w:alias w:val="Pavadinimas"/>
                      <w:tag w:val="title_d9054d2ccda040ce92ed84f737082eac"/>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f78101adf76c494489683ec09d689d01"/>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f78101adf76c494489683ec09d689d01"/>
                      <w:lock w:val="sdtLocked"/>
                      <w:richText/>
                    </w:sdtPr>
                    <w:sdtContent>
                      <w:r>
                        <w:rPr>
                          <w:rFonts w:eastAsia="HG Mincho Light J"/>
                          <w:b/>
                          <w:bCs/>
                          <w:kern w:val="1"/>
                          <w:szCs w:val="24"/>
                          <w:lang w:eastAsia="lt-LT"/>
                        </w:rPr>
                        <w:t>Rengėjas ar rengėjų grupė, sprendimo projekto iniciatoriai.</w:t>
                      </w:r>
                    </w:sdtContent>
                  </w:sdt>
                </w:p>
                <w:p w14:paraId="5AE3DD84" w14:textId="7DFE94CC">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1100e913aa78443f9691420636a1efa0"/>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1100e913aa78443f9691420636a1efa0"/>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E560BE4" w14:textId="77777777">
                  <w:pPr>
                    <w:widowControl w:val="0"/>
                    <w:suppressAutoHyphens/>
                    <w:ind w:firstLine="907"/>
                    <w:jc w:val="both"/>
                    <w:rPr>
                      <w:rFonts w:eastAsia="Lucida Sans Unicode"/>
                      <w:color w:val="000000"/>
                      <w:kern w:val="1"/>
                      <w:szCs w:val="24"/>
                      <w:lang w:eastAsia="lt-LT"/>
                    </w:rPr>
                  </w:pPr>
                </w:p>
                <w:p w14:paraId="64E4DE93" w14:textId="77777777">
                  <w:pPr>
                    <w:widowControl w:val="0"/>
                    <w:tabs>
                      <w:tab w:val="right" w:pos="9570"/>
                    </w:tabs>
                    <w:suppressAutoHyphens/>
                    <w:spacing w:line="100" w:lineRule="atLeast"/>
                    <w:jc w:val="both"/>
                    <w:rPr>
                      <w:rFonts w:eastAsia="Albany"/>
                      <w:kern w:val="1"/>
                      <w:szCs w:val="24"/>
                      <w:lang w:eastAsia="lt-LT"/>
                    </w:rPr>
                  </w:pPr>
                </w:p>
              </w:sdtContent>
            </w:sdt>
          </w:sdtContent>
        </w:sdt>
        <w:sdt>
          <w:sdtPr>
            <w:alias w:val="signatura"/>
            <w:tag w:val="part_2c41249ab0c24cde80d92e5269216a50"/>
            <w:lock w:val="sdtLocked"/>
            <w:richText/>
          </w:sdtPr>
          <w:sdtContent>
            <w:p w14:paraId="3B3B90AF" w14:textId="35BC1637">
              <w:pPr>
                <w:widowControl w:val="0"/>
                <w:tabs>
                  <w:tab w:val="right" w:pos="9570"/>
                </w:tabs>
                <w:suppressAutoHyphens/>
                <w:spacing w:line="100" w:lineRule="atLeast"/>
                <w:jc w:val="both"/>
                <w:rPr>
                  <w:rFonts w:eastAsia="Albany"/>
                  <w:bCs/>
                  <w:kern w:val="1"/>
                  <w:szCs w:val="24"/>
                  <w:lang w:eastAsia="lt-LT"/>
                </w:rPr>
              </w:pPr>
              <w:r>
                <w:rPr>
                  <w:rFonts w:eastAsia="Albany"/>
                  <w:kern w:val="1"/>
                  <w:szCs w:val="24"/>
                  <w:lang w:eastAsia="lt-LT"/>
                </w:rPr>
                <w:t>Žemės valdymo skyriaus vedėja</w:t>
                <w:tab/>
                <w:t xml:space="preserve"> Oksana Gruzdienė</w:t>
              </w:r>
            </w:p>
            <w:p w14:paraId="0F247187" w14:textId="0C8EFF4D">
              <w:pPr>
                <w:widowControl w:val="0"/>
                <w:tabs>
                  <w:tab w:val="right" w:pos="9570"/>
                </w:tabs>
                <w:suppressAutoHyphens/>
                <w:spacing w:line="100" w:lineRule="atLeast"/>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5A2ED4"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74DF4A9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Albany">
    <w:altName w:val="Arial"/>
    <w:charset w:val="BA"/>
    <w:family w:val="swiss"/>
    <w:pitch w:val="default"/>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DD73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E8C2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0F2BC"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89406"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4E74C8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98654"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AEBDA"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88226">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e42250b3af14cf48f4a74375c8010c8" PartId="ef0fd0cf1e4643929ebf9fd35356b8a7">
    <Part Type="skyrius" Nr="999" Title="SPRENDIMO PROJEKTO „DĖL TEIKIMO IŠNUOMOTI ATVIRO AUKCIONO BŪDU KITOS PASKIRTIES VALSTYBINĖS ŽEMĖS SKLYPĄ, ESANTĮ DAUBOS G. 6, ŠIAULIŲ MIESTE“ AIŠKINAMASIS RAŠTAS" DocPartId="8b682ee09c8344ddae5f4043de2eb345" PartId="f1e14a5ade2c4c099263aa3ab1211cf1">
      <Part Type="poskyris" Title="Parengto sprendimo projekto tikslai ir uždaviniai." DocPartId="a8b122dc52964b0e91a822842d81cda2" PartId="19c667cd2f484368a983ca313e27621f"/>
      <Part Type="poskyris" Title="Dabartinis sprendimo projekte aptariamų klausimų reguliavimas." DocPartId="3a4ee6fe956e4e92b42c1caa239ccb62" PartId="b4a8b075add444549edd63836c786e36">
        <Part Type="strPapunktis" Nr="a" Abbr="a pp." DocPartId="ab6d4b6a7de4466e89186fbbaba4aa95" PartId="46f471266f4949e1a3d2e4a8175e8b15"/>
        <Part Type="strPapunktis" Nr="b" Abbr="b pp." DocPartId="ce7e7e93e2c240848307392e96042d0c" PartId="8cc63fe295c74c6e81577cc6ac01f32e"/>
        <Part Type="strPapunktis" Nr="c" Abbr="c pp." DocPartId="ad2862ea32f1445e90811b5950db7b7c" PartId="dbbdfcfb106a446bb55e6ad9a0cfe6e2"/>
        <Part Type="strPapunktis" Nr="d" Abbr="d pp." DocPartId="f945a5c8cc554a07817f83ba0f47b3da" PartId="4e753b824eab4f50a1baa1497cdbf598"/>
        <Part Type="papunktis" Nr="93.1" Abbr="93.1 pp." DocPartId="ee09fcdf74924b279471b793a855ba50" PartId="4a32370a76144ed49a6e9e8ff69be534"/>
        <Part Type="papunktis" Nr="93.2" Abbr="93.2 pp." DocPartId="e1980c59940b4db892c747bd9aca70c3" PartId="ba0a4588ad16430f969b8c4abf825836"/>
      </Part>
      <Part Type="poskyris" Title="Numatomos naujos teisinio reglamentavimo nuostatos." DocPartId="1b87eb75357d4bafa3ca1159c6f16d05" PartId="a029ecf5c7ea42fbbb3c444596458e31"/>
      <Part Type="poskyris" Title="Priėmus sprendimą, laukiami rezultatai ir galimos pasekmės (tiek teigiamos, tiek neigiamos)." DocPartId="28ecb8158a064fe3853f3ea6191101f9" PartId="2987cf57543d4611aa1fac9d0612df89"/>
      <Part Type="poskyris" Title="Priėmus sprendimą, keičiami ar pripažįstami negaliojančiais teisės aktai." DocPartId="a8870eb42f21430883d2064031fd2add" PartId="546a1a1783cd4d6aaf48e8295eb5ead3"/>
      <Part Type="poskyris" Title="Sprendimui įgyvendinti reikalingi priimti papildomi teisės aktai." DocPartId="175edbf2ece747eea2fb4f6f1ab16fda" PartId="0fac3bac7aed4d25a6b3deed3a95969c"/>
      <Part Type="poskyris" Title="Savivaldybės biudžeto lėšų poreikis ir šaltiniai." DocPartId="ec6982298aee416cb6219171d3e7a23a" PartId="24c35dd2a5f440e1b4799719a91dd804"/>
      <Part Type="poskyris" Title="Poreikis sprendimo projektą įvertinti antikorupciniu požiūriu ir pagrindimas." DocPartId="cedfe98768d147479226b2ff64ca3038" PartId="d9054d2ccda040ce92ed84f737082eac"/>
      <Part Type="poskyris" Title="Rengėjas ar rengėjų grupė, sprendimo projekto iniciatoriai." DocPartId="c01f0c512a6e4f19a00155d20eafb4e7" PartId="f78101adf76c494489683ec09d689d01"/>
      <Part Type="poskyris" Title="Numatomo teisinio reguliavimo poveikio vertinimo rezultatai (jei tokį vertinimą reikia atlikti)." DocPartId="48e7d6b1f07a4035afbaea652c16d286" PartId="1100e913aa78443f9691420636a1efa0"/>
    </Part>
    <Part Type="signatura" DocPartId="f02295a569c44609b8c8d36af2501817" PartId="2c41249ab0c24cde80d92e5269216a50"/>
  </Part>
</Parts>
</file>

<file path=customXml/itemProps1.xml><?xml version="1.0" encoding="utf-8"?>
<ds:datastoreItem xmlns:ds="http://schemas.openxmlformats.org/officeDocument/2006/customXml" ds:itemID="{56BBB701-3659-4700-85BC-5760CF505B98}">
  <ds:schemaRefs>
    <ds:schemaRef ds:uri="http://schemas.openxmlformats.org/officeDocument/2006/bibliography"/>
  </ds:schemaRefs>
</ds:datastoreItem>
</file>

<file path=customXml/itemProps2.xml><?xml version="1.0" encoding="utf-8"?>
<ds:datastoreItem xmlns:ds="http://schemas.openxmlformats.org/officeDocument/2006/customXml" ds:itemID="{9FBC7926-4843-4053-BA57-42CAACFBD6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2260</Words>
  <Characters>16069</Characters>
  <Application>Microsoft Office Word</Application>
  <DocSecurity>4</DocSecurity>
  <Lines>226</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18274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2025-03-14T14:33:00Z</dcterms:created>
  <dc:creator>d.janilioniene</dc:creator>
  <lastModifiedBy>adlibuser</lastModifiedBy>
  <lastPrinted>2018-11-09T12:40:00Z</lastPrinted>
  <dcterms:modified xsi:type="dcterms:W3CDTF">2025-03-14T14:33:00Z</dcterms:modified>
  <revision>2</revision>
</coreProperties>
</file>