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449391c3a04ab088cbc06edf69c9cb"/>
        <w:lock w:val="sdtLocked"/>
        <w:richText/>
      </w:sdtPr>
      <w:sdtContent>
        <w:p w14:paraId="00000001" w14:textId="77777777">
          <w:pPr>
            <w:pBdr>
              <w:top w:val="nil"/>
              <w:left w:val="nil"/>
              <w:bottom w:val="nil"/>
              <w:right w:val="nil"/>
              <w:between w:val="nil"/>
            </w:pBdr>
            <w:jc w:val="center"/>
            <w:rPr>
              <w:smallCaps/>
              <w:color w:val="000000"/>
              <w:szCs w:val="24"/>
              <w:lang w:val="pl" w:eastAsia="lt-LT"/>
            </w:rPr>
          </w:pPr>
          <w:r>
            <w:rPr>
              <w:b/>
              <w:bCs/>
              <w:smallCaps/>
              <w:color w:val="000000"/>
              <w:szCs w:val="24"/>
              <w:lang w:val="pl" w:eastAsia="lt-LT"/>
            </w:rPr>
            <w:t>AIŠKINAMASIS RAŠTAS</w:t>
          </w:r>
        </w:p>
        <w:p w14:paraId="00000002" w14:textId="77777777">
          <w:pPr>
            <w:pBdr>
              <w:top w:val="nil"/>
              <w:left w:val="nil"/>
              <w:bottom w:val="nil"/>
              <w:right w:val="nil"/>
              <w:between w:val="nil"/>
            </w:pBdr>
            <w:ind w:firstLine="62"/>
            <w:jc w:val="center"/>
            <w:rPr>
              <w:smallCaps/>
              <w:color w:val="000000"/>
              <w:szCs w:val="24"/>
              <w:lang w:val="pl" w:eastAsia="lt-LT"/>
            </w:rPr>
          </w:pPr>
        </w:p>
        <w:p w14:paraId="00000003" w14:textId="7C583DDD">
          <w:pPr>
            <w:jc w:val="center"/>
            <w:rPr>
              <w:color w:val="000000"/>
              <w:szCs w:val="24"/>
              <w:lang w:val="pl" w:eastAsia="lt-LT"/>
            </w:rPr>
          </w:pPr>
          <w:r>
            <w:rPr>
              <w:b/>
              <w:bCs/>
              <w:smallCaps/>
              <w:szCs w:val="24"/>
              <w:lang w:val="pl" w:eastAsia="lt-LT"/>
            </w:rPr>
            <w:t xml:space="preserve">DĖL LIETUVOS RESPUBLIKOS  ĮSTATYMO DĖL UŽSIENIEČIŲ TEISINĖS PADĖTIES NR. IX-2206 126 STRAIPSNIO PAKEITIMO ĮSTATYMO PROJEKTO</w:t>
          </w:r>
        </w:p>
        <w:p w14:paraId="00000004" w14:textId="77777777">
          <w:pPr>
            <w:pBdr>
              <w:top w:val="nil"/>
              <w:left w:val="nil"/>
              <w:bottom w:val="nil"/>
              <w:right w:val="nil"/>
              <w:between w:val="nil"/>
            </w:pBdr>
            <w:jc w:val="center"/>
            <w:rPr>
              <w:color w:val="000000"/>
              <w:szCs w:val="24"/>
              <w:lang w:val="pl" w:eastAsia="lt-LT"/>
            </w:rPr>
          </w:pPr>
        </w:p>
        <w:sdt>
          <w:sdtPr>
            <w:alias w:val="1 p."/>
            <w:tag w:val="part_be398f8ad343497999e28933d959674b"/>
            <w:lock w:val="sdtLocked"/>
            <w:richText/>
          </w:sdtPr>
          <w:sdtContent>
            <w:p w14:paraId="00000005" w14:textId="7BA80E31">
              <w:pPr>
                <w:pBdr>
                  <w:top w:val="nil"/>
                  <w:left w:val="nil"/>
                  <w:bottom w:val="nil"/>
                  <w:right w:val="nil"/>
                  <w:between w:val="nil"/>
                </w:pBdr>
                <w:ind w:left="360" w:hanging="360"/>
                <w:jc w:val="both"/>
                <w:rPr>
                  <w:color w:val="000000"/>
                  <w:szCs w:val="24"/>
                  <w:lang w:val="pl" w:eastAsia="lt-LT"/>
                </w:rPr>
              </w:pPr>
              <w:sdt>
                <w:sdtPr>
                  <w:alias w:val="Numeris"/>
                  <w:tag w:val="nr_be398f8ad343497999e28933d959674b"/>
                  <w:lock w:val="sdtLocked"/>
                  <w:richText/>
                </w:sdtPr>
                <w:sdtContent>
                  <w:r>
                    <w:rPr>
                      <w:b/>
                      <w:bCs/>
                      <w:color w:val="000000"/>
                      <w:szCs w:val="24"/>
                      <w:lang w:val="pl" w:eastAsia="lt-LT"/>
                    </w:rPr>
                    <w:t>1</w:t>
                  </w:r>
                </w:sdtContent>
              </w:sdt>
              <w:r>
                <w:rPr>
                  <w:b/>
                  <w:bCs/>
                  <w:color w:val="000000"/>
                  <w:szCs w:val="24"/>
                  <w:lang w:val="pl" w:eastAsia="lt-LT"/>
                </w:rPr>
                <w:t>.</w:t>
                <w:tab/>
                <w:t>Įstatymo rengimo projektą paskatinusios priežastys, parengto projekto tikslai ir uždaviniai:</w:t>
              </w:r>
            </w:p>
            <w:p w14:paraId="00000006" w14:textId="77777777">
              <w:pPr>
                <w:pBdr>
                  <w:top w:val="nil"/>
                  <w:left w:val="nil"/>
                  <w:bottom w:val="nil"/>
                  <w:right w:val="nil"/>
                  <w:between w:val="nil"/>
                </w:pBdr>
                <w:jc w:val="both"/>
                <w:rPr>
                  <w:color w:val="000000"/>
                  <w:szCs w:val="24"/>
                  <w:lang w:val="pl" w:eastAsia="lt-LT"/>
                </w:rPr>
              </w:pPr>
              <w:r>
                <w:rPr>
                  <w:color w:val="000000"/>
                  <w:szCs w:val="24"/>
                  <w:lang w:val="pl" w:eastAsia="lt-LT"/>
                </w:rPr>
                <w:t xml:space="preserve">Įstatymo dėl užsieniečių teisinės padėties (toliau – Įstatymas) </w:t>
              </w:r>
              <w:r>
                <w:rPr>
                  <w:szCs w:val="24"/>
                  <w:lang w:val="pl" w:eastAsia="lt-LT"/>
                </w:rPr>
                <w:t>126 straipsnis reglamentuoja užsieniečio išsiuntimo iš Lietuvos Respublikos atvejus. Tačiau Įstatymo 126 straipsnyje numatytas reglamentavimas atskirai neapima užsieniečio išsiuntimo iš Lietuvos Respublikos atvejų, kai užsienietis yra nuteisiamas už Lietuvos Respublikos baudžiamojo kodekso nustatytos tyčinės nusikalstamos veikos padarymą.</w:t>
              </w:r>
            </w:p>
            <w:p w14:paraId="00000007" w14:textId="77777777">
              <w:pPr>
                <w:pBdr>
                  <w:top w:val="nil"/>
                  <w:left w:val="nil"/>
                  <w:bottom w:val="nil"/>
                  <w:right w:val="nil"/>
                  <w:between w:val="nil"/>
                </w:pBdr>
                <w:jc w:val="both"/>
                <w:rPr>
                  <w:color w:val="000000"/>
                  <w:szCs w:val="24"/>
                  <w:lang w:val="pl" w:eastAsia="lt-LT"/>
                </w:rPr>
              </w:pPr>
            </w:p>
            <w:p w14:paraId="00000008" w14:textId="77777777">
              <w:pPr>
                <w:pBdr>
                  <w:top w:val="nil"/>
                  <w:left w:val="nil"/>
                  <w:bottom w:val="nil"/>
                  <w:right w:val="nil"/>
                  <w:between w:val="nil"/>
                </w:pBdr>
                <w:jc w:val="both"/>
                <w:rPr>
                  <w:color w:val="000000"/>
                  <w:szCs w:val="24"/>
                  <w:lang w:val="pl" w:eastAsia="lt-LT"/>
                </w:rPr>
              </w:pPr>
              <w:r>
                <w:rPr>
                  <w:color w:val="000000"/>
                  <w:szCs w:val="24"/>
                  <w:lang w:val="pl" w:eastAsia="lt-LT"/>
                </w:rPr>
                <w:t>Taip pat pabrėžtina, kad, kaip rodo užsienio šalių, susidūr</w:t>
              </w:r>
              <w:r>
                <w:rPr>
                  <w:szCs w:val="24"/>
                  <w:lang w:val="pl" w:eastAsia="lt-LT"/>
                </w:rPr>
                <w:t>usių</w:t>
              </w:r>
              <w:r>
                <w:rPr>
                  <w:color w:val="000000"/>
                  <w:szCs w:val="24"/>
                  <w:lang w:val="pl" w:eastAsia="lt-LT"/>
                </w:rPr>
                <w:t xml:space="preserve"> su didžiuliais imigracijos srautais, </w:t>
              </w:r>
              <w:r>
                <w:rPr>
                  <w:szCs w:val="24"/>
                  <w:lang w:val="pl" w:eastAsia="lt-LT"/>
                </w:rPr>
                <w:t xml:space="preserve">patirtis, </w:t>
              </w:r>
              <w:r>
                <w:rPr>
                  <w:color w:val="000000"/>
                  <w:szCs w:val="24"/>
                  <w:lang w:val="pl" w:eastAsia="lt-LT"/>
                </w:rPr>
                <w:t>atvykę užsieniečiai yra dažniau už vietinius šalies gyventojus linkę daryti nusikalstamas veikas, tame tarpe ir sunkias ar itin sunkias. Todėl būtina nustatyti tokį teisinį reglamentavimą, kuris apsaugotų visuomenę nuo nusikalsti linkusių užsieniečių, juos išsiunčiant iš Lietuvos Respublikos po to, kai jie yra teismo įsiteisėjusiu nuosprendžiu nuteisiami už tyčinės nusikalstamos veikos / nusikalstamų veikų padarymą, po teismo skirtos bausmės atlikimo (išskyrus baudžiamuosius nusižengimus).</w:t>
              </w:r>
            </w:p>
            <w:p w14:paraId="00000009" w14:textId="77777777">
              <w:pPr>
                <w:pBdr>
                  <w:top w:val="nil"/>
                  <w:left w:val="nil"/>
                  <w:bottom w:val="nil"/>
                  <w:right w:val="nil"/>
                  <w:between w:val="nil"/>
                </w:pBdr>
                <w:jc w:val="both"/>
                <w:rPr>
                  <w:color w:val="000000"/>
                  <w:szCs w:val="24"/>
                  <w:lang w:val="pl" w:eastAsia="lt-LT"/>
                </w:rPr>
              </w:pPr>
            </w:p>
            <w:p w14:paraId="0000000A" w14:textId="77777777">
              <w:pPr>
                <w:pBdr>
                  <w:top w:val="nil"/>
                  <w:left w:val="nil"/>
                  <w:bottom w:val="nil"/>
                  <w:right w:val="nil"/>
                  <w:between w:val="nil"/>
                </w:pBdr>
                <w:jc w:val="both"/>
                <w:rPr>
                  <w:color w:val="000000"/>
                  <w:szCs w:val="24"/>
                  <w:lang w:val="pl" w:eastAsia="lt-LT"/>
                </w:rPr>
              </w:pPr>
              <w:r>
                <w:rPr>
                  <w:color w:val="000000"/>
                  <w:szCs w:val="24"/>
                  <w:lang w:val="pl" w:eastAsia="lt-LT"/>
                </w:rPr>
                <w:t xml:space="preserve">Projektu taip pat atskirai yra siūloma, kad, kai už Lietuvos Respublikos baudžiamojo kodekso numatytos tyčinės nusikalstamos veikos / tyčinių nusikalstamų veikų padarymą yra nuteisiamas užsienietis, kurio teisėto atvykimo ir buvimo Lietuvos Respublikoje pagrindas buvo darbas, tokio užsieniečio išsiuntimo iš Lietuvos Respublikos išlaidas turėtų padengti būtent užsieniečio darbdavys. Ši </w:t>
              </w:r>
              <w:r>
                <w:rPr>
                  <w:szCs w:val="24"/>
                  <w:lang w:val="pl" w:eastAsia="lt-LT"/>
                </w:rPr>
                <w:t>nuostata</w:t>
              </w:r>
              <w:r>
                <w:rPr>
                  <w:color w:val="000000"/>
                  <w:szCs w:val="24"/>
                  <w:lang w:val="pl" w:eastAsia="lt-LT"/>
                </w:rPr>
                <w:t xml:space="preserve"> grindžiama tuo, kad būtent užsieniečio darbdavys gauna naudą iš tokio užsieniečio buvimo Lietuvos Respublikoje. Todėl būtent </w:t>
              </w:r>
              <w:r>
                <w:rPr>
                  <w:szCs w:val="24"/>
                  <w:lang w:val="pl" w:eastAsia="lt-LT"/>
                </w:rPr>
                <w:t>jis</w:t>
              </w:r>
              <w:r>
                <w:rPr>
                  <w:color w:val="000000"/>
                  <w:szCs w:val="24"/>
                  <w:lang w:val="pl" w:eastAsia="lt-LT"/>
                </w:rPr>
                <w:t xml:space="preserve"> ir privalo prisiimti riziką bei padengti užsieniečio išsiuntimo kaštus, jei šių subjektų į Lietuvos Respubliką pakviestas </w:t>
              </w:r>
              <w:r>
                <w:rPr>
                  <w:szCs w:val="24"/>
                  <w:lang w:val="pl" w:eastAsia="lt-LT"/>
                </w:rPr>
                <w:t>užsienietis padarė tyčinę nusikalstamą veiką / tyčines nusikalstamas veikas</w:t>
              </w:r>
              <w:r>
                <w:rPr>
                  <w:color w:val="000000"/>
                  <w:szCs w:val="24"/>
                  <w:lang w:val="pl" w:eastAsia="lt-LT"/>
                </w:rPr>
                <w:t>.</w:t>
              </w:r>
            </w:p>
            <w:p w14:paraId="0000000B" w14:textId="77777777">
              <w:pPr>
                <w:pBdr>
                  <w:top w:val="nil"/>
                  <w:left w:val="nil"/>
                  <w:bottom w:val="nil"/>
                  <w:right w:val="nil"/>
                  <w:between w:val="nil"/>
                </w:pBdr>
                <w:jc w:val="both"/>
                <w:rPr>
                  <w:color w:val="000000"/>
                  <w:szCs w:val="24"/>
                  <w:lang w:val="pl" w:eastAsia="lt-LT"/>
                </w:rPr>
              </w:pPr>
            </w:p>
            <w:p w14:paraId="0000000C" w14:textId="77777777">
              <w:pPr>
                <w:pBdr>
                  <w:top w:val="nil"/>
                  <w:left w:val="nil"/>
                  <w:bottom w:val="nil"/>
                  <w:right w:val="nil"/>
                  <w:between w:val="nil"/>
                </w:pBdr>
                <w:jc w:val="both"/>
                <w:rPr>
                  <w:color w:val="000000"/>
                  <w:szCs w:val="24"/>
                  <w:lang w:val="pl" w:eastAsia="lt-LT"/>
                </w:rPr>
              </w:pPr>
              <w:r>
                <w:rPr>
                  <w:color w:val="000000"/>
                  <w:szCs w:val="24"/>
                  <w:lang w:val="pl" w:eastAsia="lt-LT"/>
                </w:rPr>
                <w:t>Projekto tiksla</w:t>
              </w:r>
              <w:r>
                <w:rPr>
                  <w:szCs w:val="24"/>
                  <w:lang w:val="pl" w:eastAsia="lt-LT"/>
                </w:rPr>
                <w:t>s</w:t>
              </w:r>
              <w:r>
                <w:rPr>
                  <w:color w:val="000000"/>
                  <w:szCs w:val="24"/>
                  <w:lang w:val="pl" w:eastAsia="lt-LT"/>
                </w:rPr>
                <w:t xml:space="preserve"> yra visuomenės apsauga nuo tų užsieniečių, kurie, gyvendami Lietuvos Respublikoje, daro nusikalstamas veikas. Taip pat s</w:t>
              </w:r>
              <w:r>
                <w:rPr>
                  <w:szCs w:val="24"/>
                  <w:lang w:val="pl" w:eastAsia="lt-LT"/>
                </w:rPr>
                <w:t xml:space="preserve">iekiama užkirsti kelią </w:t>
              </w:r>
              <w:r>
                <w:rPr>
                  <w:color w:val="000000"/>
                  <w:szCs w:val="24"/>
                  <w:lang w:val="pl" w:eastAsia="lt-LT"/>
                </w:rPr>
                <w:t>nusikalstamumo Lietuvos Respublikoje augim</w:t>
              </w:r>
              <w:r>
                <w:rPr>
                  <w:szCs w:val="24"/>
                  <w:lang w:val="pl" w:eastAsia="lt-LT"/>
                </w:rPr>
                <w:t>ui</w:t>
              </w:r>
              <w:r>
                <w:rPr>
                  <w:color w:val="000000"/>
                  <w:szCs w:val="24"/>
                  <w:lang w:val="pl" w:eastAsia="lt-LT"/>
                </w:rPr>
                <w:t>, stiprinti bendrosios ir specialiosios prevencijos funkcijas.</w:t>
              </w:r>
            </w:p>
            <w:p w14:paraId="0000000D" w14:textId="77777777">
              <w:pPr>
                <w:pBdr>
                  <w:top w:val="nil"/>
                  <w:left w:val="nil"/>
                  <w:bottom w:val="nil"/>
                  <w:right w:val="nil"/>
                  <w:between w:val="nil"/>
                </w:pBdr>
                <w:jc w:val="both"/>
                <w:rPr>
                  <w:color w:val="000000"/>
                  <w:szCs w:val="24"/>
                  <w:lang w:val="pl" w:eastAsia="lt-LT"/>
                </w:rPr>
              </w:pPr>
            </w:p>
          </w:sdtContent>
        </w:sdt>
        <w:sdt>
          <w:sdtPr>
            <w:alias w:val="2 p."/>
            <w:tag w:val="part_21aa68a15cc04c4daa12b97fe10cfcb9"/>
            <w:lock w:val="sdtLocked"/>
            <w:richText/>
          </w:sdtPr>
          <w:sdtContent>
            <w:p w14:paraId="0000000E" w14:textId="0DC28D01">
              <w:pPr>
                <w:pBdr>
                  <w:top w:val="nil"/>
                  <w:left w:val="nil"/>
                  <w:bottom w:val="nil"/>
                  <w:right w:val="nil"/>
                  <w:between w:val="nil"/>
                </w:pBdr>
                <w:ind w:left="360" w:hanging="360"/>
                <w:jc w:val="both"/>
                <w:rPr>
                  <w:b/>
                  <w:bCs/>
                  <w:color w:val="000000"/>
                  <w:szCs w:val="24"/>
                  <w:lang w:val="pl" w:eastAsia="lt-LT"/>
                </w:rPr>
              </w:pPr>
              <w:sdt>
                <w:sdtPr>
                  <w:alias w:val="Numeris"/>
                  <w:tag w:val="nr_21aa68a15cc04c4daa12b97fe10cfcb9"/>
                  <w:lock w:val="sdtLocked"/>
                  <w:richText/>
                </w:sdtPr>
                <w:sdtContent>
                  <w:r>
                    <w:rPr>
                      <w:b/>
                      <w:bCs/>
                      <w:color w:val="000000"/>
                      <w:szCs w:val="24"/>
                      <w:lang w:val="pl" w:eastAsia="lt-LT"/>
                    </w:rPr>
                    <w:t>2</w:t>
                  </w:r>
                </w:sdtContent>
              </w:sdt>
              <w:r>
                <w:rPr>
                  <w:b/>
                  <w:bCs/>
                  <w:color w:val="000000"/>
                  <w:szCs w:val="24"/>
                  <w:lang w:val="pl" w:eastAsia="lt-LT"/>
                </w:rPr>
                <w:t>.</w:t>
                <w:tab/>
                <w:t>Įstatymo projekto iniciatoriai (institucija, asmenys ar piliečių įgalioti atstovai) ir rengėjai:</w:t>
              </w:r>
            </w:p>
            <w:p w14:paraId="0000000F" w14:textId="77777777">
              <w:pPr>
                <w:jc w:val="both"/>
                <w:rPr>
                  <w:szCs w:val="24"/>
                  <w:lang w:val="pl" w:eastAsia="lt-LT"/>
                </w:rPr>
              </w:pPr>
              <w:r>
                <w:rPr>
                  <w:szCs w:val="24"/>
                  <w:lang w:val="pl" w:eastAsia="lt-LT"/>
                </w:rPr>
                <w:t>Įstatymo projektą parengė Seimo narys Vytautas Sinica.</w:t>
              </w:r>
            </w:p>
            <w:p w14:paraId="00000010" w14:textId="77777777">
              <w:pPr>
                <w:jc w:val="both"/>
                <w:rPr>
                  <w:szCs w:val="24"/>
                  <w:lang w:val="pl" w:eastAsia="lt-LT"/>
                </w:rPr>
              </w:pPr>
            </w:p>
          </w:sdtContent>
        </w:sdt>
        <w:sdt>
          <w:sdtPr>
            <w:alias w:val="3 p."/>
            <w:tag w:val="part_93dcf2c950654138ad0151a1f706c5b8"/>
            <w:lock w:val="sdtLocked"/>
            <w:richText/>
          </w:sdtPr>
          <w:sdtContent>
            <w:p w14:paraId="00000011" w14:textId="5A4B171D">
              <w:pPr>
                <w:pBdr>
                  <w:top w:val="nil"/>
                  <w:left w:val="nil"/>
                  <w:bottom w:val="nil"/>
                  <w:right w:val="nil"/>
                  <w:between w:val="nil"/>
                </w:pBdr>
                <w:ind w:left="360" w:hanging="360"/>
                <w:jc w:val="both"/>
                <w:rPr>
                  <w:b/>
                  <w:bCs/>
                  <w:color w:val="000000"/>
                  <w:szCs w:val="24"/>
                  <w:lang w:val="pl" w:eastAsia="lt-LT"/>
                </w:rPr>
              </w:pPr>
              <w:sdt>
                <w:sdtPr>
                  <w:alias w:val="Numeris"/>
                  <w:tag w:val="nr_93dcf2c950654138ad0151a1f706c5b8"/>
                  <w:lock w:val="sdtLocked"/>
                  <w:richText/>
                </w:sdtPr>
                <w:sdtContent>
                  <w:r>
                    <w:rPr>
                      <w:b/>
                      <w:bCs/>
                      <w:color w:val="000000"/>
                      <w:szCs w:val="24"/>
                      <w:lang w:val="pl" w:eastAsia="lt-LT"/>
                    </w:rPr>
                    <w:t>3</w:t>
                  </w:r>
                </w:sdtContent>
              </w:sdt>
              <w:r>
                <w:rPr>
                  <w:b/>
                  <w:bCs/>
                  <w:color w:val="000000"/>
                  <w:szCs w:val="24"/>
                  <w:lang w:val="pl" w:eastAsia="lt-LT"/>
                </w:rPr>
                <w:t>.</w:t>
                <w:tab/>
                <w:t>Kaip šiuo metu yra reguliuojami Įstatymo projekte aptarti teisiniai santykiai:</w:t>
              </w:r>
            </w:p>
            <w:p w14:paraId="00000012" w14:textId="77777777">
              <w:pPr>
                <w:jc w:val="both"/>
                <w:rPr>
                  <w:szCs w:val="24"/>
                  <w:lang w:val="pl" w:eastAsia="lt-LT"/>
                </w:rPr>
              </w:pPr>
              <w:r>
                <w:rPr>
                  <w:szCs w:val="24"/>
                  <w:lang w:val="pl" w:eastAsia="lt-LT"/>
                </w:rPr>
                <w:t>Šiuo metu Įstatymas atskirai nenumato, kad iš Lietuvos Respublikos būtų išsiunčiami užsieniečiai, kurie įsiteisėjusiu teismo nuosprendžiu būtų nuteisti už Lietuvos Respublikos baudžiamojo kodekso numatytų tyčinių nusikalstamų veikų padarymą.</w:t>
              </w:r>
            </w:p>
            <w:p w14:paraId="00000013" w14:textId="77777777">
              <w:pPr>
                <w:jc w:val="both"/>
                <w:rPr>
                  <w:szCs w:val="24"/>
                  <w:lang w:val="pl" w:eastAsia="lt-LT"/>
                </w:rPr>
              </w:pPr>
            </w:p>
          </w:sdtContent>
        </w:sdt>
        <w:sdt>
          <w:sdtPr>
            <w:alias w:val="4 p."/>
            <w:tag w:val="part_63dc72690a7b475bbe764f7a47666776"/>
            <w:lock w:val="sdtLocked"/>
            <w:richText/>
          </w:sdtPr>
          <w:sdtContent>
            <w:p w14:paraId="00000014" w14:textId="1705F314">
              <w:pPr>
                <w:pBdr>
                  <w:top w:val="nil"/>
                  <w:left w:val="nil"/>
                  <w:bottom w:val="nil"/>
                  <w:right w:val="nil"/>
                  <w:between w:val="nil"/>
                </w:pBdr>
                <w:ind w:left="360" w:hanging="360"/>
                <w:jc w:val="both"/>
                <w:rPr>
                  <w:b/>
                  <w:bCs/>
                  <w:color w:val="000000"/>
                  <w:szCs w:val="24"/>
                  <w:lang w:val="pl" w:eastAsia="lt-LT"/>
                </w:rPr>
              </w:pPr>
              <w:sdt>
                <w:sdtPr>
                  <w:alias w:val="Numeris"/>
                  <w:tag w:val="nr_63dc72690a7b475bbe764f7a47666776"/>
                  <w:lock w:val="sdtLocked"/>
                  <w:richText/>
                </w:sdtPr>
                <w:sdtContent>
                  <w:r>
                    <w:rPr>
                      <w:b/>
                      <w:bCs/>
                      <w:color w:val="000000"/>
                      <w:szCs w:val="24"/>
                      <w:lang w:val="pl" w:eastAsia="lt-LT"/>
                    </w:rPr>
                    <w:t>4</w:t>
                  </w:r>
                </w:sdtContent>
              </w:sdt>
              <w:r>
                <w:rPr>
                  <w:b/>
                  <w:bCs/>
                  <w:color w:val="000000"/>
                  <w:szCs w:val="24"/>
                  <w:lang w:val="pl" w:eastAsia="lt-LT"/>
                </w:rPr>
                <w:t>.</w:t>
                <w:tab/>
                <w:t>Kokios siūlomos naujos teisinio reguliavimo nuostatos ir kokių teigiamų rezultatų laukiama:</w:t>
              </w:r>
            </w:p>
            <w:p w14:paraId="00000015" w14:textId="77777777">
              <w:pPr>
                <w:jc w:val="both"/>
                <w:rPr>
                  <w:szCs w:val="24"/>
                  <w:lang w:val="pl" w:eastAsia="lt-LT"/>
                </w:rPr>
              </w:pPr>
              <w:r>
                <w:rPr>
                  <w:szCs w:val="24"/>
                  <w:lang w:val="pl" w:eastAsia="lt-LT"/>
                </w:rPr>
                <w:t>Įstatymo projektu yra siekiama apsaugoti visuomenę nuo nusikalsti linkusių užsieniečių, efektyvinti bendrosios ir specialiosios prevencijos funkcijų taikymą, numatant, kad iš Lietuvos Respublikos būtų išsiunčiami užsieniečiai, nuteisiami už Lietuvos Respublikos baudžiamojo kodekso nustatytos tyčinės nusikalstamos veikos (veikų) padarymą – po teismo skirtos bausmės atlikimo.</w:t>
              </w:r>
            </w:p>
            <w:p w14:paraId="00000016" w14:textId="77777777">
              <w:pPr>
                <w:jc w:val="both"/>
                <w:rPr>
                  <w:szCs w:val="24"/>
                  <w:lang w:val="pl" w:eastAsia="lt-LT"/>
                </w:rPr>
              </w:pPr>
            </w:p>
            <w:p w14:paraId="00000017" w14:textId="77777777">
              <w:pPr>
                <w:jc w:val="both"/>
                <w:rPr>
                  <w:szCs w:val="24"/>
                  <w:lang w:val="pl" w:eastAsia="lt-LT"/>
                </w:rPr>
              </w:pPr>
              <w:r>
                <w:rPr>
                  <w:szCs w:val="24"/>
                  <w:lang w:val="pl" w:eastAsia="lt-LT"/>
                </w:rPr>
                <w:t>Projektu taip pat numatoma, kad, kai už Baudžiamojo kodekso numatytos tyčinės nusikalstamos veikos / tyčinių nusikalstamų veikų padarymą yra nuteisiamas užsienietis, kurio teisėto atvykimo ir buvimo Lietuvos Respublikoje pagrindas buvo darbas, tokio užsieniečio išsiuntimo iš Lietuvos Respublikos išlaidas turėtų padengti būtent užsieniečio darbdavys.</w:t>
              </w:r>
            </w:p>
            <w:p w14:paraId="00000018" w14:textId="77777777">
              <w:pPr>
                <w:jc w:val="both"/>
                <w:rPr>
                  <w:szCs w:val="24"/>
                  <w:lang w:val="pl" w:eastAsia="lt-LT"/>
                </w:rPr>
              </w:pPr>
            </w:p>
          </w:sdtContent>
        </w:sdt>
        <w:sdt>
          <w:sdtPr>
            <w:alias w:val="5 p."/>
            <w:tag w:val="part_2ebf1ee8024a45fea3ce46869cd2a836"/>
            <w:lock w:val="sdtLocked"/>
            <w:richText/>
          </w:sdtPr>
          <w:sdtContent>
            <w:p w14:paraId="00000019" w14:textId="7FD4852C">
              <w:pPr>
                <w:pBdr>
                  <w:top w:val="nil"/>
                  <w:left w:val="nil"/>
                  <w:bottom w:val="nil"/>
                  <w:right w:val="nil"/>
                  <w:between w:val="nil"/>
                </w:pBdr>
                <w:ind w:left="360" w:hanging="360"/>
                <w:jc w:val="both"/>
                <w:rPr>
                  <w:b/>
                  <w:bCs/>
                  <w:color w:val="000000"/>
                  <w:szCs w:val="24"/>
                  <w:lang w:val="pl" w:eastAsia="lt-LT"/>
                </w:rPr>
              </w:pPr>
              <w:sdt>
                <w:sdtPr>
                  <w:alias w:val="Numeris"/>
                  <w:tag w:val="nr_2ebf1ee8024a45fea3ce46869cd2a836"/>
                  <w:lock w:val="sdtLocked"/>
                  <w:richText/>
                </w:sdtPr>
                <w:sdtContent>
                  <w:r>
                    <w:rPr>
                      <w:b/>
                      <w:bCs/>
                      <w:color w:val="000000"/>
                      <w:szCs w:val="24"/>
                      <w:lang w:val="pl" w:eastAsia="lt-LT"/>
                    </w:rPr>
                    <w:t>5</w:t>
                  </w:r>
                </w:sdtContent>
              </w:sdt>
              <w:r>
                <w:rPr>
                  <w:b/>
                  <w:bCs/>
                  <w:color w:val="000000"/>
                  <w:szCs w:val="24"/>
                  <w:lang w:val="pl" w:eastAsia="lt-LT"/>
                </w:rPr>
                <w:t>.</w:t>
                <w:tab/>
                <w:t>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0000001A" w14:textId="77777777">
              <w:pPr>
                <w:jc w:val="both"/>
                <w:rPr>
                  <w:szCs w:val="24"/>
                  <w:lang w:val="pl" w:eastAsia="lt-LT"/>
                </w:rPr>
              </w:pPr>
              <w:r>
                <w:rPr>
                  <w:szCs w:val="24"/>
                  <w:lang w:val="pl" w:eastAsia="lt-LT"/>
                </w:rPr>
                <w:t>Priėmus įstatymo projektą neigiamų pasekmių nenumatoma.</w:t>
              </w:r>
            </w:p>
            <w:p w14:paraId="0000001B" w14:textId="77777777">
              <w:pPr>
                <w:jc w:val="both"/>
                <w:rPr>
                  <w:szCs w:val="24"/>
                  <w:lang w:val="pl" w:eastAsia="lt-LT"/>
                </w:rPr>
              </w:pPr>
            </w:p>
          </w:sdtContent>
        </w:sdt>
        <w:sdt>
          <w:sdtPr>
            <w:alias w:val="6 p."/>
            <w:tag w:val="part_c01e3c20e7f34758bc6f3f1e95346c90"/>
            <w:lock w:val="sdtLocked"/>
            <w:richText/>
          </w:sdtPr>
          <w:sdtContent>
            <w:p w14:paraId="0000001C" w14:textId="65120847">
              <w:pPr>
                <w:pBdr>
                  <w:top w:val="nil"/>
                  <w:left w:val="nil"/>
                  <w:bottom w:val="nil"/>
                  <w:right w:val="nil"/>
                  <w:between w:val="nil"/>
                </w:pBdr>
                <w:spacing w:line="278" w:lineRule="auto"/>
                <w:ind w:left="360" w:hanging="360"/>
                <w:jc w:val="both"/>
                <w:rPr>
                  <w:rFonts w:ascii="Calibri" w:eastAsia="Calibri" w:hAnsi="Calibri" w:cs="Calibri"/>
                  <w:color w:val="000000"/>
                  <w:sz w:val="22"/>
                  <w:szCs w:val="22"/>
                  <w:lang w:val="pl" w:eastAsia="lt-LT"/>
                </w:rPr>
              </w:pPr>
              <w:sdt>
                <w:sdtPr>
                  <w:alias w:val="Numeris"/>
                  <w:tag w:val="nr_c01e3c20e7f34758bc6f3f1e95346c90"/>
                  <w:lock w:val="sdtLocked"/>
                  <w:richText/>
                </w:sdtPr>
                <w:sdtContent>
                  <w:r>
                    <w:rPr>
                      <w:rFonts w:ascii="Calibri" w:eastAsia="Calibri" w:hAnsi="Calibri" w:cs="Calibri"/>
                      <w:color w:val="000000"/>
                      <w:sz w:val="22"/>
                      <w:szCs w:val="22"/>
                      <w:lang w:val="pl" w:eastAsia="lt-LT"/>
                    </w:rPr>
                    <w:t>6</w:t>
                  </w:r>
                </w:sdtContent>
              </w:sdt>
              <w:r>
                <w:rPr>
                  <w:rFonts w:ascii="Calibri" w:eastAsia="Calibri" w:hAnsi="Calibri" w:cs="Calibri"/>
                  <w:color w:val="000000"/>
                  <w:sz w:val="22"/>
                  <w:szCs w:val="22"/>
                  <w:lang w:val="pl" w:eastAsia="lt-LT"/>
                </w:rPr>
                <w:t>.</w:t>
                <w:tab/>
              </w:r>
              <w:r>
                <w:rPr>
                  <w:b/>
                  <w:bCs/>
                  <w:color w:val="000000"/>
                  <w:szCs w:val="24"/>
                  <w:lang w:val="pl" w:eastAsia="lt-LT"/>
                </w:rPr>
                <w:t>Kokią įtaką priimtas įstatymas turės kriminogeninei situacijai, korupcijai:</w:t>
              </w:r>
            </w:p>
            <w:p w14:paraId="0000001D" w14:textId="77777777">
              <w:pPr>
                <w:spacing w:line="278" w:lineRule="auto"/>
                <w:jc w:val="both"/>
                <w:rPr>
                  <w:rFonts w:ascii="Calibri" w:eastAsia="Calibri" w:hAnsi="Calibri" w:cs="Calibri"/>
                  <w:color w:val="000000"/>
                  <w:sz w:val="22"/>
                  <w:szCs w:val="22"/>
                  <w:lang w:val="pl" w:eastAsia="lt-LT"/>
                </w:rPr>
              </w:pPr>
              <w:r>
                <w:rPr>
                  <w:color w:val="000000"/>
                  <w:szCs w:val="24"/>
                  <w:lang w:val="pl" w:eastAsia="lt-LT"/>
                </w:rPr>
                <w:t>Įstatymo projektas turėtų įtaką gerinant kriminogeninę situaciją.</w:t>
              </w:r>
            </w:p>
            <w:p w14:paraId="0000001E" w14:textId="77777777">
              <w:pPr>
                <w:spacing w:line="278" w:lineRule="auto"/>
                <w:ind w:firstLine="913"/>
                <w:jc w:val="both"/>
                <w:rPr>
                  <w:rFonts w:ascii="Calibri" w:eastAsia="Calibri" w:hAnsi="Calibri" w:cs="Calibri"/>
                  <w:color w:val="000000"/>
                  <w:sz w:val="22"/>
                  <w:szCs w:val="22"/>
                  <w:lang w:val="pl" w:eastAsia="lt-LT"/>
                </w:rPr>
              </w:pPr>
            </w:p>
          </w:sdtContent>
        </w:sdt>
        <w:sdt>
          <w:sdtPr>
            <w:alias w:val="7 p."/>
            <w:tag w:val="part_22f44967806d4fb3a685d25dfe09d951"/>
            <w:lock w:val="sdtLocked"/>
            <w:richText/>
          </w:sdtPr>
          <w:sdtContent>
            <w:p w14:paraId="0000001F" w14:textId="77777777">
              <w:pPr>
                <w:spacing w:line="278" w:lineRule="auto"/>
                <w:jc w:val="both"/>
                <w:rPr>
                  <w:rFonts w:ascii="Calibri" w:eastAsia="Calibri" w:hAnsi="Calibri" w:cs="Calibri"/>
                  <w:color w:val="000000"/>
                  <w:sz w:val="22"/>
                  <w:szCs w:val="22"/>
                  <w:lang w:val="pl" w:eastAsia="lt-LT"/>
                </w:rPr>
              </w:pPr>
              <w:sdt>
                <w:sdtPr>
                  <w:alias w:val="Numeris"/>
                  <w:tag w:val="nr_22f44967806d4fb3a685d25dfe09d951"/>
                  <w:lock w:val="sdtLocked"/>
                  <w:richText/>
                </w:sdtPr>
                <w:sdtContent>
                  <w:r>
                    <w:rPr>
                      <w:b/>
                      <w:bCs/>
                      <w:color w:val="000000"/>
                      <w:szCs w:val="24"/>
                      <w:lang w:val="pl" w:eastAsia="lt-LT"/>
                    </w:rPr>
                    <w:t>7</w:t>
                  </w:r>
                </w:sdtContent>
              </w:sdt>
              <w:r>
                <w:rPr>
                  <w:b/>
                  <w:bCs/>
                  <w:color w:val="000000"/>
                  <w:szCs w:val="24"/>
                  <w:lang w:val="pl" w:eastAsia="lt-LT"/>
                </w:rPr>
                <w:t>.</w:t>
              </w:r>
              <w:r>
                <w:rPr>
                  <w:b/>
                  <w:bCs/>
                  <w:color w:val="000000"/>
                  <w:sz w:val="14"/>
                  <w:szCs w:val="14"/>
                  <w:lang w:val="pl" w:eastAsia="lt-LT"/>
                </w:rPr>
                <w:t>    </w:t>
              </w:r>
              <w:r>
                <w:rPr>
                  <w:b/>
                  <w:bCs/>
                  <w:color w:val="000000"/>
                  <w:szCs w:val="24"/>
                  <w:lang w:val="pl" w:eastAsia="lt-LT"/>
                </w:rPr>
                <w:t>Kaip įstatymo įgyvendinimas atsilieps verslo sąlygoms ir jo plėtrai:</w:t>
              </w:r>
            </w:p>
            <w:p w14:paraId="00000020" w14:textId="77777777">
              <w:pPr>
                <w:spacing w:line="278" w:lineRule="auto"/>
                <w:jc w:val="both"/>
                <w:rPr>
                  <w:rFonts w:ascii="Calibri" w:eastAsia="Calibri" w:hAnsi="Calibri" w:cs="Calibri"/>
                  <w:color w:val="000000"/>
                  <w:sz w:val="22"/>
                  <w:szCs w:val="22"/>
                  <w:lang w:val="pl" w:eastAsia="lt-LT"/>
                </w:rPr>
              </w:pPr>
              <w:r>
                <w:rPr>
                  <w:color w:val="000000"/>
                  <w:szCs w:val="24"/>
                  <w:lang w:val="pl" w:eastAsia="lt-LT"/>
                </w:rPr>
                <w:t xml:space="preserve">Įstatymo projektas skatins verslą samdyti Lietuvos Respublikos piliečius, o pasisamdant užsienietį – </w:t>
              </w:r>
              <w:r>
                <w:rPr>
                  <w:szCs w:val="24"/>
                  <w:lang w:val="pl" w:eastAsia="lt-LT"/>
                </w:rPr>
                <w:t>prisiimti atsakomybę už jo išsiuntimo iš Lietuvos Respublikos kaštų padengimą tuo atveju, jei toks užsienietis yra nuteisiamas už tyčinės nusikalstamos veikos padarymą.</w:t>
              </w:r>
            </w:p>
            <w:p w14:paraId="00000021" w14:textId="77777777">
              <w:pPr>
                <w:spacing w:line="278" w:lineRule="auto"/>
                <w:ind w:firstLine="913"/>
                <w:jc w:val="both"/>
                <w:rPr>
                  <w:rFonts w:ascii="Calibri" w:eastAsia="Calibri" w:hAnsi="Calibri" w:cs="Calibri"/>
                  <w:color w:val="000000"/>
                  <w:sz w:val="22"/>
                  <w:szCs w:val="22"/>
                  <w:lang w:val="pl" w:eastAsia="lt-LT"/>
                </w:rPr>
              </w:pPr>
            </w:p>
          </w:sdtContent>
        </w:sdt>
        <w:sdt>
          <w:sdtPr>
            <w:alias w:val="8 p."/>
            <w:tag w:val="part_25f847ee86a649e195876ba528b427c7"/>
            <w:lock w:val="sdtLocked"/>
            <w:richText/>
          </w:sdtPr>
          <w:sdtContent>
            <w:p w14:paraId="00000022" w14:textId="77777777">
              <w:pPr>
                <w:spacing w:line="278" w:lineRule="auto"/>
                <w:jc w:val="both"/>
                <w:rPr>
                  <w:rFonts w:ascii="Calibri" w:eastAsia="Calibri" w:hAnsi="Calibri" w:cs="Calibri"/>
                  <w:color w:val="000000"/>
                  <w:sz w:val="22"/>
                  <w:szCs w:val="22"/>
                  <w:lang w:val="pl" w:eastAsia="lt-LT"/>
                </w:rPr>
              </w:pPr>
              <w:sdt>
                <w:sdtPr>
                  <w:alias w:val="Numeris"/>
                  <w:tag w:val="nr_25f847ee86a649e195876ba528b427c7"/>
                  <w:lock w:val="sdtLocked"/>
                  <w:richText/>
                </w:sdtPr>
                <w:sdtContent>
                  <w:r>
                    <w:rPr>
                      <w:b/>
                      <w:bCs/>
                      <w:color w:val="000000"/>
                      <w:szCs w:val="24"/>
                      <w:lang w:val="pl" w:eastAsia="lt-LT"/>
                    </w:rPr>
                    <w:t>8</w:t>
                  </w:r>
                </w:sdtContent>
              </w:sdt>
              <w:r>
                <w:rPr>
                  <w:b/>
                  <w:bCs/>
                  <w:color w:val="000000"/>
                  <w:szCs w:val="24"/>
                  <w:lang w:val="pl" w:eastAsia="lt-LT"/>
                </w:rPr>
                <w:t>.</w:t>
              </w:r>
              <w:r>
                <w:rPr>
                  <w:b/>
                  <w:bCs/>
                  <w:color w:val="000000"/>
                  <w:sz w:val="14"/>
                  <w:szCs w:val="14"/>
                  <w:lang w:val="pl" w:eastAsia="lt-LT"/>
                </w:rPr>
                <w:t>    </w:t>
              </w:r>
              <w:r>
                <w:rPr>
                  <w:b/>
                  <w:bCs/>
                  <w:color w:val="000000"/>
                  <w:szCs w:val="24"/>
                  <w:lang w:val="pl" w:eastAsia="lt-LT"/>
                </w:rPr>
                <w:t>Ar Įstatymo projektas neprieštarauja strateginio lygmens planavimo dokumentams:</w:t>
              </w:r>
            </w:p>
            <w:p w14:paraId="00000023" w14:textId="77777777">
              <w:pPr>
                <w:spacing w:line="278" w:lineRule="auto"/>
                <w:jc w:val="both"/>
                <w:rPr>
                  <w:rFonts w:ascii="Calibri" w:eastAsia="Calibri" w:hAnsi="Calibri" w:cs="Calibri"/>
                  <w:color w:val="000000"/>
                  <w:sz w:val="22"/>
                  <w:szCs w:val="22"/>
                  <w:lang w:val="pl" w:eastAsia="lt-LT"/>
                </w:rPr>
              </w:pPr>
              <w:r>
                <w:rPr>
                  <w:color w:val="000000"/>
                  <w:szCs w:val="24"/>
                  <w:lang w:val="pl" w:eastAsia="lt-LT"/>
                </w:rPr>
                <w:t>Neprieštarauja.</w:t>
              </w:r>
            </w:p>
            <w:p w14:paraId="00000024" w14:textId="77777777">
              <w:pPr>
                <w:spacing w:line="278" w:lineRule="auto"/>
                <w:ind w:firstLine="913"/>
                <w:jc w:val="both"/>
                <w:rPr>
                  <w:rFonts w:ascii="Calibri" w:eastAsia="Calibri" w:hAnsi="Calibri" w:cs="Calibri"/>
                  <w:color w:val="000000"/>
                  <w:sz w:val="22"/>
                  <w:szCs w:val="22"/>
                  <w:lang w:val="pl" w:eastAsia="lt-LT"/>
                </w:rPr>
              </w:pPr>
            </w:p>
          </w:sdtContent>
        </w:sdt>
        <w:sdt>
          <w:sdtPr>
            <w:alias w:val="9 p."/>
            <w:tag w:val="part_d8e2cbf520f7412a9befcad3276206ed"/>
            <w:lock w:val="sdtLocked"/>
            <w:richText/>
          </w:sdtPr>
          <w:sdtContent>
            <w:p w14:paraId="00000025" w14:textId="77777777">
              <w:pPr>
                <w:spacing w:line="278" w:lineRule="auto"/>
                <w:jc w:val="both"/>
                <w:rPr>
                  <w:rFonts w:ascii="Calibri" w:eastAsia="Calibri" w:hAnsi="Calibri" w:cs="Calibri"/>
                  <w:color w:val="000000"/>
                  <w:sz w:val="22"/>
                  <w:szCs w:val="22"/>
                  <w:lang w:val="pl" w:eastAsia="lt-LT"/>
                </w:rPr>
              </w:pPr>
              <w:sdt>
                <w:sdtPr>
                  <w:alias w:val="Numeris"/>
                  <w:tag w:val="nr_d8e2cbf520f7412a9befcad3276206ed"/>
                  <w:lock w:val="sdtLocked"/>
                  <w:richText/>
                </w:sdtPr>
                <w:sdtContent>
                  <w:r>
                    <w:rPr>
                      <w:b/>
                      <w:bCs/>
                      <w:color w:val="000000"/>
                      <w:szCs w:val="24"/>
                      <w:lang w:val="pl" w:eastAsia="lt-LT"/>
                    </w:rPr>
                    <w:t>9</w:t>
                  </w:r>
                </w:sdtContent>
              </w:sdt>
              <w:r>
                <w:rPr>
                  <w:b/>
                  <w:bCs/>
                  <w:color w:val="000000"/>
                  <w:szCs w:val="24"/>
                  <w:lang w:val="pl" w:eastAsia="lt-LT"/>
                </w:rPr>
                <w:t>.</w:t>
              </w:r>
              <w:r>
                <w:rPr>
                  <w:b/>
                  <w:bCs/>
                  <w:color w:val="000000"/>
                  <w:sz w:val="14"/>
                  <w:szCs w:val="14"/>
                  <w:lang w:val="pl" w:eastAsia="lt-LT"/>
                </w:rPr>
                <w:t>    </w:t>
              </w:r>
              <w:r>
                <w:rPr>
                  <w:b/>
                  <w:bCs/>
                  <w:color w:val="000000"/>
                  <w:szCs w:val="24"/>
                  <w:lang w:val="pl" w:eastAsia="lt-LT"/>
                </w:rPr>
                <w:t>Įstatymo inkorporavimas į teisinę sistemą, kokius teisės aktus būtina priimti, kokius galiojančius teisės aktus reikia pakeisti ar pripažinti netekusiais galios:</w:t>
              </w:r>
            </w:p>
            <w:p w14:paraId="00000026" w14:textId="77777777">
              <w:pPr>
                <w:spacing w:line="278" w:lineRule="auto"/>
                <w:jc w:val="both"/>
                <w:rPr>
                  <w:color w:val="000000"/>
                  <w:szCs w:val="24"/>
                  <w:lang w:val="pl" w:eastAsia="lt-LT"/>
                </w:rPr>
              </w:pPr>
              <w:r>
                <w:rPr>
                  <w:szCs w:val="24"/>
                  <w:lang w:val="pl" w:eastAsia="lt-LT"/>
                </w:rPr>
                <w:t>V</w:t>
              </w:r>
              <w:r>
                <w:rPr>
                  <w:color w:val="000000"/>
                  <w:szCs w:val="24"/>
                  <w:lang w:val="pl" w:eastAsia="lt-LT"/>
                </w:rPr>
                <w:t>idaus reikalų ministr</w:t>
              </w:r>
              <w:r>
                <w:rPr>
                  <w:szCs w:val="24"/>
                  <w:lang w:val="pl" w:eastAsia="lt-LT"/>
                </w:rPr>
                <w:t>ui reikės nustatyti</w:t>
              </w:r>
              <w:r>
                <w:rPr>
                  <w:color w:val="000000"/>
                  <w:szCs w:val="24"/>
                  <w:lang w:val="pl" w:eastAsia="lt-LT"/>
                </w:rPr>
                <w:t xml:space="preserve"> tvark</w:t>
              </w:r>
              <w:r>
                <w:rPr>
                  <w:szCs w:val="24"/>
                  <w:lang w:val="pl" w:eastAsia="lt-LT"/>
                </w:rPr>
                <w:t>ą</w:t>
              </w:r>
              <w:r>
                <w:rPr>
                  <w:color w:val="000000"/>
                  <w:szCs w:val="24"/>
                  <w:lang w:val="pl" w:eastAsia="lt-LT"/>
                </w:rPr>
                <w:t>, kuri numatytų išsiunčiamo užsieniečio išsiuntimo iš Lietuvos Respublikos išlaidų padengimą. </w:t>
              </w:r>
            </w:p>
            <w:p w14:paraId="00000027" w14:textId="77777777">
              <w:pPr>
                <w:spacing w:line="278" w:lineRule="auto"/>
                <w:jc w:val="both"/>
                <w:rPr>
                  <w:rFonts w:ascii="Calibri" w:eastAsia="Calibri" w:hAnsi="Calibri" w:cs="Calibri"/>
                  <w:color w:val="000000"/>
                  <w:sz w:val="22"/>
                  <w:szCs w:val="22"/>
                  <w:lang w:val="pl" w:eastAsia="lt-LT"/>
                </w:rPr>
              </w:pPr>
            </w:p>
          </w:sdtContent>
        </w:sdt>
        <w:sdt>
          <w:sdtPr>
            <w:alias w:val="10 p."/>
            <w:tag w:val="part_1fe268ac1b2841418dcd292f58046c66"/>
            <w:lock w:val="sdtLocked"/>
            <w:richText/>
          </w:sdtPr>
          <w:sdtContent>
            <w:p w14:paraId="00000028" w14:textId="77777777">
              <w:pPr>
                <w:spacing w:line="278" w:lineRule="auto"/>
                <w:jc w:val="both"/>
                <w:rPr>
                  <w:rFonts w:ascii="Calibri" w:eastAsia="Calibri" w:hAnsi="Calibri" w:cs="Calibri"/>
                  <w:color w:val="000000"/>
                  <w:sz w:val="22"/>
                  <w:szCs w:val="22"/>
                  <w:lang w:val="pl" w:eastAsia="lt-LT"/>
                </w:rPr>
              </w:pPr>
              <w:sdt>
                <w:sdtPr>
                  <w:alias w:val="Numeris"/>
                  <w:tag w:val="nr_1fe268ac1b2841418dcd292f58046c66"/>
                  <w:lock w:val="sdtLocked"/>
                  <w:richText/>
                </w:sdtPr>
                <w:sdtContent>
                  <w:r>
                    <w:rPr>
                      <w:b/>
                      <w:bCs/>
                      <w:color w:val="000000"/>
                      <w:szCs w:val="24"/>
                      <w:lang w:val="pl" w:eastAsia="lt-LT"/>
                    </w:rPr>
                    <w:t>10</w:t>
                  </w:r>
                </w:sdtContent>
              </w:sdt>
              <w:r>
                <w:rPr>
                  <w:b/>
                  <w:bCs/>
                  <w:color w:val="000000"/>
                  <w:szCs w:val="24"/>
                  <w:lang w:val="pl" w:eastAsia="lt-LT"/>
                </w:rPr>
                <w:t>.</w:t>
              </w:r>
              <w:r>
                <w:rPr>
                  <w:b/>
                  <w:bCs/>
                  <w:color w:val="000000"/>
                  <w:sz w:val="14"/>
                  <w:szCs w:val="14"/>
                  <w:lang w:val="pl" w:eastAsia="lt-LT"/>
                </w:rPr>
                <w:t>    </w:t>
              </w:r>
              <w:r>
                <w:rPr>
                  <w:b/>
                  <w:bCs/>
                  <w:color w:val="000000"/>
                  <w:szCs w:val="24"/>
                  <w:lang w:val="pl" w:eastAsia="lt-LT"/>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00000029" w14:textId="77777777">
              <w:pPr>
                <w:jc w:val="both"/>
                <w:rPr>
                  <w:rFonts w:ascii="Calibri" w:eastAsia="Calibri" w:hAnsi="Calibri" w:cs="Calibri"/>
                  <w:color w:val="000000"/>
                  <w:sz w:val="22"/>
                  <w:szCs w:val="22"/>
                  <w:lang w:val="pl" w:eastAsia="lt-LT"/>
                </w:rPr>
              </w:pPr>
              <w:r>
                <w:rPr>
                  <w:color w:val="000000"/>
                  <w:szCs w:val="24"/>
                  <w:lang w:val="pl" w:eastAsia="lt-LT"/>
                </w:rPr>
                <w:t>Įstatymo projektas parengtas laikantis Lietuvos Respublikos valstybinės kalbos, Teisėkūros pagrindų įstatymo reikalavimų.</w:t>
              </w:r>
            </w:p>
            <w:p w14:paraId="0000002A" w14:textId="77777777">
              <w:pPr>
                <w:spacing w:line="278" w:lineRule="auto"/>
                <w:ind w:firstLine="913"/>
                <w:jc w:val="both"/>
                <w:rPr>
                  <w:rFonts w:ascii="Calibri" w:eastAsia="Calibri" w:hAnsi="Calibri" w:cs="Calibri"/>
                  <w:color w:val="000000"/>
                  <w:sz w:val="22"/>
                  <w:szCs w:val="22"/>
                  <w:lang w:val="pl" w:eastAsia="lt-LT"/>
                </w:rPr>
              </w:pPr>
            </w:p>
          </w:sdtContent>
        </w:sdt>
        <w:sdt>
          <w:sdtPr>
            <w:alias w:val="11 p."/>
            <w:tag w:val="part_a5be6162e10d4576b259eb5fb7ba6696"/>
            <w:lock w:val="sdtLocked"/>
            <w:richText/>
          </w:sdtPr>
          <w:sdtContent>
            <w:p w14:paraId="0000002B" w14:textId="77777777">
              <w:pPr>
                <w:spacing w:line="278" w:lineRule="auto"/>
                <w:jc w:val="both"/>
                <w:rPr>
                  <w:rFonts w:ascii="Calibri" w:eastAsia="Calibri" w:hAnsi="Calibri" w:cs="Calibri"/>
                  <w:color w:val="000000"/>
                  <w:sz w:val="22"/>
                  <w:szCs w:val="22"/>
                  <w:lang w:val="pl" w:eastAsia="lt-LT"/>
                </w:rPr>
              </w:pPr>
              <w:sdt>
                <w:sdtPr>
                  <w:alias w:val="Numeris"/>
                  <w:tag w:val="nr_a5be6162e10d4576b259eb5fb7ba6696"/>
                  <w:lock w:val="sdtLocked"/>
                  <w:richText/>
                </w:sdtPr>
                <w:sdtContent>
                  <w:r>
                    <w:rPr>
                      <w:b/>
                      <w:bCs/>
                      <w:color w:val="000000"/>
                      <w:szCs w:val="24"/>
                      <w:lang w:val="pl" w:eastAsia="lt-LT"/>
                    </w:rPr>
                    <w:t>11</w:t>
                  </w:r>
                </w:sdtContent>
              </w:sdt>
              <w:r>
                <w:rPr>
                  <w:b/>
                  <w:bCs/>
                  <w:color w:val="000000"/>
                  <w:szCs w:val="24"/>
                  <w:lang w:val="pl" w:eastAsia="lt-LT"/>
                </w:rPr>
                <w:t>.</w:t>
              </w:r>
              <w:r>
                <w:rPr>
                  <w:b/>
                  <w:bCs/>
                  <w:color w:val="000000"/>
                  <w:sz w:val="14"/>
                  <w:szCs w:val="14"/>
                  <w:lang w:val="pl" w:eastAsia="lt-LT"/>
                </w:rPr>
                <w:t>    </w:t>
              </w:r>
              <w:r>
                <w:rPr>
                  <w:b/>
                  <w:bCs/>
                  <w:color w:val="000000"/>
                  <w:szCs w:val="24"/>
                  <w:lang w:val="pl" w:eastAsia="lt-LT"/>
                </w:rPr>
                <w:t>Ar Įstatymo projektas atitinka Žmogaus teisių ir pagrindinių laisvių apsaugos konvencijos nuostatas ir Europos Sąjungos dokumentus:</w:t>
              </w:r>
            </w:p>
            <w:p w14:paraId="0000002C" w14:textId="77777777">
              <w:pPr>
                <w:jc w:val="both"/>
                <w:rPr>
                  <w:rFonts w:ascii="Calibri" w:eastAsia="Calibri" w:hAnsi="Calibri" w:cs="Calibri"/>
                  <w:color w:val="000000"/>
                  <w:sz w:val="22"/>
                  <w:szCs w:val="22"/>
                  <w:lang w:val="pl" w:eastAsia="lt-LT"/>
                </w:rPr>
              </w:pPr>
              <w:r>
                <w:rPr>
                  <w:color w:val="000000"/>
                  <w:szCs w:val="24"/>
                  <w:lang w:val="pl" w:eastAsia="lt-LT"/>
                </w:rPr>
                <w:t>Įstatymo projektas atitinka Žmogaus teisių ir pagrindinių laisvių apsaugos konvencijos nuostatas ir Europos Sąjungos dokumentus.</w:t>
              </w:r>
            </w:p>
            <w:p w14:paraId="0000002D" w14:textId="77777777">
              <w:pPr>
                <w:ind w:firstLine="913"/>
                <w:jc w:val="both"/>
                <w:rPr>
                  <w:rFonts w:ascii="Calibri" w:eastAsia="Calibri" w:hAnsi="Calibri" w:cs="Calibri"/>
                  <w:color w:val="000000"/>
                  <w:sz w:val="22"/>
                  <w:szCs w:val="22"/>
                  <w:lang w:val="pl" w:eastAsia="lt-LT"/>
                </w:rPr>
              </w:pPr>
            </w:p>
          </w:sdtContent>
        </w:sdt>
        <w:sdt>
          <w:sdtPr>
            <w:alias w:val="12 p."/>
            <w:tag w:val="part_0f1fbc0cd9044d7e9ef529ab83bda63c"/>
            <w:lock w:val="sdtLocked"/>
            <w:richText/>
          </w:sdtPr>
          <w:sdtContent>
            <w:p w14:paraId="0000002E" w14:textId="77777777">
              <w:pPr>
                <w:spacing w:line="278" w:lineRule="auto"/>
                <w:jc w:val="both"/>
                <w:rPr>
                  <w:rFonts w:ascii="Calibri" w:eastAsia="Calibri" w:hAnsi="Calibri" w:cs="Calibri"/>
                  <w:color w:val="000000"/>
                  <w:sz w:val="22"/>
                  <w:szCs w:val="22"/>
                  <w:lang w:val="pl" w:eastAsia="lt-LT"/>
                </w:rPr>
              </w:pPr>
              <w:sdt>
                <w:sdtPr>
                  <w:alias w:val="Numeris"/>
                  <w:tag w:val="nr_0f1fbc0cd9044d7e9ef529ab83bda63c"/>
                  <w:lock w:val="sdtLocked"/>
                  <w:richText/>
                </w:sdtPr>
                <w:sdtContent>
                  <w:r>
                    <w:rPr>
                      <w:b/>
                      <w:bCs/>
                      <w:color w:val="000000"/>
                      <w:szCs w:val="24"/>
                      <w:lang w:val="pl" w:eastAsia="lt-LT"/>
                    </w:rPr>
                    <w:t>12</w:t>
                  </w:r>
                </w:sdtContent>
              </w:sdt>
              <w:r>
                <w:rPr>
                  <w:b/>
                  <w:bCs/>
                  <w:color w:val="000000"/>
                  <w:szCs w:val="24"/>
                  <w:lang w:val="pl" w:eastAsia="lt-LT"/>
                </w:rPr>
                <w:t>.</w:t>
              </w:r>
              <w:r>
                <w:rPr>
                  <w:b/>
                  <w:bCs/>
                  <w:color w:val="000000"/>
                  <w:sz w:val="14"/>
                  <w:szCs w:val="14"/>
                  <w:lang w:val="pl" w:eastAsia="lt-LT"/>
                </w:rPr>
                <w:t>    </w:t>
              </w:r>
              <w:r>
                <w:rPr>
                  <w:b/>
                  <w:bCs/>
                  <w:color w:val="000000"/>
                  <w:szCs w:val="24"/>
                  <w:lang w:val="pl" w:eastAsia="lt-LT"/>
                </w:rPr>
                <w:t>Jeigu įstatymui įgyvendinti reikia įgyvendinamųjų teisės aktų, – kas ir kada juos turėtų priimti:</w:t>
              </w:r>
            </w:p>
            <w:p w14:paraId="0000002F" w14:textId="77777777">
              <w:pPr>
                <w:spacing w:line="278" w:lineRule="auto"/>
                <w:jc w:val="both"/>
                <w:rPr>
                  <w:rFonts w:ascii="Calibri" w:eastAsia="Calibri" w:hAnsi="Calibri" w:cs="Calibri"/>
                  <w:color w:val="000000"/>
                  <w:sz w:val="22"/>
                  <w:szCs w:val="22"/>
                  <w:lang w:val="pl" w:eastAsia="lt-LT"/>
                </w:rPr>
              </w:pPr>
              <w:r>
                <w:rPr>
                  <w:color w:val="000000"/>
                  <w:szCs w:val="24"/>
                  <w:lang w:val="pl" w:eastAsia="lt-LT"/>
                </w:rPr>
                <w:t xml:space="preserve">Vidaus reikalų ministro įsakymo, kuris turės būti priimtas </w:t>
              </w:r>
              <w:r>
                <w:rPr>
                  <w:szCs w:val="24"/>
                  <w:lang w:val="pl" w:eastAsia="lt-LT"/>
                </w:rPr>
                <w:t>iki įstatymo įsigaliojimo datos.</w:t>
              </w:r>
            </w:p>
            <w:p w14:paraId="00000030" w14:textId="77777777">
              <w:pPr>
                <w:spacing w:line="278" w:lineRule="auto"/>
                <w:ind w:firstLine="913"/>
                <w:jc w:val="both"/>
                <w:rPr>
                  <w:rFonts w:ascii="Calibri" w:eastAsia="Calibri" w:hAnsi="Calibri" w:cs="Calibri"/>
                  <w:color w:val="000000"/>
                  <w:sz w:val="22"/>
                  <w:szCs w:val="22"/>
                  <w:lang w:val="pl" w:eastAsia="lt-LT"/>
                </w:rPr>
              </w:pPr>
            </w:p>
          </w:sdtContent>
        </w:sdt>
        <w:sdt>
          <w:sdtPr>
            <w:alias w:val="13 p."/>
            <w:tag w:val="part_dce2d0e70abe46fdaeeb46834b8f2855"/>
            <w:lock w:val="sdtLocked"/>
            <w:richText/>
          </w:sdtPr>
          <w:sdtContent>
            <w:p w14:paraId="00000031" w14:textId="77777777">
              <w:pPr>
                <w:spacing w:line="278" w:lineRule="auto"/>
                <w:jc w:val="both"/>
                <w:rPr>
                  <w:rFonts w:ascii="Calibri" w:eastAsia="Calibri" w:hAnsi="Calibri" w:cs="Calibri"/>
                  <w:color w:val="000000"/>
                  <w:sz w:val="22"/>
                  <w:szCs w:val="22"/>
                  <w:lang w:val="pl" w:eastAsia="lt-LT"/>
                </w:rPr>
              </w:pPr>
              <w:sdt>
                <w:sdtPr>
                  <w:alias w:val="Numeris"/>
                  <w:tag w:val="nr_dce2d0e70abe46fdaeeb46834b8f2855"/>
                  <w:lock w:val="sdtLocked"/>
                  <w:richText/>
                </w:sdtPr>
                <w:sdtContent>
                  <w:r>
                    <w:rPr>
                      <w:b/>
                      <w:bCs/>
                      <w:color w:val="000000"/>
                      <w:szCs w:val="24"/>
                      <w:lang w:val="pl" w:eastAsia="lt-LT"/>
                    </w:rPr>
                    <w:t>13</w:t>
                  </w:r>
                </w:sdtContent>
              </w:sdt>
              <w:r>
                <w:rPr>
                  <w:b/>
                  <w:bCs/>
                  <w:color w:val="000000"/>
                  <w:szCs w:val="24"/>
                  <w:lang w:val="pl" w:eastAsia="lt-LT"/>
                </w:rPr>
                <w:t>.</w:t>
              </w:r>
              <w:r>
                <w:rPr>
                  <w:b/>
                  <w:bCs/>
                  <w:color w:val="000000"/>
                  <w:sz w:val="14"/>
                  <w:szCs w:val="14"/>
                  <w:lang w:val="pl" w:eastAsia="lt-LT"/>
                </w:rPr>
                <w:t>    </w:t>
              </w:r>
              <w:r>
                <w:rPr>
                  <w:b/>
                  <w:bCs/>
                  <w:color w:val="000000"/>
                  <w:szCs w:val="24"/>
                  <w:lang w:val="pl" w:eastAsia="lt-LT"/>
                </w:rPr>
                <w:t>Kiek valstybės, savivaldybių biudžetų ir kitų valstybės įsteigtų fondų lėšų prireiks įstatymui įgyvendinti, ar bus galima sutaupyti (pateikiami prognozuojami rodikliai einamaisiais ir artimiausiais 3 biudžetiniais metais):</w:t>
              </w:r>
            </w:p>
            <w:p w14:paraId="00000032" w14:textId="77777777">
              <w:pPr>
                <w:spacing w:line="278" w:lineRule="auto"/>
                <w:jc w:val="both"/>
                <w:rPr>
                  <w:rFonts w:ascii="Calibri" w:eastAsia="Calibri" w:hAnsi="Calibri" w:cs="Calibri"/>
                  <w:color w:val="000000"/>
                  <w:sz w:val="22"/>
                  <w:szCs w:val="22"/>
                  <w:lang w:val="pl" w:eastAsia="lt-LT"/>
                </w:rPr>
              </w:pPr>
              <w:r>
                <w:rPr>
                  <w:color w:val="000000"/>
                  <w:szCs w:val="24"/>
                  <w:lang w:val="pl" w:eastAsia="lt-LT"/>
                </w:rPr>
                <w:t>Valstybės, savivaldybių biudžetų ir kitų valstybės įsteigtų fondų lėšų neprireiks.</w:t>
              </w:r>
            </w:p>
            <w:p w14:paraId="00000033" w14:textId="77777777">
              <w:pPr>
                <w:spacing w:line="278" w:lineRule="auto"/>
                <w:ind w:firstLine="913"/>
                <w:jc w:val="both"/>
                <w:rPr>
                  <w:rFonts w:ascii="Calibri" w:eastAsia="Calibri" w:hAnsi="Calibri" w:cs="Calibri"/>
                  <w:color w:val="000000"/>
                  <w:sz w:val="22"/>
                  <w:szCs w:val="22"/>
                  <w:lang w:val="pl" w:eastAsia="lt-LT"/>
                </w:rPr>
              </w:pPr>
            </w:p>
          </w:sdtContent>
        </w:sdt>
        <w:sdt>
          <w:sdtPr>
            <w:alias w:val="14 p."/>
            <w:tag w:val="part_4cdcf9f762464ed692310c698fcc21c9"/>
            <w:lock w:val="sdtLocked"/>
            <w:richText/>
          </w:sdtPr>
          <w:sdtContent>
            <w:p w14:paraId="00000034" w14:textId="77777777">
              <w:pPr>
                <w:spacing w:line="278" w:lineRule="auto"/>
                <w:jc w:val="both"/>
                <w:rPr>
                  <w:rFonts w:ascii="Calibri" w:eastAsia="Calibri" w:hAnsi="Calibri" w:cs="Calibri"/>
                  <w:color w:val="000000"/>
                  <w:sz w:val="22"/>
                  <w:szCs w:val="22"/>
                  <w:lang w:val="pl" w:eastAsia="lt-LT"/>
                </w:rPr>
              </w:pPr>
              <w:sdt>
                <w:sdtPr>
                  <w:alias w:val="Numeris"/>
                  <w:tag w:val="nr_4cdcf9f762464ed692310c698fcc21c9"/>
                  <w:lock w:val="sdtLocked"/>
                  <w:richText/>
                </w:sdtPr>
                <w:sdtContent>
                  <w:r>
                    <w:rPr>
                      <w:b/>
                      <w:bCs/>
                      <w:color w:val="000000"/>
                      <w:szCs w:val="24"/>
                      <w:lang w:val="pl" w:eastAsia="lt-LT"/>
                    </w:rPr>
                    <w:t>14</w:t>
                  </w:r>
                </w:sdtContent>
              </w:sdt>
              <w:r>
                <w:rPr>
                  <w:b/>
                  <w:bCs/>
                  <w:color w:val="000000"/>
                  <w:szCs w:val="24"/>
                  <w:lang w:val="pl" w:eastAsia="lt-LT"/>
                </w:rPr>
                <w:t>.</w:t>
              </w:r>
              <w:r>
                <w:rPr>
                  <w:b/>
                  <w:bCs/>
                  <w:color w:val="000000"/>
                  <w:sz w:val="14"/>
                  <w:szCs w:val="14"/>
                  <w:lang w:val="pl" w:eastAsia="lt-LT"/>
                </w:rPr>
                <w:t>    </w:t>
              </w:r>
              <w:r>
                <w:rPr>
                  <w:b/>
                  <w:bCs/>
                  <w:color w:val="000000"/>
                  <w:szCs w:val="24"/>
                  <w:lang w:val="pl" w:eastAsia="lt-LT"/>
                </w:rPr>
                <w:t>Įstatymo projekto rengimo metu gauti specialistų vertinimai ir išvados:</w:t>
              </w:r>
            </w:p>
            <w:p w14:paraId="00000035" w14:textId="77777777">
              <w:pPr>
                <w:jc w:val="both"/>
                <w:rPr>
                  <w:rFonts w:ascii="Calibri" w:eastAsia="Calibri" w:hAnsi="Calibri" w:cs="Calibri"/>
                  <w:color w:val="000000"/>
                  <w:sz w:val="22"/>
                  <w:szCs w:val="22"/>
                  <w:lang w:val="pl" w:eastAsia="lt-LT"/>
                </w:rPr>
              </w:pPr>
              <w:r>
                <w:rPr>
                  <w:color w:val="000000"/>
                  <w:szCs w:val="24"/>
                  <w:lang w:val="pl" w:eastAsia="lt-LT"/>
                </w:rPr>
                <w:t>Įstatymo projekto rengimo metu specialistų vertinimo ir išvadų neprašyta.</w:t>
              </w:r>
            </w:p>
            <w:p w14:paraId="00000036" w14:textId="77777777">
              <w:pPr>
                <w:spacing w:line="278" w:lineRule="auto"/>
                <w:ind w:left="1418" w:firstLine="913"/>
                <w:jc w:val="both"/>
                <w:rPr>
                  <w:rFonts w:ascii="Calibri" w:eastAsia="Calibri" w:hAnsi="Calibri" w:cs="Calibri"/>
                  <w:color w:val="000000"/>
                  <w:sz w:val="22"/>
                  <w:szCs w:val="22"/>
                  <w:lang w:val="pl" w:eastAsia="lt-LT"/>
                </w:rPr>
              </w:pPr>
            </w:p>
          </w:sdtContent>
        </w:sdt>
        <w:sdt>
          <w:sdtPr>
            <w:alias w:val="16 p."/>
            <w:tag w:val="part_fd3af3a208d04ad3a35d4a6f679680c0"/>
            <w:lock w:val="sdtLocked"/>
            <w:richText/>
          </w:sdtPr>
          <w:sdtContent>
            <w:p w14:paraId="00000037" w14:textId="77777777">
              <w:pPr>
                <w:rPr>
                  <w:rFonts w:ascii="Calibri" w:eastAsia="Calibri" w:hAnsi="Calibri" w:cs="Calibri"/>
                  <w:color w:val="000000"/>
                  <w:sz w:val="22"/>
                  <w:szCs w:val="22"/>
                  <w:lang w:val="pl" w:eastAsia="lt-LT"/>
                </w:rPr>
              </w:pPr>
              <w:sdt>
                <w:sdtPr>
                  <w:alias w:val="Numeris"/>
                  <w:tag w:val="nr_fd3af3a208d04ad3a35d4a6f679680c0"/>
                  <w:lock w:val="sdtLocked"/>
                  <w:richText/>
                </w:sdtPr>
                <w:sdtContent>
                  <w:r>
                    <w:rPr>
                      <w:b/>
                      <w:bCs/>
                      <w:color w:val="000000"/>
                      <w:szCs w:val="24"/>
                      <w:lang w:val="pl" w:eastAsia="lt-LT"/>
                    </w:rPr>
                    <w:t>16</w:t>
                  </w:r>
                </w:sdtContent>
              </w:sdt>
              <w:r>
                <w:rPr>
                  <w:b/>
                  <w:bCs/>
                  <w:color w:val="000000"/>
                  <w:szCs w:val="24"/>
                  <w:lang w:val="pl" w:eastAsia="lt-LT"/>
                </w:rPr>
                <w:t>.</w:t>
              </w:r>
              <w:r>
                <w:rPr>
                  <w:b/>
                  <w:bCs/>
                  <w:color w:val="000000"/>
                  <w:sz w:val="14"/>
                  <w:szCs w:val="14"/>
                  <w:lang w:val="pl" w:eastAsia="lt-LT"/>
                </w:rPr>
                <w:t>    </w:t>
              </w:r>
              <w:r>
                <w:rPr>
                  <w:b/>
                  <w:bCs/>
                  <w:color w:val="000000"/>
                  <w:szCs w:val="24"/>
                  <w:lang w:val="pl" w:eastAsia="lt-LT"/>
                </w:rPr>
                <w:t>Kiti, iniciatorių nuomone, reikalingi pagrindimai ir paaiškinimai:</w:t>
              </w:r>
            </w:p>
          </w:sdtContent>
        </w:sdt>
        <w:sdt>
          <w:sdtPr>
            <w:alias w:val="signatura"/>
            <w:tag w:val="part_245c0ec61b8245aab6de1c67102ecd01"/>
            <w:lock w:val="sdtLocked"/>
            <w:richText/>
          </w:sdtPr>
          <w:sdtContent>
            <w:p w14:paraId="00000038" w14:textId="77777777">
              <w:pPr>
                <w:rPr>
                  <w:rFonts w:ascii="Calibri" w:eastAsia="Calibri" w:hAnsi="Calibri" w:cs="Calibri"/>
                  <w:color w:val="000000"/>
                  <w:sz w:val="22"/>
                  <w:szCs w:val="22"/>
                  <w:lang w:val="pl" w:eastAsia="lt-LT"/>
                </w:rPr>
              </w:pPr>
              <w:r>
                <w:rPr>
                  <w:color w:val="000000"/>
                  <w:szCs w:val="24"/>
                  <w:lang w:val="pl" w:eastAsia="lt-LT"/>
                </w:rPr>
                <w:t>Nėra.</w:t>
              </w:r>
            </w:p>
            <w:p w14:paraId="00000039" w14:textId="77777777">
              <w:pPr>
                <w:jc w:val="both"/>
                <w:rPr>
                  <w:szCs w:val="24"/>
                  <w:lang w:val="pl" w:eastAsia="lt-LT"/>
                </w:rPr>
              </w:pPr>
            </w:p>
            <w:p w14:paraId="0000003A" w14:textId="77777777">
              <w:pPr>
                <w:jc w:val="both"/>
                <w:rPr>
                  <w:szCs w:val="24"/>
                  <w:lang w:val="pl" w:eastAsia="lt-LT"/>
                </w:rPr>
              </w:pPr>
            </w:p>
            <w:p w14:paraId="0000003B" w14:textId="77777777">
              <w:pPr>
                <w:jc w:val="both"/>
                <w:rPr>
                  <w:szCs w:val="24"/>
                  <w:lang w:val="pl" w:eastAsia="lt-LT"/>
                </w:rPr>
              </w:pPr>
              <w:r>
                <w:rPr>
                  <w:szCs w:val="24"/>
                  <w:lang w:val="pl" w:eastAsia="lt-LT"/>
                </w:rPr>
                <w:t>Teikia</w:t>
              </w:r>
            </w:p>
            <w:p w14:paraId="0000003C" w14:textId="77777777">
              <w:pPr>
                <w:jc w:val="both"/>
                <w:rPr>
                  <w:rFonts w:ascii="Aptos" w:eastAsia="Aptos" w:hAnsi="Aptos" w:cs="Aptos"/>
                  <w:szCs w:val="24"/>
                  <w:lang w:val="pl" w:eastAsia="lt-LT"/>
                </w:rPr>
              </w:pPr>
              <w:r>
                <w:rPr>
                  <w:szCs w:val="24"/>
                  <w:lang w:val="pl" w:eastAsia="lt-LT"/>
                </w:rPr>
                <w:t xml:space="preserve">Seimo narys                                                                             Vytautas Sinica</w:t>
              </w:r>
            </w:p>
          </w:sdtContent>
        </w:sdt>
      </w:sdtContent>
    </w:sdt>
    <w:sectPr>
      <w:pgSz w:w="11906" w:h="16838"/>
      <w:pgMar w:top="1701" w:right="567" w:bottom="1134" w:left="1701" w:header="708" w:footer="708" w:gutter="0"/>
      <w:pgNumType w:start="1"/>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embedRegular r:id="rId1" w:fontKey="{F91D1894-5EB1-4024-B5F9-371440359C3D}"/>
  </w:font>
  <w:font w:name="Aptos">
    <w:altName w:val="Arial"/>
    <w:charset w:val="00"/>
    <w:family w:val="auto"/>
    <w:pitch w:val="default"/>
  </w:font>
  <w:font w:name="Aptos Display">
    <w:panose1 w:val="00000000000000000000"/>
    <w:charset w:val="00"/>
    <w:family w:val="roman"/>
    <w:notTrueType/>
    <w:pitch w:val="default"/>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TrueTypeFonts/>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D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5890E"/>
  <w15:docId w15:val="{4116A4A1-AF18-42F5-879E-A55505389B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_rels/fontTable.xml.rels><?xml version="1.0" encoding="UTF-8"?>

<Relationships xmlns="http://schemas.openxmlformats.org/package/2006/relationships">
  <Relationship Id="rId1" Type="http://schemas.openxmlformats.org/officeDocument/2006/relationships/font" Target="fonts/font1.odtt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2liCOuc4AyOr+8Jl5Ma4O7M3g6A==">CgMxLjA4AHIhMTZxb2J3OXpjNldZR18yUzdpal9aMC1ic2hYR2NEaDE3</go:docsCustomData>
</go:gDocsCustomXmlDataStorage>
</file>

<file path=customXml/item2.xml><?xml version="1.0" encoding="utf-8"?>
<Parts xmlns="http://lrs.lt/TAIS/DocParts">
  <Part Type="pagrindine" DocPartId="19ce272e039a4f5ba55387656dae84f3" PartId="7b449391c3a04ab088cbc06edf69c9cb">
    <Part Type="punktas" Nr="1" Abbr="1 p." DocPartId="93ff3b9c09fd4a8ca9ca04f495b744ce" PartId="be398f8ad343497999e28933d959674b"/>
    <Part Type="punktas" Nr="2" Abbr="2 p." DocPartId="4eb8b3ac62fc4f46ba18b748e89c5142" PartId="21aa68a15cc04c4daa12b97fe10cfcb9"/>
    <Part Type="punktas" Nr="3" Abbr="3 p." DocPartId="84567fe5db21456ba3272372c8982f81" PartId="93dcf2c950654138ad0151a1f706c5b8"/>
    <Part Type="punktas" Nr="4" Abbr="4 p." DocPartId="16680899bd05467187a3128a73482b6a" PartId="63dc72690a7b475bbe764f7a47666776"/>
    <Part Type="punktas" Nr="5" Abbr="5 p." DocPartId="6caa590c43aa4674888a1b75f3b8a10a" PartId="2ebf1ee8024a45fea3ce46869cd2a836"/>
    <Part Type="punktas" Nr="6" Abbr="6 p." DocPartId="de3955e0c4be420e9d3ca67e33d94d3f" PartId="c01e3c20e7f34758bc6f3f1e95346c90"/>
    <Part Type="punktas" Nr="7" Abbr="7 p." DocPartId="1dffbd50db864f3e800a7901ce9ffe3b" PartId="22f44967806d4fb3a685d25dfe09d951"/>
    <Part Type="punktas" Nr="8" Abbr="8 p." DocPartId="da8a301a358c45439af9140586b4f3cb" PartId="25f847ee86a649e195876ba528b427c7"/>
    <Part Type="punktas" Nr="9" Abbr="9 p." DocPartId="9df1361593fc4e80b7e3dc5da934dfc9" PartId="d8e2cbf520f7412a9befcad3276206ed"/>
    <Part Type="punktas" Nr="10" Abbr="10 p." DocPartId="4d9fed2fb51b44d0ae85a01e81f7c51b" PartId="1fe268ac1b2841418dcd292f58046c66"/>
    <Part Type="punktas" Nr="11" Abbr="11 p." DocPartId="3d9bda06129c42f6a2f5767c14a384e5" PartId="a5be6162e10d4576b259eb5fb7ba6696"/>
    <Part Type="punktas" Nr="12" Abbr="12 p." DocPartId="9ae86902f61a47df844f202c4c84f2ea" PartId="0f1fbc0cd9044d7e9ef529ab83bda63c"/>
    <Part Type="punktas" Nr="13" Abbr="13 p." DocPartId="16d1714f7a73461b9c868e96777ff6ad" PartId="dce2d0e70abe46fdaeeb46834b8f2855"/>
    <Part Type="punktas" Nr="14" Abbr="14 p." DocPartId="630773cf91c847e2837a9d4dad6eaffa" PartId="4cdcf9f762464ed692310c698fcc21c9"/>
    <Part Type="punktas" Nr="16" Abbr="16 p." Notes="Numeris ne iš eilės. Trūksta dalių? [DocDalys]" DocPartId="ac251efe24eb437ba521e5f6b5691efb" PartId="fd3af3a208d04ad3a35d4a6f679680c0"/>
    <Part Type="signatura" DocPartId="f93f321fa2d944c094bb643806432a06" PartId="245c0ec61b8245aab6de1c67102ecd01"/>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E3A819F-B2C4-492B-B4CC-BD00C8DDCF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761</Words>
  <Characters>5577</Characters>
  <Application>Microsoft Office Word</Application>
  <DocSecurity>4</DocSecurity>
  <Lines>107</Lines>
  <Paragraphs>44</Paragraphs>
  <ScaleCrop>false</ScaleCrop>
  <Company/>
  <LinksUpToDate>false</LinksUpToDate>
  <CharactersWithSpaces>6294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2026-01-27T10:47:00Z</dcterms:created>
  <dc:creator>Dominykas Vanhara</dc:creator>
  <lastModifiedBy>adlibuser</lastModifiedBy>
  <dcterms:modified xsi:type="dcterms:W3CDTF">2026-01-27T10:47:00Z</dcterms:modified>
  <revision>2</revision>
</coreProperties>
</file>