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6650b04a707444a5ab379c24c8326476"/>
        <w:lock w:val="sdtLocked"/>
        <w:richText/>
      </w:sdtPr>
      <w:sdtContent>
        <w:tbl>
          <w:tblPr>
            <w:tblW w:w="9804" w:type="dxa"/>
            <w:tblInd w:w="55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 w:firstRow="0" w:lastRow="0" w:firstColumn="0" w:lastColumn="0" w:noHBand="0" w:noVBand="0"/>
          </w:tblPr>
          <w:tblGrid>
            <w:gridCol w:w="5103"/>
            <w:gridCol w:w="162"/>
            <w:gridCol w:w="1841"/>
            <w:gridCol w:w="565"/>
            <w:gridCol w:w="2110"/>
            <w:gridCol w:w="23"/>
          </w:tblGrid>
          <w:tr>
            <w:trPr>
              <w:gridAfter w:val="1"/>
              <w:wAfter w:w="23" w:type="dxa"/>
            </w:trPr>
            <w:tc>
              <w:tcPr>
                <w:tcW w:w="9781" w:type="dxa"/>
                <w:gridSpan w:val="5"/>
                <w:tcBorders>
                  <w:bottom w:val="single" w:sz="4" w:space="0" w:color="000000"/>
                </w:tcBorders>
              </w:tcPr>
              <w:p>
                <w:pPr>
                  <w:widowControl w:val="0"/>
                  <w:suppressLineNumbers/>
                  <w:suppressAutoHyphens/>
                  <w:jc w:val="center"/>
                  <w:rPr>
                    <w:rFonts w:eastAsia="Andale Sans UI" w:cs="Tahoma"/>
                    <w:b/>
                    <w:bCs/>
                    <w:spacing w:val="20"/>
                    <w:sz w:val="28"/>
                    <w:szCs w:val="28"/>
                    <w:lang w:bidi="en-US"/>
                  </w:rPr>
                </w:pPr>
                <w:r>
                  <w:rPr>
                    <w:rFonts w:eastAsia="Andale Sans UI" w:cs="Tahoma"/>
                    <w:b/>
                    <w:spacing w:val="20"/>
                    <w:sz w:val="26"/>
                    <w:szCs w:val="26"/>
                    <w:lang w:val="en-US"/>
                  </w:rPr>
                  <w:drawing>
                    <wp:inline distT="0" distB="0" distL="0" distR="0" wp14:anchorId="465DC7F0" wp14:editId="16CC1E94">
                      <wp:extent cx="523875" cy="628650"/>
                      <wp:effectExtent l="19050" t="0" r="9525" b="0"/>
                      <wp:docPr id="1" name="Picture 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0" cstate="print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523875" cy="6286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widowControl w:val="0"/>
                  <w:suppressLineNumbers/>
                  <w:suppressAutoHyphens/>
                  <w:jc w:val="center"/>
                  <w:rPr>
                    <w:rFonts w:eastAsia="Andale Sans UI" w:cs="Tahoma"/>
                    <w:b/>
                    <w:bCs/>
                    <w:spacing w:val="20"/>
                    <w:sz w:val="28"/>
                    <w:szCs w:val="28"/>
                    <w:lang w:bidi="en-US"/>
                  </w:rPr>
                </w:pPr>
                <w:r>
                  <w:rPr>
                    <w:rFonts w:eastAsia="Andale Sans UI" w:cs="Tahoma"/>
                    <w:b/>
                    <w:bCs/>
                    <w:spacing w:val="20"/>
                    <w:sz w:val="28"/>
                    <w:szCs w:val="28"/>
                    <w:lang w:bidi="en-US"/>
                  </w:rPr>
                  <w:t>LIETUVOS RESPUBLIKOS APLINKOS MINISTERIJA</w:t>
                </w:r>
              </w:p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widowControl w:val="0"/>
                  <w:suppressLineNumbers/>
                  <w:suppressAutoHyphens/>
                  <w:jc w:val="center"/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</w:pPr>
                <w:r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  <w:t>Biudžetinė įstaiga, A. Jakšto g. 4/9, LT-01105 Vilnius,</w:t>
                </w:r>
              </w:p>
              <w:p>
                <w:pPr>
                  <w:widowControl w:val="0"/>
                  <w:suppressLineNumbers/>
                  <w:suppressAutoHyphens/>
                  <w:jc w:val="center"/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</w:pPr>
                <w:r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  <w:t>tel. (8~5) 266 3661, faks. (8~5) 266 3663, el. p. info@am.lt, http://www.am.lt.</w:t>
                </w:r>
              </w:p>
              <w:p>
                <w:pPr>
                  <w:widowControl w:val="0"/>
                  <w:suppressLineNumbers/>
                  <w:suppressAutoHyphens/>
                  <w:jc w:val="center"/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</w:pPr>
                <w:r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  <w:t>Duomenys kaupiami ir saugomi Juridinių asmenų registre, kodas 188602370</w:t>
                </w:r>
              </w:p>
            </w:tc>
          </w:tr>
          <w:tr>
            <w:trPr>
              <w:gridAfter w:val="1"/>
              <w:wAfter w:w="23" w:type="dxa"/>
            </w:trPr>
            <w:tc>
              <w:tcPr>
                <w:tcW w:w="9781" w:type="dxa"/>
                <w:gridSpan w:val="5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widowControl w:val="0"/>
                  <w:suppressLineNumbers/>
                  <w:suppressAutoHyphens/>
                  <w:rPr>
                    <w:rFonts w:eastAsia="Andale Sans UI" w:cs="Tahoma"/>
                    <w:szCs w:val="24"/>
                    <w:lang w:bidi="en-US"/>
                  </w:rPr>
                </w:pPr>
              </w:p>
            </w:tc>
          </w:tr>
          <w:tr>
            <w:trPr>
              <w:cantSplit/>
              <w:trHeight w:val="340"/>
            </w:trPr>
            <w:tc>
              <w:tcPr>
                <w:tcW w:w="5103" w:type="dxa"/>
                <w:vMerge w:val="restart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widowControl w:val="0"/>
                  <w:suppressLineNumbers/>
                  <w:suppressAutoHyphens/>
                  <w:spacing w:line="276" w:lineRule="auto"/>
                  <w:rPr>
                    <w:rFonts w:eastAsia="Andale Sans UI" w:cs="Tahoma"/>
                    <w:szCs w:val="24"/>
                    <w:lang w:bidi="en-US"/>
                  </w:rPr>
                </w:pPr>
                <w:r>
                  <w:rPr>
                    <w:rFonts w:eastAsia="Andale Sans UI" w:cs="Tahoma"/>
                    <w:szCs w:val="24"/>
                    <w:lang w:bidi="en-US"/>
                  </w:rPr>
                  <w:t>Ekonomikos ir inovacijų ministerijai</w:t>
                </w:r>
              </w:p>
              <w:p>
                <w:pPr>
                  <w:widowControl w:val="0"/>
                  <w:suppressLineNumbers/>
                  <w:suppressAutoHyphens/>
                  <w:spacing w:line="276" w:lineRule="auto"/>
                  <w:rPr>
                    <w:rFonts w:eastAsia="Andale Sans UI" w:cs="Tahoma"/>
                    <w:szCs w:val="24"/>
                    <w:lang w:bidi="en-US"/>
                  </w:rPr>
                </w:pPr>
                <w:r>
                  <w:rPr>
                    <w:rFonts w:eastAsia="Andale Sans UI" w:cs="Tahoma"/>
                    <w:szCs w:val="24"/>
                    <w:lang w:bidi="en-US"/>
                  </w:rPr>
                  <w:t>Energetikos ministerijai</w:t>
                </w:r>
              </w:p>
              <w:p>
                <w:pPr>
                  <w:widowControl w:val="0"/>
                  <w:suppressLineNumbers/>
                  <w:suppressAutoHyphens/>
                  <w:spacing w:line="276" w:lineRule="auto"/>
                  <w:rPr>
                    <w:rFonts w:eastAsia="Andale Sans UI" w:cs="Tahoma"/>
                    <w:szCs w:val="24"/>
                    <w:lang w:bidi="en-US"/>
                  </w:rPr>
                </w:pPr>
                <w:r>
                  <w:rPr>
                    <w:rFonts w:eastAsia="Andale Sans UI" w:cs="Tahoma"/>
                    <w:szCs w:val="24"/>
                    <w:lang w:bidi="en-US"/>
                  </w:rPr>
                  <w:t>Žemės ūkio ministerijai</w:t>
                </w:r>
              </w:p>
              <w:p>
                <w:pPr>
                  <w:widowControl w:val="0"/>
                  <w:suppressLineNumbers/>
                  <w:suppressAutoHyphens/>
                  <w:spacing w:line="276" w:lineRule="auto"/>
                  <w:rPr>
                    <w:rFonts w:eastAsia="Andale Sans UI" w:cs="Tahoma"/>
                    <w:szCs w:val="24"/>
                    <w:lang w:bidi="en-US"/>
                  </w:rPr>
                </w:pPr>
                <w:r>
                  <w:rPr>
                    <w:rFonts w:eastAsia="Andale Sans UI" w:cs="Tahoma"/>
                    <w:szCs w:val="24"/>
                    <w:lang w:bidi="en-US"/>
                  </w:rPr>
                  <w:t>Susisiekimo ministerijai</w:t>
                </w:r>
              </w:p>
              <w:p>
                <w:pPr>
                  <w:widowControl w:val="0"/>
                  <w:suppressLineNumbers/>
                  <w:suppressAutoHyphens/>
                  <w:spacing w:line="276" w:lineRule="auto"/>
                  <w:rPr>
                    <w:rFonts w:eastAsia="Andale Sans UI" w:cs="Tahoma"/>
                    <w:szCs w:val="24"/>
                    <w:lang w:bidi="en-US"/>
                  </w:rPr>
                </w:pPr>
                <w:r>
                  <w:rPr>
                    <w:rFonts w:eastAsia="Andale Sans UI" w:cs="Tahoma"/>
                    <w:szCs w:val="24"/>
                    <w:lang w:bidi="en-US"/>
                  </w:rPr>
                  <w:t>Teisingumo ministerijai</w:t>
                </w:r>
              </w:p>
              <w:p>
                <w:pPr>
                  <w:widowControl w:val="0"/>
                  <w:suppressLineNumbers/>
                  <w:suppressAutoHyphens/>
                  <w:spacing w:line="276" w:lineRule="auto"/>
                  <w:rPr>
                    <w:rFonts w:eastAsia="Andale Sans UI" w:cs="Tahoma"/>
                    <w:szCs w:val="24"/>
                    <w:lang w:bidi="en-US"/>
                  </w:rPr>
                </w:pPr>
              </w:p>
            </w:tc>
            <w:tc>
              <w:tcPr>
                <w:tcW w:w="162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widowControl w:val="0"/>
                  <w:suppressAutoHyphens/>
                  <w:spacing w:line="276" w:lineRule="auto"/>
                  <w:ind w:right="67"/>
                  <w:jc w:val="right"/>
                  <w:rPr>
                    <w:rFonts w:eastAsia="Andale Sans UI" w:cs="Tahoma"/>
                    <w:spacing w:val="10"/>
                    <w:szCs w:val="24"/>
                    <w:lang w:bidi="en-US"/>
                  </w:rPr>
                </w:pPr>
              </w:p>
            </w:tc>
            <w:tc>
              <w:tcPr>
                <w:tcW w:w="1841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widowControl w:val="0"/>
                  <w:suppressLineNumbers/>
                  <w:suppressAutoHyphens/>
                  <w:spacing w:line="276" w:lineRule="auto"/>
                  <w:ind w:left="146" w:right="67" w:firstLine="248"/>
                  <w:rPr>
                    <w:rFonts w:eastAsia="Andale Sans UI" w:cs="Tahoma"/>
                    <w:szCs w:val="24"/>
                    <w:lang w:bidi="en-US"/>
                  </w:rPr>
                </w:pPr>
                <w:r>
                  <w:rPr>
                    <w:rFonts w:eastAsia="Andale Sans UI" w:cs="Tahoma"/>
                    <w:szCs w:val="24"/>
                    <w:lang w:bidi="en-US"/>
                  </w:rPr>
                  <w:t>2021-</w:t>
                </w:r>
                <w:r>
                  <w:rPr>
                    <w:rFonts w:eastAsia="Andale Sans UI" w:cs="Tahoma"/>
                    <w:szCs w:val="24"/>
                    <w:lang w:val="en-US" w:bidi="en-US"/>
                  </w:rPr>
                  <w:t>12</w:t>
                </w:r>
                <w:r>
                  <w:rPr>
                    <w:rFonts w:eastAsia="Andale Sans UI" w:cs="Tahoma"/>
                    <w:szCs w:val="24"/>
                    <w:lang w:bidi="en-US"/>
                  </w:rPr>
                  <w:t>-</w:t>
                </w:r>
              </w:p>
            </w:tc>
            <w:tc>
              <w:tcPr>
                <w:tcW w:w="565" w:type="dxa"/>
              </w:tcPr>
              <w:p>
                <w:pPr>
                  <w:widowControl w:val="0"/>
                  <w:suppressAutoHyphens/>
                  <w:spacing w:line="276" w:lineRule="auto"/>
                  <w:ind w:right="67"/>
                  <w:jc w:val="right"/>
                  <w:rPr>
                    <w:rFonts w:eastAsia="Andale Sans UI" w:cs="Tahoma"/>
                    <w:spacing w:val="10"/>
                    <w:szCs w:val="24"/>
                    <w:lang w:bidi="en-US"/>
                  </w:rPr>
                </w:pPr>
                <w:r>
                  <w:rPr>
                    <w:rFonts w:eastAsia="Andale Sans UI" w:cs="Tahoma"/>
                    <w:spacing w:val="10"/>
                    <w:szCs w:val="24"/>
                    <w:lang w:bidi="en-US"/>
                  </w:rPr>
                  <w:t>Nr.</w:t>
                </w:r>
              </w:p>
            </w:tc>
            <w:tc>
              <w:tcPr>
                <w:tcW w:w="2133" w:type="dxa"/>
                <w:gridSpan w:val="2"/>
              </w:tcPr>
              <w:p>
                <w:pPr>
                  <w:widowControl w:val="0"/>
                  <w:suppressLineNumbers/>
                  <w:suppressAutoHyphens/>
                  <w:spacing w:line="276" w:lineRule="auto"/>
                  <w:ind w:right="67"/>
                  <w:rPr>
                    <w:rFonts w:eastAsia="Andale Sans UI" w:cs="Tahoma"/>
                    <w:szCs w:val="24"/>
                    <w:lang w:bidi="en-US"/>
                  </w:rPr>
                </w:pPr>
                <w:r>
                  <w:rPr>
                    <w:rFonts w:eastAsia="Andale Sans UI" w:cs="Tahoma"/>
                    <w:szCs w:val="24"/>
                    <w:lang w:bidi="en-US"/>
                  </w:rPr>
                  <w:t>(52)-D8(E)-</w:t>
                </w:r>
              </w:p>
            </w:tc>
          </w:tr>
          <w:tr>
            <w:trPr>
              <w:cantSplit/>
              <w:trHeight w:val="340"/>
            </w:trPr>
            <w:tc>
              <w:tcPr>
                <w:tcW w:w="5103" w:type="dxa"/>
                <w:vMerge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widowControl w:val="0"/>
                  <w:suppressAutoHyphens/>
                  <w:spacing w:line="276" w:lineRule="auto"/>
                  <w:rPr>
                    <w:rFonts w:eastAsia="Andale Sans UI" w:cs="Tahoma"/>
                    <w:sz w:val="23"/>
                    <w:szCs w:val="23"/>
                    <w:lang w:bidi="en-US"/>
                  </w:rPr>
                </w:pPr>
              </w:p>
            </w:tc>
            <w:tc>
              <w:tcPr>
                <w:tcW w:w="162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widowControl w:val="0"/>
                  <w:tabs>
                    <w:tab w:val="left" w:pos="2869"/>
                  </w:tabs>
                  <w:suppressAutoHyphens/>
                  <w:spacing w:line="276" w:lineRule="auto"/>
                  <w:ind w:right="67"/>
                  <w:jc w:val="right"/>
                  <w:rPr>
                    <w:rFonts w:eastAsia="Andale Sans UI" w:cs="Tahoma"/>
                    <w:spacing w:val="10"/>
                    <w:sz w:val="23"/>
                    <w:szCs w:val="23"/>
                    <w:lang w:bidi="en-US"/>
                  </w:rPr>
                </w:pPr>
              </w:p>
            </w:tc>
            <w:tc>
              <w:tcPr>
                <w:tcW w:w="1841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widowControl w:val="0"/>
                  <w:suppressLineNumbers/>
                  <w:suppressAutoHyphens/>
                  <w:spacing w:line="276" w:lineRule="auto"/>
                  <w:ind w:right="67"/>
                  <w:rPr>
                    <w:rFonts w:eastAsia="Andale Sans UI" w:cs="Tahoma"/>
                    <w:sz w:val="23"/>
                    <w:szCs w:val="23"/>
                    <w:lang w:bidi="en-US"/>
                  </w:rPr>
                </w:pPr>
              </w:p>
            </w:tc>
            <w:tc>
              <w:tcPr>
                <w:tcW w:w="565" w:type="dxa"/>
              </w:tcPr>
              <w:p>
                <w:pPr>
                  <w:widowControl w:val="0"/>
                  <w:tabs>
                    <w:tab w:val="left" w:pos="2869"/>
                  </w:tabs>
                  <w:suppressAutoHyphens/>
                  <w:spacing w:line="276" w:lineRule="auto"/>
                  <w:ind w:right="67"/>
                  <w:jc w:val="right"/>
                  <w:rPr>
                    <w:rFonts w:eastAsia="Andale Sans UI" w:cs="Tahoma"/>
                    <w:spacing w:val="10"/>
                    <w:sz w:val="23"/>
                    <w:szCs w:val="23"/>
                    <w:lang w:bidi="en-US"/>
                  </w:rPr>
                </w:pPr>
              </w:p>
            </w:tc>
            <w:tc>
              <w:tcPr>
                <w:tcW w:w="2133" w:type="dxa"/>
                <w:gridSpan w:val="2"/>
              </w:tcPr>
              <w:p>
                <w:pPr>
                  <w:widowControl w:val="0"/>
                  <w:suppressLineNumbers/>
                  <w:suppressAutoHyphens/>
                  <w:spacing w:line="276" w:lineRule="auto"/>
                  <w:ind w:right="67"/>
                  <w:rPr>
                    <w:rFonts w:eastAsia="Andale Sans UI" w:cs="Tahoma"/>
                    <w:sz w:val="23"/>
                    <w:szCs w:val="23"/>
                    <w:lang w:bidi="en-US"/>
                  </w:rPr>
                </w:pPr>
              </w:p>
            </w:tc>
          </w:tr>
          <w:tr>
            <w:trPr>
              <w:gridAfter w:val="1"/>
              <w:wAfter w:w="23" w:type="dxa"/>
              <w:trHeight w:val="54"/>
            </w:trPr>
            <w:tc>
              <w:tcPr>
                <w:tcW w:w="9781" w:type="dxa"/>
                <w:gridSpan w:val="5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widowControl w:val="0"/>
                  <w:suppressLineNumbers/>
                  <w:suppressAutoHyphens/>
                  <w:jc w:val="both"/>
                  <w:rPr>
                    <w:rFonts w:eastAsia="Andale Sans UI" w:cs="Tahoma"/>
                    <w:b/>
                    <w:bCs/>
                    <w:caps/>
                    <w:szCs w:val="24"/>
                    <w:lang w:bidi="en-US"/>
                  </w:rPr>
                </w:pPr>
                <w:r>
                  <w:rPr>
                    <w:rFonts w:eastAsia="Andale Sans UI" w:cs="Tahoma"/>
                    <w:b/>
                    <w:bCs/>
                    <w:caps/>
                    <w:szCs w:val="24"/>
                    <w:lang w:bidi="en-US"/>
                  </w:rPr>
                  <w:t>Dėl EUROPOS SĄJUNGOS ŠILTNAMIO EFEKTĄ SUKELIANČIŲ DUJŲ APYVARTINIŲ TARŠOS LEIDIMŲ PREKYBOS SISTEMOJE 2021–2025 M. LAIKOTARPIU DALYVAUJANČIŲ VEIKLOS VYKDYTOJŲ SĄRAŠO PATVIRTINIMO</w:t>
                </w:r>
              </w:p>
              <w:p>
                <w:pPr>
                  <w:widowControl w:val="0"/>
                  <w:suppressLineNumbers/>
                  <w:suppressAutoHyphens/>
                  <w:jc w:val="both"/>
                  <w:rPr>
                    <w:rFonts w:eastAsia="Andale Sans UI" w:cs="Tahoma"/>
                    <w:b/>
                    <w:bCs/>
                    <w:caps/>
                    <w:szCs w:val="24"/>
                    <w:lang w:bidi="en-US"/>
                  </w:rPr>
                </w:pPr>
              </w:p>
            </w:tc>
          </w:tr>
        </w:tbl>
        <w:p/>
      </w:sdtContent>
    </w:sdt>
    <w:sdt>
      <w:sdtPr>
        <w:alias w:val="pastraipa"/>
        <w:tag w:val="part_0b4d4893c29049fab54c3d17904e6492"/>
        <w:lock w:val="sdtLocked"/>
        <w:richText/>
      </w:sdtPr>
      <w:sdtContent>
        <w:p>
          <w:pPr>
            <w:widowControl w:val="0"/>
            <w:suppressLineNumbers/>
            <w:tabs>
              <w:tab w:val="left" w:pos="709"/>
            </w:tabs>
            <w:suppressAutoHyphens/>
            <w:spacing w:line="276" w:lineRule="auto"/>
            <w:ind w:firstLine="709"/>
            <w:jc w:val="both"/>
            <w:rPr>
              <w:rFonts w:eastAsia="Andale Sans UI" w:cs="Tahoma"/>
              <w:szCs w:val="24"/>
              <w:lang w:bidi="en-US"/>
            </w:rPr>
          </w:pPr>
          <w:r>
            <w:rPr>
              <w:rFonts w:eastAsia="Andale Sans UI" w:cs="Tahoma"/>
              <w:szCs w:val="24"/>
              <w:lang w:bidi="en-US"/>
            </w:rPr>
            <w:t>Vadovaudamiesi Lietuvos Respublikos klimato kaitos valdymo finansinių instrumentų įstatymo 6 straipsnio 2 dalimi, Lietuvos Respublikos Vyriausybės 2009 m. lapkričio 4 d. nutarimo Nr. 1443 „Dėl įgaliojimų suteikimo įgyvendinant Lietuvos Respublikos klimato kaitos valdymo finansinių instrumentų įstatymą“ 2 punktu, parengėme ir siunčiame derinti Lietuvos Respublikos aplinkos ministro įsakymo „Dėl Europos Sąjungos šiltnamio efektą sukeliančių dujų apyvartinių taršos leidimų prekybos sistemoje 2021</w:t>
          </w:r>
          <w:r>
            <w:rPr>
              <w:rFonts w:eastAsia="Andale Sans UI" w:cs="Tahoma"/>
              <w:bCs/>
              <w:caps/>
              <w:szCs w:val="24"/>
              <w:lang w:bidi="en-US"/>
            </w:rPr>
            <w:t>–</w:t>
          </w:r>
          <w:r>
            <w:rPr>
              <w:rFonts w:eastAsia="Andale Sans UI" w:cs="Tahoma"/>
              <w:szCs w:val="24"/>
              <w:lang w:bidi="en-US"/>
            </w:rPr>
            <w:t xml:space="preserve">2025 m. laikotarpiu dalyvaujančių veiklos vykdytojų sąrašo patvirtinimo“ projektą (toliau </w:t>
          </w:r>
          <w:r>
            <w:rPr>
              <w:rFonts w:eastAsia="Andale Sans UI" w:cs="Tahoma"/>
              <w:bCs/>
              <w:caps/>
              <w:szCs w:val="24"/>
              <w:lang w:bidi="en-US"/>
            </w:rPr>
            <w:t>–</w:t>
          </w:r>
          <w:r>
            <w:rPr>
              <w:rFonts w:eastAsia="Andale Sans UI" w:cs="Tahoma"/>
              <w:szCs w:val="24"/>
              <w:lang w:bidi="en-US"/>
            </w:rPr>
            <w:t xml:space="preserve"> projektas). </w:t>
          </w:r>
        </w:p>
      </w:sdtContent>
    </w:sdt>
    <w:sdt>
      <w:sdtPr>
        <w:alias w:val="pastraipa"/>
        <w:tag w:val="part_068c5da15a544be0a571e4e39d9f5746"/>
        <w:lock w:val="sdtLocked"/>
        <w:richText/>
      </w:sdtPr>
      <w:sdtContent>
        <w:p>
          <w:pPr>
            <w:widowControl w:val="0"/>
            <w:suppressLineNumbers/>
            <w:tabs>
              <w:tab w:val="left" w:pos="709"/>
            </w:tabs>
            <w:suppressAutoHyphens/>
            <w:spacing w:line="276" w:lineRule="auto"/>
            <w:ind w:firstLine="709"/>
            <w:jc w:val="both"/>
            <w:rPr>
              <w:rFonts w:eastAsia="Andale Sans UI" w:cs="Tahoma"/>
              <w:szCs w:val="24"/>
              <w:lang w:bidi="en-US"/>
            </w:rPr>
          </w:pPr>
          <w:r>
            <w:rPr>
              <w:rFonts w:eastAsia="Andale Sans UI" w:cs="Tahoma"/>
              <w:szCs w:val="24"/>
              <w:lang w:bidi="en-US"/>
            </w:rPr>
            <w:t>Projektu siekiama nustatyti nemokamai skiriamų apyvartinių taršos leidimų (toliau – ATL) kiekį veiklos vykdytojams, vykdantiems Klimato kaitos valdymo finansinių instrumentų įstatymo 1 priede nustatytas veiklas ir Lietuvos Respublikos aplinkos ministro nustatyta tvarka</w:t>
          </w:r>
          <w:r>
            <w:rPr>
              <w:rFonts w:eastAsia="Andale Sans UI" w:cs="Tahoma"/>
              <w:szCs w:val="24"/>
              <w:vertAlign w:val="superscript"/>
              <w:lang w:val="en-US" w:bidi="en-US"/>
            </w:rPr>
            <w:footnoteReference w:id="1"/>
          </w:r>
          <w:r>
            <w:rPr>
              <w:rFonts w:eastAsia="Andale Sans UI" w:cs="Tahoma"/>
              <w:szCs w:val="24"/>
              <w:lang w:bidi="en-US"/>
            </w:rPr>
            <w:t xml:space="preserve"> pateikusiems paraiškas nemokamiems ATL gauti, laikotarpiui nuo 2021 m. sausio 1 d. iki 2025 m. gruodžio 31 d.</w:t>
          </w:r>
        </w:p>
      </w:sdtContent>
    </w:sdt>
    <w:sdt>
      <w:sdtPr>
        <w:alias w:val="pastraipa"/>
        <w:tag w:val="part_f60ab686aefb45bfbbc867c593040ac3"/>
        <w:lock w:val="sdtLocked"/>
        <w:richText/>
      </w:sdtPr>
      <w:sdtContent>
        <w:p>
          <w:pPr>
            <w:widowControl w:val="0"/>
            <w:suppressLineNumbers/>
            <w:tabs>
              <w:tab w:val="left" w:pos="709"/>
            </w:tabs>
            <w:suppressAutoHyphens/>
            <w:spacing w:line="276" w:lineRule="auto"/>
            <w:ind w:firstLine="709"/>
            <w:jc w:val="both"/>
            <w:rPr>
              <w:rFonts w:eastAsia="Andale Sans UI" w:cs="Tahoma"/>
              <w:szCs w:val="24"/>
              <w:lang w:bidi="en-US"/>
            </w:rPr>
          </w:pPr>
          <w:r>
            <w:rPr>
              <w:rFonts w:eastAsia="Andale Sans UI" w:cs="Tahoma"/>
              <w:szCs w:val="24"/>
              <w:lang w:bidi="en-US"/>
            </w:rPr>
            <w:t>Pažymime, kad tvirtinamas nemokamai skiriamų ATL kiekis suderintas su Europos Komisija pagal reikalavimus, nustatytus Šiltnamio efektą sukeliančių dujų apyvartinių taršos leidimų skyrimo ir prekybos jais tvarkos apraše</w:t>
          </w:r>
          <w:r>
            <w:rPr>
              <w:rFonts w:eastAsia="Andale Sans UI" w:cs="Tahoma"/>
              <w:szCs w:val="24"/>
              <w:vertAlign w:val="superscript"/>
              <w:lang w:val="en-US" w:bidi="en-US"/>
            </w:rPr>
            <w:footnoteReference w:id="2"/>
          </w:r>
          <w:r>
            <w:rPr>
              <w:rFonts w:eastAsia="Andale Sans UI" w:cs="Tahoma"/>
              <w:szCs w:val="24"/>
              <w:lang w:bidi="en-US"/>
            </w:rPr>
            <w:t>.</w:t>
          </w:r>
        </w:p>
      </w:sdtContent>
    </w:sdt>
    <w:sdt>
      <w:sdtPr>
        <w:alias w:val="pastraipa"/>
        <w:tag w:val="part_2c4b27f7bf48440da0a43e0146cd7fba"/>
        <w:lock w:val="sdtLocked"/>
        <w:richText/>
      </w:sdtPr>
      <w:sdtContent>
        <w:p>
          <w:pPr>
            <w:widowControl w:val="0"/>
            <w:suppressLineNumbers/>
            <w:tabs>
              <w:tab w:val="left" w:pos="709"/>
            </w:tabs>
            <w:suppressAutoHyphens/>
            <w:spacing w:line="276" w:lineRule="auto"/>
            <w:ind w:firstLine="709"/>
            <w:jc w:val="both"/>
            <w:rPr>
              <w:rFonts w:eastAsia="Andale Sans UI" w:cs="Tahoma"/>
              <w:szCs w:val="24"/>
              <w:lang w:bidi="en-US"/>
            </w:rPr>
          </w:pPr>
          <w:r>
            <w:rPr>
              <w:rFonts w:eastAsia="Andale Sans UI" w:cs="Tahoma"/>
              <w:szCs w:val="24"/>
              <w:lang w:bidi="en-US"/>
            </w:rPr>
            <w:t>Šis projektas neįgyvendina Vyriausybės programos nuostatų.</w:t>
          </w:r>
        </w:p>
      </w:sdtContent>
    </w:sdt>
    <w:sdt>
      <w:sdtPr>
        <w:alias w:val="pastraipa"/>
        <w:tag w:val="part_b34c23e3e4a84ddcb1ddc2670d136e2c"/>
        <w:lock w:val="sdtLocked"/>
        <w:richText/>
      </w:sdtPr>
      <w:sdtContent>
        <w:p>
          <w:pPr>
            <w:widowControl w:val="0"/>
            <w:suppressLineNumbers/>
            <w:tabs>
              <w:tab w:val="left" w:pos="709"/>
            </w:tabs>
            <w:suppressAutoHyphens/>
            <w:spacing w:line="276" w:lineRule="auto"/>
            <w:ind w:firstLine="709"/>
            <w:jc w:val="both"/>
            <w:rPr>
              <w:rFonts w:eastAsia="Andale Sans UI" w:cs="Tahoma"/>
              <w:szCs w:val="24"/>
              <w:lang w:bidi="en-US"/>
            </w:rPr>
          </w:pPr>
          <w:r>
            <w:rPr>
              <w:rFonts w:eastAsia="Andale Sans UI" w:cs="Tahoma"/>
              <w:szCs w:val="24"/>
              <w:lang w:bidi="en-US"/>
            </w:rPr>
            <w:t>Priėmus projektą, neigiamų pasekmių nenumatoma.</w:t>
          </w:r>
        </w:p>
      </w:sdtContent>
    </w:sdt>
    <w:sdt>
      <w:sdtPr>
        <w:alias w:val="pastraipa"/>
        <w:tag w:val="part_fea7319b32064e11b911fd4550ed26af"/>
        <w:lock w:val="sdtLocked"/>
        <w:richText/>
      </w:sdtPr>
      <w:sdtContent>
        <w:p>
          <w:pPr>
            <w:widowControl w:val="0"/>
            <w:suppressLineNumbers/>
            <w:tabs>
              <w:tab w:val="left" w:pos="709"/>
            </w:tabs>
            <w:suppressAutoHyphens/>
            <w:spacing w:line="276" w:lineRule="auto"/>
            <w:ind w:firstLine="709"/>
            <w:jc w:val="both"/>
            <w:rPr>
              <w:rFonts w:eastAsia="Andale Sans UI" w:cs="Tahoma"/>
              <w:szCs w:val="24"/>
              <w:lang w:bidi="en-US"/>
            </w:rPr>
          </w:pPr>
          <w:r>
            <w:rPr>
              <w:rFonts w:eastAsia="Andale Sans UI" w:cs="Tahoma"/>
              <w:szCs w:val="24"/>
              <w:lang w:bidi="en-US"/>
            </w:rPr>
            <w:t>Priimtas projektas neturės įtakos kriminogeninei situacijai ir korupcijai.</w:t>
          </w:r>
        </w:p>
      </w:sdtContent>
    </w:sdt>
    <w:sdt>
      <w:sdtPr>
        <w:alias w:val="pastraipa"/>
        <w:tag w:val="part_e9b1ba8b8ba7402fa060cda594d18c9d"/>
        <w:lock w:val="sdtLocked"/>
        <w:richText/>
      </w:sdtPr>
      <w:sdtContent>
        <w:p>
          <w:pPr>
            <w:widowControl w:val="0"/>
            <w:suppressLineNumbers/>
            <w:tabs>
              <w:tab w:val="left" w:pos="709"/>
            </w:tabs>
            <w:suppressAutoHyphens/>
            <w:spacing w:line="276" w:lineRule="auto"/>
            <w:ind w:firstLine="709"/>
            <w:jc w:val="both"/>
            <w:rPr>
              <w:rFonts w:eastAsia="Andale Sans UI" w:cs="Tahoma"/>
              <w:szCs w:val="24"/>
              <w:lang w:bidi="en-US"/>
            </w:rPr>
          </w:pPr>
          <w:r>
            <w:rPr>
              <w:rFonts w:eastAsia="Andale Sans UI" w:cs="Tahoma"/>
              <w:szCs w:val="24"/>
              <w:lang w:bidi="en-US"/>
            </w:rPr>
            <w:t>Priimtas projektas neturės įtakos verslo sąlygoms ir jo plėtrai.</w:t>
          </w:r>
        </w:p>
      </w:sdtContent>
    </w:sdt>
    <w:sdt>
      <w:sdtPr>
        <w:alias w:val="pastraipa"/>
        <w:tag w:val="part_12d3a6a1eb6c47438ed4b50b67b8cefe"/>
        <w:lock w:val="sdtLocked"/>
        <w:richText/>
      </w:sdtPr>
      <w:sdtContent>
        <w:p>
          <w:pPr>
            <w:widowControl w:val="0"/>
            <w:suppressLineNumbers/>
            <w:tabs>
              <w:tab w:val="left" w:pos="709"/>
            </w:tabs>
            <w:suppressAutoHyphens/>
            <w:spacing w:line="276" w:lineRule="auto"/>
            <w:ind w:firstLine="709"/>
            <w:jc w:val="both"/>
            <w:rPr>
              <w:rFonts w:eastAsia="Andale Sans UI"/>
              <w:szCs w:val="24"/>
              <w:lang w:bidi="en-US"/>
            </w:rPr>
          </w:pPr>
          <w:r>
            <w:rPr>
              <w:rFonts w:eastAsia="Andale Sans UI"/>
              <w:szCs w:val="24"/>
              <w:lang w:bidi="en-US"/>
            </w:rPr>
            <w:t xml:space="preserve">Projektą skelbiame </w:t>
          </w:r>
          <w:r>
            <w:rPr>
              <w:rFonts w:eastAsia="Andale Sans UI"/>
              <w:iCs/>
              <w:color w:val="000000"/>
              <w:szCs w:val="24"/>
              <w:lang w:bidi="en-US"/>
            </w:rPr>
            <w:t>Lietuvos Respublikos Seimo kanceliarijos teisės aktų informacinėje sistemoje</w:t>
          </w:r>
          <w:r>
            <w:rPr>
              <w:rFonts w:eastAsia="Andale Sans UI"/>
              <w:szCs w:val="24"/>
              <w:lang w:bidi="en-US"/>
            </w:rPr>
            <w:t>, kurioje suinteresuoti visuomenės atstovai gali teikti pastabas ir pasiūlymus per nustatytą terminą.</w:t>
          </w:r>
        </w:p>
      </w:sdtContent>
    </w:sdt>
    <w:sdt>
      <w:sdtPr>
        <w:alias w:val="pastraipa"/>
        <w:tag w:val="part_c3b686c33221426f85b26660f95a06f3"/>
        <w:lock w:val="sdtLocked"/>
        <w:richText/>
      </w:sdtPr>
      <w:sdtContent>
        <w:p>
          <w:pPr>
            <w:widowControl w:val="0"/>
            <w:suppressLineNumbers/>
            <w:tabs>
              <w:tab w:val="left" w:pos="709"/>
            </w:tabs>
            <w:suppressAutoHyphens/>
            <w:spacing w:line="276" w:lineRule="auto"/>
            <w:ind w:firstLine="709"/>
            <w:jc w:val="both"/>
            <w:rPr>
              <w:rFonts w:eastAsia="Andale Sans UI"/>
              <w:szCs w:val="24"/>
              <w:lang w:bidi="en-US"/>
            </w:rPr>
          </w:pPr>
          <w:r>
            <w:rPr>
              <w:rFonts w:eastAsia="Andale Sans UI"/>
              <w:szCs w:val="24"/>
              <w:lang w:bidi="en-US"/>
            </w:rPr>
            <w:t>Pastabas ir pasiūlymus prašome pateikti per 10</w:t>
          </w:r>
          <w:r>
            <w:rPr>
              <w:rFonts w:eastAsia="Andale Sans UI"/>
              <w:b/>
              <w:bCs/>
              <w:szCs w:val="24"/>
              <w:lang w:bidi="en-US"/>
            </w:rPr>
            <w:t xml:space="preserve"> darbo dienų</w:t>
          </w:r>
          <w:r>
            <w:rPr>
              <w:rFonts w:eastAsia="Andale Sans UI"/>
              <w:szCs w:val="24"/>
              <w:lang w:bidi="en-US"/>
            </w:rPr>
            <w:t xml:space="preserve"> nuo projekto paskelbimo TAIS. Negavus argumentuotų pastabų ir pasiūlymų per nurodytą terminą, bus laikoma, kad projektui pritarta.</w:t>
            <w:tab/>
          </w:r>
        </w:p>
      </w:sdtContent>
    </w:sdt>
    <w:sdt>
      <w:sdtPr>
        <w:alias w:val="pastraipa"/>
        <w:tag w:val="part_bbf657d1c244469db5090ba93edf893b"/>
        <w:lock w:val="sdtLocked"/>
        <w:richText/>
      </w:sdtPr>
      <w:sdtContent>
        <w:p>
          <w:pPr>
            <w:widowControl w:val="0"/>
            <w:suppressLineNumbers/>
            <w:tabs>
              <w:tab w:val="left" w:pos="709"/>
            </w:tabs>
            <w:suppressAutoHyphens/>
            <w:spacing w:line="276" w:lineRule="auto"/>
            <w:ind w:firstLine="771"/>
            <w:jc w:val="both"/>
            <w:rPr>
              <w:rFonts w:eastAsia="Andale Sans UI" w:cs="Tahoma"/>
              <w:szCs w:val="24"/>
              <w:lang w:bidi="en-US"/>
            </w:rPr>
          </w:pPr>
          <w:r>
            <w:rPr>
              <w:rFonts w:eastAsia="Andale Sans UI" w:cs="Tahoma"/>
              <w:szCs w:val="24"/>
              <w:lang w:bidi="en-US"/>
            </w:rPr>
            <w:t>PRIDEDAMA:</w:t>
          </w:r>
        </w:p>
        <w:sdt>
          <w:sdtPr>
            <w:alias w:val="1 p."/>
            <w:tag w:val="part_dee8a0497e934bcd89807c0a0c6a913f"/>
            <w:lock w:val="sdtLocked"/>
            <w:richText/>
          </w:sdtPr>
          <w:sdtContent>
            <w:p>
              <w:pPr>
                <w:widowControl w:val="0"/>
                <w:suppressLineNumbers/>
                <w:tabs>
                  <w:tab w:val="left" w:pos="709"/>
                </w:tabs>
                <w:suppressAutoHyphens/>
                <w:spacing w:line="276" w:lineRule="auto"/>
                <w:ind w:firstLine="709"/>
                <w:jc w:val="both"/>
                <w:rPr>
                  <w:rFonts w:eastAsia="Andale Sans UI" w:cs="Tahoma"/>
                  <w:szCs w:val="24"/>
                  <w:lang w:bidi="en-US"/>
                </w:rPr>
              </w:pPr>
              <w:sdt>
                <w:sdtPr>
                  <w:alias w:val="Numeris"/>
                  <w:tag w:val="nr_dee8a0497e934bcd89807c0a0c6a913f"/>
                  <w:lock w:val="sdtLocked"/>
                  <w:richText/>
                </w:sdtPr>
                <w:sdtContent>
                  <w:r>
                    <w:rPr>
                      <w:rFonts w:eastAsia="Andale Sans UI" w:cs="Tahoma"/>
                      <w:szCs w:val="24"/>
                      <w:lang w:bidi="en-US"/>
                    </w:rPr>
                    <w:t>1</w:t>
                  </w:r>
                </w:sdtContent>
              </w:sdt>
              <w:r>
                <w:rPr>
                  <w:rFonts w:eastAsia="Andale Sans UI" w:cs="Tahoma"/>
                  <w:szCs w:val="24"/>
                  <w:lang w:bidi="en-US"/>
                </w:rPr>
                <w:t>. Projektas, 7 lapai.</w:t>
              </w:r>
            </w:p>
          </w:sdtContent>
        </w:sdt>
        <w:sdt>
          <w:sdtPr>
            <w:alias w:val="2 p."/>
            <w:tag w:val="part_a9c7ec6f9fce456981876072b20bf212"/>
            <w:lock w:val="sdtLocked"/>
            <w:richText/>
          </w:sdtPr>
          <w:sdtContent>
            <w:p>
              <w:pPr>
                <w:widowControl w:val="0"/>
                <w:suppressLineNumbers/>
                <w:tabs>
                  <w:tab w:val="left" w:pos="709"/>
                </w:tabs>
                <w:suppressAutoHyphens/>
                <w:spacing w:line="276" w:lineRule="auto"/>
                <w:ind w:firstLine="709"/>
                <w:jc w:val="both"/>
                <w:rPr>
                  <w:rFonts w:eastAsia="Andale Sans UI" w:cs="Tahoma"/>
                  <w:szCs w:val="24"/>
                  <w:lang w:bidi="en-US"/>
                </w:rPr>
              </w:pPr>
              <w:sdt>
                <w:sdtPr>
                  <w:alias w:val="Numeris"/>
                  <w:tag w:val="nr_a9c7ec6f9fce456981876072b20bf212"/>
                  <w:lock w:val="sdtLocked"/>
                  <w:richText/>
                </w:sdtPr>
                <w:sdtContent>
                  <w:r>
                    <w:rPr>
                      <w:rFonts w:eastAsia="Andale Sans UI" w:cs="Tahoma"/>
                      <w:szCs w:val="24"/>
                      <w:lang w:bidi="en-US"/>
                    </w:rPr>
                    <w:t>2</w:t>
                  </w:r>
                </w:sdtContent>
              </w:sdt>
              <w:r>
                <w:rPr>
                  <w:rFonts w:eastAsia="Andale Sans UI" w:cs="Tahoma"/>
                  <w:szCs w:val="24"/>
                  <w:lang w:bidi="en-US"/>
                </w:rPr>
                <w:t>. Numatomo teisinio reguliavimo poveikio vertinimo pažyma, 1 lapas.</w:t>
              </w:r>
            </w:p>
            <w:p>
              <w:pPr>
                <w:widowControl w:val="0"/>
                <w:suppressLineNumbers/>
                <w:tabs>
                  <w:tab w:val="left" w:pos="709"/>
                </w:tabs>
                <w:suppressAutoHyphens/>
                <w:spacing w:line="276" w:lineRule="auto"/>
                <w:jc w:val="both"/>
                <w:rPr>
                  <w:rFonts w:eastAsia="Andale Sans UI" w:cs="Tahoma"/>
                  <w:szCs w:val="24"/>
                  <w:lang w:val="en-US" w:bidi="en-US"/>
                </w:rPr>
              </w:pPr>
            </w:p>
            <w:p>
              <w:pPr>
                <w:widowControl w:val="0"/>
                <w:suppressLineNumbers/>
                <w:tabs>
                  <w:tab w:val="left" w:pos="709"/>
                </w:tabs>
                <w:suppressAutoHyphens/>
                <w:spacing w:line="276" w:lineRule="auto"/>
                <w:jc w:val="both"/>
                <w:rPr>
                  <w:rFonts w:eastAsia="Andale Sans UI" w:cs="Tahoma"/>
                  <w:szCs w:val="24"/>
                  <w:lang w:val="en-US" w:bidi="en-US"/>
                </w:rPr>
              </w:pPr>
            </w:p>
          </w:sdtContent>
        </w:sdt>
        <w:sdt>
          <w:sdtPr>
            <w:alias w:val="signatura"/>
            <w:tag w:val="part_30f666e309f84fe0b013b3778ccd984f"/>
            <w:lock w:val="sdtLocked"/>
            <w:richText/>
          </w:sdtPr>
          <w:sdtContent>
            <w:p>
              <w:pPr>
                <w:widowControl w:val="0"/>
                <w:suppressLineNumbers/>
                <w:suppressAutoHyphens/>
                <w:jc w:val="both"/>
                <w:rPr>
                  <w:rFonts w:eastAsia="Andale Sans UI" w:cs="Tahoma"/>
                  <w:szCs w:val="24"/>
                  <w:lang w:eastAsia="lt-LT" w:bidi="en-US"/>
                </w:rPr>
              </w:pPr>
              <w:r>
                <w:rPr>
                  <w:rFonts w:eastAsia="Andale Sans UI" w:cs="Tahoma"/>
                  <w:szCs w:val="24"/>
                  <w:lang w:eastAsia="lt-LT" w:bidi="en-US"/>
                </w:rPr>
                <w:t xml:space="preserve">Aplinkos viceministrė                                                                                         Raminta Radavičienė</w:t>
              </w:r>
            </w:p>
          </w:sdtContent>
        </w:sdt>
      </w:sdtContent>
    </w:sdt>
    <w:sectPr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footnotePr>
        <w:pos w:val="beneathText"/>
        <w:numRestart w:val="eachPage"/>
      </w:footnotePr>
      <w:endnotePr>
        <w:numFmt w:val="decimal"/>
      </w:endnotePr>
      <w:pgSz w:w="11905" w:h="16837"/>
      <w:pgMar w:top="993" w:right="567" w:bottom="709" w:left="1701" w:header="567" w:footer="232" w:gutter="0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widowControl w:val="0"/>
        <w:suppressAutoHyphens/>
        <w:rPr>
          <w:rFonts w:eastAsia="Andale Sans UI" w:cs="Tahoma"/>
          <w:szCs w:val="24"/>
          <w:lang w:bidi="en-US"/>
        </w:rPr>
      </w:pPr>
      <w:r>
        <w:rPr>
          <w:rFonts w:eastAsia="Andale Sans UI" w:cs="Tahoma"/>
          <w:szCs w:val="24"/>
          <w:lang w:bidi="en-US"/>
        </w:rPr>
        <w:separator/>
      </w:r>
    </w:p>
  </w:endnote>
  <w:endnote w:type="continuationSeparator" w:id="0">
    <w:p>
      <w:pPr>
        <w:widowControl w:val="0"/>
        <w:suppressAutoHyphens/>
        <w:rPr>
          <w:rFonts w:eastAsia="Andale Sans UI" w:cs="Tahoma"/>
          <w:szCs w:val="24"/>
          <w:lang w:bidi="en-US"/>
        </w:rPr>
      </w:pPr>
      <w:r>
        <w:rPr>
          <w:rFonts w:eastAsia="Andale Sans UI" w:cs="Tahoma"/>
          <w:szCs w:val="24"/>
          <w:lang w:bidi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ndale Sans UI">
    <w:altName w:val="Segoe Print"/>
    <w:charset w:val="BA"/>
    <w:family w:val="auto"/>
    <w:pitch w:val="default"/>
    <w:sig w:usb0="00000287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suppressLineNumbers/>
      <w:tabs>
        <w:tab w:val="center" w:pos="4800"/>
        <w:tab w:val="right" w:pos="9601"/>
      </w:tabs>
      <w:suppressAutoHyphens/>
      <w:rPr>
        <w:rFonts w:eastAsia="Andale Sans UI" w:cs="Tahoma"/>
        <w:szCs w:val="24"/>
        <w:lang w:bidi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suppressLineNumbers/>
      <w:suppressAutoHyphens/>
      <w:rPr>
        <w:rFonts w:eastAsia="Andale Sans UI" w:cs="Tahoma"/>
        <w:color w:val="0000FF"/>
        <w:szCs w:val="24"/>
        <w:u w:val="single"/>
        <w:lang w:eastAsia="lt-LT" w:bidi="en-US"/>
      </w:rPr>
    </w:pPr>
    <w:r>
      <w:rPr>
        <w:rFonts w:eastAsia="Andale Sans UI" w:cs="Tahoma"/>
        <w:szCs w:val="24"/>
        <w:lang w:eastAsia="lt-LT" w:bidi="en-US"/>
      </w:rPr>
      <w:t xml:space="preserve">T. Aukštinaitis, 8 610 79985, el. p. </w:t>
    </w:r>
    <w:r>
      <w:rPr>
        <w:rFonts w:eastAsia="Andale Sans UI" w:cs="Tahoma"/>
        <w:color w:val="0000FF"/>
        <w:szCs w:val="24"/>
        <w:u w:val="single"/>
        <w:lang w:eastAsia="lt-LT" w:bidi="en-US"/>
      </w:rPr>
      <w:t>tomas.aukstinaitis@am.lt</w:t>
    </w:r>
  </w:p>
  <w:p>
    <w:pPr>
      <w:widowControl w:val="0"/>
      <w:suppressLineNumbers/>
      <w:suppressAutoHyphens/>
      <w:rPr>
        <w:rFonts w:eastAsia="Andale Sans UI" w:cs="Tahoma"/>
        <w:szCs w:val="24"/>
        <w:lang w:val="en-GB" w:eastAsia="lt-LT" w:bidi="en-US"/>
      </w:rPr>
    </w:pPr>
    <w:r>
      <w:rPr>
        <w:rFonts w:eastAsia="Andale Sans UI" w:cs="Tahoma"/>
        <w:szCs w:val="24"/>
        <w:lang w:eastAsia="lt-LT" w:bidi="en-US"/>
      </w:rPr>
      <w:t xml:space="preserve">U. Grikinytė, </w:t>
    </w:r>
    <w:r>
      <w:rPr>
        <w:rFonts w:eastAsia="Andale Sans UI" w:cs="Tahoma"/>
        <w:szCs w:val="24"/>
        <w:lang w:val="en-GB" w:eastAsia="lt-LT" w:bidi="en-US"/>
      </w:rPr>
      <w:t xml:space="preserve">8 620 53766, el. p. </w:t>
    </w:r>
    <w:r>
      <w:rPr>
        <w:rFonts w:eastAsia="Andale Sans UI" w:cs="Tahoma"/>
        <w:color w:val="0000FF"/>
        <w:szCs w:val="24"/>
        <w:u w:val="single"/>
        <w:lang w:val="en-GB" w:eastAsia="lt-LT" w:bidi="en-US"/>
      </w:rPr>
      <w:t>ugne.grikinyte@am.lt</w:t>
    </w:r>
    <w:r>
      <w:rPr>
        <w:rFonts w:eastAsia="Andale Sans UI" w:cs="Tahoma"/>
        <w:szCs w:val="24"/>
        <w:lang w:val="en-GB" w:eastAsia="lt-LT" w:bidi="en-US"/>
      </w:rPr>
      <w:t xml:space="preserve"> </w:t>
    </w:r>
  </w:p>
  <w:p>
    <w:pPr>
      <w:widowControl w:val="0"/>
      <w:suppressLineNumbers/>
      <w:tabs>
        <w:tab w:val="center" w:pos="4800"/>
        <w:tab w:val="right" w:pos="9601"/>
      </w:tabs>
      <w:suppressAutoHyphens/>
      <w:rPr>
        <w:rFonts w:eastAsia="Andale Sans UI" w:cs="Tahoma"/>
        <w:szCs w:val="24"/>
        <w:lang w:bidi="en-US"/>
      </w:rPr>
    </w:pPr>
  </w:p>
  <w:p>
    <w:pPr>
      <w:widowControl w:val="0"/>
      <w:suppressLineNumbers/>
      <w:tabs>
        <w:tab w:val="center" w:pos="4800"/>
        <w:tab w:val="right" w:pos="9601"/>
      </w:tabs>
      <w:suppressAutoHyphens/>
      <w:jc w:val="right"/>
      <w:rPr>
        <w:rFonts w:eastAsia="Andale Sans UI" w:cs="Tahoma"/>
        <w:szCs w:val="24"/>
        <w:lang w:bidi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ook w:val="04A0" w:firstRow="1" w:lastRow="0" w:firstColumn="1" w:lastColumn="0" w:noHBand="0" w:noVBand="1"/>
    </w:tblPr>
    <w:tblGrid>
      <w:gridCol w:w="7621"/>
      <w:gridCol w:w="2232"/>
    </w:tblGrid>
    <w:tr>
      <w:tc>
        <w:tcPr>
          <w:tcW w:w="7621" w:type="dxa"/>
        </w:tcPr>
        <w:p>
          <w:pPr>
            <w:widowControl w:val="0"/>
            <w:suppressLineNumbers/>
            <w:suppressAutoHyphens/>
            <w:rPr>
              <w:rFonts w:eastAsia="Andale Sans UI" w:cs="Tahoma"/>
              <w:szCs w:val="24"/>
              <w:lang w:eastAsia="lt-LT" w:bidi="en-US"/>
            </w:rPr>
          </w:pPr>
        </w:p>
        <w:p>
          <w:pPr>
            <w:widowControl w:val="0"/>
            <w:suppressLineNumbers/>
            <w:suppressAutoHyphens/>
            <w:rPr>
              <w:rFonts w:eastAsia="Andale Sans UI" w:cs="Tahoma"/>
              <w:szCs w:val="24"/>
              <w:lang w:val="en-US" w:bidi="en-US"/>
            </w:rPr>
          </w:pPr>
        </w:p>
      </w:tc>
      <w:tc>
        <w:tcPr>
          <w:tcW w:w="2232" w:type="dxa"/>
        </w:tcPr>
        <w:p>
          <w:pPr>
            <w:widowControl w:val="0"/>
            <w:suppressLineNumbers/>
            <w:tabs>
              <w:tab w:val="center" w:pos="4800"/>
              <w:tab w:val="right" w:pos="9601"/>
            </w:tabs>
            <w:suppressAutoHyphens/>
            <w:jc w:val="right"/>
            <w:rPr>
              <w:rFonts w:eastAsia="Andale Sans UI" w:cs="Tahoma"/>
              <w:szCs w:val="24"/>
              <w:lang w:val="en-US" w:bidi="en-US"/>
            </w:rPr>
          </w:pPr>
          <w:r>
            <w:rPr>
              <w:rFonts w:eastAsia="Andale Sans UI" w:cs="Tahoma"/>
              <w:szCs w:val="24"/>
              <w:lang w:val="en-US"/>
            </w:rPr>
            <w:drawing>
              <wp:inline distT="0" distB="0" distL="0" distR="0" wp14:anchorId="31C32DF5" wp14:editId="27C6CDBF">
                <wp:extent cx="469265" cy="774065"/>
                <wp:effectExtent l="0" t="0" r="6985" b="6985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77406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</w:tbl>
  <w:p>
    <w:pPr>
      <w:widowControl w:val="0"/>
      <w:suppressLineNumbers/>
      <w:tabs>
        <w:tab w:val="center" w:pos="4800"/>
        <w:tab w:val="right" w:pos="9601"/>
      </w:tabs>
      <w:suppressAutoHyphens/>
      <w:jc w:val="right"/>
      <w:rPr>
        <w:rFonts w:eastAsia="Andale Sans UI" w:cs="Tahoma"/>
        <w:szCs w:val="24"/>
        <w:lang w:val="en-US" w:bidi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widowControl w:val="0"/>
        <w:suppressAutoHyphens/>
        <w:rPr>
          <w:rFonts w:eastAsia="Andale Sans UI" w:cs="Tahoma"/>
          <w:szCs w:val="24"/>
          <w:lang w:bidi="en-US"/>
        </w:rPr>
      </w:pPr>
      <w:r>
        <w:rPr>
          <w:rFonts w:eastAsia="Andale Sans UI" w:cs="Tahoma"/>
          <w:szCs w:val="24"/>
          <w:lang w:bidi="en-US"/>
        </w:rPr>
        <w:separator/>
      </w:r>
    </w:p>
  </w:footnote>
  <w:footnote w:type="continuationSeparator" w:id="0">
    <w:p>
      <w:pPr>
        <w:widowControl w:val="0"/>
        <w:suppressAutoHyphens/>
        <w:rPr>
          <w:rFonts w:eastAsia="Andale Sans UI" w:cs="Tahoma"/>
          <w:szCs w:val="24"/>
          <w:lang w:bidi="en-US"/>
        </w:rPr>
      </w:pPr>
      <w:r>
        <w:rPr>
          <w:rFonts w:eastAsia="Andale Sans UI" w:cs="Tahoma"/>
          <w:szCs w:val="24"/>
          <w:lang w:bidi="en-US"/>
        </w:rPr>
        <w:continuationSeparator/>
      </w:r>
    </w:p>
  </w:footnote>
  <w:footnote w:id="1">
    <w:p>
      <w:pPr>
        <w:widowControl w:val="0"/>
        <w:suppressAutoHyphens/>
        <w:rPr>
          <w:rFonts w:eastAsia="Andale Sans UI" w:cs="Tahoma"/>
          <w:sz w:val="20"/>
          <w:lang w:bidi="en-US"/>
        </w:rPr>
      </w:pPr>
      <w:r>
        <w:rPr>
          <w:rFonts w:eastAsia="Andale Sans UI" w:cs="Tahoma"/>
          <w:sz w:val="20"/>
          <w:vertAlign w:val="superscript"/>
          <w:lang w:bidi="en-US"/>
        </w:rPr>
        <w:footnoteRef/>
      </w:r>
      <w:r>
        <w:rPr>
          <w:rFonts w:eastAsia="Andale Sans UI" w:cs="Tahoma"/>
          <w:sz w:val="20"/>
          <w:lang w:bidi="en-US"/>
        </w:rPr>
        <w:t xml:space="preserve"> </w:t>
      </w:r>
      <w:r>
        <w:rPr>
          <w:rFonts w:eastAsia="Andale Sans UI" w:cs="Tahoma"/>
          <w:sz w:val="20"/>
          <w:lang w:val="en-US" w:bidi="en-US"/>
        </w:rPr>
        <w:t xml:space="preserve">Lietuvos Respublikos aplinkos ministro 2019 m. balandžio 17 d. įsakymas Nr. D1-220 </w:t>
      </w:r>
      <w:r>
        <w:rPr>
          <w:rFonts w:eastAsia="Andale Sans UI" w:cs="Tahoma"/>
          <w:sz w:val="20"/>
          <w:lang w:bidi="en-US"/>
        </w:rPr>
        <w:t>„</w:t>
      </w:r>
      <w:r>
        <w:rPr>
          <w:rFonts w:eastAsia="Andale Sans UI" w:cs="Tahoma"/>
          <w:sz w:val="20"/>
          <w:lang w:val="en-US" w:bidi="en-US"/>
        </w:rPr>
        <w:t>Dėl Komisijos deleguotojo reglamento (ES) 2019/331, kuriuo nustatomos suderinto nemokamų apyvartinių taršos leidimų suteikimo pagal direktyvos 2003/87/EB 10a straipsnį pereinamojo laikotarpio Sąjungos taisyklės, įgyvendinimo</w:t>
      </w:r>
      <w:r>
        <w:rPr>
          <w:rFonts w:eastAsia="Andale Sans UI" w:cs="Tahoma"/>
          <w:sz w:val="20"/>
          <w:lang w:bidi="en-US"/>
        </w:rPr>
        <w:t>“.</w:t>
      </w:r>
    </w:p>
  </w:footnote>
  <w:footnote w:id="2">
    <w:p>
      <w:pPr>
        <w:widowControl w:val="0"/>
        <w:suppressAutoHyphens/>
        <w:rPr>
          <w:rFonts w:eastAsia="Andale Sans UI" w:cs="Tahoma"/>
          <w:sz w:val="20"/>
          <w:lang w:bidi="en-US"/>
        </w:rPr>
      </w:pPr>
      <w:r>
        <w:rPr>
          <w:rFonts w:eastAsia="Andale Sans UI" w:cs="Tahoma"/>
          <w:sz w:val="20"/>
          <w:vertAlign w:val="superscript"/>
          <w:lang w:bidi="en-US"/>
        </w:rPr>
        <w:footnoteRef/>
      </w:r>
      <w:r>
        <w:rPr>
          <w:rFonts w:eastAsia="Andale Sans UI" w:cs="Tahoma"/>
          <w:sz w:val="20"/>
          <w:lang w:bidi="en-US"/>
        </w:rPr>
        <w:t xml:space="preserve"> Aprašas aptvirtintas Lietuvos Respublikos aplinkos ministro 2004 m. balandžio 29 d. įsakymu Nr. D1-231 „Dėl Šiltnamio efektą sukeliančių dujų apyvartinių taršos leidimų skyrimo ir prekybos jais tvarkos aprašo patvirtinimo“.</w:t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widowControl w:val="0"/>
      <w:suppressLineNumbers/>
      <w:tabs>
        <w:tab w:val="center" w:pos="4800"/>
        <w:tab w:val="right" w:pos="9601"/>
      </w:tabs>
      <w:suppressAutoHyphens/>
      <w:rPr>
        <w:rFonts w:eastAsia="Andale Sans UI" w:cs="Tahoma"/>
        <w:szCs w:val="24"/>
        <w:lang w:bidi="en-US"/>
      </w:rPr>
    </w:pPr>
    <w:r>
      <w:rPr>
        <w:rFonts w:eastAsia="Andale Sans UI" w:cs="Tahoma"/>
        <w:szCs w:val="24"/>
        <w:lang w:bidi="en-US"/>
      </w:rPr>
      <w:fldChar w:fldCharType="begin"/>
    </w:r>
    <w:r>
      <w:rPr>
        <w:rFonts w:eastAsia="Andale Sans UI" w:cs="Tahoma"/>
        <w:szCs w:val="24"/>
        <w:lang w:bidi="en-US"/>
      </w:rPr>
      <w:instrText xml:space="preserve">PAGE  </w:instrText>
    </w:r>
    <w:r>
      <w:rPr>
        <w:rFonts w:eastAsia="Andale Sans UI" w:cs="Tahoma"/>
        <w:szCs w:val="24"/>
        <w:lang w:bidi="en-US"/>
      </w:rPr>
      <w:fldChar w:fldCharType="end"/>
    </w:r>
  </w:p>
  <w:p>
    <w:pPr>
      <w:widowControl w:val="0"/>
      <w:suppressLineNumbers/>
      <w:tabs>
        <w:tab w:val="center" w:pos="4800"/>
        <w:tab w:val="right" w:pos="9601"/>
      </w:tabs>
      <w:suppressAutoHyphens/>
      <w:rPr>
        <w:rFonts w:eastAsia="Andale Sans UI" w:cs="Tahoma"/>
        <w:szCs w:val="24"/>
        <w:lang w:bidi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suppressLineNumbers/>
      <w:tabs>
        <w:tab w:val="center" w:pos="4800"/>
        <w:tab w:val="right" w:pos="9601"/>
      </w:tabs>
      <w:suppressAutoHyphens/>
      <w:rPr>
        <w:rFonts w:eastAsia="Andale Sans UI" w:cs="Tahoma"/>
        <w:szCs w:val="24"/>
        <w:lang w:bidi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suppressLineNumbers/>
      <w:tabs>
        <w:tab w:val="center" w:pos="4800"/>
        <w:tab w:val="right" w:pos="9601"/>
      </w:tabs>
      <w:suppressAutoHyphens/>
      <w:rPr>
        <w:rFonts w:eastAsia="Andale Sans UI" w:cs="Tahoma"/>
        <w:szCs w:val="24"/>
        <w:lang w:bidi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12289"/>
  </w:hdrShapeDefaults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MDE3NjUzNDMzNjM0MTZR0lEKTi0uzszPAykwrQUAVkGAyywAAAA="/>
  </w:docVars>
  <w:rsids>
    <w:rsidRoot w:val="00996DF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5:docId w15:val="{C6334A23-A759-4CD1-BA9F-86F1328B17F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2574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763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1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1869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9012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26433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44397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375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46623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98303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554228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35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3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8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image" Target="media/image1.png"/>
  <Relationship Id="rId11" Type="http://schemas.openxmlformats.org/officeDocument/2006/relationships/header" Target="header1.xml"/>
  <Relationship Id="rId12" Type="http://schemas.openxmlformats.org/officeDocument/2006/relationships/header" Target="header2.xml"/>
  <Relationship Id="rId13" Type="http://schemas.openxmlformats.org/officeDocument/2006/relationships/footer" Target="footer1.xml"/>
  <Relationship Id="rId14" Type="http://schemas.openxmlformats.org/officeDocument/2006/relationships/footer" Target="footer2.xml"/>
  <Relationship Id="rId15" Type="http://schemas.openxmlformats.org/officeDocument/2006/relationships/header" Target="header3.xml"/>
  <Relationship Id="rId16" Type="http://schemas.openxmlformats.org/officeDocument/2006/relationships/footer" Target="footer3.xml"/>
  <Relationship Id="rId17" Type="http://schemas.openxmlformats.org/officeDocument/2006/relationships/fontTable" Target="fontTable.xml"/>
  <Relationship Id="rId18" Type="http://schemas.openxmlformats.org/officeDocument/2006/relationships/theme" Target="theme/theme1.xml"/>
  <Relationship Id="rId19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_rels/footer3.xml.rels><?xml version="1.0" encoding="UTF-8"?>

<Relationships xmlns="http://schemas.openxmlformats.org/package/2006/relationships">
  <Relationship Id="rId1" Type="http://schemas.openxmlformats.org/officeDocument/2006/relationships/image" Target="media/image2.png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351E0ECF89C14A900DE8C04996CFDF" ma:contentTypeVersion="13" ma:contentTypeDescription="Create a new document." ma:contentTypeScope="" ma:versionID="1861a30ab98678bb43709c19570b3593">
  <xsd:schema xmlns:xsd="http://www.w3.org/2001/XMLSchema" xmlns:xs="http://www.w3.org/2001/XMLSchema" xmlns:p="http://schemas.microsoft.com/office/2006/metadata/properties" xmlns:ns2="f5aad5d0-9c26-490e-8743-a6c7ceabd501" xmlns:ns3="19cf09c5-daa1-4028-a0ff-74a0be4ec5cc" targetNamespace="http://schemas.microsoft.com/office/2006/metadata/properties" ma:root="true" ma:fieldsID="65477438a8dcf7bc50766488f89f6180" ns2:_="" ns3:_=""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Parts xmlns="http://lrs.lt/TAIS/DocParts">
  <Part Type="lentele" DocPartId="dc2b7156d9f44e1aa4f3643bf43f54cb" PartId="6650b04a707444a5ab379c24c8326476"/>
  <Part Type="pastraipa" DocPartId="c06867592f0b451a8a6b46eed9c57983" PartId="0b4d4893c29049fab54c3d17904e6492"/>
  <Part Type="pastraipa" DocPartId="fdefb3f9e7714e30a0f874cfe46d5b8a" PartId="068c5da15a544be0a571e4e39d9f5746"/>
  <Part Type="pastraipa" DocPartId="cc614b916b664440979d43be2f14c4fc" PartId="f60ab686aefb45bfbbc867c593040ac3"/>
  <Part Type="pastraipa" DocPartId="c64a8ff3056a4b7a96b9eae565718342" PartId="2c4b27f7bf48440da0a43e0146cd7fba"/>
  <Part Type="pastraipa" DocPartId="f103279531534f7696bf88ff973adf3a" PartId="b34c23e3e4a84ddcb1ddc2670d136e2c"/>
  <Part Type="pastraipa" DocPartId="1d8789525fcf4f0783b7f9c378998c6b" PartId="fea7319b32064e11b911fd4550ed26af"/>
  <Part Type="pastraipa" DocPartId="851394e2ed464a0e99da27667d617ee1" PartId="e9b1ba8b8ba7402fa060cda594d18c9d"/>
  <Part Type="pastraipa" DocPartId="2c5d8040f2d040afbfbb9c4a2ca458a4" PartId="12d3a6a1eb6c47438ed4b50b67b8cefe"/>
  <Part Type="pastraipa" DocPartId="8976f7f4a5864d7a9710cefa70245ca3" PartId="c3b686c33221426f85b26660f95a06f3"/>
  <Part Type="pastraipa" DocPartId="aa97b6af2a4441bea6b2e78820dfeebd" PartId="bbf657d1c244469db5090ba93edf893b">
    <Part Type="punktas" Nr="1" Abbr="1 p." DocPartId="ff7f75d0f5704af19e432aeadda5dc3a" PartId="dee8a0497e934bcd89807c0a0c6a913f"/>
    <Part Type="punktas" Nr="2" Abbr="2 p." DocPartId="6e4a250c26824c9abb877c52c0e04f55" PartId="a9c7ec6f9fce456981876072b20bf212"/>
    <Part Type="signatura" DocPartId="b8465e537b5e4e208adef3e7820b9702" PartId="30f666e309f84fe0b013b3778ccd984f"/>
  </Part>
</Parts>
</file>

<file path=customXml/itemProps1.xml><?xml version="1.0" encoding="utf-8"?>
<ds:datastoreItem xmlns:ds="http://schemas.openxmlformats.org/officeDocument/2006/customXml" ds:itemID="{3BDF8793-D90A-4525-8690-DB29626CFCB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8B95862-A7E0-4875-B4ED-B1922ABFF57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C2B098E-D6B6-4411-AA9B-99B961533A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B4F0DF2-7A2D-4A14-BCD0-4037CAE1DB58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DE3C98E7-D0E3-4ADF-8F4B-A2D4C717557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325</Words>
  <Characters>2357</Characters>
  <Application>Microsoft Office Word</Application>
  <DocSecurity>4</DocSecurity>
  <Lines>57</Lines>
  <Paragraphs>30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2652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2021-12-28T14:07:00Z</dcterms:created>
  <dc:creator>l.ceicyte</dc:creator>
  <lastModifiedBy>adlibuser</lastModifiedBy>
  <lastPrinted>2019-05-24T09:45:00Z</lastPrinted>
  <dcterms:modified xsi:type="dcterms:W3CDTF">2021-12-28T14:07:00Z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0x010100AA351E0ECF89C14A900DE8C04996CFDF</vt:lpwstr>
  </property>
</Properties>
</file>