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 pr."/>
        <w:tag w:val="part_a3afbb1928fd4fa3be8020920edfde15"/>
        <w:lock w:val="sdtLocked"/>
        <w:richText/>
      </w:sdtPr>
      <w:sdtContent>
        <w:p w14:paraId="04D70858" w14:textId="77777777">
          <w:pPr>
            <w:tabs>
              <w:tab w:val="center" w:pos="4680"/>
              <w:tab w:val="right" w:pos="9360"/>
            </w:tabs>
            <w:rPr>
              <w:sz w:val="22"/>
              <w:szCs w:val="22"/>
              <w:lang w:eastAsia="lt-LT"/>
            </w:rPr>
          </w:pPr>
        </w:p>
        <w:p w14:paraId="1220AD46" w14:textId="3930A7A8">
          <w:pPr>
            <w:ind w:left="4320" w:firstLine="720"/>
            <w:jc w:val="both"/>
            <w:rPr>
              <w:szCs w:val="24"/>
            </w:rPr>
          </w:pPr>
          <w:r>
            <w:rPr>
              <w:szCs w:val="24"/>
            </w:rPr>
            <w:t xml:space="preserve">Vilkaviškio rajono savivaldybės tarybos </w:t>
          </w:r>
        </w:p>
        <w:p w14:paraId="0AA40CAE" w14:textId="77777777">
          <w:pPr>
            <w:ind w:left="4320" w:firstLine="720"/>
            <w:jc w:val="both"/>
            <w:rPr>
              <w:szCs w:val="24"/>
            </w:rPr>
          </w:pPr>
          <w:r>
            <w:rPr>
              <w:szCs w:val="24"/>
            </w:rPr>
            <w:t>reglamento</w:t>
          </w:r>
        </w:p>
        <w:p w14:paraId="5287362B" w14:textId="77777777">
          <w:pPr>
            <w:ind w:left="4320" w:firstLine="720"/>
            <w:jc w:val="both"/>
            <w:rPr>
              <w:szCs w:val="24"/>
            </w:rPr>
          </w:pPr>
          <w:sdt>
            <w:sdtPr>
              <w:alias w:val="Numeris"/>
              <w:tag w:val="nr_a3afbb1928fd4fa3be8020920edfde15"/>
              <w:lock w:val="sdtLocked"/>
              <w:richText/>
            </w:sdtPr>
            <w:sdtContent>
              <w:r>
                <w:rPr>
                  <w:szCs w:val="24"/>
                </w:rPr>
                <w:t>4</w:t>
              </w:r>
            </w:sdtContent>
          </w:sdt>
          <w:r>
            <w:rPr>
              <w:szCs w:val="24"/>
            </w:rPr>
            <w:t xml:space="preserve"> priedas</w:t>
          </w:r>
        </w:p>
        <w:p w14:paraId="2835E9FD" w14:textId="77777777">
          <w:pPr>
            <w:jc w:val="both"/>
            <w:rPr>
              <w:szCs w:val="24"/>
            </w:rPr>
          </w:pPr>
        </w:p>
        <w:p w14:paraId="367BDDC2" w14:textId="567AFA2F">
          <w:pPr>
            <w:jc w:val="center"/>
            <w:rPr>
              <w:b/>
              <w:szCs w:val="24"/>
            </w:rPr>
          </w:pPr>
          <w:sdt>
            <w:sdtPr>
              <w:alias w:val="Pavadinimas"/>
              <w:tag w:val="title_a3afbb1928fd4fa3be8020920edfde15"/>
              <w:lock w:val="sdtLocked"/>
              <w:richText/>
            </w:sdtPr>
            <w:sdtContent>
              <w:r>
                <w:rPr>
                  <w:b/>
                  <w:szCs w:val="24"/>
                </w:rPr>
                <w:t>VILKAVIŠKIO RAJONO SAVIVALDYBĖS TARYBOS SPRENDIMO PROJEKTO AIŠKINAMASIS RAŠTAS</w:t>
              </w:r>
            </w:sdtContent>
          </w:sdt>
        </w:p>
        <w:p w14:paraId="07BFA6E6" w14:textId="77777777">
          <w:pPr>
            <w:jc w:val="center"/>
            <w:rPr>
              <w:b/>
              <w:szCs w:val="24"/>
            </w:rPr>
          </w:pPr>
        </w:p>
        <w:p w14:paraId="48F72C53" w14:textId="6A8E85AA">
          <w:pPr>
            <w:jc w:val="center"/>
            <w:rPr>
              <w:szCs w:val="24"/>
            </w:rPr>
          </w:pPr>
          <w:r>
            <w:rPr>
              <w:szCs w:val="24"/>
            </w:rPr>
            <w:t xml:space="preserve">2025 m. spalio 31  d.</w:t>
          </w:r>
        </w:p>
        <w:p w14:paraId="4D6C459E" w14:textId="77777777">
          <w:pPr>
            <w:jc w:val="center"/>
            <w:rPr>
              <w:szCs w:val="24"/>
            </w:rPr>
          </w:pPr>
          <w:r>
            <w:rPr>
              <w:szCs w:val="24"/>
            </w:rPr>
            <w:t>Vilkaviškis</w:t>
          </w:r>
        </w:p>
        <w:p w14:paraId="4DB79397" w14:textId="77777777">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7"/>
            <w:gridCol w:w="6732"/>
          </w:tblGrid>
          <w:tr w14:paraId="34A3FAC6" w14:textId="77777777">
            <w:tc>
              <w:tcPr>
                <w:tcW w:w="2943" w:type="dxa"/>
                <w:tcBorders>
                  <w:top w:val="single" w:sz="4" w:space="0" w:color="auto"/>
                  <w:left w:val="single" w:sz="4" w:space="0" w:color="auto"/>
                  <w:bottom w:val="single" w:sz="4" w:space="0" w:color="auto"/>
                  <w:right w:val="single" w:sz="4" w:space="0" w:color="auto"/>
                </w:tcBorders>
                <w:shd w:val="clear" w:color="auto" w:fill="BFBFBF"/>
                <w:hideMark/>
              </w:tcPr>
              <w:p w14:paraId="16A5F5DA" w14:textId="77777777">
                <w:pPr>
                  <w:spacing w:line="256" w:lineRule="auto"/>
                  <w:rPr>
                    <w:rFonts w:eastAsia="Calibri"/>
                    <w:kern w:val="2"/>
                    <w:szCs w:val="24"/>
                    <w14:ligatures w14:val="standardContextual"/>
                  </w:rPr>
                </w:pPr>
                <w:r>
                  <w:rPr>
                    <w:rFonts w:eastAsia="Calibri"/>
                    <w:kern w:val="2"/>
                    <w:szCs w:val="24"/>
                    <w14:ligatures w14:val="standardContextual"/>
                  </w:rPr>
                  <w:t>Projekto pavadinimas</w:t>
                </w:r>
              </w:p>
            </w:tc>
            <w:tc>
              <w:tcPr>
                <w:tcW w:w="6911" w:type="dxa"/>
                <w:tcBorders>
                  <w:top w:val="single" w:sz="4" w:space="0" w:color="auto"/>
                  <w:left w:val="single" w:sz="4" w:space="0" w:color="auto"/>
                  <w:bottom w:val="single" w:sz="4" w:space="0" w:color="auto"/>
                  <w:right w:val="single" w:sz="4" w:space="0" w:color="auto"/>
                </w:tcBorders>
              </w:tcPr>
              <w:p w14:paraId="537E7038" w14:textId="3E8E1BA0">
                <w:pPr>
                  <w:spacing w:line="256" w:lineRule="auto"/>
                  <w:jc w:val="both"/>
                  <w:rPr>
                    <w:rFonts w:eastAsia="Calibri"/>
                    <w:kern w:val="2"/>
                    <w:szCs w:val="24"/>
                    <w14:ligatures w14:val="standardContextual"/>
                  </w:rPr>
                </w:pPr>
                <w:r>
                  <w:rPr>
                    <w:szCs w:val="24"/>
                  </w:rPr>
                  <w:t>Dėl Vilkaviškio rajono savivaldybės teritorijoje esančiuose vietinės reikšmės keliuose iki 2030 metų numatomų įrengti viešai prieinamų įkrovimo prieigų plano patvirtinimo</w:t>
                </w:r>
              </w:p>
            </w:tc>
          </w:tr>
          <w:tr w14:paraId="2DEC0210" w14:textId="77777777">
            <w:tc>
              <w:tcPr>
                <w:tcW w:w="2943" w:type="dxa"/>
                <w:tcBorders>
                  <w:top w:val="single" w:sz="4" w:space="0" w:color="auto"/>
                  <w:left w:val="single" w:sz="4" w:space="0" w:color="auto"/>
                  <w:bottom w:val="single" w:sz="4" w:space="0" w:color="auto"/>
                  <w:right w:val="single" w:sz="4" w:space="0" w:color="auto"/>
                </w:tcBorders>
                <w:shd w:val="clear" w:color="auto" w:fill="BFBFBF"/>
              </w:tcPr>
              <w:p w14:paraId="11D83D06" w14:textId="77777777">
                <w:pPr>
                  <w:spacing w:line="256" w:lineRule="auto"/>
                  <w:rPr>
                    <w:rFonts w:eastAsia="Calibri"/>
                    <w:kern w:val="2"/>
                    <w:szCs w:val="24"/>
                    <w14:ligatures w14:val="standardContextual"/>
                  </w:rPr>
                </w:pPr>
                <w:r>
                  <w:rPr>
                    <w:rFonts w:eastAsia="Calibri"/>
                    <w:kern w:val="2"/>
                    <w:szCs w:val="24"/>
                    <w14:ligatures w14:val="standardContextual"/>
                  </w:rPr>
                  <w:t xml:space="preserve">Projekto iniciatorius </w:t>
                </w:r>
              </w:p>
              <w:p w14:paraId="2FA9C069" w14:textId="77777777">
                <w:pPr>
                  <w:spacing w:line="256" w:lineRule="auto"/>
                  <w:rPr>
                    <w:rFonts w:eastAsia="Calibri"/>
                    <w:kern w:val="2"/>
                    <w:szCs w:val="24"/>
                    <w14:ligatures w14:val="standardContextual"/>
                  </w:rPr>
                </w:pPr>
              </w:p>
            </w:tc>
            <w:tc>
              <w:tcPr>
                <w:tcW w:w="6911" w:type="dxa"/>
                <w:tcBorders>
                  <w:top w:val="single" w:sz="4" w:space="0" w:color="auto"/>
                  <w:left w:val="single" w:sz="4" w:space="0" w:color="auto"/>
                  <w:bottom w:val="single" w:sz="4" w:space="0" w:color="auto"/>
                  <w:right w:val="single" w:sz="4" w:space="0" w:color="auto"/>
                </w:tcBorders>
              </w:tcPr>
              <w:p w14:paraId="1E473C96" w14:textId="31060521">
                <w:pPr>
                  <w:spacing w:line="256" w:lineRule="auto"/>
                  <w:jc w:val="both"/>
                  <w:rPr>
                    <w:rFonts w:eastAsia="Calibri"/>
                    <w:kern w:val="2"/>
                    <w:szCs w:val="24"/>
                    <w14:ligatures w14:val="standardContextual"/>
                  </w:rPr>
                </w:pPr>
                <w:r>
                  <w:rPr>
                    <w:rFonts w:eastAsia="Calibri"/>
                    <w:kern w:val="2"/>
                    <w:szCs w:val="24"/>
                    <w14:ligatures w14:val="standardContextual"/>
                  </w:rPr>
                  <w:t>Vilkaviškio rajono savivaldybės meras</w:t>
                </w:r>
              </w:p>
            </w:tc>
          </w:tr>
          <w:tr w14:paraId="22ACB358" w14:textId="77777777">
            <w:tc>
              <w:tcPr>
                <w:tcW w:w="2943" w:type="dxa"/>
                <w:tcBorders>
                  <w:top w:val="single" w:sz="4" w:space="0" w:color="auto"/>
                  <w:left w:val="single" w:sz="4" w:space="0" w:color="auto"/>
                  <w:bottom w:val="single" w:sz="4" w:space="0" w:color="auto"/>
                  <w:right w:val="single" w:sz="4" w:space="0" w:color="auto"/>
                </w:tcBorders>
                <w:shd w:val="clear" w:color="auto" w:fill="BFBFBF"/>
                <w:hideMark/>
              </w:tcPr>
              <w:p w14:paraId="5217E2CC" w14:textId="55C08EFB">
                <w:pPr>
                  <w:spacing w:line="256" w:lineRule="auto"/>
                  <w:rPr>
                    <w:rFonts w:eastAsia="Calibri"/>
                    <w:kern w:val="2"/>
                    <w:szCs w:val="24"/>
                    <w14:ligatures w14:val="standardContextual"/>
                  </w:rPr>
                </w:pPr>
                <w:r>
                  <w:rPr>
                    <w:rFonts w:eastAsia="Calibri"/>
                    <w:kern w:val="2"/>
                    <w:szCs w:val="24"/>
                    <w14:ligatures w14:val="standardContextual"/>
                  </w:rPr>
                  <w:t>Projekto rengimą paskatinusios priežastys</w:t>
                </w:r>
              </w:p>
            </w:tc>
            <w:tc>
              <w:tcPr>
                <w:tcW w:w="6911" w:type="dxa"/>
                <w:tcBorders>
                  <w:top w:val="single" w:sz="4" w:space="0" w:color="auto"/>
                  <w:left w:val="single" w:sz="4" w:space="0" w:color="auto"/>
                  <w:bottom w:val="single" w:sz="4" w:space="0" w:color="auto"/>
                  <w:right w:val="single" w:sz="4" w:space="0" w:color="auto"/>
                </w:tcBorders>
              </w:tcPr>
              <w:p w14:paraId="796494C8" w14:textId="2D3B80A7">
                <w:pPr>
                  <w:spacing w:line="256" w:lineRule="auto"/>
                  <w:jc w:val="both"/>
                  <w:rPr>
                    <w:rFonts w:eastAsia="Calibri"/>
                    <w:kern w:val="2"/>
                    <w:szCs w:val="24"/>
                    <w14:ligatures w14:val="standardContextual"/>
                  </w:rPr>
                </w:pPr>
                <w:r>
                  <w:rPr>
                    <w:rFonts w:eastAsia="Calibri"/>
                    <w:kern w:val="2"/>
                    <w:szCs w:val="24"/>
                    <w14:ligatures w14:val="standardContextual"/>
                  </w:rPr>
                  <w:t>Lietuvos Respublikos alternatyviųjų degalų įstatymo 23 straipsnio 13 dalies reikalavimų įgyvendinimas.</w:t>
                </w:r>
              </w:p>
            </w:tc>
          </w:tr>
          <w:tr w14:paraId="4F0C2A72" w14:textId="77777777">
            <w:tc>
              <w:tcPr>
                <w:tcW w:w="2943" w:type="dxa"/>
                <w:tcBorders>
                  <w:top w:val="single" w:sz="4" w:space="0" w:color="auto"/>
                  <w:left w:val="single" w:sz="4" w:space="0" w:color="auto"/>
                  <w:bottom w:val="single" w:sz="4" w:space="0" w:color="auto"/>
                  <w:right w:val="single" w:sz="4" w:space="0" w:color="auto"/>
                </w:tcBorders>
                <w:shd w:val="clear" w:color="auto" w:fill="BFBFBF"/>
                <w:hideMark/>
              </w:tcPr>
              <w:p w14:paraId="56690604" w14:textId="77777777">
                <w:pPr>
                  <w:spacing w:line="256" w:lineRule="auto"/>
                  <w:rPr>
                    <w:rFonts w:eastAsia="Calibri"/>
                    <w:kern w:val="2"/>
                    <w:szCs w:val="24"/>
                    <w14:ligatures w14:val="standardContextual"/>
                  </w:rPr>
                </w:pPr>
                <w:r>
                  <w:rPr>
                    <w:rFonts w:eastAsia="Calibri"/>
                    <w:kern w:val="2"/>
                    <w:szCs w:val="24"/>
                    <w14:ligatures w14:val="standardContextual"/>
                  </w:rPr>
                  <w:t>Projekto tikslai ir uždaviniai</w:t>
                </w:r>
              </w:p>
            </w:tc>
            <w:tc>
              <w:tcPr>
                <w:tcW w:w="6911" w:type="dxa"/>
                <w:tcBorders>
                  <w:top w:val="single" w:sz="4" w:space="0" w:color="auto"/>
                  <w:left w:val="single" w:sz="4" w:space="0" w:color="auto"/>
                  <w:bottom w:val="single" w:sz="4" w:space="0" w:color="auto"/>
                  <w:right w:val="single" w:sz="4" w:space="0" w:color="auto"/>
                </w:tcBorders>
              </w:tcPr>
              <w:p w14:paraId="4D910225" w14:textId="2644D393">
                <w:pPr>
                  <w:spacing w:line="256" w:lineRule="auto"/>
                  <w:jc w:val="both"/>
                  <w:rPr>
                    <w:rFonts w:eastAsia="Calibri"/>
                    <w:kern w:val="2"/>
                    <w:szCs w:val="24"/>
                    <w14:ligatures w14:val="standardContextual"/>
                  </w:rPr>
                </w:pPr>
                <w:r>
                  <w:rPr>
                    <w:rFonts w:eastAsia="Calibri"/>
                    <w:kern w:val="2"/>
                    <w:szCs w:val="24"/>
                    <w14:ligatures w14:val="standardContextual"/>
                  </w:rPr>
                  <w:t>Projekto tikslas – iš naujo įvertinus elektromobilių parko plėtrą Vilkaviškio rajono savivaldybės teritorijoje, patvirtinti Vilkaviškio rajono savivaldybės teritorijoje esančiuose vietinės reikšmės keliuose iki 2030 metų numatomų įrengti viešai prieinamų įkrovimo prieigų planą.</w:t>
                </w:r>
              </w:p>
            </w:tc>
          </w:tr>
          <w:tr w14:paraId="6D9CC637" w14:textId="77777777">
            <w:tc>
              <w:tcPr>
                <w:tcW w:w="2943" w:type="dxa"/>
                <w:tcBorders>
                  <w:top w:val="single" w:sz="4" w:space="0" w:color="auto"/>
                  <w:left w:val="single" w:sz="4" w:space="0" w:color="auto"/>
                  <w:bottom w:val="single" w:sz="4" w:space="0" w:color="auto"/>
                  <w:right w:val="single" w:sz="4" w:space="0" w:color="auto"/>
                </w:tcBorders>
                <w:shd w:val="clear" w:color="auto" w:fill="BFBFBF"/>
                <w:hideMark/>
              </w:tcPr>
              <w:p w14:paraId="20C52B90" w14:textId="77777777">
                <w:pPr>
                  <w:spacing w:line="256" w:lineRule="auto"/>
                  <w:rPr>
                    <w:rFonts w:eastAsia="Calibri"/>
                    <w:kern w:val="2"/>
                    <w:szCs w:val="24"/>
                    <w14:ligatures w14:val="standardContextual"/>
                  </w:rPr>
                </w:pPr>
                <w:r>
                  <w:rPr>
                    <w:rFonts w:eastAsia="Calibri"/>
                    <w:kern w:val="2"/>
                    <w:szCs w:val="24"/>
                    <w14:ligatures w14:val="standardContextual"/>
                  </w:rPr>
                  <w:t>Šiuo metu esantis teisinis reglamentavimas</w:t>
                </w:r>
              </w:p>
            </w:tc>
            <w:tc>
              <w:tcPr>
                <w:tcW w:w="6911" w:type="dxa"/>
                <w:tcBorders>
                  <w:top w:val="single" w:sz="4" w:space="0" w:color="auto"/>
                  <w:left w:val="single" w:sz="4" w:space="0" w:color="auto"/>
                  <w:bottom w:val="single" w:sz="4" w:space="0" w:color="auto"/>
                  <w:right w:val="single" w:sz="4" w:space="0" w:color="auto"/>
                </w:tcBorders>
              </w:tcPr>
              <w:p w14:paraId="4724E61D" w14:textId="30350D6C">
                <w:pPr>
                  <w:spacing w:line="256" w:lineRule="auto"/>
                  <w:jc w:val="both"/>
                  <w:rPr>
                    <w:rFonts w:eastAsia="Calibri"/>
                    <w:kern w:val="2"/>
                    <w:szCs w:val="24"/>
                    <w14:ligatures w14:val="standardContextual"/>
                  </w:rPr>
                </w:pPr>
                <w:r>
                  <w:rPr>
                    <w:rFonts w:eastAsia="Calibri"/>
                    <w:kern w:val="2"/>
                    <w:szCs w:val="24"/>
                    <w14:ligatures w14:val="standardContextual"/>
                  </w:rPr>
                  <w:t>Sprendimo projektas parengtas vadovaujantis Lietuvos Respublikos vietos savivaldos įstatymo 6 straipsnio (</w:t>
                </w:r>
                <w:r>
                  <w:rPr>
                    <w:rFonts w:eastAsia="Calibri"/>
                    <w:i/>
                    <w:iCs/>
                    <w:kern w:val="2"/>
                    <w:szCs w:val="24"/>
                    <w14:ligatures w14:val="standardContextual"/>
                  </w:rPr>
                  <w:t>Savarankiškosios savivaldybių funkcijos</w:t>
                </w:r>
                <w:r>
                  <w:rPr>
                    <w:rFonts w:eastAsia="Calibri"/>
                    <w:kern w:val="2"/>
                    <w:szCs w:val="24"/>
                    <w14:ligatures w14:val="standardContextual"/>
                  </w:rPr>
                  <w:t>)</w:t>
                </w:r>
                <w:r>
                  <w:rPr>
                    <w:rFonts w:eastAsia="Calibri"/>
                    <w:b/>
                    <w:bCs/>
                    <w:kern w:val="2"/>
                    <w:szCs w:val="24"/>
                    <w14:ligatures w14:val="standardContextual"/>
                  </w:rPr>
                  <w:t xml:space="preserve"> </w:t>
                </w:r>
                <w:r>
                  <w:rPr>
                    <w:rFonts w:eastAsia="Calibri"/>
                    <w:kern w:val="2"/>
                    <w:szCs w:val="24"/>
                    <w14:ligatures w14:val="standardContextual"/>
                  </w:rPr>
                  <w:t>22 punktu „</w:t>
                </w:r>
                <w:r>
                  <w:rPr>
                    <w:rFonts w:eastAsia="Calibri"/>
                    <w:i/>
                    <w:iCs/>
                    <w:kern w:val="2"/>
                    <w:szCs w:val="24"/>
                    <w14:ligatures w14:val="standardContextual"/>
                  </w:rPr>
                  <w:t>savivaldybės strateginio planavimo dokumentų ir juos įgyvendinančių planavimo dokumentų rengimas ir įgyvendinimas;</w:t>
                </w:r>
                <w:r>
                  <w:rPr>
                    <w:rFonts w:eastAsia="Calibri"/>
                    <w:kern w:val="2"/>
                    <w:szCs w:val="24"/>
                    <w14:ligatures w14:val="standardContextual"/>
                  </w:rPr>
                  <w:t>“, 15 straipsnio 2 dalies 32 punktu „</w:t>
                </w:r>
                <w:r>
                  <w:rPr>
                    <w:rFonts w:eastAsia="Calibri"/>
                    <w:i/>
                    <w:iCs/>
                    <w:kern w:val="2"/>
                    <w:szCs w:val="24"/>
                    <w14:ligatures w14:val="standardContextual"/>
                  </w:rPr>
                  <w:t>savivaldybės strateginių plėtros ir veiklos planų, savivaldybės atskirų ūkio šakų (sektorių) plėtros programų tvirtinimas, ataskaitų dėl jų įgyvendinimo išklausymas ir sprendimų dėl jų priėmimas;“</w:t>
                </w:r>
                <w:r>
                  <w:rPr>
                    <w:rFonts w:eastAsia="Calibri"/>
                    <w:kern w:val="2"/>
                    <w:szCs w:val="24"/>
                    <w14:ligatures w14:val="standardContextual"/>
                  </w:rPr>
                  <w:t>, Lietuvos Respublikos alternatyviųjų degalų įstatymo 12 straipsnio (</w:t>
                </w:r>
                <w:r>
                  <w:rPr>
                    <w:rFonts w:eastAsia="Calibri"/>
                    <w:i/>
                    <w:iCs/>
                    <w:kern w:val="2"/>
                    <w:szCs w:val="24"/>
                    <w14:ligatures w14:val="standardContextual"/>
                  </w:rPr>
                  <w:t>Savivaldybių institucijos</w:t>
                </w:r>
                <w:r>
                  <w:rPr>
                    <w:rFonts w:eastAsia="Calibri"/>
                    <w:kern w:val="2"/>
                    <w:szCs w:val="24"/>
                    <w14:ligatures w14:val="standardContextual"/>
                  </w:rPr>
                  <w:t>) 3 punktu „</w:t>
                </w:r>
                <w:r>
                  <w:rPr>
                    <w:i/>
                    <w:iCs/>
                    <w:color w:val="000000"/>
                    <w:sz w:val="22"/>
                    <w:szCs w:val="22"/>
                  </w:rPr>
                  <w:t> imasi priemonių, kurios skatintų įkrovimo prieigų įrengimą savivaldybės teritorijoje</w:t>
                </w:r>
                <w:r>
                  <w:rPr>
                    <w:color w:val="000000"/>
                    <w:sz w:val="22"/>
                    <w:szCs w:val="22"/>
                  </w:rPr>
                  <w:t>;“ ir 23 straipsnio 13 dalimi</w:t>
                </w:r>
                <w:r>
                  <w:rPr>
                    <w:szCs w:val="24"/>
                    <w:lang w:eastAsia="lt-LT"/>
                  </w:rPr>
                  <w:t xml:space="preserve"> </w:t>
                </w:r>
                <w:r>
                  <w:rPr>
                    <w:i/>
                    <w:iCs/>
                    <w:szCs w:val="24"/>
                    <w:lang w:eastAsia="lt-LT"/>
                  </w:rPr>
                  <w:t>„Savivaldybės taryba arba jos įgaliota institucija patvirtina su Susisiekimo ministerija suderintus savivaldybės teritorijoje esančiuose vietinės reikšmės keliuose iki 2030 metų numatomų įrengti viešai prieinamų įkrovimo prieigų planus. Šiuose planuose turi būti numatytos prioritetinės vietos viešai prieinamoms įkrovimo prieigoms įrengti. Planai turi būti atnaujinami ne rečiau kaip kas 3 metus ir skelbiami savivaldybių interneto svetainėse.“</w:t>
                </w:r>
              </w:p>
            </w:tc>
          </w:tr>
          <w:tr w14:paraId="00E86D4C" w14:textId="77777777">
            <w:tc>
              <w:tcPr>
                <w:tcW w:w="2943" w:type="dxa"/>
                <w:tcBorders>
                  <w:top w:val="single" w:sz="4" w:space="0" w:color="auto"/>
                  <w:left w:val="single" w:sz="4" w:space="0" w:color="auto"/>
                  <w:bottom w:val="single" w:sz="4" w:space="0" w:color="auto"/>
                  <w:right w:val="single" w:sz="4" w:space="0" w:color="auto"/>
                </w:tcBorders>
                <w:shd w:val="clear" w:color="auto" w:fill="BFBFBF"/>
                <w:hideMark/>
              </w:tcPr>
              <w:p w14:paraId="326D2A76" w14:textId="77777777">
                <w:pPr>
                  <w:spacing w:line="256" w:lineRule="auto"/>
                  <w:rPr>
                    <w:rFonts w:eastAsia="Calibri"/>
                    <w:kern w:val="2"/>
                    <w:szCs w:val="24"/>
                    <w14:ligatures w14:val="standardContextual"/>
                  </w:rPr>
                </w:pPr>
                <w:r>
                  <w:rPr>
                    <w:rFonts w:eastAsia="Calibri"/>
                    <w:kern w:val="2"/>
                    <w:szCs w:val="24"/>
                    <w14:ligatures w14:val="standardContextual"/>
                  </w:rPr>
                  <w:t>Siūlomos teisinio reguliavimo nuostatos, laukiami rezultatai</w:t>
                </w:r>
              </w:p>
            </w:tc>
            <w:tc>
              <w:tcPr>
                <w:tcW w:w="6911" w:type="dxa"/>
                <w:tcBorders>
                  <w:top w:val="single" w:sz="4" w:space="0" w:color="auto"/>
                  <w:left w:val="single" w:sz="4" w:space="0" w:color="auto"/>
                  <w:bottom w:val="single" w:sz="4" w:space="0" w:color="auto"/>
                  <w:right w:val="single" w:sz="4" w:space="0" w:color="auto"/>
                </w:tcBorders>
              </w:tcPr>
              <w:p w14:paraId="2102BBB9" w14:textId="5526E622">
                <w:pPr>
                  <w:spacing w:line="256" w:lineRule="auto"/>
                  <w:jc w:val="both"/>
                  <w:rPr>
                    <w:rFonts w:eastAsia="Calibri"/>
                    <w:kern w:val="2"/>
                    <w:szCs w:val="24"/>
                    <w14:ligatures w14:val="standardContextual"/>
                  </w:rPr>
                </w:pPr>
                <w:r>
                  <w:rPr>
                    <w:rFonts w:eastAsia="Calibri"/>
                    <w:kern w:val="2"/>
                    <w:szCs w:val="24"/>
                    <w14:ligatures w14:val="standardContextual"/>
                  </w:rPr>
                  <w:t>Remiantis patvirtintu Vilkaviškio rajono savivaldybės teritorijoje esančiuose vietinės reikšmė keliuose iki 2030 metų numatomų įrengti viešai prieinamų įkrovimo prieigų planu bus skelbiamas konkursas viešai prieinamų įkrovimo prieigų operatoriams parinkti.</w:t>
                </w:r>
              </w:p>
            </w:tc>
          </w:tr>
          <w:tr w14:paraId="2EA26935" w14:textId="77777777">
            <w:tc>
              <w:tcPr>
                <w:tcW w:w="2943" w:type="dxa"/>
                <w:tcBorders>
                  <w:top w:val="single" w:sz="4" w:space="0" w:color="auto"/>
                  <w:left w:val="single" w:sz="4" w:space="0" w:color="auto"/>
                  <w:bottom w:val="single" w:sz="4" w:space="0" w:color="auto"/>
                  <w:right w:val="single" w:sz="4" w:space="0" w:color="auto"/>
                </w:tcBorders>
                <w:shd w:val="clear" w:color="auto" w:fill="BFBFBF"/>
                <w:hideMark/>
              </w:tcPr>
              <w:p w14:paraId="6FB59BDA" w14:textId="77777777">
                <w:pPr>
                  <w:spacing w:line="256" w:lineRule="auto"/>
                  <w:rPr>
                    <w:rFonts w:eastAsia="Calibri"/>
                    <w:kern w:val="2"/>
                    <w:szCs w:val="24"/>
                    <w14:ligatures w14:val="standardContextual"/>
                  </w:rPr>
                </w:pPr>
                <w:r>
                  <w:rPr>
                    <w:rFonts w:eastAsia="Calibri"/>
                    <w:kern w:val="2"/>
                    <w:szCs w:val="24"/>
                    <w14:ligatures w14:val="standardContextual"/>
                  </w:rPr>
                  <w:t>Kiti sprendimui priimti reikalingi pagrindimai (skaičiavimai ar paaiškinimai)</w:t>
                </w:r>
              </w:p>
            </w:tc>
            <w:tc>
              <w:tcPr>
                <w:tcW w:w="6911" w:type="dxa"/>
                <w:tcBorders>
                  <w:top w:val="single" w:sz="4" w:space="0" w:color="auto"/>
                  <w:left w:val="single" w:sz="4" w:space="0" w:color="auto"/>
                  <w:bottom w:val="single" w:sz="4" w:space="0" w:color="auto"/>
                  <w:right w:val="single" w:sz="4" w:space="0" w:color="auto"/>
                </w:tcBorders>
              </w:tcPr>
              <w:p w14:paraId="2528F096" w14:textId="3EE22620">
                <w:pPr>
                  <w:spacing w:line="256" w:lineRule="auto"/>
                  <w:jc w:val="both"/>
                  <w:rPr>
                    <w:rFonts w:eastAsia="Calibri"/>
                    <w:kern w:val="2"/>
                    <w:szCs w:val="24"/>
                    <w14:ligatures w14:val="standardContextual"/>
                  </w:rPr>
                </w:pPr>
                <w:r>
                  <w:rPr>
                    <w:rFonts w:eastAsia="Calibri"/>
                    <w:kern w:val="2"/>
                    <w:szCs w:val="24"/>
                    <w14:ligatures w14:val="standardContextual"/>
                  </w:rPr>
                  <w:t>-</w:t>
                </w:r>
              </w:p>
            </w:tc>
          </w:tr>
          <w:tr w14:paraId="1AE1CFDD" w14:textId="77777777">
            <w:tc>
              <w:tcPr>
                <w:tcW w:w="2943" w:type="dxa"/>
                <w:tcBorders>
                  <w:top w:val="single" w:sz="4" w:space="0" w:color="auto"/>
                  <w:left w:val="single" w:sz="4" w:space="0" w:color="auto"/>
                  <w:bottom w:val="single" w:sz="4" w:space="0" w:color="auto"/>
                  <w:right w:val="single" w:sz="4" w:space="0" w:color="auto"/>
                </w:tcBorders>
                <w:shd w:val="clear" w:color="auto" w:fill="BFBFBF"/>
                <w:hideMark/>
              </w:tcPr>
              <w:p w14:paraId="27AAF15E" w14:textId="77777777">
                <w:pPr>
                  <w:spacing w:line="256" w:lineRule="auto"/>
                  <w:rPr>
                    <w:rFonts w:eastAsia="Calibri"/>
                    <w:kern w:val="2"/>
                    <w:szCs w:val="24"/>
                    <w14:ligatures w14:val="standardContextual"/>
                  </w:rPr>
                </w:pPr>
                <w:r>
                  <w:rPr>
                    <w:rFonts w:eastAsia="Calibri"/>
                    <w:kern w:val="2"/>
                    <w:szCs w:val="24"/>
                    <w14:ligatures w14:val="standardContextual"/>
                  </w:rPr>
                  <w:t>Lėšų poreikis ir šaltiniai sprendimui įgyvendinti</w:t>
                </w:r>
              </w:p>
            </w:tc>
            <w:tc>
              <w:tcPr>
                <w:tcW w:w="6911" w:type="dxa"/>
                <w:tcBorders>
                  <w:top w:val="single" w:sz="4" w:space="0" w:color="auto"/>
                  <w:left w:val="single" w:sz="4" w:space="0" w:color="auto"/>
                  <w:bottom w:val="single" w:sz="4" w:space="0" w:color="auto"/>
                  <w:right w:val="single" w:sz="4" w:space="0" w:color="auto"/>
                </w:tcBorders>
              </w:tcPr>
              <w:p w14:paraId="63FA7831" w14:textId="45C9A799">
                <w:pPr>
                  <w:spacing w:line="256" w:lineRule="auto"/>
                  <w:jc w:val="both"/>
                  <w:rPr>
                    <w:rFonts w:eastAsia="Calibri"/>
                    <w:kern w:val="2"/>
                    <w:szCs w:val="24"/>
                    <w14:ligatures w14:val="standardContextual"/>
                  </w:rPr>
                </w:pPr>
                <w:r>
                  <w:rPr>
                    <w:szCs w:val="24"/>
                  </w:rPr>
                  <w:t>Sprendimo projektui įgyvendinti savivaldybės biudžeto lėšų nereikės.</w:t>
                </w:r>
              </w:p>
            </w:tc>
          </w:tr>
          <w:tr w14:paraId="7770BD36" w14:textId="77777777">
            <w:tc>
              <w:tcPr>
                <w:tcW w:w="2943" w:type="dxa"/>
                <w:vMerge w:val="restart"/>
                <w:tcBorders>
                  <w:top w:val="single" w:sz="4" w:space="0" w:color="auto"/>
                  <w:left w:val="single" w:sz="4" w:space="0" w:color="auto"/>
                  <w:bottom w:val="single" w:sz="4" w:space="0" w:color="auto"/>
                  <w:right w:val="single" w:sz="4" w:space="0" w:color="auto"/>
                </w:tcBorders>
                <w:shd w:val="clear" w:color="auto" w:fill="BFBFBF"/>
                <w:hideMark/>
              </w:tcPr>
              <w:p w14:paraId="63EFFF84" w14:textId="77777777">
                <w:pPr>
                  <w:spacing w:line="256" w:lineRule="auto"/>
                  <w:rPr>
                    <w:rFonts w:eastAsia="Calibri"/>
                    <w:kern w:val="2"/>
                    <w:szCs w:val="24"/>
                    <w14:ligatures w14:val="standardContextual"/>
                  </w:rPr>
                </w:pPr>
                <w:r>
                  <w:rPr>
                    <w:rFonts w:eastAsia="Calibri"/>
                    <w:kern w:val="2"/>
                    <w:szCs w:val="24"/>
                    <w14:ligatures w14:val="standardContextual"/>
                  </w:rPr>
                  <w:t>Projekto rengimo metu gauti vertinimai ir išvados</w:t>
                </w:r>
              </w:p>
            </w:tc>
            <w:tc>
              <w:tcPr>
                <w:tcW w:w="6911" w:type="dxa"/>
                <w:tcBorders>
                  <w:top w:val="single" w:sz="4" w:space="0" w:color="auto"/>
                  <w:left w:val="single" w:sz="4" w:space="0" w:color="auto"/>
                  <w:bottom w:val="single" w:sz="4" w:space="0" w:color="auto"/>
                  <w:right w:val="single" w:sz="4" w:space="0" w:color="auto"/>
                </w:tcBorders>
              </w:tcPr>
              <w:p w14:paraId="092A4791" w14:textId="77777777">
                <w:pPr>
                  <w:spacing w:line="256" w:lineRule="auto"/>
                  <w:jc w:val="both"/>
                  <w:rPr>
                    <w:rFonts w:eastAsia="Calibri"/>
                    <w:kern w:val="2"/>
                    <w:szCs w:val="24"/>
                    <w14:ligatures w14:val="standardContextual"/>
                  </w:rPr>
                </w:pPr>
                <w:r>
                  <w:rPr>
                    <w:rFonts w:eastAsia="Calibri"/>
                    <w:kern w:val="2"/>
                    <w:szCs w:val="24"/>
                    <w14:ligatures w14:val="standardContextual"/>
                  </w:rPr>
                  <w:t>Antikorupcinis vertinimas</w:t>
                </w:r>
              </w:p>
              <w:p w14:paraId="36084CA2" w14:textId="25230767">
                <w:pPr>
                  <w:spacing w:line="256" w:lineRule="auto"/>
                  <w:jc w:val="both"/>
                  <w:rPr>
                    <w:rFonts w:eastAsia="Calibri"/>
                    <w:kern w:val="2"/>
                    <w:szCs w:val="24"/>
                    <w14:ligatures w14:val="standardContextual"/>
                  </w:rPr>
                </w:pPr>
                <w:r>
                  <w:rPr>
                    <w:rFonts w:eastAsia="Calibri"/>
                    <w:kern w:val="2"/>
                    <w:szCs w:val="24"/>
                    <w14:ligatures w14:val="standardContextual"/>
                  </w:rPr>
                  <w:t>neprivalomas</w:t>
                </w:r>
              </w:p>
            </w:tc>
          </w:tr>
          <w:tr w14:paraId="2295DFAD" w14:textId="77777777">
            <w:tc>
              <w:tcPr>
                <w:tcW w:w="0" w:type="auto"/>
                <w:vMerge/>
                <w:tcBorders>
                  <w:top w:val="single" w:sz="4" w:space="0" w:color="auto"/>
                  <w:left w:val="single" w:sz="4" w:space="0" w:color="auto"/>
                  <w:bottom w:val="single" w:sz="4" w:space="0" w:color="auto"/>
                  <w:right w:val="single" w:sz="4" w:space="0" w:color="auto"/>
                </w:tcBorders>
                <w:vAlign w:val="center"/>
                <w:hideMark/>
              </w:tcPr>
              <w:p w14:paraId="3B17C311" w14:textId="77777777">
                <w:pPr>
                  <w:spacing w:line="256" w:lineRule="auto"/>
                  <w:rPr>
                    <w:rFonts w:eastAsia="Calibri"/>
                    <w:kern w:val="2"/>
                    <w:szCs w:val="24"/>
                    <w14:ligatures w14:val="standardContextual"/>
                  </w:rPr>
                </w:pPr>
              </w:p>
            </w:tc>
            <w:tc>
              <w:tcPr>
                <w:tcW w:w="6911" w:type="dxa"/>
                <w:tcBorders>
                  <w:top w:val="single" w:sz="4" w:space="0" w:color="auto"/>
                  <w:left w:val="single" w:sz="4" w:space="0" w:color="auto"/>
                  <w:bottom w:val="single" w:sz="4" w:space="0" w:color="auto"/>
                  <w:right w:val="single" w:sz="4" w:space="0" w:color="auto"/>
                </w:tcBorders>
              </w:tcPr>
              <w:p w14:paraId="19A34629" w14:textId="77777777">
                <w:pPr>
                  <w:spacing w:line="256" w:lineRule="auto"/>
                  <w:jc w:val="both"/>
                  <w:rPr>
                    <w:rFonts w:eastAsia="Calibri"/>
                    <w:kern w:val="2"/>
                    <w:szCs w:val="24"/>
                    <w14:ligatures w14:val="standardContextual"/>
                  </w:rPr>
                </w:pPr>
                <w:r>
                  <w:rPr>
                    <w:rFonts w:eastAsia="Calibri"/>
                    <w:kern w:val="2"/>
                    <w:szCs w:val="24"/>
                    <w14:ligatures w14:val="standardContextual"/>
                  </w:rPr>
                  <w:t>Teisinio reguliavimo vertinimas</w:t>
                </w:r>
              </w:p>
              <w:p w14:paraId="27C74459" w14:textId="1B942E4D">
                <w:pPr>
                  <w:spacing w:line="256" w:lineRule="auto"/>
                  <w:jc w:val="both"/>
                  <w:rPr>
                    <w:rFonts w:eastAsia="Calibri"/>
                    <w:kern w:val="2"/>
                    <w:szCs w:val="24"/>
                    <w14:ligatures w14:val="standardContextual"/>
                  </w:rPr>
                </w:pPr>
                <w:r>
                  <w:rPr>
                    <w:rFonts w:eastAsia="Calibri"/>
                    <w:kern w:val="2"/>
                    <w:szCs w:val="24"/>
                    <w14:ligatures w14:val="standardContextual"/>
                  </w:rPr>
                  <w:t>neprivalomas</w:t>
                </w:r>
              </w:p>
            </w:tc>
          </w:tr>
          <w:tr w14:paraId="594ED07B" w14:textId="77777777">
            <w:tc>
              <w:tcPr>
                <w:tcW w:w="0" w:type="auto"/>
                <w:vMerge/>
                <w:tcBorders>
                  <w:top w:val="single" w:sz="4" w:space="0" w:color="auto"/>
                  <w:left w:val="single" w:sz="4" w:space="0" w:color="auto"/>
                  <w:bottom w:val="single" w:sz="4" w:space="0" w:color="auto"/>
                  <w:right w:val="single" w:sz="4" w:space="0" w:color="auto"/>
                </w:tcBorders>
                <w:vAlign w:val="center"/>
                <w:hideMark/>
              </w:tcPr>
              <w:p w14:paraId="6AB2C56A" w14:textId="77777777">
                <w:pPr>
                  <w:spacing w:line="256" w:lineRule="auto"/>
                  <w:rPr>
                    <w:rFonts w:eastAsia="Calibri"/>
                    <w:kern w:val="2"/>
                    <w:szCs w:val="24"/>
                    <w14:ligatures w14:val="standardContextual"/>
                  </w:rPr>
                </w:pPr>
              </w:p>
            </w:tc>
            <w:tc>
              <w:tcPr>
                <w:tcW w:w="6911" w:type="dxa"/>
                <w:tcBorders>
                  <w:top w:val="single" w:sz="4" w:space="0" w:color="auto"/>
                  <w:left w:val="single" w:sz="4" w:space="0" w:color="auto"/>
                  <w:bottom w:val="single" w:sz="4" w:space="0" w:color="auto"/>
                  <w:right w:val="single" w:sz="4" w:space="0" w:color="auto"/>
                </w:tcBorders>
              </w:tcPr>
              <w:p w14:paraId="674C5DFB" w14:textId="77777777">
                <w:pPr>
                  <w:spacing w:line="256" w:lineRule="auto"/>
                  <w:jc w:val="both"/>
                  <w:rPr>
                    <w:rFonts w:eastAsia="Calibri"/>
                    <w:kern w:val="2"/>
                    <w:szCs w:val="24"/>
                    <w14:ligatures w14:val="standardContextual"/>
                  </w:rPr>
                </w:pPr>
                <w:r>
                  <w:rPr>
                    <w:rFonts w:eastAsia="Calibri"/>
                    <w:kern w:val="2"/>
                    <w:szCs w:val="24"/>
                    <w14:ligatures w14:val="standardContextual"/>
                  </w:rPr>
                  <w:t>Administracinės naštos mažinimo vertinimas</w:t>
                </w:r>
              </w:p>
              <w:p w14:paraId="77BE444A" w14:textId="3D0DEC63">
                <w:pPr>
                  <w:spacing w:line="256" w:lineRule="auto"/>
                  <w:jc w:val="both"/>
                  <w:rPr>
                    <w:rFonts w:eastAsia="Calibri"/>
                    <w:kern w:val="2"/>
                    <w:szCs w:val="24"/>
                    <w14:ligatures w14:val="standardContextual"/>
                  </w:rPr>
                </w:pPr>
                <w:r>
                  <w:rPr>
                    <w:rFonts w:eastAsia="Calibri"/>
                    <w:kern w:val="2"/>
                    <w:szCs w:val="24"/>
                    <w14:ligatures w14:val="standardContextual"/>
                  </w:rPr>
                  <w:t>neprivalomas</w:t>
                </w:r>
              </w:p>
            </w:tc>
          </w:tr>
          <w:tr w14:paraId="1BA6D86F" w14:textId="77777777">
            <w:tc>
              <w:tcPr>
                <w:tcW w:w="0" w:type="auto"/>
                <w:vMerge/>
                <w:tcBorders>
                  <w:top w:val="single" w:sz="4" w:space="0" w:color="auto"/>
                  <w:left w:val="single" w:sz="4" w:space="0" w:color="auto"/>
                  <w:bottom w:val="single" w:sz="4" w:space="0" w:color="auto"/>
                  <w:right w:val="single" w:sz="4" w:space="0" w:color="auto"/>
                </w:tcBorders>
                <w:vAlign w:val="center"/>
                <w:hideMark/>
              </w:tcPr>
              <w:p w14:paraId="3FA0D36E" w14:textId="77777777">
                <w:pPr>
                  <w:spacing w:line="256" w:lineRule="auto"/>
                  <w:rPr>
                    <w:rFonts w:eastAsia="Calibri"/>
                    <w:kern w:val="2"/>
                    <w:szCs w:val="24"/>
                    <w14:ligatures w14:val="standardContextual"/>
                  </w:rPr>
                </w:pPr>
              </w:p>
            </w:tc>
            <w:tc>
              <w:tcPr>
                <w:tcW w:w="6911" w:type="dxa"/>
                <w:tcBorders>
                  <w:top w:val="single" w:sz="4" w:space="0" w:color="auto"/>
                  <w:left w:val="single" w:sz="4" w:space="0" w:color="auto"/>
                  <w:bottom w:val="single" w:sz="4" w:space="0" w:color="auto"/>
                  <w:right w:val="single" w:sz="4" w:space="0" w:color="auto"/>
                </w:tcBorders>
              </w:tcPr>
              <w:p w14:paraId="17DBE726" w14:textId="77777777">
                <w:pPr>
                  <w:spacing w:line="256" w:lineRule="auto"/>
                  <w:jc w:val="both"/>
                  <w:rPr>
                    <w:rFonts w:eastAsia="Calibri"/>
                    <w:kern w:val="2"/>
                    <w:szCs w:val="24"/>
                    <w14:ligatures w14:val="standardContextual"/>
                  </w:rPr>
                </w:pPr>
                <w:r>
                  <w:rPr>
                    <w:rFonts w:eastAsia="Calibri"/>
                    <w:kern w:val="2"/>
                    <w:szCs w:val="24"/>
                    <w14:ligatures w14:val="standardContextual"/>
                  </w:rPr>
                  <w:t>Kitas vertinimas</w:t>
                </w:r>
              </w:p>
              <w:p w14:paraId="6A3F5B84" w14:textId="08F40CD8">
                <w:pPr>
                  <w:spacing w:line="256" w:lineRule="auto"/>
                  <w:jc w:val="both"/>
                  <w:rPr>
                    <w:rFonts w:eastAsia="Calibri"/>
                    <w:kern w:val="2"/>
                    <w:szCs w:val="24"/>
                    <w14:ligatures w14:val="standardContextual"/>
                  </w:rPr>
                </w:pPr>
                <w:r>
                  <w:rPr>
                    <w:rFonts w:eastAsia="Calibri"/>
                    <w:kern w:val="2"/>
                    <w:szCs w:val="24"/>
                    <w14:ligatures w14:val="standardContextual"/>
                  </w:rPr>
                  <w:t>neprivalomas</w:t>
                </w:r>
              </w:p>
            </w:tc>
          </w:tr>
          <w:tr w14:paraId="7DCF1B5D" w14:textId="77777777">
            <w:tc>
              <w:tcPr>
                <w:tcW w:w="2943" w:type="dxa"/>
                <w:tcBorders>
                  <w:top w:val="single" w:sz="4" w:space="0" w:color="auto"/>
                  <w:left w:val="single" w:sz="4" w:space="0" w:color="auto"/>
                  <w:bottom w:val="single" w:sz="4" w:space="0" w:color="auto"/>
                  <w:right w:val="single" w:sz="4" w:space="0" w:color="auto"/>
                </w:tcBorders>
                <w:shd w:val="clear" w:color="auto" w:fill="BFBFBF"/>
                <w:hideMark/>
              </w:tcPr>
              <w:p w14:paraId="6AC9C901" w14:textId="77777777">
                <w:pPr>
                  <w:spacing w:line="256" w:lineRule="auto"/>
                  <w:rPr>
                    <w:rFonts w:eastAsia="Calibri"/>
                    <w:kern w:val="2"/>
                    <w:szCs w:val="24"/>
                    <w14:ligatures w14:val="standardContextual"/>
                  </w:rPr>
                </w:pPr>
                <w:r>
                  <w:rPr>
                    <w:rFonts w:eastAsia="Calibri"/>
                    <w:kern w:val="2"/>
                    <w:szCs w:val="24"/>
                    <w14:ligatures w14:val="standardContextual"/>
                  </w:rPr>
                  <w:t>Projektas suderintas su</w:t>
                </w:r>
              </w:p>
            </w:tc>
            <w:tc>
              <w:tcPr>
                <w:tcW w:w="6911" w:type="dxa"/>
                <w:tcBorders>
                  <w:top w:val="single" w:sz="4" w:space="0" w:color="auto"/>
                  <w:left w:val="single" w:sz="4" w:space="0" w:color="auto"/>
                  <w:bottom w:val="single" w:sz="4" w:space="0" w:color="auto"/>
                  <w:right w:val="single" w:sz="4" w:space="0" w:color="auto"/>
                </w:tcBorders>
              </w:tcPr>
              <w:p w14:paraId="269002FB" w14:textId="346037B7">
                <w:pPr>
                  <w:spacing w:line="256" w:lineRule="auto"/>
                  <w:jc w:val="both"/>
                  <w:rPr>
                    <w:rFonts w:eastAsia="Calibri"/>
                    <w:kern w:val="2"/>
                    <w:szCs w:val="24"/>
                    <w14:ligatures w14:val="standardContextual"/>
                  </w:rPr>
                </w:pPr>
                <w:r>
                  <w:rPr>
                    <w:rFonts w:eastAsia="Calibri"/>
                    <w:kern w:val="2"/>
                    <w:szCs w:val="24"/>
                    <w14:ligatures w14:val="standardContextual"/>
                  </w:rPr>
                  <w:t xml:space="preserve">Vietinio ūkio skyriaus vedėja Egle Mockevičiene, </w:t>
                </w:r>
                <w:r>
                  <w:rPr>
                    <w:szCs w:val="24"/>
                  </w:rPr>
                  <w:t>Bendrojo skyriaus vyriausiąja kalbos specialiste Ilona Vitkauskaite, Juridinio skyriaus vedėja Vilma Kolpakoviene, Architektūros ir urbanistikos skyriaus vedėja-vyriausiąja architekte Vita Valaitiene, Mero patarėju Kaziu Kiaulakiu, Administracijos direktoriumi Vitu Gavėnu.</w:t>
                </w:r>
              </w:p>
            </w:tc>
          </w:tr>
          <w:tr w14:paraId="59A806D9" w14:textId="77777777">
            <w:tc>
              <w:tcPr>
                <w:tcW w:w="2943" w:type="dxa"/>
                <w:tcBorders>
                  <w:top w:val="single" w:sz="4" w:space="0" w:color="auto"/>
                  <w:left w:val="single" w:sz="4" w:space="0" w:color="auto"/>
                  <w:bottom w:val="single" w:sz="4" w:space="0" w:color="auto"/>
                  <w:right w:val="single" w:sz="4" w:space="0" w:color="auto"/>
                </w:tcBorders>
                <w:shd w:val="clear" w:color="auto" w:fill="BFBFBF"/>
              </w:tcPr>
              <w:p w14:paraId="0D59CA3B" w14:textId="77777777">
                <w:pPr>
                  <w:spacing w:line="256" w:lineRule="auto"/>
                  <w:rPr>
                    <w:rFonts w:eastAsia="Calibri"/>
                    <w:kern w:val="2"/>
                    <w:szCs w:val="24"/>
                    <w14:ligatures w14:val="standardContextual"/>
                  </w:rPr>
                </w:pPr>
                <w:r>
                  <w:rPr>
                    <w:rFonts w:eastAsia="Calibri"/>
                    <w:kern w:val="2"/>
                    <w:szCs w:val="24"/>
                    <w14:ligatures w14:val="standardContextual"/>
                  </w:rPr>
                  <w:t>Projekto rengėjas</w:t>
                </w:r>
              </w:p>
              <w:p w14:paraId="48AFEE42" w14:textId="77777777">
                <w:pPr>
                  <w:spacing w:line="256" w:lineRule="auto"/>
                  <w:rPr>
                    <w:rFonts w:eastAsia="Calibri"/>
                    <w:kern w:val="2"/>
                    <w:szCs w:val="24"/>
                    <w14:ligatures w14:val="standardContextual"/>
                  </w:rPr>
                </w:pPr>
              </w:p>
            </w:tc>
            <w:tc>
              <w:tcPr>
                <w:tcW w:w="6911" w:type="dxa"/>
                <w:tcBorders>
                  <w:top w:val="single" w:sz="4" w:space="0" w:color="auto"/>
                  <w:left w:val="single" w:sz="4" w:space="0" w:color="auto"/>
                  <w:bottom w:val="single" w:sz="4" w:space="0" w:color="auto"/>
                  <w:right w:val="single" w:sz="4" w:space="0" w:color="auto"/>
                </w:tcBorders>
              </w:tcPr>
              <w:p w14:paraId="205435FE" w14:textId="6DBA050A">
                <w:pPr>
                  <w:spacing w:line="256" w:lineRule="auto"/>
                  <w:jc w:val="both"/>
                  <w:rPr>
                    <w:rFonts w:eastAsia="Calibri"/>
                    <w:kern w:val="2"/>
                    <w:szCs w:val="24"/>
                    <w14:ligatures w14:val="standardContextual"/>
                  </w:rPr>
                </w:pPr>
                <w:r>
                  <w:rPr>
                    <w:rFonts w:eastAsia="Calibri"/>
                    <w:kern w:val="2"/>
                    <w:szCs w:val="24"/>
                    <w14:ligatures w14:val="standardContextual"/>
                  </w:rPr>
                  <w:t>Vietinio ūkio skyriaus vyriausiasis specialistas Linas Balčiūnas</w:t>
                </w:r>
              </w:p>
            </w:tc>
          </w:tr>
          <w:tr w14:paraId="20C41908" w14:textId="77777777">
            <w:tc>
              <w:tcPr>
                <w:tcW w:w="2943" w:type="dxa"/>
                <w:tcBorders>
                  <w:top w:val="single" w:sz="4" w:space="0" w:color="auto"/>
                  <w:left w:val="single" w:sz="4" w:space="0" w:color="auto"/>
                  <w:bottom w:val="single" w:sz="4" w:space="0" w:color="auto"/>
                  <w:right w:val="single" w:sz="4" w:space="0" w:color="auto"/>
                </w:tcBorders>
                <w:shd w:val="clear" w:color="auto" w:fill="BFBFBF"/>
                <w:hideMark/>
              </w:tcPr>
              <w:p w14:paraId="1E1B87CE" w14:textId="77777777">
                <w:pPr>
                  <w:spacing w:line="256" w:lineRule="auto"/>
                  <w:rPr>
                    <w:rFonts w:eastAsia="Calibri"/>
                    <w:kern w:val="2"/>
                    <w:szCs w:val="24"/>
                    <w14:ligatures w14:val="standardContextual"/>
                  </w:rPr>
                </w:pPr>
                <w:r>
                  <w:rPr>
                    <w:rFonts w:eastAsia="Calibri"/>
                    <w:kern w:val="2"/>
                    <w:szCs w:val="24"/>
                    <w14:ligatures w14:val="standardContextual"/>
                  </w:rPr>
                  <w:t>Projekto pristatytojas (pranešėjas)</w:t>
                </w:r>
              </w:p>
            </w:tc>
            <w:tc>
              <w:tcPr>
                <w:tcW w:w="6911" w:type="dxa"/>
                <w:tcBorders>
                  <w:top w:val="single" w:sz="4" w:space="0" w:color="auto"/>
                  <w:left w:val="single" w:sz="4" w:space="0" w:color="auto"/>
                  <w:bottom w:val="single" w:sz="4" w:space="0" w:color="auto"/>
                  <w:right w:val="single" w:sz="4" w:space="0" w:color="auto"/>
                </w:tcBorders>
              </w:tcPr>
              <w:p w14:paraId="21359C91" w14:textId="6B76FB5B">
                <w:pPr>
                  <w:spacing w:line="256" w:lineRule="auto"/>
                  <w:jc w:val="both"/>
                  <w:rPr>
                    <w:rFonts w:eastAsia="Calibri"/>
                    <w:kern w:val="2"/>
                    <w:szCs w:val="24"/>
                    <w14:ligatures w14:val="standardContextual"/>
                  </w:rPr>
                </w:pPr>
                <w:r>
                  <w:rPr>
                    <w:rFonts w:eastAsia="Calibri"/>
                    <w:kern w:val="2"/>
                    <w:szCs w:val="24"/>
                    <w14:ligatures w14:val="standardContextual"/>
                  </w:rPr>
                  <w:t>Vietinio ūkio skyriaus vedėja Eglė Mockevičienė</w:t>
                </w:r>
              </w:p>
            </w:tc>
          </w:tr>
          <w:tr w14:paraId="5F1C8352" w14:textId="77777777">
            <w:tc>
              <w:tcPr>
                <w:tcW w:w="2943" w:type="dxa"/>
                <w:tcBorders>
                  <w:top w:val="single" w:sz="4" w:space="0" w:color="auto"/>
                  <w:left w:val="single" w:sz="4" w:space="0" w:color="auto"/>
                  <w:bottom w:val="single" w:sz="4" w:space="0" w:color="auto"/>
                  <w:right w:val="single" w:sz="4" w:space="0" w:color="auto"/>
                </w:tcBorders>
                <w:shd w:val="clear" w:color="auto" w:fill="BFBFBF"/>
                <w:hideMark/>
              </w:tcPr>
              <w:p w14:paraId="1E00FDC8" w14:textId="77777777">
                <w:pPr>
                  <w:spacing w:line="256" w:lineRule="auto"/>
                  <w:rPr>
                    <w:rFonts w:eastAsia="Calibri"/>
                    <w:kern w:val="2"/>
                    <w:szCs w:val="24"/>
                    <w14:ligatures w14:val="standardContextual"/>
                  </w:rPr>
                </w:pPr>
                <w:r>
                  <w:rPr>
                    <w:rFonts w:eastAsia="Calibri"/>
                    <w:kern w:val="2"/>
                    <w:szCs w:val="24"/>
                    <w14:ligatures w14:val="standardContextual"/>
                  </w:rPr>
                  <w:t>Priimto sprendimo vykdytojai</w:t>
                </w:r>
              </w:p>
            </w:tc>
            <w:tc>
              <w:tcPr>
                <w:tcW w:w="6911" w:type="dxa"/>
                <w:tcBorders>
                  <w:top w:val="single" w:sz="4" w:space="0" w:color="auto"/>
                  <w:left w:val="single" w:sz="4" w:space="0" w:color="auto"/>
                  <w:bottom w:val="single" w:sz="4" w:space="0" w:color="auto"/>
                  <w:right w:val="single" w:sz="4" w:space="0" w:color="auto"/>
                </w:tcBorders>
              </w:tcPr>
              <w:p w14:paraId="2714AC23" w14:textId="730091A5">
                <w:pPr>
                  <w:spacing w:line="256" w:lineRule="auto"/>
                  <w:jc w:val="both"/>
                  <w:rPr>
                    <w:rFonts w:eastAsia="Calibri"/>
                    <w:kern w:val="2"/>
                    <w:szCs w:val="24"/>
                    <w14:ligatures w14:val="standardContextual"/>
                  </w:rPr>
                </w:pPr>
                <w:r>
                  <w:rPr>
                    <w:rFonts w:eastAsia="Calibri"/>
                    <w:kern w:val="2"/>
                    <w:szCs w:val="24"/>
                    <w14:ligatures w14:val="standardContextual"/>
                  </w:rPr>
                  <w:t>Vilkaviškio rajono savivaldybės vietinio ūkio skyrius</w:t>
                </w:r>
              </w:p>
            </w:tc>
          </w:tr>
          <w:tr w14:paraId="7AAD39C1" w14:textId="77777777">
            <w:tc>
              <w:tcPr>
                <w:tcW w:w="2943" w:type="dxa"/>
                <w:tcBorders>
                  <w:top w:val="single" w:sz="4" w:space="0" w:color="auto"/>
                  <w:left w:val="single" w:sz="4" w:space="0" w:color="auto"/>
                  <w:bottom w:val="single" w:sz="4" w:space="0" w:color="auto"/>
                  <w:right w:val="single" w:sz="4" w:space="0" w:color="auto"/>
                </w:tcBorders>
                <w:shd w:val="clear" w:color="auto" w:fill="BFBFBF"/>
                <w:hideMark/>
              </w:tcPr>
              <w:p w14:paraId="63E6BB00" w14:textId="77777777">
                <w:pPr>
                  <w:spacing w:line="256" w:lineRule="auto"/>
                  <w:rPr>
                    <w:rFonts w:eastAsia="Calibri"/>
                    <w:kern w:val="2"/>
                    <w:szCs w:val="24"/>
                    <w14:ligatures w14:val="standardContextual"/>
                  </w:rPr>
                </w:pPr>
                <w:r>
                  <w:rPr>
                    <w:rFonts w:eastAsia="Calibri"/>
                    <w:kern w:val="2"/>
                    <w:szCs w:val="24"/>
                    <w14:ligatures w14:val="standardContextual"/>
                  </w:rPr>
                  <w:t>Lydimieji (pridedami) dokumentai</w:t>
                </w:r>
              </w:p>
            </w:tc>
            <w:tc>
              <w:tcPr>
                <w:tcW w:w="6911" w:type="dxa"/>
                <w:tcBorders>
                  <w:top w:val="single" w:sz="4" w:space="0" w:color="auto"/>
                  <w:left w:val="single" w:sz="4" w:space="0" w:color="auto"/>
                  <w:bottom w:val="single" w:sz="4" w:space="0" w:color="auto"/>
                  <w:right w:val="single" w:sz="4" w:space="0" w:color="auto"/>
                </w:tcBorders>
                <w:hideMark/>
              </w:tcPr>
              <w:p w14:paraId="284503BD" w14:textId="1C0CA67E">
                <w:pPr>
                  <w:spacing w:line="256" w:lineRule="auto"/>
                  <w:jc w:val="both"/>
                  <w:rPr>
                    <w:rFonts w:eastAsia="Calibri"/>
                    <w:kern w:val="2"/>
                    <w:szCs w:val="24"/>
                    <w14:ligatures w14:val="standardContextual"/>
                  </w:rPr>
                </w:pPr>
                <w:r>
                  <w:rPr>
                    <w:rFonts w:eastAsia="Calibri"/>
                    <w:kern w:val="2"/>
                    <w:szCs w:val="24"/>
                    <w14:ligatures w14:val="standardContextual"/>
                  </w:rPr>
                  <w:t>Lietuvos Respublikos susisiekimo ministerijos 2025 m. rugpjūčio 11 d. raštas Nr. 2-2764 „Dėl viešai prieinamų įkrovimo prieigų plano derinimo“.</w:t>
                </w:r>
              </w:p>
            </w:tc>
          </w:tr>
        </w:tbl>
        <w:p w14:paraId="6F724696" w14:textId="77777777">
          <w:pPr>
            <w:rPr>
              <w:b/>
              <w:szCs w:val="24"/>
            </w:rPr>
          </w:pPr>
        </w:p>
        <w:p w14:paraId="54CAEA12" w14:textId="2253C642">
          <w:pPr>
            <w:rPr>
              <w:szCs w:val="24"/>
            </w:rPr>
          </w:pPr>
          <w:r>
            <w:rPr>
              <w:szCs w:val="24"/>
            </w:rPr>
            <w:t xml:space="preserve">Vietinio ūkio skyriaus vyriausiasis specialistas Linas Balčiūnas </w:t>
          </w:r>
        </w:p>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993" w:right="567" w:bottom="1134" w:left="1701" w:header="567" w:footer="567" w:gutter="0"/>
      <w:pgNumType w:start="1"/>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020B47" w14:textId="77777777">
      <w:pPr>
        <w:rPr>
          <w:sz w:val="20"/>
        </w:rPr>
      </w:pPr>
      <w:r>
        <w:rPr>
          <w:sz w:val="20"/>
        </w:rPr>
        <w:separator/>
      </w:r>
    </w:p>
  </w:endnote>
  <w:endnote w:type="continuationSeparator" w:id="0">
    <w:p w14:paraId="4301D494" w14:textId="77777777">
      <w:pPr>
        <w:rPr>
          <w:sz w:val="20"/>
        </w:rPr>
      </w:pPr>
      <w:r>
        <w:rPr>
          <w:sz w:val="20"/>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76FF65" w14:textId="77777777">
    <w:pPr>
      <w:tabs>
        <w:tab w:val="center" w:pos="4819"/>
        <w:tab w:val="right" w:pos="9638"/>
      </w:tabs>
      <w:rPr>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B4EFEE" w14:textId="77777777">
    <w:pPr>
      <w:tabs>
        <w:tab w:val="center" w:pos="4680"/>
        <w:tab w:val="right" w:pos="9360"/>
      </w:tabs>
      <w:jc w:val="center"/>
      <w:rPr>
        <w:sz w:val="22"/>
        <w:szCs w:val="22"/>
        <w:lang w:eastAsia="lt-LT"/>
      </w:rPr>
    </w:pPr>
  </w:p>
  <w:p w14:paraId="37653C7A" w14:textId="77777777">
    <w:pPr>
      <w:tabs>
        <w:tab w:val="center" w:pos="4819"/>
        <w:tab w:val="right" w:pos="9638"/>
      </w:tabs>
      <w:rPr>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9EC2C9" w14:textId="77777777">
    <w:pPr>
      <w:tabs>
        <w:tab w:val="center" w:pos="4819"/>
        <w:tab w:val="right" w:pos="9638"/>
      </w:tabs>
      <w:rPr>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A22B92" w14:textId="77777777">
      <w:pPr>
        <w:rPr>
          <w:sz w:val="20"/>
        </w:rPr>
      </w:pPr>
      <w:r>
        <w:rPr>
          <w:sz w:val="20"/>
        </w:rPr>
        <w:separator/>
      </w:r>
    </w:p>
  </w:footnote>
  <w:footnote w:type="continuationSeparator" w:id="0">
    <w:p w14:paraId="150D4C62" w14:textId="77777777">
      <w:pPr>
        <w:rPr>
          <w:sz w:val="20"/>
        </w:rPr>
      </w:pPr>
      <w:r>
        <w:rPr>
          <w:sz w:val="20"/>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DFAA4E" w14:textId="77777777">
    <w:pPr>
      <w:tabs>
        <w:tab w:val="center" w:pos="4819"/>
        <w:tab w:val="right" w:pos="9638"/>
      </w:tabs>
      <w:rPr>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CC40B6" w14:textId="77777777">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14:paraId="7FDB66B2" w14:textId="77777777">
    <w:pPr>
      <w:tabs>
        <w:tab w:val="center" w:pos="4819"/>
        <w:tab w:val="right" w:pos="9638"/>
      </w:tabs>
      <w:rPr>
        <w:sz w:val="20"/>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B0C637"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8"/>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F5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01EBB14"/>
  <w15:docId w15:val="{9841C224-334C-42E1-A0BE-6422B7BA261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7668259">
      <w:bodyDiv w:val="1"/>
      <w:marLeft w:val="0"/>
      <w:marRight w:val="0"/>
      <w:marTop w:val="0"/>
      <w:marBottom w:val="0"/>
      <w:divBdr>
        <w:top w:val="none" w:sz="0" w:space="0" w:color="auto"/>
        <w:left w:val="none" w:sz="0" w:space="0" w:color="auto"/>
        <w:bottom w:val="none" w:sz="0" w:space="0" w:color="auto"/>
        <w:right w:val="none" w:sz="0" w:space="0" w:color="auto"/>
      </w:divBdr>
    </w:div>
    <w:div w:id="173687810">
      <w:bodyDiv w:val="1"/>
      <w:marLeft w:val="0"/>
      <w:marRight w:val="0"/>
      <w:marTop w:val="0"/>
      <w:marBottom w:val="0"/>
      <w:divBdr>
        <w:top w:val="none" w:sz="0" w:space="0" w:color="auto"/>
        <w:left w:val="none" w:sz="0" w:space="0" w:color="auto"/>
        <w:bottom w:val="none" w:sz="0" w:space="0" w:color="auto"/>
        <w:right w:val="none" w:sz="0" w:space="0" w:color="auto"/>
      </w:divBdr>
    </w:div>
    <w:div w:id="210967976">
      <w:bodyDiv w:val="1"/>
      <w:marLeft w:val="0"/>
      <w:marRight w:val="0"/>
      <w:marTop w:val="0"/>
      <w:marBottom w:val="0"/>
      <w:divBdr>
        <w:top w:val="none" w:sz="0" w:space="0" w:color="auto"/>
        <w:left w:val="none" w:sz="0" w:space="0" w:color="auto"/>
        <w:bottom w:val="none" w:sz="0" w:space="0" w:color="auto"/>
        <w:right w:val="none" w:sz="0" w:space="0" w:color="auto"/>
      </w:divBdr>
    </w:div>
    <w:div w:id="246769651">
      <w:bodyDiv w:val="1"/>
      <w:marLeft w:val="0"/>
      <w:marRight w:val="0"/>
      <w:marTop w:val="0"/>
      <w:marBottom w:val="0"/>
      <w:divBdr>
        <w:top w:val="none" w:sz="0" w:space="0" w:color="auto"/>
        <w:left w:val="none" w:sz="0" w:space="0" w:color="auto"/>
        <w:bottom w:val="none" w:sz="0" w:space="0" w:color="auto"/>
        <w:right w:val="none" w:sz="0" w:space="0" w:color="auto"/>
      </w:divBdr>
    </w:div>
    <w:div w:id="338771605">
      <w:bodyDiv w:val="1"/>
      <w:marLeft w:val="0"/>
      <w:marRight w:val="0"/>
      <w:marTop w:val="0"/>
      <w:marBottom w:val="0"/>
      <w:divBdr>
        <w:top w:val="none" w:sz="0" w:space="0" w:color="auto"/>
        <w:left w:val="none" w:sz="0" w:space="0" w:color="auto"/>
        <w:bottom w:val="none" w:sz="0" w:space="0" w:color="auto"/>
        <w:right w:val="none" w:sz="0" w:space="0" w:color="auto"/>
      </w:divBdr>
    </w:div>
    <w:div w:id="344986871">
      <w:bodyDiv w:val="1"/>
      <w:marLeft w:val="0"/>
      <w:marRight w:val="0"/>
      <w:marTop w:val="0"/>
      <w:marBottom w:val="0"/>
      <w:divBdr>
        <w:top w:val="none" w:sz="0" w:space="0" w:color="auto"/>
        <w:left w:val="none" w:sz="0" w:space="0" w:color="auto"/>
        <w:bottom w:val="none" w:sz="0" w:space="0" w:color="auto"/>
        <w:right w:val="none" w:sz="0" w:space="0" w:color="auto"/>
      </w:divBdr>
    </w:div>
    <w:div w:id="681855157">
      <w:bodyDiv w:val="1"/>
      <w:marLeft w:val="0"/>
      <w:marRight w:val="0"/>
      <w:marTop w:val="0"/>
      <w:marBottom w:val="0"/>
      <w:divBdr>
        <w:top w:val="none" w:sz="0" w:space="0" w:color="auto"/>
        <w:left w:val="none" w:sz="0" w:space="0" w:color="auto"/>
        <w:bottom w:val="none" w:sz="0" w:space="0" w:color="auto"/>
        <w:right w:val="none" w:sz="0" w:space="0" w:color="auto"/>
      </w:divBdr>
    </w:div>
    <w:div w:id="690451183">
      <w:bodyDiv w:val="1"/>
      <w:marLeft w:val="0"/>
      <w:marRight w:val="0"/>
      <w:marTop w:val="0"/>
      <w:marBottom w:val="0"/>
      <w:divBdr>
        <w:top w:val="none" w:sz="0" w:space="0" w:color="auto"/>
        <w:left w:val="none" w:sz="0" w:space="0" w:color="auto"/>
        <w:bottom w:val="none" w:sz="0" w:space="0" w:color="auto"/>
        <w:right w:val="none" w:sz="0" w:space="0" w:color="auto"/>
      </w:divBdr>
    </w:div>
    <w:div w:id="718281676">
      <w:bodyDiv w:val="1"/>
      <w:marLeft w:val="0"/>
      <w:marRight w:val="0"/>
      <w:marTop w:val="0"/>
      <w:marBottom w:val="0"/>
      <w:divBdr>
        <w:top w:val="none" w:sz="0" w:space="0" w:color="auto"/>
        <w:left w:val="none" w:sz="0" w:space="0" w:color="auto"/>
        <w:bottom w:val="none" w:sz="0" w:space="0" w:color="auto"/>
        <w:right w:val="none" w:sz="0" w:space="0" w:color="auto"/>
      </w:divBdr>
    </w:div>
    <w:div w:id="811484295">
      <w:bodyDiv w:val="1"/>
      <w:marLeft w:val="0"/>
      <w:marRight w:val="0"/>
      <w:marTop w:val="0"/>
      <w:marBottom w:val="0"/>
      <w:divBdr>
        <w:top w:val="none" w:sz="0" w:space="0" w:color="auto"/>
        <w:left w:val="none" w:sz="0" w:space="0" w:color="auto"/>
        <w:bottom w:val="none" w:sz="0" w:space="0" w:color="auto"/>
        <w:right w:val="none" w:sz="0" w:space="0" w:color="auto"/>
      </w:divBdr>
    </w:div>
    <w:div w:id="928348360">
      <w:bodyDiv w:val="1"/>
      <w:marLeft w:val="0"/>
      <w:marRight w:val="0"/>
      <w:marTop w:val="0"/>
      <w:marBottom w:val="0"/>
      <w:divBdr>
        <w:top w:val="none" w:sz="0" w:space="0" w:color="auto"/>
        <w:left w:val="none" w:sz="0" w:space="0" w:color="auto"/>
        <w:bottom w:val="none" w:sz="0" w:space="0" w:color="auto"/>
        <w:right w:val="none" w:sz="0" w:space="0" w:color="auto"/>
      </w:divBdr>
    </w:div>
    <w:div w:id="1426416381">
      <w:bodyDiv w:val="1"/>
      <w:marLeft w:val="0"/>
      <w:marRight w:val="0"/>
      <w:marTop w:val="0"/>
      <w:marBottom w:val="0"/>
      <w:divBdr>
        <w:top w:val="none" w:sz="0" w:space="0" w:color="auto"/>
        <w:left w:val="none" w:sz="0" w:space="0" w:color="auto"/>
        <w:bottom w:val="none" w:sz="0" w:space="0" w:color="auto"/>
        <w:right w:val="none" w:sz="0" w:space="0" w:color="auto"/>
      </w:divBdr>
    </w:div>
    <w:div w:id="1462772806">
      <w:bodyDiv w:val="1"/>
      <w:marLeft w:val="0"/>
      <w:marRight w:val="0"/>
      <w:marTop w:val="0"/>
      <w:marBottom w:val="0"/>
      <w:divBdr>
        <w:top w:val="none" w:sz="0" w:space="0" w:color="auto"/>
        <w:left w:val="none" w:sz="0" w:space="0" w:color="auto"/>
        <w:bottom w:val="none" w:sz="0" w:space="0" w:color="auto"/>
        <w:right w:val="none" w:sz="0" w:space="0" w:color="auto"/>
      </w:divBdr>
      <w:divsChild>
        <w:div w:id="405299457">
          <w:marLeft w:val="0"/>
          <w:marRight w:val="0"/>
          <w:marTop w:val="0"/>
          <w:marBottom w:val="0"/>
          <w:divBdr>
            <w:top w:val="none" w:sz="0" w:space="0" w:color="auto"/>
            <w:left w:val="none" w:sz="0" w:space="0" w:color="auto"/>
            <w:bottom w:val="none" w:sz="0" w:space="0" w:color="auto"/>
            <w:right w:val="none" w:sz="0" w:space="0" w:color="auto"/>
          </w:divBdr>
        </w:div>
        <w:div w:id="84230746">
          <w:marLeft w:val="0"/>
          <w:marRight w:val="0"/>
          <w:marTop w:val="0"/>
          <w:marBottom w:val="0"/>
          <w:divBdr>
            <w:top w:val="none" w:sz="0" w:space="0" w:color="auto"/>
            <w:left w:val="none" w:sz="0" w:space="0" w:color="auto"/>
            <w:bottom w:val="none" w:sz="0" w:space="0" w:color="auto"/>
            <w:right w:val="none" w:sz="0" w:space="0" w:color="auto"/>
          </w:divBdr>
        </w:div>
        <w:div w:id="341592990">
          <w:marLeft w:val="0"/>
          <w:marRight w:val="0"/>
          <w:marTop w:val="0"/>
          <w:marBottom w:val="0"/>
          <w:divBdr>
            <w:top w:val="none" w:sz="0" w:space="0" w:color="auto"/>
            <w:left w:val="none" w:sz="0" w:space="0" w:color="auto"/>
            <w:bottom w:val="none" w:sz="0" w:space="0" w:color="auto"/>
            <w:right w:val="none" w:sz="0" w:space="0" w:color="auto"/>
          </w:divBdr>
        </w:div>
        <w:div w:id="263880522">
          <w:marLeft w:val="0"/>
          <w:marRight w:val="0"/>
          <w:marTop w:val="0"/>
          <w:marBottom w:val="0"/>
          <w:divBdr>
            <w:top w:val="none" w:sz="0" w:space="0" w:color="auto"/>
            <w:left w:val="none" w:sz="0" w:space="0" w:color="auto"/>
            <w:bottom w:val="none" w:sz="0" w:space="0" w:color="auto"/>
            <w:right w:val="none" w:sz="0" w:space="0" w:color="auto"/>
          </w:divBdr>
        </w:div>
      </w:divsChild>
    </w:div>
    <w:div w:id="1481313738">
      <w:bodyDiv w:val="1"/>
      <w:marLeft w:val="0"/>
      <w:marRight w:val="0"/>
      <w:marTop w:val="0"/>
      <w:marBottom w:val="0"/>
      <w:divBdr>
        <w:top w:val="none" w:sz="0" w:space="0" w:color="auto"/>
        <w:left w:val="none" w:sz="0" w:space="0" w:color="auto"/>
        <w:bottom w:val="none" w:sz="0" w:space="0" w:color="auto"/>
        <w:right w:val="none" w:sz="0" w:space="0" w:color="auto"/>
      </w:divBdr>
    </w:div>
    <w:div w:id="1517307426">
      <w:bodyDiv w:val="1"/>
      <w:marLeft w:val="0"/>
      <w:marRight w:val="0"/>
      <w:marTop w:val="0"/>
      <w:marBottom w:val="0"/>
      <w:divBdr>
        <w:top w:val="none" w:sz="0" w:space="0" w:color="auto"/>
        <w:left w:val="none" w:sz="0" w:space="0" w:color="auto"/>
        <w:bottom w:val="none" w:sz="0" w:space="0" w:color="auto"/>
        <w:right w:val="none" w:sz="0" w:space="0" w:color="auto"/>
      </w:divBdr>
    </w:div>
    <w:div w:id="1596670356">
      <w:bodyDiv w:val="1"/>
      <w:marLeft w:val="0"/>
      <w:marRight w:val="0"/>
      <w:marTop w:val="0"/>
      <w:marBottom w:val="0"/>
      <w:divBdr>
        <w:top w:val="none" w:sz="0" w:space="0" w:color="auto"/>
        <w:left w:val="none" w:sz="0" w:space="0" w:color="auto"/>
        <w:bottom w:val="none" w:sz="0" w:space="0" w:color="auto"/>
        <w:right w:val="none" w:sz="0" w:space="0" w:color="auto"/>
      </w:divBdr>
    </w:div>
    <w:div w:id="1725636865">
      <w:bodyDiv w:val="1"/>
      <w:marLeft w:val="0"/>
      <w:marRight w:val="0"/>
      <w:marTop w:val="0"/>
      <w:marBottom w:val="0"/>
      <w:divBdr>
        <w:top w:val="none" w:sz="0" w:space="0" w:color="auto"/>
        <w:left w:val="none" w:sz="0" w:space="0" w:color="auto"/>
        <w:bottom w:val="none" w:sz="0" w:space="0" w:color="auto"/>
        <w:right w:val="none" w:sz="0" w:space="0" w:color="auto"/>
      </w:divBdr>
    </w:div>
    <w:div w:id="1849979426">
      <w:bodyDiv w:val="1"/>
      <w:marLeft w:val="0"/>
      <w:marRight w:val="0"/>
      <w:marTop w:val="0"/>
      <w:marBottom w:val="0"/>
      <w:divBdr>
        <w:top w:val="none" w:sz="0" w:space="0" w:color="auto"/>
        <w:left w:val="none" w:sz="0" w:space="0" w:color="auto"/>
        <w:bottom w:val="none" w:sz="0" w:space="0" w:color="auto"/>
        <w:right w:val="none" w:sz="0" w:space="0" w:color="auto"/>
      </w:divBdr>
    </w:div>
    <w:div w:id="1943414258">
      <w:bodyDiv w:val="1"/>
      <w:marLeft w:val="0"/>
      <w:marRight w:val="0"/>
      <w:marTop w:val="0"/>
      <w:marBottom w:val="0"/>
      <w:divBdr>
        <w:top w:val="none" w:sz="0" w:space="0" w:color="auto"/>
        <w:left w:val="none" w:sz="0" w:space="0" w:color="auto"/>
        <w:bottom w:val="none" w:sz="0" w:space="0" w:color="auto"/>
        <w:right w:val="none" w:sz="0" w:space="0" w:color="auto"/>
      </w:divBdr>
    </w:div>
    <w:div w:id="2015329692">
      <w:bodyDiv w:val="1"/>
      <w:marLeft w:val="0"/>
      <w:marRight w:val="0"/>
      <w:marTop w:val="0"/>
      <w:marBottom w:val="0"/>
      <w:divBdr>
        <w:top w:val="none" w:sz="0" w:space="0" w:color="auto"/>
        <w:left w:val="none" w:sz="0" w:space="0" w:color="auto"/>
        <w:bottom w:val="none" w:sz="0" w:space="0" w:color="auto"/>
        <w:right w:val="none" w:sz="0" w:space="0" w:color="auto"/>
      </w:divBdr>
    </w:div>
    <w:div w:id="2128966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riedas" Nr="4" Abbr="4 pr." Title="VILKAVIŠKIO RAJONO SAVIVALDYBĖS TARYBOS SPRENDIMO PROJEKTO AIŠKINAMASIS RAŠTAS" DocPartId="77688bdec12b4892bafb63ebfab0c4a7" PartId="a3afbb1928fd4fa3be8020920edfde15"/>
</Parts>
</file>

<file path=customXml/itemProps1.xml><?xml version="1.0" encoding="utf-8"?>
<ds:datastoreItem xmlns:ds="http://schemas.openxmlformats.org/officeDocument/2006/customXml" ds:itemID="{62A251C2-21BA-4B86-9CCB-D97B288F00A0}">
  <ds:schemaRefs>
    <ds:schemaRef ds:uri="http://schemas.openxmlformats.org/officeDocument/2006/bibliography"/>
  </ds:schemaRefs>
</ds:datastoreItem>
</file>

<file path=customXml/itemProps2.xml><?xml version="1.0" encoding="utf-8"?>
<ds:datastoreItem xmlns:ds="http://schemas.openxmlformats.org/officeDocument/2006/customXml" ds:itemID="{85096430-1115-4ACC-A7B9-4101D1EFE7C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417</Words>
  <Characters>3285</Characters>
  <Application>Microsoft Office Word</Application>
  <DocSecurity>4</DocSecurity>
  <Lines>102</Lines>
  <Paragraphs>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Vilkaviškio rajono savivaldybės tarybos reglamento patvirtinimo</vt:lpstr>
      <vt:lpstr>DĖL VILKAVIŠKIO RAJONO SAVIVALDYBĖS TARYBOS VEIKLOS REGLAMENTO PATVIRTINIMO</vt:lpstr>
    </vt:vector>
  </TitlesOfParts>
  <Manager>2023-03-31</Manager>
  <Company/>
  <LinksUpToDate>false</LinksUpToDate>
  <CharactersWithSpaces>3655</CharactersWithSpaces>
  <SharedDoc>false</SharedDoc>
  <HyperlinkBase/>
  <HLinks>
    <vt:vector size="18" baseType="variant">
      <vt:variant>
        <vt:i4>6422628</vt:i4>
      </vt:variant>
      <vt:variant>
        <vt:i4>21</vt:i4>
      </vt:variant>
      <vt:variant>
        <vt:i4>0</vt:i4>
      </vt:variant>
      <vt:variant>
        <vt:i4>5</vt:i4>
      </vt:variant>
      <vt:variant>
        <vt:lpwstr>http://www.vilkaviskis.lt/</vt:lpwstr>
      </vt:variant>
      <vt:variant>
        <vt:lpwstr/>
      </vt:variant>
      <vt:variant>
        <vt:i4>6422628</vt:i4>
      </vt:variant>
      <vt:variant>
        <vt:i4>18</vt:i4>
      </vt:variant>
      <vt:variant>
        <vt:i4>0</vt:i4>
      </vt:variant>
      <vt:variant>
        <vt:i4>5</vt:i4>
      </vt:variant>
      <vt:variant>
        <vt:lpwstr>http://www.vilkaviskis.lt/</vt:lpwstr>
      </vt:variant>
      <vt:variant>
        <vt:lpwstr/>
      </vt:variant>
      <vt:variant>
        <vt:i4>6422628</vt:i4>
      </vt:variant>
      <vt:variant>
        <vt:i4>15</vt:i4>
      </vt:variant>
      <vt:variant>
        <vt:i4>0</vt:i4>
      </vt:variant>
      <vt:variant>
        <vt:i4>5</vt:i4>
      </vt:variant>
      <vt:variant>
        <vt:lpwstr>http://www.vilkaviskis.lt/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SPRENDIMAS</category>
  <dcterms:created xsi:type="dcterms:W3CDTF">2025-10-08T08:17:00Z</dcterms:created>
  <dc:creator>VILKAVIŠKIO RAJONO SAVIVALDYBĖS TARYBA</dc:creator>
  <lastModifiedBy>adlibuser</lastModifiedBy>
  <lastPrinted>2025-10-08T07:58:00Z</lastPrinted>
  <dcterms:modified xsi:type="dcterms:W3CDTF">2025-10-08T08:17:00Z</dcterms:modified>
  <revision>2</revision>
  <dc:subject>B-TS-1310</dc:subject>
  <dc:title>Dėl Vilkaviškio rajono savivaldybės tarybos reglamento patvirtinimo</dc:title>
</coreProperties>
</file>