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left" w:pos="567"/>
        </w:tabs>
        <w:suppressAutoHyphens/>
        <w:jc w:val="center"/>
        <w:rPr>
          <w:b/>
          <w:bCs/>
          <w:szCs w:val="24"/>
          <w:lang w:eastAsia="ar-SA"/>
        </w:rPr>
      </w:pPr>
      <w:r>
        <w:rPr>
          <w:b/>
          <w:bCs/>
          <w:szCs w:val="24"/>
          <w:lang w:eastAsia="ar-SA"/>
        </w:rPr>
        <w:t xml:space="preserve">DIREKTYVOS 2018/844/EB IR </w:t>
      </w:r>
      <w:r>
        <w:rPr>
          <w:b/>
          <w:szCs w:val="24"/>
          <w:lang w:eastAsia="ar-SA"/>
        </w:rPr>
        <w:t xml:space="preserve">STATYBOS TECHNINIO REGLAMENTO </w:t>
      </w:r>
      <w:r>
        <w:rPr>
          <w:b/>
          <w:bCs/>
          <w:color w:val="000000"/>
          <w:szCs w:val="24"/>
          <w:lang w:val="en-GB" w:eastAsia="ar-SA"/>
        </w:rPr>
        <w:t xml:space="preserve">STR 2.06.04:2014 „GATVĖS IR VIETINĖS REIKŠMĖS KELIAI. BENDRIEJI REIKALAVIMAI” </w:t>
      </w:r>
      <w:r>
        <w:rPr>
          <w:b/>
          <w:bCs/>
          <w:szCs w:val="24"/>
          <w:lang w:eastAsia="ar-SA"/>
        </w:rPr>
        <w:t>PROJEKTO ATITIKTIES LENTELĖ</w:t>
      </w:r>
    </w:p>
    <w:p>
      <w:pPr>
        <w:rPr>
          <w:sz w:val="20"/>
        </w:rPr>
      </w:pPr>
    </w:p>
    <w:tbl>
      <w:tblPr>
        <w:tblW w:w="15183" w:type="dxa"/>
        <w:tblInd w:w="15" w:type="dxa"/>
        <w:tblLayout w:type="fixed"/>
        <w:tblCellMar>
          <w:top w:w="15" w:type="dxa"/>
          <w:left w:w="15" w:type="dxa"/>
          <w:bottom w:w="15" w:type="dxa"/>
          <w:right w:w="15" w:type="dxa"/>
        </w:tblCellMar>
        <w:tblLook w:val="0000" w:firstRow="0" w:lastRow="0" w:firstColumn="0" w:lastColumn="0" w:noHBand="0" w:noVBand="0"/>
      </w:tblPr>
      <w:tblGrid>
        <w:gridCol w:w="4395"/>
        <w:gridCol w:w="7796"/>
        <w:gridCol w:w="2992"/>
      </w:tblGrid>
      <w:tr>
        <w:trPr>
          <w:cantSplit/>
          <w:trHeight w:val="1880"/>
        </w:trPr>
        <w:tc>
          <w:tcPr>
            <w:tcW w:w="4395" w:type="dxa"/>
            <w:tcBorders>
              <w:top w:val="single" w:sz="4" w:space="0" w:color="000000"/>
              <w:left w:val="single" w:sz="4" w:space="0" w:color="000000"/>
              <w:bottom w:val="single" w:sz="4" w:space="0" w:color="000000"/>
            </w:tcBorders>
          </w:tcPr>
          <w:p>
            <w:pPr>
              <w:tabs>
                <w:tab w:val="left" w:pos="567"/>
              </w:tabs>
              <w:suppressAutoHyphens/>
              <w:snapToGrid w:val="0"/>
              <w:ind w:right="127"/>
              <w:jc w:val="both"/>
              <w:rPr>
                <w:b/>
                <w:bCs/>
                <w:color w:val="FF0000"/>
                <w:szCs w:val="24"/>
                <w:lang w:eastAsia="ar-SA"/>
              </w:rPr>
            </w:pPr>
            <w:r>
              <w:rPr>
                <w:b/>
                <w:bCs/>
                <w:szCs w:val="24"/>
                <w:lang w:eastAsia="ar-SA"/>
              </w:rPr>
              <w:t xml:space="preserve">2018 m. gegužės 30 d. Europos parlamento ir Tarybos direktyva 2018/844 kuria iš dalies keičiama Direktyva </w:t>
            </w:r>
            <w:fldSimple w:instr="HYPERLINK http://eur-lex.europa.eu/legal-content/LIT/TXT/?uri=CELEX:32010L0031&amp;locale=lt \t _blank">
              <w:r>
                <w:rPr>
                  <w:b/>
                  <w:bCs/>
                  <w:szCs w:val="24"/>
                  <w:lang w:eastAsia="ar-SA"/>
                  <w:u w:val="single"/>
                  <w:color w:val="0000FF" w:themeColor="hyperlink"/>
                </w:rPr>
                <w:t>2010/31/ES</w:t>
              </w:r>
            </w:fldSimple>
            <w:r>
              <w:rPr>
                <w:b/>
                <w:bCs/>
                <w:szCs w:val="24"/>
                <w:lang w:eastAsia="ar-SA"/>
              </w:rPr>
              <w:t xml:space="preserve"> dėl pastatų energinio naudingumo ir Direktyva </w:t>
            </w:r>
            <w:fldSimple w:instr="HYPERLINK http://eur-lex.europa.eu/legal-content/LIT/TXT/?uri=CELEX:32012L0027&amp;locale=lt \t _blank">
              <w:r>
                <w:rPr>
                  <w:b/>
                  <w:bCs/>
                  <w:szCs w:val="24"/>
                  <w:lang w:eastAsia="ar-SA"/>
                  <w:u w:val="single"/>
                  <w:color w:val="0000FF" w:themeColor="hyperlink"/>
                </w:rPr>
                <w:t>2012/27/ES</w:t>
              </w:r>
            </w:fldSimple>
            <w:r>
              <w:rPr>
                <w:b/>
                <w:bCs/>
                <w:szCs w:val="24"/>
                <w:lang w:eastAsia="ar-SA"/>
              </w:rPr>
              <w:t xml:space="preserve"> dėl energijos vartojimo efektyvumo </w:t>
            </w:r>
          </w:p>
        </w:tc>
        <w:tc>
          <w:tcPr>
            <w:tcW w:w="7796" w:type="dxa"/>
            <w:tcBorders>
              <w:top w:val="single" w:sz="4" w:space="0" w:color="000000"/>
              <w:left w:val="single" w:sz="4" w:space="0" w:color="000000"/>
              <w:bottom w:val="single" w:sz="4" w:space="0" w:color="000000"/>
            </w:tcBorders>
          </w:tcPr>
          <w:p>
            <w:pPr>
              <w:tabs>
                <w:tab w:val="left" w:pos="567"/>
              </w:tabs>
              <w:suppressAutoHyphens/>
              <w:ind w:right="142"/>
              <w:jc w:val="both"/>
              <w:rPr>
                <w:b/>
                <w:bCs/>
                <w:szCs w:val="24"/>
                <w:lang w:eastAsia="ar-SA"/>
              </w:rPr>
            </w:pPr>
            <w:r>
              <w:rPr>
                <w:szCs w:val="24"/>
                <w:lang w:val="en-GB" w:eastAsia="ar-SA"/>
              </w:rPr>
              <w:t xml:space="preserve">Lietuvos Respublikos aplinkos ministro </w:t>
            </w:r>
            <w:r>
              <w:rPr>
                <w:szCs w:val="24"/>
                <w:lang w:val="en-GB" w:eastAsia="lt-LT"/>
              </w:rPr>
              <w:t xml:space="preserve">2011 m. gruodžio </w:t>
            </w:r>
            <w:r>
              <w:rPr>
                <w:szCs w:val="24"/>
                <w:lang w:val="en-US" w:eastAsia="lt-LT"/>
              </w:rPr>
              <w:t>2</w:t>
            </w:r>
            <w:r>
              <w:rPr>
                <w:szCs w:val="24"/>
                <w:lang w:val="en-GB" w:eastAsia="lt-LT"/>
              </w:rPr>
              <w:t xml:space="preserve"> d. įsakymu Nr. D1-933 „Dėl statybos techninio reglamento STR </w:t>
            </w:r>
            <w:r>
              <w:rPr>
                <w:bCs/>
                <w:szCs w:val="24"/>
                <w:lang w:val="en-GB" w:eastAsia="lt-LT"/>
              </w:rPr>
              <w:t xml:space="preserve">2.06.04:2014 </w:t>
            </w:r>
            <w:r>
              <w:rPr>
                <w:szCs w:val="24"/>
                <w:lang w:val="en-GB" w:eastAsia="lt-LT"/>
              </w:rPr>
              <w:t>„Gatvės ir vietinės reikšmės keliai. Bendrieji reikalavimai.“ patvirtinimo” pakeitimo projektas:</w:t>
            </w:r>
            <w:r>
              <w:rPr>
                <w:b/>
                <w:color w:val="FF0000"/>
                <w:szCs w:val="24"/>
                <w:lang w:eastAsia="ar-SA"/>
              </w:rPr>
              <w:t xml:space="preserve"> </w:t>
            </w:r>
            <w:r>
              <w:rPr>
                <w:b/>
                <w:bCs/>
                <w:szCs w:val="24"/>
                <w:lang w:eastAsia="ar-SA"/>
              </w:rPr>
              <w:t>(toliau – Įsakymo projektas);</w:t>
            </w:r>
          </w:p>
          <w:p>
            <w:pPr>
              <w:tabs>
                <w:tab w:val="left" w:pos="567"/>
              </w:tabs>
              <w:suppressAutoHyphens/>
              <w:ind w:right="142"/>
              <w:jc w:val="both"/>
              <w:rPr>
                <w:rFonts w:eastAsia="Lucida Sans Unicode"/>
                <w:bCs/>
                <w:color w:val="FF0000"/>
                <w:szCs w:val="24"/>
                <w:lang w:eastAsia="ar-SA"/>
              </w:rPr>
            </w:pPr>
          </w:p>
        </w:tc>
        <w:tc>
          <w:tcPr>
            <w:tcW w:w="2992" w:type="dxa"/>
            <w:tcBorders>
              <w:top w:val="single" w:sz="4" w:space="0" w:color="000000"/>
              <w:left w:val="single" w:sz="4" w:space="0" w:color="000000"/>
              <w:bottom w:val="single" w:sz="4" w:space="0" w:color="000000"/>
              <w:right w:val="single" w:sz="4" w:space="0" w:color="000000"/>
            </w:tcBorders>
          </w:tcPr>
          <w:p>
            <w:pPr>
              <w:tabs>
                <w:tab w:val="left" w:pos="567"/>
              </w:tabs>
              <w:suppressAutoHyphens/>
              <w:snapToGrid w:val="0"/>
              <w:rPr>
                <w:b/>
                <w:color w:val="FF0000"/>
                <w:szCs w:val="24"/>
                <w:lang w:eastAsia="ar-SA"/>
              </w:rPr>
            </w:pPr>
            <w:r>
              <w:rPr>
                <w:b/>
                <w:szCs w:val="24"/>
                <w:lang w:eastAsia="ar-SA"/>
              </w:rPr>
              <w:t>Direktyvos perkėlimo (įgyvendinimo) lygis (visiškas, dalinis)</w:t>
            </w:r>
          </w:p>
        </w:tc>
      </w:tr>
      <w:tr>
        <w:tblPrEx>
          <w:tblCellMar>
            <w:top w:w="57" w:type="dxa"/>
            <w:left w:w="57" w:type="dxa"/>
            <w:bottom w:w="57" w:type="dxa"/>
            <w:right w:w="57" w:type="dxa"/>
          </w:tblCellMar>
        </w:tblPrEx>
        <w:tc>
          <w:tcPr>
            <w:tcW w:w="4395" w:type="dxa"/>
            <w:tcBorders>
              <w:left w:val="single" w:sz="4" w:space="0" w:color="000000"/>
              <w:bottom w:val="single" w:sz="4" w:space="0" w:color="auto"/>
            </w:tcBorders>
          </w:tcPr>
          <w:p>
            <w:pPr>
              <w:suppressLineNumbers/>
              <w:suppressAutoHyphens/>
              <w:snapToGrid w:val="0"/>
              <w:jc w:val="both"/>
              <w:rPr>
                <w:szCs w:val="24"/>
                <w:lang w:val="en-GB" w:eastAsia="ar-SA"/>
              </w:rPr>
            </w:pPr>
            <w:r>
              <w:rPr>
                <w:szCs w:val="24"/>
                <w:lang w:val="en-GB" w:eastAsia="ar-SA"/>
              </w:rPr>
              <w:t>1 straipsnio 5 dalies 2 punktas</w:t>
            </w:r>
          </w:p>
          <w:p>
            <w:pPr>
              <w:rPr>
                <w:sz w:val="6"/>
                <w:szCs w:val="6"/>
              </w:rPr>
            </w:pPr>
          </w:p>
          <w:p>
            <w:pPr>
              <w:jc w:val="both"/>
              <w:rPr>
                <w:rFonts w:ascii="EUAlbertina" w:eastAsia="Calibri" w:hAnsi="EUAlbertina"/>
                <w:b/>
                <w:szCs w:val="24"/>
              </w:rPr>
            </w:pPr>
            <w:r>
              <w:rPr>
                <w:rFonts w:ascii="EUAlbertina" w:eastAsia="Calibri" w:hAnsi="EUAlbertina"/>
                <w:b/>
                <w:szCs w:val="24"/>
              </w:rPr>
              <w:t>Techninės pastato sistemos, elektromobilumas ir pažangiojo parengtumo rodiklis.</w:t>
            </w:r>
          </w:p>
          <w:p>
            <w:pPr>
              <w:rPr>
                <w:sz w:val="6"/>
                <w:szCs w:val="6"/>
              </w:rPr>
            </w:pPr>
          </w:p>
          <w:p>
            <w:pPr>
              <w:suppressAutoHyphens/>
              <w:jc w:val="both"/>
              <w:rPr>
                <w:iCs/>
                <w:szCs w:val="24"/>
                <w:lang w:eastAsia="lt-LT"/>
              </w:rPr>
            </w:pPr>
            <w:r>
              <w:rPr>
                <w:iCs/>
                <w:szCs w:val="24"/>
                <w:lang w:eastAsia="lt-LT"/>
              </w:rPr>
              <w:t xml:space="preserve">Naujų negyvenamųjų pastatų ir negyvenamųjų pastatų, kuriuose atliekama kapitalinė renovacija, atveju, jeigu pastate yra daugiau kaip dešimt automobilių stovėjimo vietų, valstybės narės užtikrina, kad būtų įrengta bent viena įkrovimo prieiga, kaip apibrėžta Europos Parlamento ir Tarybos direktyvoje </w:t>
            </w:r>
            <w:fldSimple w:instr="HYPERLINK http://eur-lex.europa.eu/legal-content/LIT/TXT/?uri=CELEX:32014L0094&amp;locale=lt \t _blank">
              <w:r>
                <w:rPr>
                  <w:iCs/>
                  <w:szCs w:val="24"/>
                  <w:lang w:eastAsia="lt-LT"/>
                  <w:u w:val="single"/>
                  <w:color w:val="0000FF" w:themeColor="hyperlink"/>
                </w:rPr>
                <w:t>2014/94/ES</w:t>
              </w:r>
            </w:fldSimple>
            <w:r>
              <w:rPr>
                <w:iCs/>
                <w:szCs w:val="24"/>
                <w:lang w:eastAsia="lt-LT"/>
              </w:rPr>
              <w:t xml:space="preserve"> (*</w:t>
            </w:r>
            <w:r>
              <w:rPr>
                <w:iCs/>
                <w:szCs w:val="24"/>
                <w:vertAlign w:val="superscript"/>
                <w:lang w:eastAsia="lt-LT"/>
              </w:rPr>
              <w:t>3</w:t>
            </w:r>
            <w:r>
              <w:rPr>
                <w:iCs/>
                <w:szCs w:val="24"/>
                <w:lang w:eastAsia="lt-LT"/>
              </w:rPr>
              <w:t>), ir kabelių kanalų infrastruktūra, t. y. elektros kabelių kanalai, bent kas penktoje automobilių stovėjimo vietoje, kad būtų galima vėliau įrengti elektra varomų transporto priemonių įkrovimo prieigas, kai:</w:t>
            </w:r>
          </w:p>
          <w:p>
            <w:pPr>
              <w:rPr>
                <w:sz w:val="6"/>
                <w:szCs w:val="6"/>
              </w:rPr>
            </w:pPr>
          </w:p>
          <w:p>
            <w:pPr>
              <w:suppressAutoHyphens/>
              <w:jc w:val="both"/>
              <w:rPr>
                <w:iCs/>
                <w:szCs w:val="24"/>
                <w:lang w:eastAsia="lt-LT"/>
              </w:rPr>
            </w:pPr>
            <w:r>
              <w:rPr>
                <w:iCs/>
                <w:szCs w:val="24"/>
                <w:lang w:eastAsia="lt-LT"/>
              </w:rPr>
              <w:t>a) automobilių stovėjimo aikštelė yra pastate, o kapitalinės renovacijos atveju renovacijos priemonės apima automobilių stovėjimo aikštelę ar pastato elektros infrastruktūrą, arba</w:t>
            </w:r>
          </w:p>
          <w:p>
            <w:pPr>
              <w:rPr>
                <w:sz w:val="6"/>
                <w:szCs w:val="6"/>
              </w:rPr>
            </w:pPr>
          </w:p>
          <w:p>
            <w:pPr>
              <w:suppressAutoHyphens/>
              <w:jc w:val="both"/>
              <w:rPr>
                <w:color w:val="FF0000"/>
                <w:szCs w:val="24"/>
                <w:lang w:eastAsia="ar-SA"/>
              </w:rPr>
            </w:pPr>
            <w:r>
              <w:rPr>
                <w:iCs/>
                <w:szCs w:val="24"/>
                <w:lang w:eastAsia="lt-LT"/>
              </w:rPr>
              <w:t>b) automobilių stovėjimo aikštelė fiziškai yra šalia pastato, o kapitalinės renovacijos atveju renovacijos priemonės apima automobilių stovėjimo aikštelę ar automobilių stovėjimo aikštelės elektros infrastruktūrą.</w:t>
            </w:r>
          </w:p>
        </w:tc>
        <w:tc>
          <w:tcPr>
            <w:tcW w:w="7796" w:type="dxa"/>
            <w:tcBorders>
              <w:left w:val="single" w:sz="4" w:space="0" w:color="000000"/>
              <w:bottom w:val="single" w:sz="4" w:space="0" w:color="auto"/>
            </w:tcBorders>
          </w:tcPr>
          <w:p>
            <w:pPr>
              <w:tabs>
                <w:tab w:val="left" w:pos="567"/>
              </w:tabs>
              <w:suppressAutoHyphens/>
              <w:jc w:val="both"/>
              <w:rPr>
                <w:bCs/>
                <w:szCs w:val="24"/>
                <w:lang w:eastAsia="ar-SA"/>
              </w:rPr>
            </w:pPr>
            <w:r>
              <w:rPr>
                <w:bCs/>
                <w:szCs w:val="24"/>
                <w:lang w:eastAsia="ar-SA"/>
              </w:rPr>
              <w:t>Įsakymo projektas</w:t>
            </w:r>
          </w:p>
          <w:p>
            <w:pPr>
              <w:suppressAutoHyphens/>
              <w:ind w:firstLine="629"/>
              <w:jc w:val="both"/>
              <w:rPr>
                <w:color w:val="000000"/>
                <w:szCs w:val="24"/>
                <w:lang w:val="en-GB" w:eastAsia="ar-SA"/>
              </w:rPr>
            </w:pPr>
            <w:r>
              <w:rPr>
                <w:color w:val="000000"/>
                <w:szCs w:val="24"/>
                <w:lang w:val="en-GB" w:eastAsia="ar-SA"/>
              </w:rPr>
              <w:t>„107</w:t>
            </w:r>
            <w:r>
              <w:rPr>
                <w:color w:val="000000"/>
                <w:szCs w:val="24"/>
                <w:vertAlign w:val="superscript"/>
                <w:lang w:val="en-GB" w:eastAsia="ar-SA"/>
              </w:rPr>
              <w:t>1</w:t>
            </w:r>
            <w:r>
              <w:rPr>
                <w:color w:val="000000"/>
                <w:szCs w:val="24"/>
                <w:lang w:val="en-GB" w:eastAsia="ar-SA"/>
              </w:rPr>
              <w:t xml:space="preserve">. Naujai statomuose negyvenamuosiuose pastatuose ar jiems priskirtinose automobilių stovėjimo aikštelėse turi būti įrengta </w:t>
            </w:r>
            <w:r>
              <w:rPr>
                <w:szCs w:val="24"/>
                <w:lang w:val="en-GB" w:eastAsia="ar-SA"/>
              </w:rPr>
              <w:t>20 procentų nuo bendrų automobilių stovėjimo vietų skaičiaus</w:t>
            </w:r>
            <w:r>
              <w:rPr>
                <w:color w:val="000000"/>
                <w:szCs w:val="24"/>
                <w:lang w:val="en-GB" w:eastAsia="ar-SA"/>
              </w:rPr>
              <w:t xml:space="preserve"> elektromobilių įkrovimo prieigų, jei pastate ar jam priklausančioje automobilių stovėjimo aikštelėje numatoma įrengti daugiau kaip penkias automobilių stovėjimo vietas.</w:t>
            </w:r>
          </w:p>
          <w:p>
            <w:pPr>
              <w:suppressAutoHyphens/>
              <w:ind w:firstLine="567"/>
              <w:jc w:val="both"/>
              <w:rPr>
                <w:color w:val="000000"/>
                <w:szCs w:val="24"/>
                <w:lang w:val="en-GB" w:eastAsia="ar-SA"/>
              </w:rPr>
            </w:pPr>
            <w:r>
              <w:rPr>
                <w:color w:val="000000"/>
                <w:szCs w:val="24"/>
                <w:lang w:val="en-GB" w:eastAsia="ar-SA"/>
              </w:rPr>
              <w:t>107</w:t>
            </w:r>
            <w:r>
              <w:rPr>
                <w:color w:val="000000"/>
                <w:szCs w:val="24"/>
                <w:vertAlign w:val="superscript"/>
                <w:lang w:val="en-GB" w:eastAsia="ar-SA"/>
              </w:rPr>
              <w:t>1</w:t>
            </w:r>
            <w:r>
              <w:rPr>
                <w:color w:val="000000"/>
                <w:szCs w:val="24"/>
                <w:lang w:val="en-GB" w:eastAsia="ar-SA"/>
              </w:rPr>
              <w:t xml:space="preserve">.1. Rekonstruojamuose, atnaujinamuose (modernizuojamuose) ar remontuojamuose negyvenamuosiuose pastatuose ar jiems priskirtinose automobilių stovėjimo aikštelėse turi būti įrengta </w:t>
            </w:r>
            <w:r>
              <w:rPr>
                <w:szCs w:val="24"/>
                <w:lang w:val="en-GB" w:eastAsia="ar-SA"/>
              </w:rPr>
              <w:t>20 procentų nuo bendrų automobilių stovėjimo vietų skaičiaus</w:t>
            </w:r>
            <w:r>
              <w:rPr>
                <w:color w:val="000000"/>
                <w:szCs w:val="24"/>
                <w:lang w:val="en-GB" w:eastAsia="ar-SA"/>
              </w:rPr>
              <w:t xml:space="preserve"> elektromobilių įkrovimo prieigų, jei pastate ar jam priklausančioje automobilių stovėjimo aikštelėje yra daugiau kaip penkios automobilių stovėjimo vietos ir rekonstruojant, atnaujinant (modernizuojant) ar remontuojant negyvenamuosius pastatus numatyta rekonstruoti, atnaujinti (modernizuoti) ar remontuoti ir automobilių stovėjimo aikštelę, pastato elektros infrastruktūrą ar automobilių stovėjimo aikštelės elektros infrastruktūrą;”</w:t>
            </w:r>
          </w:p>
          <w:p>
            <w:pPr>
              <w:tabs>
                <w:tab w:val="left" w:pos="567"/>
              </w:tabs>
              <w:suppressAutoHyphens/>
              <w:jc w:val="both"/>
              <w:textAlignment w:val="center"/>
              <w:rPr>
                <w:color w:val="FF0000"/>
                <w:szCs w:val="24"/>
                <w:lang w:val="en-GB" w:eastAsia="ar-SA"/>
              </w:rPr>
            </w:pPr>
          </w:p>
        </w:tc>
        <w:tc>
          <w:tcPr>
            <w:tcW w:w="2992" w:type="dxa"/>
            <w:tcBorders>
              <w:left w:val="single" w:sz="4" w:space="0" w:color="000000"/>
              <w:bottom w:val="single" w:sz="4" w:space="0" w:color="auto"/>
              <w:right w:val="single" w:sz="4" w:space="0" w:color="000000"/>
            </w:tcBorders>
          </w:tcPr>
          <w:p>
            <w:pPr>
              <w:tabs>
                <w:tab w:val="left" w:pos="567"/>
                <w:tab w:val="center" w:pos="4153"/>
                <w:tab w:val="right" w:pos="8306"/>
              </w:tabs>
              <w:suppressAutoHyphens/>
              <w:snapToGrid w:val="0"/>
              <w:jc w:val="both"/>
              <w:rPr>
                <w:szCs w:val="24"/>
                <w:lang w:eastAsia="ar-SA"/>
              </w:rPr>
            </w:pPr>
            <w:r>
              <w:rPr>
                <w:szCs w:val="24"/>
                <w:lang w:eastAsia="ar-SA"/>
              </w:rPr>
              <w:t xml:space="preserve">Visiškas </w:t>
            </w:r>
          </w:p>
          <w:p>
            <w:pPr>
              <w:tabs>
                <w:tab w:val="left" w:pos="567"/>
                <w:tab w:val="center" w:pos="4153"/>
                <w:tab w:val="right" w:pos="8306"/>
              </w:tabs>
              <w:suppressAutoHyphens/>
              <w:snapToGrid w:val="0"/>
              <w:jc w:val="both"/>
              <w:rPr>
                <w:color w:val="FF0000"/>
                <w:szCs w:val="24"/>
                <w:lang w:eastAsia="ar-SA"/>
              </w:rPr>
            </w:pPr>
          </w:p>
          <w:p>
            <w:pPr>
              <w:tabs>
                <w:tab w:val="left" w:pos="567"/>
                <w:tab w:val="center" w:pos="4153"/>
                <w:tab w:val="right" w:pos="8306"/>
              </w:tabs>
              <w:suppressAutoHyphens/>
              <w:snapToGrid w:val="0"/>
              <w:jc w:val="both"/>
              <w:rPr>
                <w:color w:val="FF0000"/>
                <w:szCs w:val="24"/>
                <w:lang w:eastAsia="ar-SA"/>
              </w:rPr>
            </w:pPr>
          </w:p>
        </w:tc>
      </w:tr>
      <w:tr>
        <w:tblPrEx>
          <w:tblCellMar>
            <w:top w:w="57" w:type="dxa"/>
            <w:left w:w="57" w:type="dxa"/>
            <w:bottom w:w="57" w:type="dxa"/>
            <w:right w:w="57" w:type="dxa"/>
          </w:tblCellMar>
        </w:tblPrEx>
        <w:tc>
          <w:tcPr>
            <w:tcW w:w="4395" w:type="dxa"/>
            <w:tcBorders>
              <w:top w:val="single" w:sz="4" w:space="0" w:color="auto"/>
              <w:left w:val="single" w:sz="4" w:space="0" w:color="000000"/>
              <w:bottom w:val="single" w:sz="4" w:space="0" w:color="auto"/>
            </w:tcBorders>
          </w:tcPr>
          <w:p>
            <w:pPr>
              <w:suppressLineNumbers/>
              <w:suppressAutoHyphens/>
              <w:snapToGrid w:val="0"/>
              <w:jc w:val="both"/>
              <w:rPr>
                <w:szCs w:val="24"/>
                <w:lang w:val="en-GB" w:eastAsia="ar-SA"/>
              </w:rPr>
            </w:pPr>
            <w:r>
              <w:rPr>
                <w:szCs w:val="24"/>
                <w:lang w:val="en-GB" w:eastAsia="ar-SA"/>
              </w:rPr>
              <w:t>1 straipsnio 5 dalies 5 punktas</w:t>
            </w:r>
          </w:p>
          <w:p>
            <w:pPr>
              <w:rPr>
                <w:sz w:val="6"/>
                <w:szCs w:val="6"/>
              </w:rPr>
            </w:pPr>
          </w:p>
          <w:p>
            <w:pPr>
              <w:jc w:val="both"/>
              <w:rPr>
                <w:rFonts w:ascii="EUAlbertina" w:eastAsia="Calibri" w:hAnsi="EUAlbertina"/>
                <w:b/>
                <w:szCs w:val="24"/>
              </w:rPr>
            </w:pPr>
            <w:r>
              <w:rPr>
                <w:rFonts w:ascii="EUAlbertina" w:eastAsia="Calibri" w:hAnsi="EUAlbertina"/>
                <w:b/>
                <w:szCs w:val="24"/>
              </w:rPr>
              <w:t>Techninės pastato sistemos, elektromobilumas ir pažangiojo parengtumo rodiklis.</w:t>
            </w:r>
          </w:p>
          <w:p>
            <w:pPr>
              <w:rPr>
                <w:sz w:val="6"/>
                <w:szCs w:val="6"/>
              </w:rPr>
            </w:pPr>
          </w:p>
          <w:p>
            <w:pPr>
              <w:suppressAutoHyphens/>
              <w:jc w:val="both"/>
              <w:rPr>
                <w:iCs/>
                <w:szCs w:val="24"/>
                <w:lang w:eastAsia="lt-LT"/>
              </w:rPr>
            </w:pPr>
            <w:r>
              <w:rPr>
                <w:iCs/>
                <w:szCs w:val="24"/>
                <w:lang w:eastAsia="lt-LT"/>
              </w:rPr>
              <w:t>5. Naujų gyvenamųjų pastatų ir gyvenamųjų pastatų, kuriuose atliekama kapitalinė renovacija, atveju, jeigu pastate yra daugiau kaip dešimt automobilių stovėjimo vietų, valstybės narės užtikrina, kad būtų įrengta kabelių kanalų infrastruktūra, t. y. elektros kabelių kanalai, kad kiekvienoje automobilio stovėjimo vietoje būtų galima vėliau įrengti elektra varomų transporto priemonių įkrovimo prieigas, kai:</w:t>
            </w:r>
          </w:p>
          <w:p>
            <w:pPr>
              <w:rPr>
                <w:sz w:val="6"/>
                <w:szCs w:val="6"/>
              </w:rPr>
            </w:pPr>
          </w:p>
          <w:p>
            <w:pPr>
              <w:suppressAutoHyphens/>
              <w:jc w:val="both"/>
              <w:rPr>
                <w:iCs/>
                <w:szCs w:val="24"/>
                <w:lang w:eastAsia="lt-LT"/>
              </w:rPr>
            </w:pPr>
            <w:r>
              <w:rPr>
                <w:iCs/>
                <w:szCs w:val="24"/>
                <w:lang w:eastAsia="lt-LT"/>
              </w:rPr>
              <w:t>a) automobilių stovėjimo aikštelė yra pastate, o kapitalinės renovacijos atveju renovacijos priemonės apima automobilių stovėjimo aikštelę ar pastato elektros infrastruktūrą, arba</w:t>
            </w:r>
          </w:p>
          <w:p>
            <w:pPr>
              <w:rPr>
                <w:sz w:val="6"/>
                <w:szCs w:val="6"/>
              </w:rPr>
            </w:pPr>
          </w:p>
          <w:p>
            <w:pPr>
              <w:suppressAutoHyphens/>
              <w:jc w:val="both"/>
              <w:rPr>
                <w:color w:val="FF0000"/>
                <w:szCs w:val="24"/>
                <w:lang w:eastAsia="ar-SA"/>
              </w:rPr>
            </w:pPr>
            <w:r>
              <w:rPr>
                <w:iCs/>
                <w:szCs w:val="24"/>
                <w:lang w:eastAsia="lt-LT"/>
              </w:rPr>
              <w:t>b) automobilių stovėjimo aikštelė fiziškai yra šalia pastato, o kapitalinės renovacijos atveju renovacijos priemonės apima automobilių stovėjimo aikštelę ar automobilių stovėjimo aikštelės elektros infrastruktūrą.</w:t>
            </w:r>
          </w:p>
        </w:tc>
        <w:tc>
          <w:tcPr>
            <w:tcW w:w="7796" w:type="dxa"/>
            <w:tcBorders>
              <w:top w:val="single" w:sz="4" w:space="0" w:color="auto"/>
              <w:left w:val="single" w:sz="4" w:space="0" w:color="000000"/>
              <w:bottom w:val="single" w:sz="4" w:space="0" w:color="auto"/>
            </w:tcBorders>
          </w:tcPr>
          <w:p>
            <w:pPr>
              <w:tabs>
                <w:tab w:val="left" w:pos="567"/>
              </w:tabs>
              <w:suppressAutoHyphens/>
              <w:jc w:val="both"/>
              <w:rPr>
                <w:bCs/>
                <w:szCs w:val="24"/>
                <w:lang w:eastAsia="ar-SA"/>
              </w:rPr>
            </w:pPr>
            <w:r>
              <w:rPr>
                <w:bCs/>
                <w:szCs w:val="24"/>
                <w:lang w:eastAsia="ar-SA"/>
              </w:rPr>
              <w:t>Įsakymo projektas</w:t>
            </w:r>
          </w:p>
          <w:p>
            <w:pPr>
              <w:tabs>
                <w:tab w:val="left" w:pos="567"/>
              </w:tabs>
              <w:suppressAutoHyphens/>
              <w:ind w:firstLine="62"/>
              <w:jc w:val="both"/>
              <w:textAlignment w:val="center"/>
              <w:rPr>
                <w:color w:val="FF0000"/>
                <w:szCs w:val="24"/>
                <w:lang w:val="en-GB" w:eastAsia="ar-SA"/>
              </w:rPr>
            </w:pPr>
          </w:p>
          <w:p>
            <w:pPr>
              <w:suppressAutoHyphens/>
              <w:ind w:firstLine="567"/>
              <w:jc w:val="both"/>
              <w:rPr>
                <w:color w:val="000000"/>
                <w:szCs w:val="24"/>
                <w:lang w:val="en-GB" w:eastAsia="ar-SA"/>
              </w:rPr>
            </w:pPr>
            <w:r>
              <w:rPr>
                <w:szCs w:val="24"/>
                <w:lang w:val="en-GB" w:eastAsia="ar-SA"/>
              </w:rPr>
              <w:t>„107</w:t>
            </w:r>
            <w:r>
              <w:rPr>
                <w:szCs w:val="24"/>
                <w:vertAlign w:val="superscript"/>
                <w:lang w:val="en-GB" w:eastAsia="ar-SA"/>
              </w:rPr>
              <w:t>2</w:t>
            </w:r>
            <w:r>
              <w:rPr>
                <w:szCs w:val="24"/>
                <w:lang w:val="en-GB" w:eastAsia="ar-SA"/>
              </w:rPr>
              <w:t>.</w:t>
            </w:r>
            <w:r>
              <w:rPr>
                <w:szCs w:val="24"/>
                <w:vertAlign w:val="superscript"/>
                <w:lang w:val="en-GB" w:eastAsia="ar-SA"/>
              </w:rPr>
              <w:t xml:space="preserve"> </w:t>
            </w:r>
            <w:r>
              <w:rPr>
                <w:color w:val="000000"/>
                <w:szCs w:val="24"/>
                <w:lang w:val="en-GB" w:eastAsia="ar-SA"/>
              </w:rPr>
              <w:t xml:space="preserve">Naujai statomuose gyvenamuosiuose pastatuose ar jiems priskirtinose automobilių stovėjimo aikštelėse turi būti įrengta </w:t>
            </w:r>
            <w:r>
              <w:rPr>
                <w:szCs w:val="24"/>
                <w:lang w:val="en-GB" w:eastAsia="ar-SA"/>
              </w:rPr>
              <w:t>20 procentų nuo bendrų automobilių stovėjimo vietų skaičiaus</w:t>
            </w:r>
            <w:r>
              <w:rPr>
                <w:color w:val="000000"/>
                <w:szCs w:val="24"/>
                <w:lang w:val="en-GB" w:eastAsia="ar-SA"/>
              </w:rPr>
              <w:t xml:space="preserve"> elektromobilių įkrovimo prieigų ir </w:t>
            </w:r>
            <w:r>
              <w:rPr>
                <w:szCs w:val="24"/>
                <w:lang w:val="en-GB" w:eastAsia="ar-SA"/>
              </w:rPr>
              <w:t>kabelių kanalų infrastruktūra, t. y. elektros kabelių kanalai, kad būtų galima vėliau įrengti kiekvienoje automobilių stovėjimo vietoje elektromobilių įkrovimo prieigas,</w:t>
            </w:r>
            <w:r>
              <w:rPr>
                <w:color w:val="000000"/>
                <w:szCs w:val="24"/>
                <w:lang w:val="en-GB" w:eastAsia="ar-SA"/>
              </w:rPr>
              <w:t xml:space="preserve"> jei pastate ar jam priklausančioje automobilių stovėjimo aikštelėje numatoma įrengti daugiau kaip penkias automobilių stovėjimo vietas.</w:t>
            </w:r>
          </w:p>
          <w:p>
            <w:pPr>
              <w:suppressAutoHyphens/>
              <w:ind w:firstLine="567"/>
              <w:jc w:val="both"/>
              <w:rPr>
                <w:szCs w:val="24"/>
                <w:lang w:val="en-GB" w:eastAsia="ar-SA"/>
              </w:rPr>
            </w:pPr>
            <w:r>
              <w:rPr>
                <w:szCs w:val="24"/>
                <w:lang w:val="en-GB" w:eastAsia="ar-SA"/>
              </w:rPr>
              <w:t>107</w:t>
            </w:r>
            <w:r>
              <w:rPr>
                <w:szCs w:val="24"/>
                <w:vertAlign w:val="superscript"/>
                <w:lang w:val="en-GB" w:eastAsia="ar-SA"/>
              </w:rPr>
              <w:t>2</w:t>
            </w:r>
            <w:r>
              <w:rPr>
                <w:szCs w:val="24"/>
                <w:lang w:val="en-GB" w:eastAsia="ar-SA"/>
              </w:rPr>
              <w:t xml:space="preserve">.1. </w:t>
            </w:r>
            <w:r>
              <w:rPr>
                <w:color w:val="000000"/>
                <w:szCs w:val="24"/>
                <w:lang w:val="en-GB" w:eastAsia="ar-SA"/>
              </w:rPr>
              <w:t xml:space="preserve">Rekonstruojamuose, atnaujinamuose (modernizuojamuose) ar remontuojamuose gyvenamuosiuose pastatuose ar jiems priskirtinose automobilių stovėjimo aikštelėse turi būti įrengta </w:t>
            </w:r>
            <w:r>
              <w:rPr>
                <w:szCs w:val="24"/>
                <w:lang w:val="en-GB" w:eastAsia="ar-SA"/>
              </w:rPr>
              <w:t>20 procentų nuo bendrų automobilių stovėjimo vietų skaičiaus</w:t>
            </w:r>
            <w:r>
              <w:rPr>
                <w:color w:val="000000"/>
                <w:szCs w:val="24"/>
                <w:lang w:val="en-GB" w:eastAsia="ar-SA"/>
              </w:rPr>
              <w:t xml:space="preserve"> elektromobilių įkrovimo prieigų ir </w:t>
            </w:r>
            <w:r>
              <w:rPr>
                <w:szCs w:val="24"/>
                <w:lang w:val="en-GB" w:eastAsia="ar-SA"/>
              </w:rPr>
              <w:t>kabelių kanalų infrastruktūra, t. y. elektros kabelių kanalai, kad būtų galima vėliau įrengti kiekvienoje automobilių stovėjimo vietoje elektromobilių įkrovimo prieigas</w:t>
            </w:r>
            <w:r>
              <w:rPr>
                <w:color w:val="000000"/>
                <w:szCs w:val="24"/>
                <w:lang w:val="en-GB" w:eastAsia="ar-SA"/>
              </w:rPr>
              <w:t>, jei pastate ar jam priklausančioje automobilių stovėjimo aikštelėje yra daugiau kaip penkios automobilių stovėjimo vietos ir rekonstruojant, atnaujinant (modernizuojant) ar remontuojant negyvenamuosius pastatus numatyta rekonstruoti, atnaujinti (modernizuoti) ar remontuoti ir automobilių stovėjimo aikštelę, pastato elektros infrastruktūrą ar automobilių stovėjimo aikštelės elektros infrastruktūrą.</w:t>
            </w:r>
            <w:r>
              <w:rPr>
                <w:szCs w:val="24"/>
                <w:lang w:val="en-GB" w:eastAsia="ar-SA"/>
              </w:rPr>
              <w:t>“</w:t>
            </w:r>
          </w:p>
          <w:p>
            <w:pPr>
              <w:tabs>
                <w:tab w:val="left" w:pos="0"/>
                <w:tab w:val="left" w:pos="226"/>
                <w:tab w:val="left" w:pos="510"/>
              </w:tabs>
              <w:ind w:left="84"/>
              <w:jc w:val="both"/>
              <w:rPr>
                <w:color w:val="FF0000"/>
              </w:rPr>
            </w:pPr>
          </w:p>
        </w:tc>
        <w:tc>
          <w:tcPr>
            <w:tcW w:w="2992" w:type="dxa"/>
            <w:tcBorders>
              <w:top w:val="single" w:sz="4" w:space="0" w:color="auto"/>
              <w:left w:val="single" w:sz="4" w:space="0" w:color="000000"/>
              <w:bottom w:val="single" w:sz="4" w:space="0" w:color="auto"/>
              <w:right w:val="single" w:sz="4" w:space="0" w:color="000000"/>
            </w:tcBorders>
          </w:tcPr>
          <w:p>
            <w:pPr>
              <w:tabs>
                <w:tab w:val="left" w:pos="567"/>
                <w:tab w:val="center" w:pos="4153"/>
                <w:tab w:val="right" w:pos="8306"/>
              </w:tabs>
              <w:suppressAutoHyphens/>
              <w:snapToGrid w:val="0"/>
              <w:jc w:val="both"/>
              <w:rPr>
                <w:szCs w:val="24"/>
                <w:lang w:eastAsia="ar-SA"/>
              </w:rPr>
            </w:pPr>
            <w:r>
              <w:rPr>
                <w:szCs w:val="24"/>
                <w:lang w:eastAsia="ar-SA"/>
              </w:rPr>
              <w:t>Visiškas</w:t>
            </w:r>
          </w:p>
          <w:p>
            <w:pPr>
              <w:tabs>
                <w:tab w:val="left" w:pos="567"/>
                <w:tab w:val="center" w:pos="4153"/>
                <w:tab w:val="right" w:pos="8306"/>
              </w:tabs>
              <w:suppressAutoHyphens/>
              <w:snapToGrid w:val="0"/>
              <w:jc w:val="both"/>
              <w:rPr>
                <w:color w:val="FF0000"/>
                <w:szCs w:val="24"/>
                <w:lang w:eastAsia="ar-SA"/>
              </w:rPr>
            </w:pPr>
          </w:p>
        </w:tc>
      </w:tr>
    </w:tbl>
    <w:p/>
    <w:p>
      <w:pPr>
        <w:tabs>
          <w:tab w:val="left" w:pos="567"/>
        </w:tabs>
        <w:suppressAutoHyphens/>
        <w:jc w:val="center"/>
        <w:rPr>
          <w:szCs w:val="24"/>
          <w:lang w:val="en-GB" w:eastAsia="ar-SA"/>
        </w:rPr>
      </w:pPr>
      <w:r>
        <w:rPr>
          <w:szCs w:val="24"/>
          <w:lang w:val="en-GB" w:eastAsia="ar-SA"/>
        </w:rPr>
        <w:t>______________</w:t>
      </w:r>
    </w:p>
    <w:p>
      <w:pPr>
        <w:tabs>
          <w:tab w:val="left" w:pos="567"/>
        </w:tabs>
        <w:jc w:val="both"/>
        <w:rPr>
          <w:szCs w:val="24"/>
          <w:lang w:eastAsia="ar-SA"/>
        </w:rPr>
      </w:pPr>
    </w:p>
    <w:sectPr>
      <w:footnotePr>
        <w:pos w:val="beneathText"/>
      </w:footnotePr>
      <w:pgSz w:w="16837" w:h="11905" w:orient="landscape"/>
      <w:pgMar w:top="993" w:right="567" w:bottom="1134" w:left="1134"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70E20-D8CA-4569-BCE3-20DB40C68DD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273750965">
      <w:bodyDiv w:val="1"/>
      <w:marLeft w:val="0"/>
      <w:marRight w:val="0"/>
      <w:marTop w:val="0"/>
      <w:marBottom w:val="0"/>
      <w:divBdr>
        <w:top w:val="none" w:sz="0" w:space="0" w:color="auto"/>
        <w:left w:val="none" w:sz="0" w:space="0" w:color="auto"/>
        <w:bottom w:val="none" w:sz="0" w:space="0" w:color="auto"/>
        <w:right w:val="none" w:sz="0" w:space="0" w:color="auto"/>
      </w:divBdr>
      <w:divsChild>
        <w:div w:id="618682851">
          <w:marLeft w:val="0"/>
          <w:marRight w:val="0"/>
          <w:marTop w:val="0"/>
          <w:marBottom w:val="0"/>
          <w:divBdr>
            <w:top w:val="none" w:sz="0" w:space="0" w:color="auto"/>
            <w:left w:val="none" w:sz="0" w:space="0" w:color="auto"/>
            <w:bottom w:val="none" w:sz="0" w:space="0" w:color="auto"/>
            <w:right w:val="none" w:sz="0" w:space="0" w:color="auto"/>
          </w:divBdr>
        </w:div>
        <w:div w:id="882254106">
          <w:marLeft w:val="0"/>
          <w:marRight w:val="0"/>
          <w:marTop w:val="0"/>
          <w:marBottom w:val="0"/>
          <w:divBdr>
            <w:top w:val="none" w:sz="0" w:space="0" w:color="auto"/>
            <w:left w:val="none" w:sz="0" w:space="0" w:color="auto"/>
            <w:bottom w:val="none" w:sz="0" w:space="0" w:color="auto"/>
            <w:right w:val="none" w:sz="0" w:space="0" w:color="auto"/>
          </w:divBdr>
        </w:div>
        <w:div w:id="919751572">
          <w:marLeft w:val="0"/>
          <w:marRight w:val="0"/>
          <w:marTop w:val="0"/>
          <w:marBottom w:val="0"/>
          <w:divBdr>
            <w:top w:val="none" w:sz="0" w:space="0" w:color="auto"/>
            <w:left w:val="none" w:sz="0" w:space="0" w:color="auto"/>
            <w:bottom w:val="none" w:sz="0" w:space="0" w:color="auto"/>
            <w:right w:val="none" w:sz="0" w:space="0" w:color="auto"/>
          </w:divBdr>
        </w:div>
        <w:div w:id="1787001127">
          <w:marLeft w:val="0"/>
          <w:marRight w:val="0"/>
          <w:marTop w:val="0"/>
          <w:marBottom w:val="0"/>
          <w:divBdr>
            <w:top w:val="none" w:sz="0" w:space="0" w:color="auto"/>
            <w:left w:val="none" w:sz="0" w:space="0" w:color="auto"/>
            <w:bottom w:val="none" w:sz="0" w:space="0" w:color="auto"/>
            <w:right w:val="none" w:sz="0" w:space="0" w:color="auto"/>
          </w:divBdr>
        </w:div>
        <w:div w:id="1992561340">
          <w:marLeft w:val="0"/>
          <w:marRight w:val="0"/>
          <w:marTop w:val="0"/>
          <w:marBottom w:val="0"/>
          <w:divBdr>
            <w:top w:val="none" w:sz="0" w:space="0" w:color="auto"/>
            <w:left w:val="none" w:sz="0" w:space="0" w:color="auto"/>
            <w:bottom w:val="none" w:sz="0" w:space="0" w:color="auto"/>
            <w:right w:val="none" w:sz="0" w:space="0" w:color="auto"/>
          </w:divBdr>
        </w:div>
        <w:div w:id="2000234577">
          <w:marLeft w:val="0"/>
          <w:marRight w:val="0"/>
          <w:marTop w:val="0"/>
          <w:marBottom w:val="0"/>
          <w:divBdr>
            <w:top w:val="none" w:sz="0" w:space="0" w:color="auto"/>
            <w:left w:val="none" w:sz="0" w:space="0" w:color="auto"/>
            <w:bottom w:val="none" w:sz="0" w:space="0" w:color="auto"/>
            <w:right w:val="none" w:sz="0" w:space="0" w:color="auto"/>
          </w:divBdr>
        </w:div>
      </w:divsChild>
    </w:div>
    <w:div w:id="456141277">
      <w:bodyDiv w:val="1"/>
      <w:marLeft w:val="0"/>
      <w:marRight w:val="0"/>
      <w:marTop w:val="0"/>
      <w:marBottom w:val="0"/>
      <w:divBdr>
        <w:top w:val="none" w:sz="0" w:space="0" w:color="auto"/>
        <w:left w:val="none" w:sz="0" w:space="0" w:color="auto"/>
        <w:bottom w:val="none" w:sz="0" w:space="0" w:color="auto"/>
        <w:right w:val="none" w:sz="0" w:space="0" w:color="auto"/>
      </w:divBdr>
    </w:div>
    <w:div w:id="459227687">
      <w:bodyDiv w:val="1"/>
      <w:marLeft w:val="0"/>
      <w:marRight w:val="0"/>
      <w:marTop w:val="0"/>
      <w:marBottom w:val="0"/>
      <w:divBdr>
        <w:top w:val="none" w:sz="0" w:space="0" w:color="auto"/>
        <w:left w:val="none" w:sz="0" w:space="0" w:color="auto"/>
        <w:bottom w:val="none" w:sz="0" w:space="0" w:color="auto"/>
        <w:right w:val="none" w:sz="0" w:space="0" w:color="auto"/>
      </w:divBdr>
    </w:div>
    <w:div w:id="659388405">
      <w:bodyDiv w:val="1"/>
      <w:marLeft w:val="0"/>
      <w:marRight w:val="0"/>
      <w:marTop w:val="0"/>
      <w:marBottom w:val="0"/>
      <w:divBdr>
        <w:top w:val="none" w:sz="0" w:space="0" w:color="auto"/>
        <w:left w:val="none" w:sz="0" w:space="0" w:color="auto"/>
        <w:bottom w:val="none" w:sz="0" w:space="0" w:color="auto"/>
        <w:right w:val="none" w:sz="0" w:space="0" w:color="auto"/>
      </w:divBdr>
      <w:divsChild>
        <w:div w:id="65764907">
          <w:marLeft w:val="0"/>
          <w:marRight w:val="0"/>
          <w:marTop w:val="0"/>
          <w:marBottom w:val="0"/>
          <w:divBdr>
            <w:top w:val="none" w:sz="0" w:space="0" w:color="auto"/>
            <w:left w:val="none" w:sz="0" w:space="0" w:color="auto"/>
            <w:bottom w:val="none" w:sz="0" w:space="0" w:color="auto"/>
            <w:right w:val="none" w:sz="0" w:space="0" w:color="auto"/>
          </w:divBdr>
        </w:div>
        <w:div w:id="597451110">
          <w:marLeft w:val="0"/>
          <w:marRight w:val="0"/>
          <w:marTop w:val="0"/>
          <w:marBottom w:val="0"/>
          <w:divBdr>
            <w:top w:val="none" w:sz="0" w:space="0" w:color="auto"/>
            <w:left w:val="none" w:sz="0" w:space="0" w:color="auto"/>
            <w:bottom w:val="none" w:sz="0" w:space="0" w:color="auto"/>
            <w:right w:val="none" w:sz="0" w:space="0" w:color="auto"/>
          </w:divBdr>
        </w:div>
        <w:div w:id="1933661394">
          <w:marLeft w:val="0"/>
          <w:marRight w:val="0"/>
          <w:marTop w:val="0"/>
          <w:marBottom w:val="0"/>
          <w:divBdr>
            <w:top w:val="none" w:sz="0" w:space="0" w:color="auto"/>
            <w:left w:val="none" w:sz="0" w:space="0" w:color="auto"/>
            <w:bottom w:val="none" w:sz="0" w:space="0" w:color="auto"/>
            <w:right w:val="none" w:sz="0" w:space="0" w:color="auto"/>
          </w:divBdr>
        </w:div>
      </w:divsChild>
    </w:div>
    <w:div w:id="1177694810">
      <w:bodyDiv w:val="1"/>
      <w:marLeft w:val="0"/>
      <w:marRight w:val="0"/>
      <w:marTop w:val="0"/>
      <w:marBottom w:val="0"/>
      <w:divBdr>
        <w:top w:val="none" w:sz="0" w:space="0" w:color="auto"/>
        <w:left w:val="none" w:sz="0" w:space="0" w:color="auto"/>
        <w:bottom w:val="none" w:sz="0" w:space="0" w:color="auto"/>
        <w:right w:val="none" w:sz="0" w:space="0" w:color="auto"/>
      </w:divBdr>
      <w:divsChild>
        <w:div w:id="92017814">
          <w:marLeft w:val="0"/>
          <w:marRight w:val="0"/>
          <w:marTop w:val="0"/>
          <w:marBottom w:val="0"/>
          <w:divBdr>
            <w:top w:val="none" w:sz="0" w:space="0" w:color="auto"/>
            <w:left w:val="none" w:sz="0" w:space="0" w:color="auto"/>
            <w:bottom w:val="none" w:sz="0" w:space="0" w:color="auto"/>
            <w:right w:val="none" w:sz="0" w:space="0" w:color="auto"/>
          </w:divBdr>
        </w:div>
        <w:div w:id="1250115934">
          <w:marLeft w:val="0"/>
          <w:marRight w:val="0"/>
          <w:marTop w:val="0"/>
          <w:marBottom w:val="0"/>
          <w:divBdr>
            <w:top w:val="none" w:sz="0" w:space="0" w:color="auto"/>
            <w:left w:val="none" w:sz="0" w:space="0" w:color="auto"/>
            <w:bottom w:val="none" w:sz="0" w:space="0" w:color="auto"/>
            <w:right w:val="none" w:sz="0" w:space="0" w:color="auto"/>
          </w:divBdr>
        </w:div>
        <w:div w:id="1499465690">
          <w:marLeft w:val="0"/>
          <w:marRight w:val="0"/>
          <w:marTop w:val="0"/>
          <w:marBottom w:val="0"/>
          <w:divBdr>
            <w:top w:val="none" w:sz="0" w:space="0" w:color="auto"/>
            <w:left w:val="none" w:sz="0" w:space="0" w:color="auto"/>
            <w:bottom w:val="none" w:sz="0" w:space="0" w:color="auto"/>
            <w:right w:val="none" w:sz="0" w:space="0" w:color="auto"/>
          </w:divBdr>
        </w:div>
      </w:divsChild>
    </w:div>
    <w:div w:id="202335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4549</Characters>
  <Application>Microsoft Office Word</Application>
  <DocSecurity>4</DocSecurity>
  <Lines>113</Lines>
  <Paragraphs>26</Paragraphs>
  <ScaleCrop>false</ScaleCrop>
  <HeadingPairs>
    <vt:vector size="2" baseType="variant">
      <vt:variant>
        <vt:lpstr>Title</vt:lpstr>
      </vt:variant>
      <vt:variant>
        <vt:i4>1</vt:i4>
      </vt:variant>
    </vt:vector>
  </HeadingPairs>
  <TitlesOfParts>
    <vt:vector size="1" baseType="lpstr">
      <vt:lpstr>Europos Parlamento ir Tarybos direktyva 2006/21/EB 2006 m</vt:lpstr>
    </vt:vector>
  </TitlesOfParts>
  <Company>AM</Company>
  <LinksUpToDate>false</LinksUpToDate>
  <CharactersWithSpaces>5115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2022-01-10T14:41:00Z</dcterms:created>
  <dc:creator>Aleksandr</dc:creator>
  <lastModifiedBy>adlibuser</lastModifiedBy>
  <lastPrinted>2019-02-04T06:54:00Z</lastPrinted>
  <dcterms:modified xsi:type="dcterms:W3CDTF">2022-01-10T14:41:00Z</dcterms:modified>
  <revision>2</revision>
  <dc:title>Europos Parlamento ir Tarybos direktyva 2006/21/EB 2006 m</dc:title>
</coreProperties>
</file>