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8b4bef39490444b8c047c63056b2dad"/>
        <w:lock w:val="sdtLocked"/>
        <w:richText/>
      </w:sdtPr>
      <w:sdtContent>
        <w:p w14:paraId="2C7A3F5C" w14:textId="77777777">
          <w:pPr>
            <w:framePr w:hSpace="180" w:wrap="auto" w:vAnchor="text" w:hAnchor="page" w:x="5728" w:y="1"/>
            <w:overflowPunct w:val="0"/>
            <w:textAlignment w:val="baseline"/>
            <w:rPr>
              <w:sz w:val="8"/>
              <w:lang w:eastAsia="lt-LT"/>
            </w:rPr>
          </w:pPr>
          <w:r>
            <w:rPr>
              <w:sz w:val="8"/>
              <w:lang w:val="en-US"/>
            </w:rPr>
            <w:drawing>
              <wp:inline distT="0" distB="0" distL="0" distR="0" wp14:anchorId="1EFC848E" wp14:editId="5875F5A7">
                <wp:extent cx="1057275" cy="723900"/>
                <wp:effectExtent l="0" t="0" r="0" b="0"/>
                <wp:docPr id="1" name="Paveikslėlis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7275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8DD739A" w14:textId="77777777">
          <w:pPr>
            <w:overflowPunct w:val="0"/>
            <w:jc w:val="both"/>
            <w:textAlignment w:val="baseline"/>
            <w:rPr>
              <w:lang w:eastAsia="lt-LT"/>
            </w:rPr>
          </w:pPr>
        </w:p>
        <w:p w14:paraId="12A8CA38" w14:textId="77777777">
          <w:pPr>
            <w:overflowPunct w:val="0"/>
            <w:jc w:val="both"/>
            <w:textAlignment w:val="baseline"/>
            <w:rPr>
              <w:lang w:eastAsia="lt-LT"/>
            </w:rPr>
          </w:pPr>
        </w:p>
        <w:p w14:paraId="70626FB4" w14:textId="77777777">
          <w:pPr>
            <w:framePr w:w="9124" w:h="754" w:hSpace="181" w:wrap="notBeside" w:vAnchor="text" w:hAnchor="page" w:x="1883" w:y="647" w:anchorLock="1"/>
            <w:overflowPunct w:val="0"/>
            <w:jc w:val="center"/>
            <w:textAlignment w:val="baseline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 xml:space="preserve">LIETUVOS RESPUBLIKOS ŽEMĖS ŪKIO MINISTERIJOS </w:t>
          </w:r>
        </w:p>
        <w:p w14:paraId="5C607BD2" w14:textId="77777777">
          <w:pPr>
            <w:framePr w:w="9124" w:h="754" w:hSpace="181" w:wrap="notBeside" w:vAnchor="text" w:hAnchor="page" w:x="1883" w:y="647" w:anchorLock="1"/>
            <w:overflowPunct w:val="0"/>
            <w:jc w:val="center"/>
            <w:textAlignment w:val="baseline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 xml:space="preserve">EUROPOS SĄJUNGOS REIKALŲ IR PARAMOS POLITIKOS DEPARTAMENTAS </w:t>
          </w:r>
        </w:p>
        <w:p w14:paraId="0B64306C" w14:textId="206BA332">
          <w:pPr>
            <w:framePr w:w="9124" w:h="754" w:hSpace="181" w:wrap="notBeside" w:vAnchor="text" w:hAnchor="page" w:x="1883" w:y="647" w:anchorLock="1"/>
            <w:overflowPunct w:val="0"/>
            <w:jc w:val="center"/>
            <w:textAlignment w:val="baseline"/>
            <w:rPr>
              <w:b/>
              <w:sz w:val="28"/>
              <w:lang w:eastAsia="lt-LT"/>
            </w:rPr>
          </w:pPr>
        </w:p>
        <w:p w14:paraId="1DA26598" w14:textId="77777777">
          <w:pPr>
            <w:overflowPunct w:val="0"/>
            <w:jc w:val="both"/>
            <w:textAlignment w:val="baseline"/>
            <w:rPr>
              <w:lang w:eastAsia="lt-LT"/>
            </w:rPr>
          </w:pPr>
        </w:p>
        <w:p w14:paraId="7A204132" w14:textId="77777777">
          <w:pPr>
            <w:framePr w:w="9185" w:h="1077" w:hSpace="181" w:wrap="notBeside" w:vAnchor="text" w:hAnchor="page" w:x="1908" w:y="1838"/>
            <w:ind w:left="180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AIŠKINAMASIS RAŠTAS</w:t>
          </w:r>
        </w:p>
        <w:p w14:paraId="42721838" w14:textId="15E07828">
          <w:pPr>
            <w:framePr w:w="9185" w:h="1077" w:hSpace="181" w:wrap="notBeside" w:vAnchor="text" w:hAnchor="page" w:x="1908" w:y="1838"/>
            <w:ind w:left="180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 xml:space="preserve">DĖL ŽEMĖS ŪKIO MINISTRO 2009 M. GEGUŽĖS 29 D. ĮSAkymo NR. 3D-398 „DĖL TAUTINIO PAVELDO VEIKLOS FINANSAVIMO TAISYKLIŲ PATVIRTINIMO“ PAKEITIMO </w:t>
          </w:r>
        </w:p>
        <w:p w14:paraId="2E17FC54" w14:textId="77777777">
          <w:pPr>
            <w:framePr w:w="9185" w:h="1077" w:hSpace="181" w:wrap="notBeside" w:vAnchor="text" w:hAnchor="page" w:x="1908" w:y="1838"/>
            <w:overflowPunct w:val="0"/>
            <w:spacing w:line="360" w:lineRule="auto"/>
            <w:textAlignment w:val="baseline"/>
            <w:rPr>
              <w:sz w:val="20"/>
              <w:lang w:eastAsia="lt-LT"/>
            </w:rPr>
          </w:pPr>
          <w:r>
            <w:rPr>
              <w:rFonts w:ascii="TimesLT" w:hAnsi="TimesLT"/>
              <w:sz w:val="20"/>
              <w:lang w:val="en-US"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0" allowOverlap="1" wp14:anchorId="0D942197" wp14:editId="06D963D8">
                    <wp:simplePos x="0" y="0"/>
                    <wp:positionH relativeFrom="column">
                      <wp:posOffset>3179445</wp:posOffset>
                    </wp:positionH>
                    <wp:positionV relativeFrom="paragraph">
                      <wp:posOffset>130175</wp:posOffset>
                    </wp:positionV>
                    <wp:extent cx="1028700" cy="196215"/>
                    <wp:effectExtent l="8890" t="9525" r="10160" b="13335"/>
                    <wp:wrapNone/>
                    <wp:docPr id="2" name="Rectangle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028700" cy="19621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0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1B2343B4" w14:textId="77777777">
                                <w:pPr>
                                  <w:overflowPunct w:val="0"/>
                                  <w:textAlignment w:val="baseline"/>
                                  <w:rPr>
                                    <w:lang w:eastAsia="lt-LT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0D942197" id="Rectangle 3" o:spid="_x0000_s1026" style="position:absolute;margin-left:250.35pt;margin-top:10.25pt;width:81pt;height:15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bgo/mqwIAAIIFAAAOAAAAZHJzL2Uyb0RvYy54bWysVG1v0zAQ/o7Ef7D8vctLXxctnbquRUgD Jgbis2s7jYVjB9ttsiH+O2enyQr7giYSKbqLz4+fu3t8V9dtJdGRGyu0ynFyEWPEFdVMqH2Ov37Z jhYYWUcUI1IrnuNHbvH18u2bq6bOeKpLLRk3CECUzZo6x6VzdRZFlpa8IvZC11zBYqFNRRy4Zh8x QxpAr2SUxvEsarRhtdGUWwt/b7tFvAz4RcGp+1QUljskcwzcXPia8N35b7S8ItnekLoU9ESDvIJF RYSCQweoW+IIOhjxAqoS1GirC3dBdRXpohCUhxwgmyT+K5uHktQ85ALFsfVQJvv/YOnH471BguU4 xUiRClr0GYpG1F5yNPblaWqbQdRDfW98gra+0/S7RUqvS4jiK2N0U3LCgFTi46M/NnjHwla0az5o Bujk4HSoVFuYygNCDVAbGvI4NIS3DlH4mcTpYh5D3yisJZezNJmGI0jW766Nde+4rpA3cmyAe0An xzvrPBuS9SGBvZaCbYWUwTH73VoadCQgjm14Tuj2PEwq1Hhmr91fCQcSl6LK8SL2jz+EZL5mG8WC 7YiQnQ18pfLLPIi3SwK81oEZ/kNpgrB+rrbTeD4ZL0bz+XQ8mow38ehmsV2PVutkNptvbtY3m+SX Z51MslIwxtUmYNpe58nk33R0unGdQgelDwQ9K32AHB9K1iAmfB/G08s0weDAVUuhgz5rROQeZgR1 BiOj3TfhyiDwobbn7VjE/j21Y0AP/Tw7OHqRWxfRQqmgkn3VgiS9Cjs1u3bXQtm9NHeaPYI4gY5n 4QcZGKU2Txg1MBRybH8ciOEYyfcKBO4nSG+Y3tj1BlEUtubYQarBXLtu0hxqI/YlICdBREqv4BIU IujzmQVQ9g5c9ED+NJT8JDn3Q9Tz6Fz+BgAA//8DAFBLAwQUAAYACAAAACEAbeMpc98AAAAJAQAA DwAAAGRycy9kb3ducmV2LnhtbEyPwU7DMAyG70i8Q2QkbixZxTpUmk4IiQMSO9BOSNyy1jQtjdM1 2VbeHnMaR/v/9PtzvpndIE44hc6ThuVCgUCqfdNRq2FXvdw9gAjRUGMGT6jhBwNsiuur3GSNP9M7 nsrYCi6hkBkNNsYxkzLUFp0JCz8icfblJ2cij1Mrm8mcudwNMlEqlc50xBesGfHZYv1dHp2G/rD9 3KrdW1+Va1u/fhx671yl9e3N/PQIIuIcLzD86bM6FOy090dqghg0rJRaM6ohUSsQDKRpwos9J8t7 kEUu/39Q/AIAAP//AwBQSwECLQAUAAYACAAAACEAtoM4kv4AAADhAQAAEwAAAAAAAAAAAAAAAAAA AAAAW0NvbnRlbnRfVHlwZXNdLnhtbFBLAQItABQABgAIAAAAIQA4/SH/1gAAAJQBAAALAAAAAAAA AAAAAAAAAC8BAABfcmVscy8ucmVsc1BLAQItABQABgAIAAAAIQDbgo/mqwIAAIIFAAAOAAAAAAAA AAAAAAAAAC4CAABkcnMvZTJvRG9jLnhtbFBLAQItABQABgAIAAAAIQBt4ylz3wAAAAkBAAAPAAAA AAAAAAAAAAAAAAUFAABkcnMvZG93bnJldi54bWxQSwUGAAAAAAQABADzAAAAEQYAAAAA " o:allowincell="f" strokecolor="white" strokeweight="0">
                    <v:textbox inset="0,0,0,0">
                      <w:txbxContent>
                        <w:p w14:paraId="1B2343B4" w14:textId="77777777">
                          <w:pPr>
                            <w:overflowPunct w:val="0"/>
                            <w:textAlignment w:val="baseline"/>
                            <w:rPr>
                              <w:rFonts w:ascii="Times New Roman" w:hAnsi="Times New Roman" w:eastAsia="Times New Roman" w:cs="Times New Roman"/>
                              <w:lang w:eastAsia="lt-LT"/>
                            </w:rPr>
                          </w:pPr>
                        </w:p>
                      </w:txbxContent>
                    </v:textbox>
                  </v:rect>
                </w:pict>
              </mc:Fallback>
            </mc:AlternateContent>
          </w:r>
        </w:p>
        <w:p w14:paraId="6937F024" w14:textId="1444AC83">
          <w:pPr>
            <w:framePr w:w="9185" w:h="1077" w:hSpace="181" w:wrap="notBeside" w:vAnchor="text" w:hAnchor="page" w:x="1908" w:y="1838"/>
            <w:overflowPunct w:val="0"/>
            <w:spacing w:line="360" w:lineRule="auto"/>
            <w:jc w:val="center"/>
            <w:textAlignment w:val="baseline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 xml:space="preserve">________________________ </w:t>
          </w:r>
          <w:r>
            <w:rPr>
              <w:lang w:eastAsia="lt-LT"/>
            </w:rPr>
            <w:t xml:space="preserve">Nr. </w:t>
          </w:r>
          <w:r>
            <w:rPr>
              <w:sz w:val="20"/>
              <w:lang w:eastAsia="lt-LT"/>
            </w:rPr>
            <w:t>__________________</w:t>
          </w:r>
        </w:p>
        <w:p w14:paraId="220475D0" w14:textId="77777777">
          <w:pPr>
            <w:framePr w:w="9185" w:h="1077" w:hSpace="181" w:wrap="notBeside" w:vAnchor="text" w:hAnchor="page" w:x="1908" w:y="1838"/>
            <w:overflowPunct w:val="0"/>
            <w:spacing w:line="360" w:lineRule="auto"/>
            <w:jc w:val="center"/>
            <w:textAlignment w:val="baseline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20287326" w14:textId="553776E8">
          <w:pPr>
            <w:overflowPunct w:val="0"/>
            <w:jc w:val="both"/>
            <w:textAlignment w:val="baseline"/>
            <w:rPr>
              <w:lang w:eastAsia="lt-LT"/>
            </w:rPr>
          </w:pPr>
          <w:r>
            <w:rPr>
              <w:lang w:val="en-US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577535B1" wp14:editId="64971B3B">
                    <wp:simplePos x="0" y="0"/>
                    <wp:positionH relativeFrom="column">
                      <wp:posOffset>1533525</wp:posOffset>
                    </wp:positionH>
                    <wp:positionV relativeFrom="paragraph">
                      <wp:posOffset>2065655</wp:posOffset>
                    </wp:positionV>
                    <wp:extent cx="1600200" cy="160020"/>
                    <wp:effectExtent l="0" t="0" r="19050" b="11430"/>
                    <wp:wrapNone/>
                    <wp:docPr id="3" name="Rectangle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600200" cy="1600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0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64C8BC07" w14:textId="00A8870D">
                                <w:pPr>
                                  <w:overflowPunct w:val="0"/>
                                  <w:textAlignment w:val="baseline"/>
                                  <w:rPr>
                                    <w:lang w:eastAsia="lt-LT"/>
                                  </w:rPr>
                                </w:pPr>
                                <w:r>
                                  <w:rPr>
                                    <w:lang w:eastAsia="lt-LT"/>
                                  </w:rPr>
                                  <w:t xml:space="preserve">2023 m.                     d.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577535B1" id="Rectangle 2" o:spid="_x0000_s1027" style="position:absolute;left:0;text-align:left;margin-left:120.75pt;margin-top:162.65pt;width:126pt;height:12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J9IXOqAIAAIkFAAAOAAAAZHJzL2Uyb0RvYy54bWysVFFv0zAQfkfiP1h+75K0XVuiplPbtQhp wMRAPLu2k1g4drDdJgPx3zk7TVbYC5pIpOguPn/+7u7zLW/aSqITN1ZoleHkKsaIK6qZUEWGv3ze jxYYWUcUI1IrnuFHbvHN6vWrZVOnfKxLLRk3CECUTZs6w6VzdRpFlpa8IvZK11zBYq5NRRy4poiY IQ2gVzIax/EsarRhtdGUWwt/b7tFvAr4ec6p+5jnljskMwzcXPia8D34b7RakrQwpC4FPdMgL2BR EaHg0AHqljiCjkY8g6oENdrq3F1RXUU6zwXlIQfIJon/yuahJDUPuUBxbD2Uyf4/WPrhdG+QYBme YKRIBS36BEUjqpAcjX15mtqmEPVQ3xufoK3vNP1mkdLbEqL42hjdlJwwIJX4+OiPDd6xsBUdmvea ATo5Oh0q1eam8oBQA9SGhjwODeGtQxR+JrM4hi5jRGGtc8IRJO1318a6t1xXyBsZNsA9oJPTnXWe DUn7kMBeS8H2QsrgmOKwlQadCIhjH54zur0Mkwo1ntlL91fCgcSlqDK8iP3jDyGpr9lOsWA7ImRn A1+p/DIP4u2SAK91YIb/UJogrJ/r/XU8n04Wo/n8ejKaTnbxaLPYb0frbTKbzXeb7WaX/PKsk2la Csa42gVM2+s8mf6bjs43rlPooPSBoGelj5DjQ8kaxITvw+T6zTjB4MBVG8+7rBGRBcwI6gxGRruv wpVB4ENtL9uxiP17bseAHvp5cXD0LLcuooVSQSX7qgVJehV2anbtoQ2SD3r1Cj1o9ggaBVaejJ9n YJTa/MCogdmQYfv9SAzHSL5ToHM/SHrD9MahN4iisDXDDqPO3Lpu4BxrI4oSkJOgJaXXcBdyEWT6 xAKYewfue8jhPJv8QLn0Q9TTBF39BgAA//8DAFBLAwQUAAYACAAAACEADVuryeIAAAALAQAADwAA AGRycy9kb3ducmV2LnhtbEyPy07DMBBF90j8gzVI7KjdpOER4lQIiQUSXTSpkNi5sYkT4nEau234 e4YVLOfO0Z0zxXp2AzuZKXQeJSwXApjBxusOWwm7+uXmHliICrUaPBoJ3ybAury8KFSu/Rm35lTF llEJhlxJsDGOOeehscapsPCjQdp9+smpSOPUcj2pM5W7gSdC3HKnOqQLVo3m2Zrmqzo6Cf1h87ER u7e+ru5s8/p+6L1ztZTXV/PTI7Bo5vgHw68+qUNJTnt/RB3YICFZLTNCJaRJlgIjYvWQUrKnJBMZ 8LLg/38ofwAAAP//AwBQSwECLQAUAAYACAAAACEAtoM4kv4AAADhAQAAEwAAAAAAAAAAAAAAAAAA AAAAW0NvbnRlbnRfVHlwZXNdLnhtbFBLAQItABQABgAIAAAAIQA4/SH/1gAAAJQBAAALAAAAAAAA AAAAAAAAAC8BAABfcmVscy8ucmVsc1BLAQItABQABgAIAAAAIQAJ9IXOqAIAAIkFAAAOAAAAAAAA AAAAAAAAAC4CAABkcnMvZTJvRG9jLnhtbFBLAQItABQABgAIAAAAIQANW6vJ4gAAAAsBAAAPAAAA AAAAAAAAAAAAAAIFAABkcnMvZG93bnJldi54bWxQSwUGAAAAAAQABADzAAAAEQYAAAAA " o:allowincell="f" strokecolor="white" strokeweight="0">
                    <v:textbox inset="0,0,0,0">
                      <w:txbxContent>
                        <w:p w14:paraId="64C8BC07" w14:textId="00A8870D">
                          <w:pPr>
                            <w:overflowPunct w:val="0"/>
                            <w:textAlignment w:val="baseline"/>
                            <w:rPr>
                              <w:rFonts w:ascii="Times New Roman" w:hAnsi="Times New Roman" w:eastAsia="Times New Roman" w:cs="Times New Roman"/>
                              <w:lang w:eastAsia="lt-LT"/>
                            </w:rPr>
                          </w:pPr>
                          <w:r>
                            <w:rPr>
                              <w:rFonts w:ascii="Times New Roman" w:hAnsi="Times New Roman" w:eastAsia="Times New Roman" w:cs="Times New Roman"/>
                              <w:lang w:eastAsia="lt-LT"/>
                            </w:rPr>
                            <w:t xml:space="preserve">2023 m.                     d.</w:t>
                          </w:r>
                        </w:p>
                      </w:txbxContent>
                    </v:textbox>
                  </v:rect>
                </w:pict>
              </mc:Fallback>
            </mc:AlternateContent>
          </w:r>
        </w:p>
        <w:p w14:paraId="4AD63054" w14:textId="4F3F94AC">
          <w:pPr>
            <w:overflowPunct w:val="0"/>
            <w:jc w:val="both"/>
            <w:textAlignment w:val="baseline"/>
            <w:rPr>
              <w:lang w:eastAsia="lt-LT"/>
            </w:rPr>
          </w:pPr>
        </w:p>
        <w:p w14:paraId="1608D0D9" w14:textId="77777777">
          <w:pPr>
            <w:overflowPunct w:val="0"/>
            <w:jc w:val="both"/>
            <w:textAlignment w:val="baseline"/>
            <w:rPr>
              <w:lang w:eastAsia="lt-LT"/>
            </w:rPr>
          </w:pPr>
        </w:p>
        <w:sdt>
          <w:sdtPr>
            <w:alias w:val="1 p."/>
            <w:tag w:val="part_92ff789d6c0946c083aba2862e5bd34f"/>
            <w:lock w:val="sdtLocked"/>
            <w:richText/>
          </w:sdtPr>
          <w:sdtContent>
            <w:p w14:paraId="71D8F7B9" w14:textId="50B41F39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lang w:eastAsia="lt-LT"/>
                </w:rPr>
              </w:pPr>
              <w:sdt>
                <w:sdtPr>
                  <w:alias w:val="Numeris"/>
                  <w:tag w:val="nr_92ff789d6c0946c083aba2862e5bd34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. Įsakymo projekto rengimą paskatinusios priežastys, įsakymo projekto tikslai ir uždaviniai. </w:t>
              </w:r>
              <w:r>
                <w:rPr>
                  <w:szCs w:val="24"/>
                  <w:lang w:eastAsia="lt-LT"/>
                </w:rPr>
                <w:t xml:space="preserve">Įsakymo dėl Tautinio paveldo veiklos finansavimo taisyklių (toliau </w:t>
              </w:r>
              <w:r>
                <w:rPr>
                  <w:lang w:eastAsia="lt-LT"/>
                </w:rPr>
                <w:t>– Taisyklės) keitimo</w:t>
              </w:r>
              <w:r>
                <w:rPr>
                  <w:szCs w:val="24"/>
                  <w:lang w:eastAsia="lt-LT"/>
                </w:rPr>
                <w:t xml:space="preserve"> projektas parengtas siekiant palengvinti pareiškėjams paraiškų pildymą ir supaprastinti Nacionalinei mokėjimo agentūrai prie Žemės ūkio ministerijos (toliau – Agentūra) paraiškų administravimą. Taisyklės dėstomos nauja redakcija. Esminiai keitimai: aiškiau išdėstytos finansuojamų išlaidų kategorijos (pvz., pateikiamas </w:t>
              </w:r>
              <w:r>
                <w:rPr>
                  <w:color w:val="000000"/>
                  <w:szCs w:val="24"/>
                  <w:lang w:eastAsia="lt-LT"/>
                </w:rPr>
                <w:t>transporto degalų, nakvynės planuojamų išlaidų pagrindimo būdas)</w:t>
              </w:r>
              <w:r>
                <w:rPr>
                  <w:szCs w:val="24"/>
                  <w:lang w:eastAsia="lt-LT"/>
                </w:rPr>
                <w:t>; sudarytos sąlygos asociacijoms, vienijančioms tautinio paveldo produktų kūrėjus ir tradicinių amatų centrus, gauti valstybės pagalbą įrangai ir leidinių leidybai; sušvelnintas reikalavimas, kad įranga gali būti įsigyjama tik kartą per 5 metus – projekte šis reikalavimas numatytas tik įsigyjant tos pačios rūšies įrangą; numatoma finansuoti ne tik popierinių</w:t>
              </w:r>
              <w:r>
                <w:rPr>
                  <w:color w:val="000000"/>
                  <w:szCs w:val="24"/>
                  <w:lang w:eastAsia="lt-LT"/>
                </w:rPr>
                <w:t>, bet ir elektroninių tautinio paveldo produktų populiarinimo leidinių rengimo ir leidybos išlaidas.</w:t>
              </w:r>
              <w:r>
                <w:rPr>
                  <w:szCs w:val="24"/>
                  <w:lang w:eastAsia="lt-LT"/>
                </w:rPr>
                <w:t xml:space="preserve"> Anksčiau taisyklėse nebuvo numatyta maksimali pagalbos suma tautinio paveldo kūrėjams, turintiems dviejų kategorijų sertifikatus (A ir B), todėl projekte jiems numatoma maksimali pagalbos suma – </w:t>
              </w:r>
              <w:r>
                <w:rPr>
                  <w:color w:val="000000"/>
                  <w:szCs w:val="24"/>
                  <w:lang w:eastAsia="lt-LT"/>
                </w:rPr>
                <w:t xml:space="preserve">65 proc. visų tinkamų finansuoti projekto išlaidų. Siekiant pagerinti projekto vykdytojų kontrolę, jiems numatyta prievolė programėlės „NMA agro“ pagalba pranešti Agentūrai apie vykdomus edukacinius užsiėmimus ir amato demonstravimą renginio metu. </w:t>
              </w:r>
              <w:r>
                <w:rPr>
                  <w:szCs w:val="24"/>
                  <w:lang w:eastAsia="lt-LT"/>
                </w:rPr>
                <w:t>Taip pat Taisyklėse patvirtinama ataskaitos apie projekto įgyvendinimo rezultatus forma, nes iki šiol pareiškėjams kildavo klausimų dėl ataskaitos pateikimo, o Agentūrai būdavo keblu tokias ataskaitas vertinti.</w:t>
              </w:r>
            </w:p>
            <w:p w14:paraId="0B6FC602" w14:textId="2DFD133F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Projekte nėra naujų sąvokų, vartojamos sąvokos apibrėžtos Lietuvos Respublikos tautinio paveldo produktų įstatyme.</w:t>
              </w:r>
            </w:p>
          </w:sdtContent>
        </w:sdt>
        <w:sdt>
          <w:sdtPr>
            <w:alias w:val="2 p."/>
            <w:tag w:val="part_fd6da4ea8e9642799f4cb1c27c17eabf"/>
            <w:lock w:val="sdtLocked"/>
            <w:richText/>
          </w:sdtPr>
          <w:sdtContent>
            <w:p w14:paraId="5A0C0175" w14:textId="77777777">
              <w:pPr>
                <w:spacing w:line="360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fd6da4ea8e9642799f4cb1c27c17eab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. </w:t>
              </w:r>
              <w:r>
                <w:rPr>
                  <w:rFonts w:eastAsia="Calibri"/>
                  <w:b/>
                  <w:bCs/>
                  <w:szCs w:val="24"/>
                </w:rPr>
                <w:t xml:space="preserve">Įsakymo projektui įgyvendinti reikalingi institucijų ir (ar) įstaigų informacinių sistemų pakeitimai. </w:t>
              </w:r>
              <w:r>
                <w:rPr>
                  <w:rFonts w:eastAsia="Calibri"/>
                  <w:szCs w:val="24"/>
                </w:rPr>
                <w:t>Informacinių sistemų pakeitimai nereikalingi.</w:t>
              </w:r>
            </w:p>
          </w:sdtContent>
        </w:sdt>
        <w:sdt>
          <w:sdtPr>
            <w:alias w:val="3 p."/>
            <w:tag w:val="part_740b2937bf294a0783f76fd10f9bdf1a"/>
            <w:lock w:val="sdtLocked"/>
            <w:richText/>
          </w:sdtPr>
          <w:sdtContent>
            <w:p w14:paraId="19A0D154" w14:textId="080E519D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740b2937bf294a0783f76fd10f9bdf1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. Informacija dėl įsakymo projekto skelbimo Lietuvos Respublikos Seimo kanceliarijos Teisės aktų informacinėje sistemoje (toliau – TAIS). </w:t>
              </w:r>
              <w:r>
                <w:rPr>
                  <w:szCs w:val="24"/>
                  <w:lang w:eastAsia="lt-LT"/>
                </w:rPr>
                <w:t>Įsakymo projektas bus skelbiamas Lietuvos Respublikos Seimo kanceliarijos teisės aktų informacinės sistemos Projektų registravimo posistemyje</w:t>
              </w:r>
              <w:r>
                <w:rPr>
                  <w:color w:val="000000"/>
                  <w:lang w:eastAsia="lt-LT"/>
                </w:rPr>
                <w:t xml:space="preserve"> 10 darbo dienų.</w:t>
              </w:r>
            </w:p>
          </w:sdtContent>
        </w:sdt>
        <w:sdt>
          <w:sdtPr>
            <w:alias w:val="4 p."/>
            <w:tag w:val="part_d06b6c6759c749278c5111cd9379a16f"/>
            <w:lock w:val="sdtLocked"/>
            <w:richText/>
          </w:sdtPr>
          <w:sdtContent>
            <w:p w14:paraId="498B459A" w14:textId="37A64A9D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06b6c6759c749278c5111cd9379a16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val="en-GB" w:eastAsia="lt-LT"/>
                    </w:rPr>
                    <w:t>4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val="en-GB" w:eastAsia="lt-LT"/>
                </w:rPr>
                <w:t xml:space="preserve">. Informacija dėl įsakymo projekto derinimo su suinteresuotomis valstybės institucijomis ir (ar) įstaigomis. </w:t>
              </w:r>
              <w:r>
                <w:rPr>
                  <w:szCs w:val="24"/>
                  <w:lang w:eastAsia="lt-LT"/>
                </w:rPr>
                <w:t>Įsakymo projektas susijęs su Agentūros veiklos sritimi, bus derinamas su Agentūra.</w:t>
              </w:r>
            </w:p>
          </w:sdtContent>
        </w:sdt>
        <w:sdt>
          <w:sdtPr>
            <w:alias w:val="5 p."/>
            <w:tag w:val="part_be7a8cac08174d9d8e5566b43c7e1b50"/>
            <w:lock w:val="sdtLocked"/>
            <w:richText/>
          </w:sdtPr>
          <w:sdtContent>
            <w:p w14:paraId="7EFA06B9" w14:textId="13DB8C57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e7a8cac08174d9d8e5566b43c7e1b5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. Informacija dėl įsakymo projekto antikorupcinio vertinimo. </w:t>
              </w:r>
              <w:r>
                <w:rPr>
                  <w:color w:val="000000"/>
                  <w:szCs w:val="24"/>
                  <w:lang w:eastAsia="lt-LT"/>
                </w:rPr>
                <w:t>Atliktas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įsakymo projekto antikorupcinis vertinimas. </w:t>
              </w:r>
            </w:p>
          </w:sdtContent>
        </w:sdt>
        <w:sdt>
          <w:sdtPr>
            <w:alias w:val="6 p."/>
            <w:tag w:val="part_7b2eb2e688224e0e8f28c13f373335a1"/>
            <w:lock w:val="sdtLocked"/>
            <w:richText/>
          </w:sdtPr>
          <w:sdtContent>
            <w:p w14:paraId="58E0E8FB" w14:textId="75A19065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b2eb2e688224e0e8f28c13f373335a1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. Informacija dėl ūkio subjektams sukeliamos administracinės naštos vertinimo, numatomo teisinio reguliavimo poveikio vertinimo, įsakymo projekto, perkeliančio ir (ar) įgyvendinančio Europos Sąjungos direktyvų ar kitų Europos Sąjungos teisės aktų nuostatų atitikties. </w:t>
              </w:r>
              <w:r>
                <w:rPr>
                  <w:color w:val="000000"/>
                  <w:szCs w:val="24"/>
                  <w:lang w:eastAsia="lt-LT"/>
                </w:rPr>
                <w:t>Administracinės naštos vertinimas, numatomo teisinio reguliavimo poveikio vertinimas neatliktas, nes teisės aktas nesukels papildomos administracinės naštos, įsakymo projektas neįgyvendina ES direktyvų ar kitų ES teisės aktų.</w:t>
              </w:r>
            </w:p>
            <w:p w14:paraId="4756D61A" w14:textId="77777777">
              <w:pPr>
                <w:spacing w:line="360" w:lineRule="auto"/>
                <w:ind w:firstLine="720"/>
                <w:rPr>
                  <w:rFonts w:eastAsia="Calibri"/>
                  <w:bCs/>
                  <w:color w:val="000000"/>
                  <w:szCs w:val="24"/>
                </w:rPr>
              </w:pPr>
            </w:p>
            <w:p w14:paraId="4439F768" w14:textId="77777777">
              <w:pPr>
                <w:tabs>
                  <w:tab w:val="left" w:pos="993"/>
                </w:tabs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PRIDEDAMA:</w:t>
              </w:r>
            </w:p>
          </w:sdtContent>
        </w:sdt>
        <w:sdt>
          <w:sdtPr>
            <w:alias w:val="1 p."/>
            <w:tag w:val="part_543a937dd2d14707862556590c177ca5"/>
            <w:lock w:val="sdtLocked"/>
            <w:richText/>
          </w:sdtPr>
          <w:sdtContent>
            <w:p w14:paraId="2B22BF7C" w14:textId="4D57EC4F">
              <w:pPr>
                <w:tabs>
                  <w:tab w:val="left" w:pos="993"/>
                </w:tabs>
                <w:overflowPunct w:val="0"/>
                <w:spacing w:line="360" w:lineRule="auto"/>
                <w:ind w:left="927" w:hanging="360"/>
                <w:jc w:val="both"/>
                <w:textAlignment w:val="baseline"/>
                <w:rPr>
                  <w:szCs w:val="24"/>
                  <w:lang w:val="en-GB" w:eastAsia="lt-LT"/>
                </w:rPr>
              </w:pPr>
              <w:sdt>
                <w:sdtPr>
                  <w:alias w:val="Numeris"/>
                  <w:tag w:val="nr_543a937dd2d14707862556590c177ca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  <w:tab/>
              </w:r>
              <w:r>
                <w:rPr>
                  <w:szCs w:val="24"/>
                  <w:lang w:val="en-GB" w:eastAsia="lt-LT"/>
                </w:rPr>
                <w:t>Įsakymo projektas, 27 lapai.</w:t>
              </w:r>
            </w:p>
          </w:sdtContent>
        </w:sdt>
        <w:sdt>
          <w:sdtPr>
            <w:alias w:val="2 p."/>
            <w:tag w:val="part_6fdb8b3ee7e94eca9be80438a36dcb00"/>
            <w:lock w:val="sdtLocked"/>
            <w:richText/>
          </w:sdtPr>
          <w:sdtContent>
            <w:p w14:paraId="34295CE9" w14:textId="688CC8E4">
              <w:pPr>
                <w:tabs>
                  <w:tab w:val="left" w:pos="993"/>
                </w:tabs>
                <w:overflowPunct w:val="0"/>
                <w:spacing w:line="360" w:lineRule="auto"/>
                <w:ind w:left="927" w:hanging="360"/>
                <w:jc w:val="both"/>
                <w:textAlignment w:val="baseline"/>
                <w:rPr>
                  <w:szCs w:val="24"/>
                  <w:lang w:val="en-GB" w:eastAsia="lt-LT"/>
                </w:rPr>
              </w:pPr>
              <w:sdt>
                <w:sdtPr>
                  <w:alias w:val="Numeris"/>
                  <w:tag w:val="nr_6fdb8b3ee7e94eca9be80438a36dcb00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  <w:tab/>
              </w:r>
              <w:r>
                <w:rPr>
                  <w:bCs/>
                  <w:szCs w:val="24"/>
                  <w:lang w:val="en-GB" w:eastAsia="lt-LT"/>
                </w:rPr>
                <w:t xml:space="preserve">Teisės aktų projektų </w:t>
              </w:r>
              <w:r>
                <w:rPr>
                  <w:bCs/>
                  <w:color w:val="000000"/>
                  <w:szCs w:val="24"/>
                  <w:lang w:val="en-GB" w:eastAsia="lt-LT"/>
                </w:rPr>
                <w:t>antikorupcinio</w:t>
              </w:r>
              <w:r>
                <w:rPr>
                  <w:color w:val="000000"/>
                  <w:szCs w:val="24"/>
                  <w:lang w:val="en-GB" w:eastAsia="lt-LT"/>
                </w:rPr>
                <w:t xml:space="preserve"> vertinimo pažyma, 6 lapai.</w:t>
              </w:r>
            </w:p>
            <w:p w14:paraId="31DE252C" w14:textId="12E2E94F">
              <w:pPr>
                <w:tabs>
                  <w:tab w:val="left" w:pos="993"/>
                </w:tabs>
                <w:overflowPunct w:val="0"/>
                <w:spacing w:line="360" w:lineRule="auto"/>
                <w:jc w:val="both"/>
                <w:textAlignment w:val="baseline"/>
                <w:rPr>
                  <w:szCs w:val="24"/>
                  <w:lang w:val="en-GB" w:eastAsia="lt-LT"/>
                </w:rPr>
              </w:pPr>
            </w:p>
            <w:p w14:paraId="3244CA40" w14:textId="77777777">
              <w:pPr>
                <w:spacing w:line="360" w:lineRule="auto"/>
                <w:ind w:left="1211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e6675cf3f1e7410aa5900b5b239ef2dd"/>
            <w:lock w:val="sdtLocked"/>
            <w:richText/>
          </w:sdtPr>
          <w:sdtContent>
            <w:p w14:paraId="140FB4BF" w14:textId="0CBE62C1">
              <w:pPr>
                <w:overflowPunct w:val="0"/>
                <w:spacing w:line="276" w:lineRule="auto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Direktorė</w:t>
                <w:tab/>
                <w:tab/>
                <w:tab/>
                <w:tab/>
                <w:tab/>
                <w:tab/>
                <w:t>Jurgita Stakėnienė</w:t>
              </w:r>
            </w:p>
            <w:p w14:paraId="3995BF68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40DCBF37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6FA070ED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79192D07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55E16C57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440616C1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38A3B917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7C006C10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373E914F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765941F6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59447865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32CBA89D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4A10546B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5C7B3225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308FF896" w14:textId="77777777">
              <w:pPr>
                <w:overflowPunct w:val="0"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7FA60436" w14:textId="34550DEA">
              <w:pPr>
                <w:overflowPunct w:val="0"/>
                <w:jc w:val="both"/>
                <w:textAlignment w:val="baseline"/>
                <w:rPr>
                  <w:sz w:val="22"/>
                  <w:szCs w:val="22"/>
                  <w:lang w:eastAsia="lt-LT"/>
                </w:rPr>
              </w:pPr>
              <w:r>
                <w:rPr>
                  <w:sz w:val="22"/>
                  <w:szCs w:val="22"/>
                  <w:lang w:eastAsia="lt-LT"/>
                </w:rPr>
                <w:t>Daiva Belevičienė, tel. 239 1269, el. p. Daiva.Beleviciene@zum.lt</w:t>
              </w:r>
            </w:p>
          </w:sdtContent>
        </w:sdt>
      </w:sdtContent>
    </w:sdt>
    <w:sectPr>
      <w:pgSz w:w="11907" w:h="16840"/>
      <w:pgMar w:top="1247" w:right="567" w:bottom="851" w:left="1701" w:header="567" w:footer="567" w:gutter="0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028517" w14:textId="77777777">
      <w:pPr>
        <w:overflowPunct w:val="0"/>
        <w:textAlignment w:val="baseline"/>
        <w:rPr>
          <w:lang w:val="en-GB" w:eastAsia="lt-LT"/>
        </w:rPr>
      </w:pPr>
      <w:r>
        <w:rPr>
          <w:lang w:val="en-GB" w:eastAsia="lt-LT"/>
        </w:rPr>
        <w:separator/>
      </w:r>
    </w:p>
  </w:endnote>
  <w:endnote w:type="continuationSeparator" w:id="0">
    <w:p w14:paraId="7DD74644" w14:textId="77777777">
      <w:pPr>
        <w:overflowPunct w:val="0"/>
        <w:textAlignment w:val="baseline"/>
        <w:rPr>
          <w:lang w:val="en-GB" w:eastAsia="lt-LT"/>
        </w:rPr>
      </w:pPr>
      <w:r>
        <w:rPr>
          <w:lang w:val="en-GB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DDC87A" w14:textId="77777777">
      <w:pPr>
        <w:overflowPunct w:val="0"/>
        <w:textAlignment w:val="baseline"/>
        <w:rPr>
          <w:lang w:val="en-GB" w:eastAsia="lt-LT"/>
        </w:rPr>
      </w:pPr>
      <w:r>
        <w:rPr>
          <w:lang w:val="en-GB" w:eastAsia="lt-LT"/>
        </w:rPr>
        <w:separator/>
      </w:r>
    </w:p>
  </w:footnote>
  <w:footnote w:type="continuationSeparator" w:id="0">
    <w:p w14:paraId="4076BC2C" w14:textId="77777777">
      <w:pPr>
        <w:overflowPunct w:val="0"/>
        <w:textAlignment w:val="baseline"/>
        <w:rPr>
          <w:lang w:val="en-GB" w:eastAsia="lt-LT"/>
        </w:rPr>
      </w:pPr>
      <w:r>
        <w:rPr>
          <w:lang w:val="en-GB"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0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17CF2E"/>
  <w15:chartTrackingRefBased/>
  <w15:docId w15:val="{0EA87FCD-32B2-4103-BFAE-795BFAEA666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52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0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12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image" Target="media/image1.jpeg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D3D01CC58701429FE5DB29CB83D7E8" ma:contentTypeVersion="11" ma:contentTypeDescription="Create a new document." ma:contentTypeScope="" ma:versionID="2df4cea57127db1c9ae95f05307f82d7">
  <xsd:schema xmlns:xsd="http://www.w3.org/2001/XMLSchema" xmlns:xs="http://www.w3.org/2001/XMLSchema" xmlns:p="http://schemas.microsoft.com/office/2006/metadata/properties" xmlns:ns3="9e4272f3-b6f5-4d3d-a1b6-0c5436abddba" xmlns:ns4="93187c8c-1e2f-45b0-9a4e-8600f9207f4d" targetNamespace="http://schemas.microsoft.com/office/2006/metadata/properties" ma:root="true" ma:fieldsID="1693f0e4d7bc4ecde3b730f778a7c6e0" ns3:_="" ns4:_="">
    <xsd:import namespace="9e4272f3-b6f5-4d3d-a1b6-0c5436abddba"/>
    <xsd:import namespace="93187c8c-1e2f-45b0-9a4e-8600f9207f4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4272f3-b6f5-4d3d-a1b6-0c5436abddb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87c8c-1e2f-45b0-9a4e-8600f9207f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b3564d10bf98452899ce1acafaaeb97f" PartId="b8b4bef39490444b8c047c63056b2dad">
    <Part Type="punktas" Nr="1" Abbr="1 p." DocPartId="416ab38f2c1b41b4bd4e27b0ee48eab3" PartId="92ff789d6c0946c083aba2862e5bd34f"/>
    <Part Type="punktas" Nr="2" Abbr="2 p." DocPartId="9c00c6c00eaf449ba2d2ad419ffa0e8c" PartId="fd6da4ea8e9642799f4cb1c27c17eabf"/>
    <Part Type="punktas" Nr="3" Abbr="3 p." DocPartId="9268c000a2974bdfbb6284d47b764979" PartId="740b2937bf294a0783f76fd10f9bdf1a"/>
    <Part Type="punktas" Nr="4" Abbr="4 p." DocPartId="ad7f30b631d441c7b45f69f9ca0bf762" PartId="d06b6c6759c749278c5111cd9379a16f"/>
    <Part Type="punktas" Nr="5" Abbr="5 p." DocPartId="6be6bbd4bf9c43d28ff885c3e794638f" PartId="be7a8cac08174d9d8e5566b43c7e1b50"/>
    <Part Type="punktas" Nr="6" Abbr="6 p." DocPartId="3fcf0acb68b44904b01efcb323be3c17" PartId="7b2eb2e688224e0e8f28c13f373335a1"/>
    <Part Type="punktas" Nr="1" Abbr="1 p." Notes="Numeris ne iš eilės. Trūksta dalių? [DocDalys]" DocPartId="a8366ecc6872480eb31f5a06928933e1" PartId="543a937dd2d14707862556590c177ca5"/>
    <Part Type="punktas" Nr="2" Abbr="2 p." DocPartId="31abda6fc11c4bac8c60747b6ac9c3a4" PartId="6fdb8b3ee7e94eca9be80438a36dcb00"/>
    <Part Type="signatura" DocPartId="7f906c8976f548889273acef8e179898" PartId="e6675cf3f1e7410aa5900b5b239ef2dd"/>
  </Part>
</Parts>
</file>

<file path=customXml/itemProps1.xml><?xml version="1.0" encoding="utf-8"?>
<ds:datastoreItem xmlns:ds="http://schemas.openxmlformats.org/officeDocument/2006/customXml" ds:itemID="{D2B4DBDA-262E-41AB-B4A9-1053CAF521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F952A4-6481-4DCA-8F92-13AFEE6B266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151E803-5785-48CD-A1EE-780D1A076C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4272f3-b6f5-4d3d-a1b6-0c5436abddba"/>
    <ds:schemaRef ds:uri="93187c8c-1e2f-45b0-9a4e-8600f9207f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67511D8-145B-4B96-91A3-CC2F628FEF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424</Words>
  <Characters>3188</Characters>
  <Application>Microsoft Office Word</Application>
  <DocSecurity>4</DocSecurity>
  <Lines>79</Lines>
  <Paragraphs>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3592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2023-01-18T06:57:00Z</dcterms:created>
  <dc:creator>almar</dc:creator>
  <lastModifiedBy>adlibuser</lastModifiedBy>
  <lastPrinted>2017-06-08T05:28:00Z</lastPrinted>
  <dcterms:modified xsi:type="dcterms:W3CDTF">2023-01-18T06:57:00Z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0x010100D5D3D01CC58701429FE5DB29CB83D7E8</vt:lpwstr>
  </property>
</Properties>
</file>