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beed53fee8b4f11a5134b2e2a63d68d"/>
        <w:lock w:val="sdtLocked"/>
        <w:richText/>
      </w:sdtPr>
      <w:sdtContent>
        <w:p w14:paraId="3983CAE7" w14:textId="77777777">
          <w:pPr>
            <w:tabs>
              <w:tab w:val="center" w:pos="4819"/>
              <w:tab w:val="right" w:pos="9638"/>
            </w:tabs>
          </w:pPr>
        </w:p>
      </w:sdtContent>
    </w:sdt>
    <w:sdt>
      <w:sdtPr>
        <w:alias w:val="patvirtinta"/>
        <w:tag w:val="part_9fd72e5f2704442b91157529e55b6e88"/>
        <w:lock w:val="sdtLocked"/>
        <w:richText/>
      </w:sdtPr>
      <w:sdtContent>
        <w:p w14:paraId="4707D0AF" w14:textId="77777777">
          <w:pPr>
            <w:ind w:left="5103"/>
            <w:rPr>
              <w:sz w:val="22"/>
              <w:szCs w:val="22"/>
            </w:rPr>
          </w:pPr>
          <w:r>
            <w:rPr>
              <w:sz w:val="22"/>
              <w:szCs w:val="22"/>
            </w:rPr>
            <w:t>PATVIRTINTA</w:t>
          </w:r>
        </w:p>
        <w:p w14:paraId="11DDAB0F" w14:textId="77777777">
          <w:pPr>
            <w:ind w:left="5103"/>
            <w:rPr>
              <w:sz w:val="22"/>
              <w:szCs w:val="22"/>
            </w:rPr>
          </w:pPr>
          <w:r>
            <w:rPr>
              <w:sz w:val="22"/>
              <w:szCs w:val="22"/>
            </w:rPr>
            <w:t>Lietuvos Respublikos žemės ūkio ministro</w:t>
          </w:r>
        </w:p>
        <w:p w14:paraId="7FF81DFC" w14:textId="77777777">
          <w:pPr>
            <w:ind w:left="5103"/>
            <w:rPr>
              <w:sz w:val="22"/>
              <w:szCs w:val="22"/>
            </w:rPr>
          </w:pPr>
          <w:r>
            <w:rPr>
              <w:sz w:val="22"/>
              <w:szCs w:val="22"/>
            </w:rPr>
            <w:t>2009 m. gegužės 29 d. įsakymu Nr. 3D-398</w:t>
          </w:r>
        </w:p>
        <w:p w14:paraId="7D11D257" w14:textId="77777777">
          <w:pPr>
            <w:ind w:left="5103"/>
            <w:rPr>
              <w:sz w:val="22"/>
              <w:szCs w:val="22"/>
            </w:rPr>
          </w:pPr>
          <w:r>
            <w:rPr>
              <w:sz w:val="22"/>
              <w:szCs w:val="22"/>
            </w:rPr>
            <w:t>(Lietuvos Respublikos žemės ūkio ministro</w:t>
          </w:r>
        </w:p>
        <w:p w14:paraId="6CA34DF2" w14:textId="2FBF5981">
          <w:pPr>
            <w:ind w:left="5103"/>
            <w:rPr>
              <w:sz w:val="22"/>
              <w:szCs w:val="22"/>
            </w:rPr>
          </w:pPr>
          <w:r>
            <w:rPr>
              <w:sz w:val="22"/>
              <w:szCs w:val="22"/>
            </w:rPr>
            <w:t xml:space="preserve">2023 m.                                          įsakymo Nr. 3D-     redakcija)</w:t>
          </w:r>
        </w:p>
        <w:p w14:paraId="4FF2316D" w14:textId="77777777">
          <w:pPr>
            <w:jc w:val="center"/>
            <w:rPr>
              <w:b/>
              <w:szCs w:val="24"/>
              <w:lang w:eastAsia="lt-LT"/>
            </w:rPr>
          </w:pPr>
        </w:p>
        <w:p w14:paraId="3E5172D1" w14:textId="77777777">
          <w:pPr>
            <w:jc w:val="center"/>
            <w:rPr>
              <w:b/>
              <w:szCs w:val="24"/>
              <w:lang w:eastAsia="lt-LT"/>
            </w:rPr>
          </w:pPr>
          <w:sdt>
            <w:sdtPr>
              <w:alias w:val="Pavadinimas"/>
              <w:tag w:val="title_9fd72e5f2704442b91157529e55b6e88"/>
              <w:lock w:val="sdtLocked"/>
              <w:richText/>
            </w:sdtPr>
            <w:sdtContent>
              <w:r>
                <w:rPr>
                  <w:b/>
                  <w:szCs w:val="24"/>
                  <w:lang w:eastAsia="lt-LT"/>
                </w:rPr>
                <w:t>TAUTINIO PAVELDO VEIKLOS FINANSAVIMO TAISYKLĖS</w:t>
              </w:r>
            </w:sdtContent>
          </w:sdt>
        </w:p>
        <w:p w14:paraId="55AEA02E" w14:textId="77777777">
          <w:pPr>
            <w:jc w:val="center"/>
            <w:rPr>
              <w:b/>
              <w:szCs w:val="24"/>
              <w:lang w:eastAsia="lt-LT"/>
            </w:rPr>
          </w:pPr>
        </w:p>
        <w:p w14:paraId="2743DFE7" w14:textId="77777777">
          <w:pPr>
            <w:jc w:val="center"/>
            <w:rPr>
              <w:b/>
              <w:szCs w:val="24"/>
              <w:lang w:eastAsia="lt-LT"/>
            </w:rPr>
          </w:pPr>
        </w:p>
        <w:sdt>
          <w:sdtPr>
            <w:alias w:val="skyrius"/>
            <w:tag w:val="part_fe5ac6f13e074d0eb5fbab318d49186f"/>
            <w:lock w:val="sdtLocked"/>
            <w:richText/>
          </w:sdtPr>
          <w:sdtContent>
            <w:p w14:paraId="71F15690" w14:textId="77777777">
              <w:pPr>
                <w:jc w:val="center"/>
                <w:rPr>
                  <w:b/>
                  <w:szCs w:val="24"/>
                  <w:lang w:eastAsia="lt-LT"/>
                </w:rPr>
              </w:pPr>
              <w:sdt>
                <w:sdtPr>
                  <w:alias w:val="Numeris"/>
                  <w:tag w:val="nr_fe5ac6f13e074d0eb5fbab318d49186f"/>
                  <w:lock w:val="sdtLocked"/>
                  <w:richText/>
                </w:sdtPr>
                <w:sdtContent>
                  <w:r>
                    <w:rPr>
                      <w:b/>
                      <w:szCs w:val="24"/>
                      <w:lang w:eastAsia="lt-LT"/>
                    </w:rPr>
                    <w:t>I</w:t>
                  </w:r>
                </w:sdtContent>
              </w:sdt>
              <w:r>
                <w:rPr>
                  <w:b/>
                  <w:szCs w:val="24"/>
                  <w:lang w:eastAsia="lt-LT"/>
                </w:rPr>
                <w:t xml:space="preserve"> SKYRIUS</w:t>
              </w:r>
            </w:p>
            <w:p w14:paraId="5292D49D" w14:textId="77777777">
              <w:pPr>
                <w:jc w:val="center"/>
                <w:rPr>
                  <w:b/>
                  <w:szCs w:val="24"/>
                  <w:lang w:eastAsia="lt-LT"/>
                </w:rPr>
              </w:pPr>
              <w:sdt>
                <w:sdtPr>
                  <w:alias w:val="Pavadinimas"/>
                  <w:tag w:val="title_fe5ac6f13e074d0eb5fbab318d49186f"/>
                  <w:lock w:val="sdtLocked"/>
                  <w:richText/>
                </w:sdtPr>
                <w:sdtContent>
                  <w:r>
                    <w:rPr>
                      <w:b/>
                      <w:szCs w:val="24"/>
                      <w:lang w:eastAsia="lt-LT"/>
                    </w:rPr>
                    <w:t>BENDROSIOS NUOSTATOS</w:t>
                  </w:r>
                </w:sdtContent>
              </w:sdt>
            </w:p>
            <w:p w14:paraId="65F36014" w14:textId="77777777">
              <w:pPr>
                <w:widowControl w:val="0"/>
                <w:overflowPunct w:val="0"/>
                <w:ind w:firstLine="720"/>
                <w:jc w:val="both"/>
                <w:textAlignment w:val="baseline"/>
                <w:rPr>
                  <w:szCs w:val="24"/>
                  <w:lang w:eastAsia="lt-LT"/>
                </w:rPr>
              </w:pPr>
            </w:p>
            <w:sdt>
              <w:sdtPr>
                <w:alias w:val="1 p."/>
                <w:tag w:val="part_faec8ce46aa344a18e537e9c328afc8e"/>
                <w:lock w:val="sdtLocked"/>
                <w:richText/>
              </w:sdtPr>
              <w:sdtContent>
                <w:p w14:paraId="44B9BF53"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faec8ce46aa344a18e537e9c328afc8e"/>
                      <w:lock w:val="sdtLocked"/>
                      <w:richText/>
                    </w:sdtPr>
                    <w:sdtContent>
                      <w:r>
                        <w:rPr>
                          <w:color w:val="000000"/>
                          <w:szCs w:val="24"/>
                          <w:lang w:eastAsia="lt-LT"/>
                        </w:rPr>
                        <w:t>1</w:t>
                      </w:r>
                    </w:sdtContent>
                  </w:sdt>
                  <w:r>
                    <w:rPr>
                      <w:color w:val="000000"/>
                      <w:szCs w:val="24"/>
                      <w:lang w:eastAsia="lt-LT"/>
                    </w:rPr>
                    <w:t>. Tautinio paveldo veiklos finansavimo taisyklės (toliau – taisyklės)</w:t>
                  </w:r>
                  <w:r>
                    <w:rPr>
                      <w:bCs/>
                      <w:color w:val="000000"/>
                      <w:szCs w:val="24"/>
                      <w:lang w:eastAsia="lt-LT"/>
                    </w:rPr>
                    <w:t xml:space="preserve"> </w:t>
                  </w:r>
                  <w:r>
                    <w:rPr>
                      <w:color w:val="000000"/>
                      <w:szCs w:val="24"/>
                      <w:lang w:eastAsia="lt-LT"/>
                    </w:rPr>
                    <w:t xml:space="preserve">nustato nereikšmingos </w:t>
                  </w:r>
                  <w:r>
                    <w:rPr>
                      <w:i/>
                      <w:iCs/>
                      <w:color w:val="000000"/>
                      <w:szCs w:val="24"/>
                      <w:lang w:eastAsia="lt-LT"/>
                    </w:rPr>
                    <w:t>(de minimis)</w:t>
                  </w:r>
                  <w:r>
                    <w:rPr>
                      <w:color w:val="000000"/>
                      <w:szCs w:val="24"/>
                      <w:lang w:eastAsia="lt-LT"/>
                    </w:rPr>
                    <w:t xml:space="preserve"> pagalbos tautinio paveldo produktams saugoti, kurti, realizuoti ir populiarinti (toliau – pagalba) teikimo iš valstybės biudžeto lėšų sąlygas ir tvarką.</w:t>
                  </w:r>
                </w:p>
              </w:sdtContent>
            </w:sdt>
            <w:sdt>
              <w:sdtPr>
                <w:alias w:val="2 p."/>
                <w:tag w:val="part_af0263fa03584b908cf5795b124700cf"/>
                <w:lock w:val="sdtLocked"/>
                <w:richText/>
              </w:sdtPr>
              <w:sdtContent>
                <w:p w14:paraId="24EDA7C0"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af0263fa03584b908cf5795b124700cf"/>
                      <w:lock w:val="sdtLocked"/>
                      <w:richText/>
                    </w:sdtPr>
                    <w:sdtContent>
                      <w:r>
                        <w:rPr>
                          <w:color w:val="000000"/>
                          <w:szCs w:val="24"/>
                          <w:lang w:eastAsia="lt-LT"/>
                        </w:rPr>
                        <w:t>2</w:t>
                      </w:r>
                    </w:sdtContent>
                  </w:sdt>
                  <w:r>
                    <w:rPr>
                      <w:color w:val="000000"/>
                      <w:szCs w:val="24"/>
                      <w:lang w:eastAsia="lt-LT"/>
                    </w:rPr>
                    <w:t xml:space="preserve">. Šios taisyklės parengtos vadovaujantis 2013 m. gruodžio 18 d. Komisijos reglamentu </w:t>
                  </w:r>
                  <w:fldSimple w:instr="HYPERLINK http://eur-lex.europa.eu/legal-content/LIT/TXT/?uri=CELEX:32013R1407&amp;locale=lt \t _blank">
                    <w:r>
                      <w:rPr>
                        <w:color w:val="0000FF" w:themeColor="hyperlink"/>
                        <w:szCs w:val="24"/>
                        <w:lang w:eastAsia="lt-LT"/>
                        <w:u w:val="single"/>
                      </w:rPr>
                      <w:t>(ES) Nr. 1407/2013</w:t>
                    </w:r>
                  </w:fldSimple>
                  <w:r>
                    <w:rPr>
                      <w:color w:val="000000"/>
                      <w:szCs w:val="24"/>
                      <w:lang w:eastAsia="lt-LT"/>
                    </w:rPr>
                    <w:t xml:space="preserve"> dėl Sutarties dėl Europos Sąjungos veikimo 107 ir 108 straipsnių taikymo </w:t>
                  </w:r>
                  <w:r>
                    <w:rPr>
                      <w:i/>
                      <w:color w:val="000000"/>
                      <w:szCs w:val="24"/>
                      <w:lang w:eastAsia="lt-LT"/>
                    </w:rPr>
                    <w:t>de minimis</w:t>
                  </w:r>
                  <w:r>
                    <w:rPr>
                      <w:color w:val="000000"/>
                      <w:szCs w:val="24"/>
                      <w:lang w:eastAsia="lt-LT"/>
                    </w:rPr>
                    <w:t xml:space="preserve"> pagalbai su visais pakeitimais (toliau – reglamentas </w:t>
                  </w:r>
                  <w:fldSimple w:instr="HYPERLINK http://eur-lex.europa.eu/legal-content/LIT/TXT/?uri=CELEX:32013R1407&amp;locale=lt \t _blank">
                    <w:r>
                      <w:rPr>
                        <w:color w:val="0000FF" w:themeColor="hyperlink"/>
                        <w:szCs w:val="24"/>
                        <w:lang w:eastAsia="lt-LT"/>
                        <w:u w:val="single"/>
                      </w:rPr>
                      <w:t>(ES) Nr. 1407/2013</w:t>
                    </w:r>
                  </w:fldSimple>
                  <w:r>
                    <w:rPr>
                      <w:color w:val="000000"/>
                      <w:szCs w:val="24"/>
                      <w:lang w:eastAsia="lt-LT"/>
                    </w:rPr>
                    <w:t xml:space="preserve">), Lietuvos Respublikos tautinio paveldo produktų įstatymu (toliau – Įstatymas), Valstybės pagalbos žemės ūkiui, maisto ūkiui, žuvininkystei ir kaimo plėtrai ir kitų iš valstybės biudžeto lėšų finansuojamų priemonių bendrosiomis administravimo taisyklėmis, patvirtintomis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(toliau – Bendrosios administravimo taisyklės), Pagrindinių reikalavimų prisiimant įsipareigojimus mokėti paramą iš valstybės biudžeto lėšų žemės ūkio, kaimo plėtros ir žuvininkystės srityse aprašu, patvirtintu Lietuvos Respublikos žemės ūkio ministro 2014 m. rugsėjo 25 d. įsakymu Nr. 3D-652 „Dėl Pagrindinių reikalavimų prisiimant įsipareigojimus mokėti paramą iš valstybės biudžeto lėšų žemės ūkio, kaimo plėtros ir žuvininkystės srityse aprašo patvirtinimo“ (toliau – Pagrindinių reikalavimų aprašas). </w:t>
                  </w:r>
                </w:p>
              </w:sdtContent>
            </w:sdt>
            <w:sdt>
              <w:sdtPr>
                <w:alias w:val="3 p."/>
                <w:tag w:val="part_984f75d2fc604d0888a5cbb8a05f4a8f"/>
                <w:lock w:val="sdtLocked"/>
                <w:richText/>
              </w:sdtPr>
              <w:sdtContent>
                <w:p w14:paraId="4C4926FF"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984f75d2fc604d0888a5cbb8a05f4a8f"/>
                      <w:lock w:val="sdtLocked"/>
                      <w:richText/>
                    </w:sdtPr>
                    <w:sdtContent>
                      <w:r>
                        <w:rPr>
                          <w:color w:val="000000"/>
                          <w:szCs w:val="24"/>
                          <w:lang w:eastAsia="lt-LT"/>
                        </w:rPr>
                        <w:t>3</w:t>
                      </w:r>
                    </w:sdtContent>
                  </w:sdt>
                  <w:r>
                    <w:rPr>
                      <w:color w:val="000000"/>
                      <w:szCs w:val="24"/>
                      <w:lang w:eastAsia="lt-LT"/>
                    </w:rPr>
                    <w:t xml:space="preserve">. Šiose taisyklėse vartojamos sąvokos apibrėžtos reglamente </w:t>
                  </w:r>
                  <w:fldSimple w:instr="HYPERLINK http://eur-lex.europa.eu/legal-content/LIT/TXT/?uri=CELEX:32013R1407&amp;locale=lt \t _blank">
                    <w:r>
                      <w:rPr>
                        <w:color w:val="0000FF" w:themeColor="hyperlink"/>
                        <w:szCs w:val="24"/>
                        <w:lang w:eastAsia="lt-LT"/>
                        <w:u w:val="single"/>
                      </w:rPr>
                      <w:t>(ES) Nr. 1407/2013</w:t>
                    </w:r>
                  </w:fldSimple>
                  <w:r>
                    <w:rPr>
                      <w:color w:val="000000"/>
                      <w:szCs w:val="24"/>
                      <w:lang w:eastAsia="lt-LT"/>
                    </w:rPr>
                    <w:t>, Įstatyme, Bendrosiose administravimo taisyklėse.</w:t>
                  </w:r>
                </w:p>
              </w:sdtContent>
            </w:sdt>
            <w:sdt>
              <w:sdtPr>
                <w:alias w:val="4 p."/>
                <w:tag w:val="part_8f8410b48a7c4ed08d303dbb17d9d644"/>
                <w:lock w:val="sdtLocked"/>
                <w:richText/>
              </w:sdtPr>
              <w:sdtContent>
                <w:p w14:paraId="2D69F1F5"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8f8410b48a7c4ed08d303dbb17d9d644"/>
                      <w:lock w:val="sdtLocked"/>
                      <w:richText/>
                    </w:sdtPr>
                    <w:sdtContent>
                      <w:r>
                        <w:rPr>
                          <w:color w:val="000000"/>
                          <w:szCs w:val="24"/>
                          <w:lang w:eastAsia="lt-LT"/>
                        </w:rPr>
                        <w:t>4</w:t>
                      </w:r>
                    </w:sdtContent>
                  </w:sdt>
                  <w:r>
                    <w:rPr>
                      <w:color w:val="000000"/>
                      <w:szCs w:val="24"/>
                      <w:lang w:eastAsia="lt-LT"/>
                    </w:rPr>
                    <w:t>. Tautinio paveldo veiklos finansavimo tikslas – skatinti tautinio paveldo produktų saugojimą, kūrimą ir realizavimą, populiarinti tradicinius amatus ir tautinio paveldo produktus, formuoti patrauklų tautinio paveldo produktų įvaizdį šalyje ir užsienyje.</w:t>
                  </w:r>
                </w:p>
                <w:p w14:paraId="54741E5E" w14:textId="77777777">
                  <w:pPr>
                    <w:widowControl w:val="0"/>
                    <w:overflowPunct w:val="0"/>
                    <w:ind w:firstLine="720"/>
                    <w:textAlignment w:val="baseline"/>
                    <w:rPr>
                      <w:b/>
                      <w:szCs w:val="24"/>
                      <w:lang w:eastAsia="lt-LT"/>
                    </w:rPr>
                  </w:pPr>
                </w:p>
              </w:sdtContent>
            </w:sdt>
          </w:sdtContent>
        </w:sdt>
        <w:sdt>
          <w:sdtPr>
            <w:alias w:val="skyrius"/>
            <w:tag w:val="part_aa9c828732aa406cb7994e898ba7c5d6"/>
            <w:lock w:val="sdtLocked"/>
            <w:richText/>
          </w:sdtPr>
          <w:sdtContent>
            <w:p w14:paraId="05BDD83D" w14:textId="77777777">
              <w:pPr>
                <w:jc w:val="center"/>
                <w:rPr>
                  <w:b/>
                  <w:szCs w:val="24"/>
                  <w:lang w:eastAsia="lt-LT"/>
                </w:rPr>
              </w:pPr>
              <w:sdt>
                <w:sdtPr>
                  <w:alias w:val="Numeris"/>
                  <w:tag w:val="nr_aa9c828732aa406cb7994e898ba7c5d6"/>
                  <w:lock w:val="sdtLocked"/>
                  <w:richText/>
                </w:sdtPr>
                <w:sdtContent>
                  <w:r>
                    <w:rPr>
                      <w:b/>
                      <w:szCs w:val="24"/>
                      <w:lang w:eastAsia="lt-LT"/>
                    </w:rPr>
                    <w:t>II</w:t>
                  </w:r>
                </w:sdtContent>
              </w:sdt>
              <w:r>
                <w:rPr>
                  <w:b/>
                  <w:szCs w:val="24"/>
                  <w:lang w:eastAsia="lt-LT"/>
                </w:rPr>
                <w:t xml:space="preserve"> SKYRIUS</w:t>
              </w:r>
            </w:p>
            <w:p w14:paraId="5F1D58B3" w14:textId="77777777">
              <w:pPr>
                <w:jc w:val="center"/>
                <w:rPr>
                  <w:b/>
                  <w:szCs w:val="24"/>
                  <w:lang w:eastAsia="lt-LT"/>
                </w:rPr>
              </w:pPr>
              <w:sdt>
                <w:sdtPr>
                  <w:alias w:val="Pavadinimas"/>
                  <w:tag w:val="title_aa9c828732aa406cb7994e898ba7c5d6"/>
                  <w:lock w:val="sdtLocked"/>
                  <w:richText/>
                </w:sdtPr>
                <w:sdtContent>
                  <w:r>
                    <w:rPr>
                      <w:b/>
                      <w:szCs w:val="24"/>
                      <w:lang w:eastAsia="lt-LT"/>
                    </w:rPr>
                    <w:t>PAGRINDINIAI FINANSAVIMO PRINCIPAI</w:t>
                  </w:r>
                </w:sdtContent>
              </w:sdt>
            </w:p>
            <w:p w14:paraId="03E0C23E" w14:textId="77777777">
              <w:pPr>
                <w:jc w:val="center"/>
                <w:rPr>
                  <w:b/>
                  <w:szCs w:val="24"/>
                  <w:lang w:eastAsia="lt-LT"/>
                </w:rPr>
              </w:pPr>
            </w:p>
            <w:sdt>
              <w:sdtPr>
                <w:alias w:val="5 p."/>
                <w:tag w:val="part_e78f16817e8b4eacb261de656fff4014"/>
                <w:lock w:val="sdtLocked"/>
                <w:richText/>
              </w:sdtPr>
              <w:sdtContent>
                <w:p w14:paraId="6088779F"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e78f16817e8b4eacb261de656fff4014"/>
                      <w:lock w:val="sdtLocked"/>
                      <w:richText/>
                    </w:sdtPr>
                    <w:sdtContent>
                      <w:r>
                        <w:rPr>
                          <w:color w:val="000000"/>
                          <w:szCs w:val="24"/>
                          <w:lang w:eastAsia="lt-LT"/>
                        </w:rPr>
                        <w:t>5</w:t>
                      </w:r>
                    </w:sdtContent>
                  </w:sdt>
                  <w:r>
                    <w:rPr>
                      <w:color w:val="000000"/>
                      <w:szCs w:val="24"/>
                      <w:lang w:eastAsia="lt-LT"/>
                    </w:rPr>
                    <w:t>. Pagal šias taisykles pagalba teikiama laikantis šių reikalavimų:</w:t>
                  </w:r>
                </w:p>
                <w:sdt>
                  <w:sdtPr>
                    <w:alias w:val="5.1 pp."/>
                    <w:tag w:val="part_cc3b6c44c9144477b414747f75c4ef83"/>
                    <w:lock w:val="sdtLocked"/>
                    <w:richText/>
                  </w:sdtPr>
                  <w:sdtContent>
                    <w:p w14:paraId="6E620A51"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cc3b6c44c9144477b414747f75c4ef83"/>
                          <w:lock w:val="sdtLocked"/>
                          <w:richText/>
                        </w:sdtPr>
                        <w:sdtContent>
                          <w:r>
                            <w:rPr>
                              <w:color w:val="000000"/>
                              <w:szCs w:val="24"/>
                              <w:lang w:eastAsia="lt-LT"/>
                            </w:rPr>
                            <w:t>5.1</w:t>
                          </w:r>
                        </w:sdtContent>
                      </w:sdt>
                      <w:r>
                        <w:rPr>
                          <w:color w:val="000000"/>
                          <w:szCs w:val="24"/>
                          <w:lang w:eastAsia="lt-LT"/>
                        </w:rPr>
                        <w:t xml:space="preserve">. pagalbos suma, suteikta vienam ūkio subjektui (t. y. bet kokiam ekonominę veiklą vykdančiam subjektui, nepaisant jo teisinio statuso ir finansavimo būdų, atitinkančiam reglamento </w:t>
                      </w:r>
                      <w:fldSimple w:instr="HYPERLINK http://eur-lex.europa.eu/legal-content/LIT/TXT/?uri=CELEX:32013R1407&amp;locale=lt \t _blank">
                        <w:r>
                          <w:rPr>
                            <w:color w:val="0000FF" w:themeColor="hyperlink"/>
                            <w:szCs w:val="24"/>
                            <w:lang w:eastAsia="lt-LT"/>
                            <w:u w:val="single"/>
                          </w:rPr>
                          <w:t>(ES) Nr. 1407/2013</w:t>
                        </w:r>
                      </w:fldSimple>
                      <w:r>
                        <w:rPr>
                          <w:color w:val="000000"/>
                          <w:szCs w:val="24"/>
                          <w:lang w:eastAsia="lt-LT"/>
                        </w:rPr>
                        <w:t xml:space="preserve"> 2 straipsnio 2 dalyje nustatytus kriterijus) per bet kurį trejų finansinių metų laikotarpį negali viršyti 200 000 Eur;</w:t>
                      </w:r>
                    </w:p>
                  </w:sdtContent>
                </w:sdt>
                <w:sdt>
                  <w:sdtPr>
                    <w:alias w:val="5.2 pp."/>
                    <w:tag w:val="part_dfd0c6c6eac0474f934303ad1e262bc8"/>
                    <w:lock w:val="sdtLocked"/>
                    <w:richText/>
                  </w:sdtPr>
                  <w:sdtContent>
                    <w:p w14:paraId="4232B36C"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dfd0c6c6eac0474f934303ad1e262bc8"/>
                          <w:lock w:val="sdtLocked"/>
                          <w:richText/>
                        </w:sdtPr>
                        <w:sdtContent>
                          <w:r>
                            <w:rPr>
                              <w:color w:val="000000"/>
                              <w:szCs w:val="24"/>
                              <w:lang w:eastAsia="lt-LT"/>
                            </w:rPr>
                            <w:t>5.2</w:t>
                          </w:r>
                        </w:sdtContent>
                      </w:sdt>
                      <w:r>
                        <w:rPr>
                          <w:color w:val="000000"/>
                          <w:szCs w:val="24"/>
                          <w:lang w:eastAsia="lt-LT"/>
                        </w:rPr>
                        <w:t xml:space="preserve">. jei pagalbos gavėjas vykdo veiklą keliuose sektoriuose, teikiama pagalba sumuojama vadovaujantis reglamento </w:t>
                      </w:r>
                      <w:fldSimple w:instr="HYPERLINK http://eur-lex.europa.eu/legal-content/LIT/TXT/?uri=CELEX:32013R1407&amp;locale=lt \t _blank">
                        <w:r>
                          <w:rPr>
                            <w:color w:val="0000FF" w:themeColor="hyperlink"/>
                            <w:szCs w:val="24"/>
                            <w:lang w:eastAsia="lt-LT"/>
                            <w:u w:val="single"/>
                          </w:rPr>
                          <w:t>(ES) Nr. 1407/2013</w:t>
                        </w:r>
                      </w:fldSimple>
                      <w:r>
                        <w:rPr>
                          <w:color w:val="000000"/>
                          <w:szCs w:val="24"/>
                          <w:lang w:eastAsia="lt-LT"/>
                        </w:rPr>
                        <w:t xml:space="preserve"> 5 straipsnio 1 dalies nuostatomis;</w:t>
                      </w:r>
                    </w:p>
                  </w:sdtContent>
                </w:sdt>
                <w:sdt>
                  <w:sdtPr>
                    <w:alias w:val="5.3 pp."/>
                    <w:tag w:val="part_1ac1d8ec5bf746ee8e929d9b3f50a629"/>
                    <w:lock w:val="sdtLocked"/>
                    <w:richText/>
                  </w:sdtPr>
                  <w:sdtContent>
                    <w:p w14:paraId="2E1A0296"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1ac1d8ec5bf746ee8e929d9b3f50a629"/>
                          <w:lock w:val="sdtLocked"/>
                          <w:richText/>
                        </w:sdtPr>
                        <w:sdtContent>
                          <w:r>
                            <w:rPr>
                              <w:color w:val="000000"/>
                              <w:szCs w:val="24"/>
                              <w:lang w:eastAsia="lt-LT"/>
                            </w:rPr>
                            <w:t>5.3</w:t>
                          </w:r>
                        </w:sdtContent>
                      </w:sdt>
                      <w:r>
                        <w:rPr>
                          <w:color w:val="000000"/>
                          <w:szCs w:val="24"/>
                          <w:lang w:eastAsia="lt-LT"/>
                        </w:rPr>
                        <w:t xml:space="preserve">. pagalbos gavėjų reorganizavimo atveju apskaičiuojant, ar suteikus pagalbą pagalbos gavėjui nebus viršyta leistina viršutinė riba, turi būti taikomos reglamento </w:t>
                      </w:r>
                      <w:fldSimple w:instr="HYPERLINK http://eur-lex.europa.eu/legal-content/LIT/TXT/?uri=CELEX:32013R1407&amp;locale=lt \t _blank">
                        <w:r>
                          <w:rPr>
                            <w:color w:val="0000FF" w:themeColor="hyperlink"/>
                            <w:szCs w:val="24"/>
                            <w:lang w:eastAsia="lt-LT"/>
                            <w:u w:val="single"/>
                          </w:rPr>
                          <w:t>(ES) Nr. 1407/2013</w:t>
                        </w:r>
                      </w:fldSimple>
                      <w:r>
                        <w:rPr>
                          <w:color w:val="000000"/>
                          <w:szCs w:val="24"/>
                          <w:lang w:eastAsia="lt-LT"/>
                        </w:rPr>
                        <w:t xml:space="preserve"> 3 straipsnio 8 ir 9 dalies nuostatos.</w:t>
                      </w:r>
                    </w:p>
                  </w:sdtContent>
                </w:sdt>
              </w:sdtContent>
            </w:sdt>
            <w:sdt>
              <w:sdtPr>
                <w:alias w:val="6 p."/>
                <w:tag w:val="part_820e2ba5025944ef837af27da7313bb4"/>
                <w:lock w:val="sdtLocked"/>
                <w:richText/>
              </w:sdtPr>
              <w:sdtContent>
                <w:p w14:paraId="36E211DB"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820e2ba5025944ef837af27da7313bb4"/>
                      <w:lock w:val="sdtLocked"/>
                      <w:richText/>
                    </w:sdtPr>
                    <w:sdtContent>
                      <w:r>
                        <w:rPr>
                          <w:color w:val="000000"/>
                          <w:szCs w:val="24"/>
                          <w:lang w:eastAsia="lt-LT"/>
                        </w:rPr>
                        <w:t>6</w:t>
                      </w:r>
                    </w:sdtContent>
                  </w:sdt>
                  <w:r>
                    <w:rPr>
                      <w:color w:val="000000"/>
                      <w:szCs w:val="24"/>
                      <w:lang w:eastAsia="lt-LT"/>
                    </w:rPr>
                    <w:t xml:space="preserve">. Pagalba neteikiama žemės ūkio produktų pirminei gamybai (pirminė gamyba – kaip apibrėžta 2002 m. sausio 28 d. Europos Parlamento ir Tarybos reglamento </w:t>
                  </w:r>
                  <w:fldSimple w:instr="HYPERLINK http://eur-lex.europa.eu/legal-content/LIT/TXT/?uri=CELEX:32002R0178&amp;locale=lt \t _blank">
                    <w:r>
                      <w:rPr>
                        <w:color w:val="0000FF" w:themeColor="hyperlink"/>
                        <w:szCs w:val="24"/>
                        <w:lang w:eastAsia="lt-LT"/>
                        <w:u w:val="single"/>
                      </w:rPr>
                      <w:t>(EB) Nr. 178/2002</w:t>
                    </w:r>
                  </w:fldSimple>
                  <w:r>
                    <w:rPr>
                      <w:color w:val="000000"/>
                      <w:szCs w:val="24"/>
                      <w:lang w:eastAsia="lt-LT"/>
                    </w:rPr>
                    <w:t>, nustatančio maistui skirtų teisės aktų bendruosius principus ir reikalavimus, įsteigiančio Europos maisto saugos tarnybą ir nustatančio su maisto saugos klausimais susijusias procedūras, su visais pakeitimais.</w:t>
                  </w:r>
                </w:p>
              </w:sdtContent>
            </w:sdt>
            <w:sdt>
              <w:sdtPr>
                <w:alias w:val="7 p."/>
                <w:tag w:val="part_9946ac9f87224246a01f0aeaad1f8587"/>
                <w:lock w:val="sdtLocked"/>
                <w:richText/>
              </w:sdtPr>
              <w:sdtContent>
                <w:p w14:paraId="19D3BE7A"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9946ac9f87224246a01f0aeaad1f8587"/>
                      <w:lock w:val="sdtLocked"/>
                      <w:richText/>
                    </w:sdtPr>
                    <w:sdtContent>
                      <w:r>
                        <w:rPr>
                          <w:szCs w:val="24"/>
                          <w:lang w:eastAsia="lt-LT"/>
                        </w:rPr>
                        <w:t>7</w:t>
                      </w:r>
                    </w:sdtContent>
                  </w:sdt>
                  <w:r>
                    <w:rPr>
                      <w:szCs w:val="24"/>
                      <w:lang w:eastAsia="lt-LT"/>
                    </w:rPr>
                    <w:t xml:space="preserve">. </w:t>
                  </w:r>
                  <w:r>
                    <w:rPr>
                      <w:color w:val="000000"/>
                      <w:szCs w:val="24"/>
                      <w:lang w:eastAsia="lt-LT"/>
                    </w:rPr>
                    <w:t>Pareiškėjui pagal šias taisykles pagalba gali būti skiriama, jei jis nėra gavęs ir nesiekia gauti paramos ar pagalbos iš kitų nacionalinių ir ES programų paraiškoje numatytoms išlaidoms finansuoti.</w:t>
                  </w:r>
                </w:p>
              </w:sdtContent>
            </w:sdt>
            <w:sdt>
              <w:sdtPr>
                <w:alias w:val="8 p."/>
                <w:tag w:val="part_b645c960abdd4835a917ed813eccae29"/>
                <w:lock w:val="sdtLocked"/>
                <w:richText/>
              </w:sdtPr>
              <w:sdtContent>
                <w:p w14:paraId="6B3EFF79" w14:textId="77777777">
                  <w:pPr>
                    <w:widowControl w:val="0"/>
                    <w:suppressAutoHyphens/>
                    <w:overflowPunct w:val="0"/>
                    <w:spacing w:line="360" w:lineRule="auto"/>
                    <w:ind w:firstLine="720"/>
                    <w:jc w:val="both"/>
                    <w:textAlignment w:val="baseline"/>
                    <w:rPr>
                      <w:szCs w:val="24"/>
                      <w:lang w:eastAsia="lt-LT"/>
                    </w:rPr>
                  </w:pPr>
                  <w:sdt>
                    <w:sdtPr>
                      <w:alias w:val="Numeris"/>
                      <w:tag w:val="nr_b645c960abdd4835a917ed813eccae29"/>
                      <w:lock w:val="sdtLocked"/>
                      <w:richText/>
                    </w:sdtPr>
                    <w:sdtContent>
                      <w:r>
                        <w:rPr>
                          <w:color w:val="000000"/>
                          <w:szCs w:val="24"/>
                          <w:lang w:eastAsia="lt-LT"/>
                        </w:rPr>
                        <w:t>8</w:t>
                      </w:r>
                    </w:sdtContent>
                  </w:sdt>
                  <w:r>
                    <w:rPr>
                      <w:color w:val="000000"/>
                      <w:szCs w:val="24"/>
                      <w:lang w:eastAsia="lt-LT"/>
                    </w:rPr>
                    <w:t xml:space="preserve">. </w:t>
                  </w:r>
                  <w:r>
                    <w:rPr>
                      <w:szCs w:val="24"/>
                      <w:lang w:eastAsia="lt-LT"/>
                    </w:rPr>
                    <w:t xml:space="preserve">Pareiškėjas per kvietimą teikti paraiškas gali pateikti tik vieną paraišką šių taisyklių       10.2–10.4 papunkčiuose nurodytoms veikloms finansuoti (toliau – paraiška) (taisyklių 1 priedas). Jeigu pareiškėjas yra asociacija arba tradicinių amatų centras, jos narys (galutinis pagalbos gavėjas, nurodytas paraiškoje) negali teikti paraiškos toms pačioms išlaidoms, kurioms prašoma pagalbos asociacijos arba tradicinių amatų centro paraiškoje, finansuoti. </w:t>
                  </w:r>
                </w:p>
              </w:sdtContent>
            </w:sdt>
            <w:sdt>
              <w:sdtPr>
                <w:alias w:val="9 p."/>
                <w:tag w:val="part_db92a51f759c47cd88f280d773b4e494"/>
                <w:lock w:val="sdtLocked"/>
                <w:richText/>
              </w:sdtPr>
              <w:sdtContent>
                <w:p w14:paraId="6ADBA4CA"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db92a51f759c47cd88f280d773b4e494"/>
                      <w:lock w:val="sdtLocked"/>
                      <w:richText/>
                    </w:sdtPr>
                    <w:sdtContent>
                      <w:r>
                        <w:rPr>
                          <w:szCs w:val="24"/>
                          <w:lang w:eastAsia="lt-LT"/>
                        </w:rPr>
                        <w:t>9</w:t>
                      </w:r>
                    </w:sdtContent>
                  </w:sdt>
                  <w:r>
                    <w:rPr>
                      <w:szCs w:val="24"/>
                      <w:lang w:eastAsia="lt-LT"/>
                    </w:rPr>
                    <w:t>. Paraiškos, kuriose prašoma pagalbos suma mažesnė nei 100 Eur, nepriimamos.</w:t>
                  </w:r>
                </w:p>
                <w:p w14:paraId="074DBF84" w14:textId="77777777">
                  <w:pPr>
                    <w:widowControl w:val="0"/>
                    <w:suppressAutoHyphens/>
                    <w:overflowPunct w:val="0"/>
                    <w:ind w:firstLine="720"/>
                    <w:jc w:val="both"/>
                    <w:textAlignment w:val="baseline"/>
                    <w:rPr>
                      <w:color w:val="000000"/>
                      <w:szCs w:val="24"/>
                      <w:lang w:eastAsia="lt-LT"/>
                    </w:rPr>
                  </w:pPr>
                </w:p>
              </w:sdtContent>
            </w:sdt>
          </w:sdtContent>
        </w:sdt>
        <w:sdt>
          <w:sdtPr>
            <w:alias w:val="skyrius"/>
            <w:tag w:val="part_e784a816bc364185875ab901317f1c76"/>
            <w:lock w:val="sdtLocked"/>
            <w:richText/>
          </w:sdtPr>
          <w:sdtContent>
            <w:p w14:paraId="4CB8CE3E" w14:textId="77777777">
              <w:pPr>
                <w:widowControl w:val="0"/>
                <w:suppressAutoHyphens/>
                <w:overflowPunct w:val="0"/>
                <w:ind w:firstLine="720"/>
                <w:jc w:val="center"/>
                <w:textAlignment w:val="baseline"/>
                <w:rPr>
                  <w:b/>
                  <w:szCs w:val="24"/>
                  <w:lang w:eastAsia="lt-LT"/>
                </w:rPr>
              </w:pPr>
              <w:sdt>
                <w:sdtPr>
                  <w:alias w:val="Numeris"/>
                  <w:tag w:val="nr_e784a816bc364185875ab901317f1c76"/>
                  <w:lock w:val="sdtLocked"/>
                  <w:richText/>
                </w:sdtPr>
                <w:sdtContent>
                  <w:r>
                    <w:rPr>
                      <w:b/>
                      <w:szCs w:val="24"/>
                      <w:lang w:eastAsia="lt-LT"/>
                    </w:rPr>
                    <w:t>III</w:t>
                  </w:r>
                </w:sdtContent>
              </w:sdt>
              <w:r>
                <w:rPr>
                  <w:b/>
                  <w:szCs w:val="24"/>
                  <w:lang w:eastAsia="lt-LT"/>
                </w:rPr>
                <w:t xml:space="preserve"> SKYRIUS </w:t>
              </w:r>
            </w:p>
            <w:p w14:paraId="68CD0F91" w14:textId="77777777">
              <w:pPr>
                <w:widowControl w:val="0"/>
                <w:suppressAutoHyphens/>
                <w:overflowPunct w:val="0"/>
                <w:ind w:firstLine="720"/>
                <w:jc w:val="center"/>
                <w:textAlignment w:val="baseline"/>
                <w:rPr>
                  <w:b/>
                  <w:szCs w:val="24"/>
                  <w:lang w:eastAsia="lt-LT"/>
                </w:rPr>
              </w:pPr>
              <w:sdt>
                <w:sdtPr>
                  <w:alias w:val="Pavadinimas"/>
                  <w:tag w:val="title_e784a816bc364185875ab901317f1c76"/>
                  <w:lock w:val="sdtLocked"/>
                  <w:richText/>
                </w:sdtPr>
                <w:sdtContent>
                  <w:r>
                    <w:rPr>
                      <w:b/>
                      <w:szCs w:val="24"/>
                      <w:lang w:eastAsia="lt-LT"/>
                    </w:rPr>
                    <w:t>FINANSUOJAMOS VEIKLOS</w:t>
                  </w:r>
                </w:sdtContent>
              </w:sdt>
            </w:p>
            <w:p w14:paraId="1DDB0EDC" w14:textId="77777777">
              <w:pPr>
                <w:widowControl w:val="0"/>
                <w:suppressAutoHyphens/>
                <w:overflowPunct w:val="0"/>
                <w:ind w:firstLine="720"/>
                <w:jc w:val="center"/>
                <w:textAlignment w:val="baseline"/>
                <w:rPr>
                  <w:b/>
                  <w:szCs w:val="24"/>
                  <w:lang w:eastAsia="lt-LT"/>
                </w:rPr>
              </w:pPr>
            </w:p>
            <w:sdt>
              <w:sdtPr>
                <w:alias w:val="10 p."/>
                <w:tag w:val="part_81873563b9b346189e448777a921f20e"/>
                <w:lock w:val="sdtLocked"/>
                <w:richText/>
              </w:sdtPr>
              <w:sdtContent>
                <w:p w14:paraId="77D5D7F3"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81873563b9b346189e448777a921f20e"/>
                      <w:lock w:val="sdtLocked"/>
                      <w:richText/>
                    </w:sdtPr>
                    <w:sdtContent>
                      <w:r>
                        <w:rPr>
                          <w:color w:val="000000"/>
                          <w:szCs w:val="24"/>
                          <w:lang w:eastAsia="lt-LT"/>
                        </w:rPr>
                        <w:t>10</w:t>
                      </w:r>
                    </w:sdtContent>
                  </w:sdt>
                  <w:r>
                    <w:rPr>
                      <w:color w:val="000000"/>
                      <w:szCs w:val="24"/>
                      <w:lang w:eastAsia="lt-LT"/>
                    </w:rPr>
                    <w:t>. Pagal šias taisykles pagalba gali būti skiriama:</w:t>
                  </w:r>
                </w:p>
                <w:sdt>
                  <w:sdtPr>
                    <w:alias w:val="10.1 pp."/>
                    <w:tag w:val="part_84d77046c2e84ac3b801cefdcdeb7b5f"/>
                    <w:lock w:val="sdtLocked"/>
                    <w:richText/>
                  </w:sdtPr>
                  <w:sdtContent>
                    <w:p w14:paraId="61CA70CC"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84d77046c2e84ac3b801cefdcdeb7b5f"/>
                          <w:lock w:val="sdtLocked"/>
                          <w:richText/>
                        </w:sdtPr>
                        <w:sdtContent>
                          <w:r>
                            <w:rPr>
                              <w:color w:val="000000"/>
                              <w:szCs w:val="24"/>
                              <w:lang w:eastAsia="lt-LT"/>
                            </w:rPr>
                            <w:t>10.1</w:t>
                          </w:r>
                        </w:sdtContent>
                      </w:sdt>
                      <w:r>
                        <w:rPr>
                          <w:color w:val="000000"/>
                          <w:szCs w:val="24"/>
                          <w:lang w:eastAsia="lt-LT"/>
                        </w:rPr>
                        <w:t>. kompensuoti A kategorijos tautinio paveldo produkto sertifikavimo išlaidas;</w:t>
                      </w:r>
                    </w:p>
                  </w:sdtContent>
                </w:sdt>
                <w:sdt>
                  <w:sdtPr>
                    <w:alias w:val="10.2 pp."/>
                    <w:tag w:val="part_16fded54088f48678f26c4a9385cb8b1"/>
                    <w:lock w:val="sdtLocked"/>
                    <w:richText/>
                  </w:sdtPr>
                  <w:sdtContent>
                    <w:p w14:paraId="2E563520"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16fded54088f48678f26c4a9385cb8b1"/>
                          <w:lock w:val="sdtLocked"/>
                          <w:richText/>
                        </w:sdtPr>
                        <w:sdtContent>
                          <w:r>
                            <w:rPr>
                              <w:color w:val="000000"/>
                              <w:szCs w:val="24"/>
                              <w:lang w:eastAsia="lt-LT"/>
                            </w:rPr>
                            <w:t>10.2</w:t>
                          </w:r>
                        </w:sdtContent>
                      </w:sdt>
                      <w:r>
                        <w:rPr>
                          <w:color w:val="000000"/>
                          <w:szCs w:val="24"/>
                          <w:lang w:eastAsia="lt-LT"/>
                        </w:rPr>
                        <w:t>. A ir (ar) B kategorijos tautinio paveldo produktams kurti, pagaminti, demonstruoti, realizuoti ir (arba) tradiciniams amatams demonstruoti Lietuvoje ir (arba) užsienyje;</w:t>
                      </w:r>
                    </w:p>
                  </w:sdtContent>
                </w:sdt>
                <w:sdt>
                  <w:sdtPr>
                    <w:alias w:val="10.3 pp."/>
                    <w:tag w:val="part_f12ebb7e35d84e5ba9ec75fa5e0d459d"/>
                    <w:lock w:val="sdtLocked"/>
                    <w:richText/>
                  </w:sdtPr>
                  <w:sdtContent>
                    <w:p w14:paraId="3C40DF7F"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f12ebb7e35d84e5ba9ec75fa5e0d459d"/>
                          <w:lock w:val="sdtLocked"/>
                          <w:richText/>
                        </w:sdtPr>
                        <w:sdtContent>
                          <w:r>
                            <w:rPr>
                              <w:color w:val="000000"/>
                              <w:szCs w:val="24"/>
                              <w:lang w:eastAsia="lt-LT"/>
                            </w:rPr>
                            <w:t>10.3</w:t>
                          </w:r>
                        </w:sdtContent>
                      </w:sdt>
                      <w:r>
                        <w:rPr>
                          <w:color w:val="000000"/>
                          <w:szCs w:val="24"/>
                          <w:lang w:eastAsia="lt-LT"/>
                        </w:rPr>
                        <w:t>. A ir (ar) B kategorijos tautinio paveldo produktų populiarinimo leidinių leidybai;</w:t>
                      </w:r>
                    </w:p>
                  </w:sdtContent>
                </w:sdt>
                <w:sdt>
                  <w:sdtPr>
                    <w:alias w:val="10.4 pp."/>
                    <w:tag w:val="part_149ace3e7c8b42679840c592d824ec11"/>
                    <w:lock w:val="sdtLocked"/>
                    <w:richText/>
                  </w:sdtPr>
                  <w:sdtContent>
                    <w:p w14:paraId="1FCAE0EF"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149ace3e7c8b42679840c592d824ec11"/>
                          <w:lock w:val="sdtLocked"/>
                          <w:richText/>
                        </w:sdtPr>
                        <w:sdtContent>
                          <w:r>
                            <w:rPr>
                              <w:color w:val="000000"/>
                              <w:szCs w:val="24"/>
                              <w:lang w:eastAsia="lt-LT"/>
                            </w:rPr>
                            <w:t>10.4</w:t>
                          </w:r>
                        </w:sdtContent>
                      </w:sdt>
                      <w:r>
                        <w:rPr>
                          <w:color w:val="000000"/>
                          <w:szCs w:val="24"/>
                          <w:lang w:eastAsia="lt-LT"/>
                        </w:rPr>
                        <w:t>. tradicinių amatų edukaciniams užsiėmimas organizuoti.</w:t>
                      </w:r>
                    </w:p>
                    <w:p w14:paraId="4523E37A" w14:textId="77777777">
                      <w:pPr>
                        <w:widowControl w:val="0"/>
                        <w:suppressAutoHyphens/>
                        <w:overflowPunct w:val="0"/>
                        <w:ind w:firstLine="720"/>
                        <w:jc w:val="both"/>
                        <w:textAlignment w:val="baseline"/>
                        <w:rPr>
                          <w:color w:val="000000"/>
                          <w:szCs w:val="24"/>
                          <w:lang w:eastAsia="lt-LT"/>
                        </w:rPr>
                      </w:pPr>
                    </w:p>
                  </w:sdtContent>
                </w:sdt>
              </w:sdtContent>
            </w:sdt>
          </w:sdtContent>
        </w:sdt>
        <w:sdt>
          <w:sdtPr>
            <w:alias w:val="skyrius"/>
            <w:tag w:val="part_c14cbbbba0fa4179825d8076b0db23fd"/>
            <w:lock w:val="sdtLocked"/>
            <w:richText/>
          </w:sdtPr>
          <w:sdtContent>
            <w:p w14:paraId="0CDA9112" w14:textId="77777777">
              <w:pPr>
                <w:jc w:val="center"/>
                <w:rPr>
                  <w:b/>
                  <w:szCs w:val="24"/>
                  <w:lang w:eastAsia="lt-LT"/>
                </w:rPr>
              </w:pPr>
              <w:sdt>
                <w:sdtPr>
                  <w:alias w:val="Numeris"/>
                  <w:tag w:val="nr_c14cbbbba0fa4179825d8076b0db23fd"/>
                  <w:lock w:val="sdtLocked"/>
                  <w:richText/>
                </w:sdtPr>
                <w:sdtContent>
                  <w:r>
                    <w:rPr>
                      <w:b/>
                      <w:szCs w:val="24"/>
                      <w:lang w:eastAsia="lt-LT"/>
                    </w:rPr>
                    <w:t>IV</w:t>
                  </w:r>
                </w:sdtContent>
              </w:sdt>
              <w:r>
                <w:rPr>
                  <w:b/>
                  <w:szCs w:val="24"/>
                  <w:lang w:eastAsia="lt-LT"/>
                </w:rPr>
                <w:t xml:space="preserve"> SKYRIUS </w:t>
              </w:r>
            </w:p>
            <w:p w14:paraId="37FC1989" w14:textId="77777777">
              <w:pPr>
                <w:jc w:val="center"/>
                <w:rPr>
                  <w:b/>
                  <w:szCs w:val="24"/>
                  <w:lang w:eastAsia="lt-LT"/>
                </w:rPr>
              </w:pPr>
              <w:sdt>
                <w:sdtPr>
                  <w:alias w:val="Pavadinimas"/>
                  <w:tag w:val="title_c14cbbbba0fa4179825d8076b0db23fd"/>
                  <w:lock w:val="sdtLocked"/>
                  <w:richText/>
                </w:sdtPr>
                <w:sdtContent>
                  <w:r>
                    <w:rPr>
                      <w:b/>
                      <w:szCs w:val="24"/>
                      <w:lang w:eastAsia="lt-LT"/>
                    </w:rPr>
                    <w:t>TINKAMOS FINANSUOTI IŠLAIDOS IR PAGALBOS DYDIS</w:t>
                  </w:r>
                </w:sdtContent>
              </w:sdt>
            </w:p>
            <w:p w14:paraId="5D6C66DF" w14:textId="77777777">
              <w:pPr>
                <w:widowControl w:val="0"/>
                <w:suppressAutoHyphens/>
                <w:overflowPunct w:val="0"/>
                <w:jc w:val="center"/>
                <w:textAlignment w:val="baseline"/>
                <w:rPr>
                  <w:b/>
                  <w:color w:val="000000"/>
                  <w:szCs w:val="24"/>
                  <w:lang w:eastAsia="lt-LT"/>
                </w:rPr>
              </w:pPr>
            </w:p>
            <w:sdt>
              <w:sdtPr>
                <w:alias w:val="11 p."/>
                <w:tag w:val="part_f83665a4c6ef4604bc4c780e09d1b1da"/>
                <w:lock w:val="sdtLocked"/>
                <w:richText/>
              </w:sdtPr>
              <w:sdtContent>
                <w:p w14:paraId="22B36B81"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f83665a4c6ef4604bc4c780e09d1b1da"/>
                      <w:lock w:val="sdtLocked"/>
                      <w:richText/>
                    </w:sdtPr>
                    <w:sdtContent>
                      <w:r>
                        <w:rPr>
                          <w:color w:val="000000"/>
                          <w:szCs w:val="24"/>
                          <w:lang w:eastAsia="lt-LT"/>
                        </w:rPr>
                        <w:t>11</w:t>
                      </w:r>
                    </w:sdtContent>
                  </w:sdt>
                  <w:r>
                    <w:rPr>
                      <w:color w:val="000000"/>
                      <w:szCs w:val="24"/>
                      <w:lang w:eastAsia="lt-LT"/>
                    </w:rPr>
                    <w:t>. Pagal šias taisykles valstybės biudžeto lėšomis finansuojamos išlaidų rūšys:</w:t>
                  </w:r>
                </w:p>
                <w:sdt>
                  <w:sdtPr>
                    <w:alias w:val="11.1 pp."/>
                    <w:tag w:val="part_8991daee20804ec4a119ead2fa0cdda4"/>
                    <w:lock w:val="sdtLocked"/>
                    <w:richText/>
                  </w:sdtPr>
                  <w:sdtContent>
                    <w:p w14:paraId="582FFC51" w14:textId="77777777">
                      <w:pPr>
                        <w:widowControl w:val="0"/>
                        <w:suppressAutoHyphens/>
                        <w:overflowPunct w:val="0"/>
                        <w:spacing w:line="360" w:lineRule="auto"/>
                        <w:ind w:firstLine="720"/>
                        <w:jc w:val="both"/>
                        <w:textAlignment w:val="baseline"/>
                        <w:rPr>
                          <w:color w:val="000000"/>
                          <w:spacing w:val="-4"/>
                          <w:szCs w:val="24"/>
                          <w:lang w:eastAsia="lt-LT"/>
                        </w:rPr>
                      </w:pPr>
                      <w:sdt>
                        <w:sdtPr>
                          <w:alias w:val="Numeris"/>
                          <w:tag w:val="nr_8991daee20804ec4a119ead2fa0cdda4"/>
                          <w:lock w:val="sdtLocked"/>
                          <w:richText/>
                        </w:sdtPr>
                        <w:sdtContent>
                          <w:r>
                            <w:rPr>
                              <w:color w:val="000000"/>
                              <w:szCs w:val="24"/>
                              <w:lang w:eastAsia="lt-LT"/>
                            </w:rPr>
                            <w:t>11.1</w:t>
                          </w:r>
                        </w:sdtContent>
                      </w:sdt>
                      <w:r>
                        <w:rPr>
                          <w:color w:val="000000"/>
                          <w:szCs w:val="24"/>
                          <w:lang w:eastAsia="lt-LT"/>
                        </w:rPr>
                        <w:t xml:space="preserve">. pagal šių taisyklių 10.1 papunktį – fizinių asmenų kuriamo A kategorijos tautinio paveldo produkto, kuris ar kurių grupė nurodyti tame pačiame tautinio paveldo produkto sertifikate, sertifikavimo išlaidos. </w:t>
                      </w:r>
                      <w:r>
                        <w:rPr>
                          <w:szCs w:val="24"/>
                          <w:lang w:eastAsia="lt-LT"/>
                        </w:rPr>
                        <w:t>Prašoma pagalbos suma neturi būti didesnė nei valstybės rinkliavos už tautinio paveldo produkto sertifikato išdavimą dydis, patvirtintas Lietuvos Respublikos Vyriausybės 2000 m. gruodžio 15 d. nutarimu Nr. 1458 „Dėl Konkrečių valstybės rinkliavos dydžių sąrašo ir valstybės rinkliavos mokėjimo ir grąžinimo taisyklių patvirtinimo“;</w:t>
                      </w:r>
                    </w:p>
                  </w:sdtContent>
                </w:sdt>
                <w:sdt>
                  <w:sdtPr>
                    <w:alias w:val="11.2 pp."/>
                    <w:tag w:val="part_4c18940dd57b403ca513e1c5b99e4de1"/>
                    <w:lock w:val="sdtLocked"/>
                    <w:richText/>
                  </w:sdtPr>
                  <w:sdtContent>
                    <w:p w14:paraId="43EFA211"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4c18940dd57b403ca513e1c5b99e4de1"/>
                          <w:lock w:val="sdtLocked"/>
                          <w:richText/>
                        </w:sdtPr>
                        <w:sdtContent>
                          <w:r>
                            <w:rPr>
                              <w:color w:val="000000"/>
                              <w:szCs w:val="24"/>
                              <w:lang w:eastAsia="lt-LT"/>
                            </w:rPr>
                            <w:t>11.2</w:t>
                          </w:r>
                        </w:sdtContent>
                      </w:sdt>
                      <w:r>
                        <w:rPr>
                          <w:color w:val="000000"/>
                          <w:szCs w:val="24"/>
                          <w:lang w:eastAsia="lt-LT"/>
                        </w:rPr>
                        <w:t>. pagal šių taisyklių 10.2 papunktį – išlaidos A ir (ar) B kategorijos tautinio paveldo produktams kurti, pagaminti, demonstruoti, realizuoti ir (arba) tradiciniams amatams demonstruoti Lietuvoje ir (arba) užsienyje:</w:t>
                      </w:r>
                    </w:p>
                    <w:sdt>
                      <w:sdtPr>
                        <w:alias w:val="11.2.1 pp."/>
                        <w:tag w:val="part_54297add611d4436a2c9a2766f43420b"/>
                        <w:lock w:val="sdtLocked"/>
                        <w:richText/>
                      </w:sdtPr>
                      <w:sdtContent>
                        <w:p w14:paraId="5B293C91"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54297add611d4436a2c9a2766f43420b"/>
                              <w:lock w:val="sdtLocked"/>
                              <w:richText/>
                            </w:sdtPr>
                            <w:sdtContent>
                              <w:r>
                                <w:rPr>
                                  <w:color w:val="000000"/>
                                  <w:szCs w:val="24"/>
                                  <w:lang w:eastAsia="lt-LT"/>
                                </w:rPr>
                                <w:t>11.2.1</w:t>
                              </w:r>
                            </w:sdtContent>
                          </w:sdt>
                          <w:r>
                            <w:rPr>
                              <w:color w:val="000000"/>
                              <w:szCs w:val="24"/>
                              <w:lang w:eastAsia="lt-LT"/>
                            </w:rPr>
                            <w:t>. galutinio pagalbos gavėjo (1 asmens) kelionės išlaidos, vykstant į parodas, muges ir (arba) kitus viešuosius renginius:</w:t>
                          </w:r>
                        </w:p>
                        <w:sdt>
                          <w:sdtPr>
                            <w:alias w:val="11.2.1.1 pp."/>
                            <w:tag w:val="part_1d0fb118053e476aa8edee041b84131a"/>
                            <w:lock w:val="sdtLocked"/>
                            <w:richText/>
                          </w:sdtPr>
                          <w:sdtContent>
                            <w:p w14:paraId="58057113"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1d0fb118053e476aa8edee041b84131a"/>
                                  <w:lock w:val="sdtLocked"/>
                                  <w:richText/>
                                </w:sdtPr>
                                <w:sdtContent>
                                  <w:r>
                                    <w:rPr>
                                      <w:color w:val="000000"/>
                                      <w:szCs w:val="24"/>
                                      <w:lang w:eastAsia="lt-LT"/>
                                    </w:rPr>
                                    <w:t>11.2.1.1</w:t>
                                  </w:r>
                                </w:sdtContent>
                              </w:sdt>
                              <w:r>
                                <w:rPr>
                                  <w:color w:val="000000"/>
                                  <w:szCs w:val="24"/>
                                  <w:lang w:eastAsia="lt-LT"/>
                                </w:rPr>
                                <w:t>. Lietuvoje – transporto degalai, viešojo transporto (išskyrus taksi ir pavėžėjimo paslaugų), kelto bilietai, parkavimas (iki 30 Eur per dieną kompensuojamos kelionės išlaidos renginio dienomis ir (arba) dieną prieš ir (arba) po renginio). Transporto degalų planuojamoms išlaidoms paskaičiuoti taikomas</w:t>
                              </w:r>
                              <w:r>
                                <w:rPr>
                                  <w:szCs w:val="24"/>
                                </w:rPr>
                                <w:t xml:space="preserve"> kuro įkainio dydis: 0,09 Eur/km (su PVM) arba 0,08 Eur/km (be PVM) (nustatytas vadovaujantis Lietuvos Respublikos finansų ministerijos Kuro ir viešojo transporto išlaidų fiksuotųjų įkainių nustatymo tyrimo ataskaita (2022 m. liepos 8 d. redakcija). </w:t>
                              </w:r>
                              <w:r>
                                <w:rPr>
                                  <w:color w:val="000000"/>
                                  <w:szCs w:val="24"/>
                                  <w:lang w:eastAsia="lt-LT"/>
                                </w:rPr>
                                <w:t>Jeigu tam pačiam renginiui prašoma kompensuoti ir nakvynės išlaidas pagal 11.2.3 papunktį, tai kompensuojamos tik vienos kelionės išlaidos į ir iš renginio. Ekologiniai mokesčiai nėra kompensuojami;</w:t>
                              </w:r>
                            </w:p>
                          </w:sdtContent>
                        </w:sdt>
                        <w:sdt>
                          <w:sdtPr>
                            <w:alias w:val="11.2.1.2 pp."/>
                            <w:tag w:val="part_520539c33d094e76ba87f6a5a5343bc8"/>
                            <w:lock w:val="sdtLocked"/>
                            <w:richText/>
                          </w:sdtPr>
                          <w:sdtContent>
                            <w:p w14:paraId="63CFBD0B"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520539c33d094e76ba87f6a5a5343bc8"/>
                                  <w:lock w:val="sdtLocked"/>
                                  <w:richText/>
                                </w:sdtPr>
                                <w:sdtContent>
                                  <w:r>
                                    <w:rPr>
                                      <w:color w:val="000000"/>
                                      <w:szCs w:val="24"/>
                                      <w:lang w:eastAsia="lt-LT"/>
                                    </w:rPr>
                                    <w:t>11.2.1.2</w:t>
                                  </w:r>
                                </w:sdtContent>
                              </w:sdt>
                              <w:r>
                                <w:rPr>
                                  <w:color w:val="000000"/>
                                  <w:szCs w:val="24"/>
                                  <w:lang w:eastAsia="lt-LT"/>
                                </w:rPr>
                                <w:t>. užsienyje – lėktuvo, traukinio, kelto ar autobuso bilietai, transporto degalai, parkavimas, kelionės viešuoju transportu (išskyrus taksi ir pavėžėjimo paslaugų) bilietai (kompensuojamos kelionės išlaidos renginio dienomis ir (arba) iki 2 dienų prieš ir (arba) po renginio). Transporto degalų planuojamoms išlaidoms paskaičiuoti taikomas</w:t>
                              </w:r>
                              <w:r>
                                <w:rPr>
                                  <w:szCs w:val="24"/>
                                </w:rPr>
                                <w:t xml:space="preserve"> kuro įkainio dydis: 0,09 Eur/km (su PVM) arba 0,08 Eur/km (be PVM)</w:t>
                              </w:r>
                              <w:r>
                                <w:rPr>
                                  <w:color w:val="000000"/>
                                  <w:szCs w:val="24"/>
                                  <w:lang w:eastAsia="lt-LT"/>
                                </w:rPr>
                                <w:t>;</w:t>
                              </w:r>
                            </w:p>
                          </w:sdtContent>
                        </w:sdt>
                      </w:sdtContent>
                    </w:sdt>
                    <w:sdt>
                      <w:sdtPr>
                        <w:alias w:val="11.2.2 pp."/>
                        <w:tag w:val="part_21d2c88ef6ad4651bf15207216aaaf9a"/>
                        <w:lock w:val="sdtLocked"/>
                        <w:richText/>
                      </w:sdtPr>
                      <w:sdtContent>
                        <w:p w14:paraId="3394325A"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21d2c88ef6ad4651bf15207216aaaf9a"/>
                              <w:lock w:val="sdtLocked"/>
                              <w:richText/>
                            </w:sdtPr>
                            <w:sdtContent>
                              <w:r>
                                <w:rPr>
                                  <w:color w:val="000000"/>
                                  <w:szCs w:val="24"/>
                                  <w:lang w:eastAsia="lt-LT"/>
                                </w:rPr>
                                <w:t>11.2.2</w:t>
                              </w:r>
                            </w:sdtContent>
                          </w:sdt>
                          <w:r>
                            <w:rPr>
                              <w:color w:val="000000"/>
                              <w:szCs w:val="24"/>
                              <w:lang w:eastAsia="lt-LT"/>
                            </w:rPr>
                            <w:t>. tautinio paveldo produktų transportavimo paslaugų, vykstant į užsienio šalyse organizuojamas parodas, muges ir (ar) kitus viešuosius renginius reprezentuoti Lietuvą, išlaidos;</w:t>
                          </w:r>
                        </w:p>
                      </w:sdtContent>
                    </w:sdt>
                    <w:sdt>
                      <w:sdtPr>
                        <w:alias w:val="11.2.3 pp."/>
                        <w:tag w:val="part_748093c6a69543dca40902215ff8bf01"/>
                        <w:lock w:val="sdtLocked"/>
                        <w:richText/>
                      </w:sdtPr>
                      <w:sdtContent>
                        <w:p w14:paraId="575C7AFD" w14:textId="13362332">
                          <w:pPr>
                            <w:widowControl w:val="0"/>
                            <w:suppressAutoHyphens/>
                            <w:overflowPunct w:val="0"/>
                            <w:spacing w:line="360" w:lineRule="auto"/>
                            <w:ind w:firstLine="720"/>
                            <w:jc w:val="both"/>
                            <w:textAlignment w:val="baseline"/>
                            <w:rPr>
                              <w:color w:val="000000"/>
                              <w:szCs w:val="24"/>
                              <w:lang w:eastAsia="lt-LT"/>
                            </w:rPr>
                          </w:pPr>
                          <w:sdt>
                            <w:sdtPr>
                              <w:alias w:val="Numeris"/>
                              <w:tag w:val="nr_748093c6a69543dca40902215ff8bf01"/>
                              <w:lock w:val="sdtLocked"/>
                              <w:richText/>
                            </w:sdtPr>
                            <w:sdtContent>
                              <w:r>
                                <w:rPr>
                                  <w:color w:val="000000"/>
                                  <w:szCs w:val="24"/>
                                  <w:lang w:eastAsia="lt-LT"/>
                                </w:rPr>
                                <w:t>11.2.3</w:t>
                              </w:r>
                            </w:sdtContent>
                          </w:sdt>
                          <w:r>
                            <w:rPr>
                              <w:color w:val="000000"/>
                              <w:szCs w:val="24"/>
                              <w:lang w:eastAsia="lt-LT"/>
                            </w:rPr>
                            <w:t xml:space="preserve">. nakvynės išlaidos, vykstant į parodas, muges ir (arba) kitus viešuosius renginius Lietuvoje ir užsienyje. Kompensuojamų nakvynių skaičius negali būti didesnis nei renginio dienų skaičius plius viena naktis (pvz., jei renginys vyksta 3 dienas, kompensuojamos ne daugiau kaip 4 nakvynių išlaidos), bet ne daugiau 5 nakvynių vienam renginiui. Kompensuojama galutinio pagalbos gavėjo (1 asmens) nakvynė motelyje, svečių namuose, viešbutyje (ne aukštesnės kaip 3 žvaigždučių klasės) arba kambario, buto nuoma. Kompensuojant nakvynės išlaidas užsienyje, negali būti viršijama </w:t>
                          </w:r>
                          <w:r>
                            <w:rPr>
                              <w:color w:val="000000"/>
                            </w:rPr>
                            <w:t>gyvenamojo ploto nuomos išlaidų 1 dienos norma, nurodyta Komandiruočių išlaidų apmokėjimo biudžetinėse įstaigose ir regionų plėtros tarybose</w:t>
                          </w:r>
                          <w:r>
                            <w:rPr>
                              <w:b/>
                              <w:bCs/>
                              <w:color w:val="000000"/>
                            </w:rPr>
                            <w:t xml:space="preserve"> </w:t>
                          </w:r>
                          <w:r>
                            <w:rPr>
                              <w:color w:val="000000"/>
                            </w:rPr>
                            <w:t xml:space="preserve">taisyklėse, patvirtintose </w:t>
                          </w:r>
                          <w:r>
                            <w:rPr>
                              <w:color w:val="000000"/>
                              <w:szCs w:val="24"/>
                              <w:lang w:eastAsia="lt-LT"/>
                            </w:rPr>
                            <w:t xml:space="preserve">Lietuvos Respublikos vyriausybės </w:t>
                          </w:r>
                          <w:r>
                            <w:rPr>
                              <w:color w:val="000000"/>
                            </w:rPr>
                            <w:t xml:space="preserve">2004 m. balandžio 29 d. </w:t>
                          </w:r>
                          <w:r>
                            <w:rPr>
                              <w:color w:val="000000"/>
                              <w:szCs w:val="24"/>
                              <w:lang w:eastAsia="lt-LT"/>
                            </w:rPr>
                            <w:t xml:space="preserve">nutarimu </w:t>
                          </w:r>
                          <w:r>
                            <w:rPr>
                              <w:color w:val="000000"/>
                            </w:rPr>
                            <w:t>Nr. 526 „Dėl dienpinigių ir kitų komandiruočių išlaidų apmokėjimo“</w:t>
                          </w:r>
                          <w:r>
                            <w:rPr>
                              <w:color w:val="000000"/>
                              <w:szCs w:val="24"/>
                              <w:lang w:eastAsia="lt-LT"/>
                            </w:rPr>
                            <w:t>. Miesto rinkliava (pagalvės mokestis) nekompensuojama;</w:t>
                          </w:r>
                        </w:p>
                      </w:sdtContent>
                    </w:sdt>
                    <w:sdt>
                      <w:sdtPr>
                        <w:alias w:val="11.2.4 pp."/>
                        <w:tag w:val="part_7b74e205eb094658af0e26db65a71f16"/>
                        <w:lock w:val="sdtLocked"/>
                        <w:richText/>
                      </w:sdtPr>
                      <w:sdtContent>
                        <w:p w14:paraId="11E72304"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7b74e205eb094658af0e26db65a71f16"/>
                              <w:lock w:val="sdtLocked"/>
                              <w:richText/>
                            </w:sdtPr>
                            <w:sdtContent>
                              <w:r>
                                <w:rPr>
                                  <w:color w:val="000000"/>
                                  <w:szCs w:val="24"/>
                                  <w:lang w:eastAsia="lt-LT"/>
                                </w:rPr>
                                <w:t>11.2.4</w:t>
                              </w:r>
                            </w:sdtContent>
                          </w:sdt>
                          <w:r>
                            <w:rPr>
                              <w:color w:val="000000"/>
                              <w:szCs w:val="24"/>
                              <w:lang w:eastAsia="lt-LT"/>
                            </w:rPr>
                            <w:t>. dalyvavimo parodose, mugėse ir (arba) kituose viešuose renginiuose išlaidos (dalyvio arba registracijos mokestis, ploto nuoma (tautinio paveldo produktų kūrėjui vienam renginiui kompensuojama ne daugiau kaip už vieną renginio organizatoriaus dalyviui numatytą vietą), vietos įrengimas, kai perkama paslauga);</w:t>
                          </w:r>
                        </w:p>
                      </w:sdtContent>
                    </w:sdt>
                    <w:sdt>
                      <w:sdtPr>
                        <w:alias w:val="11.2.5 pp."/>
                        <w:tag w:val="part_1be3bafac02e46609ef04053e4c9d784"/>
                        <w:lock w:val="sdtLocked"/>
                        <w:richText/>
                      </w:sdtPr>
                      <w:sdtContent>
                        <w:p w14:paraId="6B370187"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1be3bafac02e46609ef04053e4c9d784"/>
                              <w:lock w:val="sdtLocked"/>
                              <w:richText/>
                            </w:sdtPr>
                            <w:sdtContent>
                              <w:r>
                                <w:rPr>
                                  <w:color w:val="000000"/>
                                  <w:szCs w:val="24"/>
                                  <w:lang w:eastAsia="lt-LT"/>
                                </w:rPr>
                                <w:t>11.2.5</w:t>
                              </w:r>
                            </w:sdtContent>
                          </w:sdt>
                          <w:r>
                            <w:rPr>
                              <w:color w:val="000000"/>
                              <w:szCs w:val="24"/>
                              <w:lang w:eastAsia="lt-LT"/>
                            </w:rPr>
                            <w:t xml:space="preserve">. įrangos tradiciniams amatams gyvai demonstruoti ir (ar) tautinio paveldo produktams demonstruoti ir (ar) realizuoti mugėse, parodose įsigijimo, įrengimo, nuomos išlaidos (tos pačios rūšies </w:t>
                          </w:r>
                          <w:r>
                            <w:rPr>
                              <w:szCs w:val="24"/>
                              <w:lang w:eastAsia="lt-LT"/>
                            </w:rPr>
                            <w:t>įrangos įsigijimo atveju kompensuojama vieną kartą per 5 metus)</w:t>
                          </w:r>
                          <w:r>
                            <w:rPr>
                              <w:color w:val="000000"/>
                              <w:szCs w:val="24"/>
                              <w:lang w:eastAsia="lt-LT"/>
                            </w:rPr>
                            <w:t>;</w:t>
                          </w:r>
                        </w:p>
                      </w:sdtContent>
                    </w:sdt>
                    <w:sdt>
                      <w:sdtPr>
                        <w:alias w:val="11.2.6 pp."/>
                        <w:tag w:val="part_daf1a4cfff744cb0a2c6777b823cd74e"/>
                        <w:lock w:val="sdtLocked"/>
                        <w:richText/>
                      </w:sdtPr>
                      <w:sdtContent>
                        <w:p w14:paraId="38429746"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daf1a4cfff744cb0a2c6777b823cd74e"/>
                              <w:lock w:val="sdtLocked"/>
                              <w:richText/>
                            </w:sdtPr>
                            <w:sdtContent>
                              <w:r>
                                <w:rPr>
                                  <w:color w:val="000000"/>
                                  <w:szCs w:val="24"/>
                                </w:rPr>
                                <w:t>11.2.6</w:t>
                              </w:r>
                            </w:sdtContent>
                          </w:sdt>
                          <w:r>
                            <w:rPr>
                              <w:color w:val="000000"/>
                              <w:szCs w:val="24"/>
                            </w:rPr>
                            <w:t>. tradicinių amatininkų atlygis už tradicinio amato demonstravimą parodose, mugėse ir (ar) kituose viešuose renginiuose (kompensuojama už vieną dieną ne daugiau kaip 1 atitinkamų metų bazinė socialinė išmoka). Tradicinio amato demonstravimu laikoma produkto ar gaminio gamybos proceso rodymas gyvai. Kompensuojamas tradicinių amatininkų, turinčių A kategorijos tautinio paveldo produkto sertifikatą, atlygis už šių amatų demonstravimą: audimo, batsiuvystės, drožybos, juvelyrikos, kailiadirbystės, kalvystės, knygrišystės, margučių marginimo, muilo gaminimo, odininkystės, pynimo, puodininkystės, tošininkystės, verpimo, vilnos vėlimo ir žvakininkystės;</w:t>
                          </w:r>
                        </w:p>
                      </w:sdtContent>
                    </w:sdt>
                    <w:sdt>
                      <w:sdtPr>
                        <w:alias w:val="11.2.7 pp."/>
                        <w:tag w:val="part_09c1c8e48d3d48568a3007674dd3c720"/>
                        <w:lock w:val="sdtLocked"/>
                        <w:richText/>
                      </w:sdtPr>
                      <w:sdtContent>
                        <w:p w14:paraId="6DB21C63"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09c1c8e48d3d48568a3007674dd3c720"/>
                              <w:lock w:val="sdtLocked"/>
                              <w:richText/>
                            </w:sdtPr>
                            <w:sdtContent>
                              <w:r>
                                <w:rPr>
                                  <w:color w:val="000000"/>
                                  <w:szCs w:val="24"/>
                                  <w:lang w:eastAsia="lt-LT"/>
                                </w:rPr>
                                <w:t>11.2.7</w:t>
                              </w:r>
                            </w:sdtContent>
                          </w:sdt>
                          <w:r>
                            <w:rPr>
                              <w:color w:val="000000"/>
                              <w:szCs w:val="24"/>
                              <w:lang w:eastAsia="lt-LT"/>
                            </w:rPr>
                            <w:t>. tautinio paveldo produktų ženklinimo išlaidos (produktų etiketės su tautinio paveldo produktų ženklu, tautinio paveldo produktų ženklai, pakuotės su tautinio paveldo produkto ženklu ir jų gamyba) (kompensuojama iki 100 Eur tautinio paveldo produktų kūrėjui);</w:t>
                          </w:r>
                        </w:p>
                      </w:sdtContent>
                    </w:sdt>
                    <w:sdt>
                      <w:sdtPr>
                        <w:alias w:val="11.2.8 pp."/>
                        <w:tag w:val="part_566dbf6e4ed848c0aa8b333a94c0e68e"/>
                        <w:lock w:val="sdtLocked"/>
                        <w:richText/>
                      </w:sdtPr>
                      <w:sdtContent>
                        <w:p w14:paraId="64F7F880"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566dbf6e4ed848c0aa8b333a94c0e68e"/>
                              <w:lock w:val="sdtLocked"/>
                              <w:richText/>
                            </w:sdtPr>
                            <w:sdtContent>
                              <w:r>
                                <w:rPr>
                                  <w:color w:val="000000"/>
                                  <w:szCs w:val="24"/>
                                  <w:lang w:eastAsia="lt-LT"/>
                                </w:rPr>
                                <w:t>11.2.8</w:t>
                              </w:r>
                            </w:sdtContent>
                          </w:sdt>
                          <w:r>
                            <w:rPr>
                              <w:color w:val="000000"/>
                              <w:szCs w:val="24"/>
                              <w:lang w:eastAsia="lt-LT"/>
                            </w:rPr>
                            <w:t>. sertifikuotų tradicinių renginių organizavimo išlaidos (renginių viešinimas ir informacinės medžiagos vertimas, leidyba ir pranešimų publikavimas, skelbimas spaudoje, informacinių radijo ir televizijos laidų rengimas ir transliavimas, renginio vietos ir (arba) įrangos nuoma);</w:t>
                          </w:r>
                        </w:p>
                      </w:sdtContent>
                    </w:sdt>
                  </w:sdtContent>
                </w:sdt>
                <w:sdt>
                  <w:sdtPr>
                    <w:alias w:val="11.3 pp."/>
                    <w:tag w:val="part_1536d26b90c14905a21663c11fe17500"/>
                    <w:lock w:val="sdtLocked"/>
                    <w:richText/>
                  </w:sdtPr>
                  <w:sdtContent>
                    <w:p w14:paraId="18052E21"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1536d26b90c14905a21663c11fe17500"/>
                          <w:lock w:val="sdtLocked"/>
                          <w:richText/>
                        </w:sdtPr>
                        <w:sdtContent>
                          <w:r>
                            <w:rPr>
                              <w:color w:val="000000"/>
                              <w:spacing w:val="-2"/>
                              <w:szCs w:val="24"/>
                              <w:lang w:eastAsia="lt-LT"/>
                            </w:rPr>
                            <w:t>11.3</w:t>
                          </w:r>
                        </w:sdtContent>
                      </w:sdt>
                      <w:r>
                        <w:rPr>
                          <w:color w:val="000000"/>
                          <w:spacing w:val="-2"/>
                          <w:szCs w:val="24"/>
                          <w:lang w:eastAsia="lt-LT"/>
                        </w:rPr>
                        <w:t xml:space="preserve">. </w:t>
                      </w:r>
                      <w:r>
                        <w:rPr>
                          <w:color w:val="000000"/>
                          <w:szCs w:val="24"/>
                          <w:lang w:eastAsia="lt-LT"/>
                        </w:rPr>
                        <w:t>pagal šių taisyklių 10.3 papunktį – tautinio paveldo produktų populiarinimo leidinių (taip pat ir elektroninių leidinių, vaizdo klipų) kūrimo, rengimo, maketavimo, vertimo ir leidybos išlaidos;</w:t>
                      </w:r>
                    </w:p>
                  </w:sdtContent>
                </w:sdt>
                <w:sdt>
                  <w:sdtPr>
                    <w:alias w:val="11.4 pp."/>
                    <w:tag w:val="part_2f9f624625ca4728acec2ffad6152437"/>
                    <w:lock w:val="sdtLocked"/>
                    <w:richText/>
                  </w:sdtPr>
                  <w:sdtContent>
                    <w:p w14:paraId="19C7637C"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2f9f624625ca4728acec2ffad6152437"/>
                          <w:lock w:val="sdtLocked"/>
                          <w:richText/>
                        </w:sdtPr>
                        <w:sdtContent>
                          <w:r>
                            <w:rPr>
                              <w:color w:val="000000"/>
                              <w:spacing w:val="-2"/>
                              <w:szCs w:val="24"/>
                              <w:lang w:eastAsia="lt-LT"/>
                            </w:rPr>
                            <w:t>11.4</w:t>
                          </w:r>
                        </w:sdtContent>
                      </w:sdt>
                      <w:r>
                        <w:rPr>
                          <w:color w:val="000000"/>
                          <w:spacing w:val="-2"/>
                          <w:szCs w:val="24"/>
                          <w:lang w:eastAsia="lt-LT"/>
                        </w:rPr>
                        <w:t xml:space="preserve">. </w:t>
                      </w:r>
                      <w:r>
                        <w:rPr>
                          <w:color w:val="000000"/>
                          <w:szCs w:val="24"/>
                          <w:lang w:eastAsia="lt-LT"/>
                        </w:rPr>
                        <w:t>pagal šių taisyklių 10.4 papunktį – A kategorijos tradicinių amatų meistrų tradicinių amatų edukacinių užsiėmimų organizavimo išlaidos:</w:t>
                      </w:r>
                    </w:p>
                    <w:sdt>
                      <w:sdtPr>
                        <w:alias w:val="11.4.1 pp."/>
                        <w:tag w:val="part_79c789442a0f4d99b5a7ba72433640c6"/>
                        <w:lock w:val="sdtLocked"/>
                        <w:richText/>
                      </w:sdtPr>
                      <w:sdtContent>
                        <w:p w14:paraId="11404811"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79c789442a0f4d99b5a7ba72433640c6"/>
                              <w:lock w:val="sdtLocked"/>
                              <w:richText/>
                            </w:sdtPr>
                            <w:sdtContent>
                              <w:r>
                                <w:rPr>
                                  <w:color w:val="000000"/>
                                  <w:szCs w:val="24"/>
                                  <w:lang w:eastAsia="lt-LT"/>
                                </w:rPr>
                                <w:t>11.4.1</w:t>
                              </w:r>
                            </w:sdtContent>
                          </w:sdt>
                          <w:r>
                            <w:rPr>
                              <w:color w:val="000000"/>
                              <w:szCs w:val="24"/>
                              <w:lang w:eastAsia="lt-LT"/>
                            </w:rPr>
                            <w:t xml:space="preserve">. apmokėjimas už edukacinių užsiėmimų vedimą A kategorijos tradicinių amatų meistrui (kompensuojama už vieną dieną ne daugiau kaip viena </w:t>
                          </w:r>
                          <w:r>
                            <w:rPr>
                              <w:color w:val="000000"/>
                              <w:szCs w:val="24"/>
                            </w:rPr>
                            <w:t>atitinkamų metų</w:t>
                          </w:r>
                          <w:r>
                            <w:rPr>
                              <w:color w:val="000000"/>
                              <w:szCs w:val="24"/>
                              <w:lang w:eastAsia="lt-LT"/>
                            </w:rPr>
                            <w:t xml:space="preserve"> bazinė socialinė išmoka);</w:t>
                          </w:r>
                        </w:p>
                      </w:sdtContent>
                    </w:sdt>
                    <w:sdt>
                      <w:sdtPr>
                        <w:alias w:val="11.4.2 pp."/>
                        <w:tag w:val="part_fbe905d439f04c10a018b0eb2ebd7615"/>
                        <w:lock w:val="sdtLocked"/>
                        <w:richText/>
                      </w:sdtPr>
                      <w:sdtContent>
                        <w:p w14:paraId="6A197A9B" w14:textId="708BB990">
                          <w:pPr>
                            <w:widowControl w:val="0"/>
                            <w:suppressAutoHyphens/>
                            <w:overflowPunct w:val="0"/>
                            <w:spacing w:line="360" w:lineRule="auto"/>
                            <w:ind w:firstLine="720"/>
                            <w:jc w:val="both"/>
                            <w:textAlignment w:val="baseline"/>
                            <w:rPr>
                              <w:color w:val="000000"/>
                              <w:szCs w:val="24"/>
                              <w:lang w:eastAsia="lt-LT"/>
                            </w:rPr>
                          </w:pPr>
                          <w:sdt>
                            <w:sdtPr>
                              <w:alias w:val="Numeris"/>
                              <w:tag w:val="nr_fbe905d439f04c10a018b0eb2ebd7615"/>
                              <w:lock w:val="sdtLocked"/>
                              <w:richText/>
                            </w:sdtPr>
                            <w:sdtContent>
                              <w:r>
                                <w:rPr>
                                  <w:color w:val="000000"/>
                                  <w:szCs w:val="24"/>
                                  <w:lang w:eastAsia="lt-LT"/>
                                </w:rPr>
                                <w:t>11.4.2</w:t>
                              </w:r>
                            </w:sdtContent>
                          </w:sdt>
                          <w:r>
                            <w:rPr>
                              <w:color w:val="000000"/>
                              <w:szCs w:val="24"/>
                              <w:lang w:eastAsia="lt-LT"/>
                            </w:rPr>
                            <w:t>. ir (ar) žaliavų, reikalingų edukaciniam užsiėmimui, įsigijimo išlaidos (vienam audimo, batsiuvystės, drožybos, kailiadirbystės, kalvystės, odininkystės, puodininkystės amato edukaciniam užsiėmimui kompensuojama iki 5 Eur vienam edukacinio užsiėmimo dalyviui ir (arba) vienam pynimo iš šiaudų ir augalų, vytelių pynimo, tošininkystės, verpimo, vilnos vėlimo, žvakininkystės, knygrišystės, muilo gaminimo, tradicinės puošybos, kepimo ir maisto ruošimo amato edukaciniam užsiėmimui – iki 3 Eur vienam edukacinio užsiėmimo dalyviui). Žaliava laikoma pagrindinė medžiaga, iš kurios pagaminamas galutinis produktas.</w:t>
                          </w:r>
                        </w:p>
                      </w:sdtContent>
                    </w:sdt>
                  </w:sdtContent>
                </w:sdt>
              </w:sdtContent>
            </w:sdt>
            <w:sdt>
              <w:sdtPr>
                <w:alias w:val="12 p."/>
                <w:tag w:val="part_b037c2dde5f44fbfa0c403e508bcb202"/>
                <w:lock w:val="sdtLocked"/>
                <w:richText/>
              </w:sdtPr>
              <w:sdtContent>
                <w:p w14:paraId="6E81829E"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b037c2dde5f44fbfa0c403e508bcb202"/>
                      <w:lock w:val="sdtLocked"/>
                      <w:richText/>
                    </w:sdtPr>
                    <w:sdtContent>
                      <w:r>
                        <w:rPr>
                          <w:color w:val="000000"/>
                          <w:szCs w:val="24"/>
                          <w:lang w:eastAsia="lt-LT"/>
                        </w:rPr>
                        <w:t>12</w:t>
                      </w:r>
                    </w:sdtContent>
                  </w:sdt>
                  <w:r>
                    <w:rPr>
                      <w:color w:val="000000"/>
                      <w:szCs w:val="24"/>
                      <w:lang w:eastAsia="lt-LT"/>
                    </w:rPr>
                    <w:t>. Pridėtinės vertės mokestis (toliau – PVM) už numatomas įsigyti (įsigytas) prekes ir paslaugas nėra tinkama finansuoti išlaida, išskyrus atvejus, kai:</w:t>
                  </w:r>
                </w:p>
                <w:sdt>
                  <w:sdtPr>
                    <w:alias w:val="12.1 pp."/>
                    <w:tag w:val="part_067488b928914775b94421396f094044"/>
                    <w:lock w:val="sdtLocked"/>
                    <w:richText/>
                  </w:sdtPr>
                  <w:sdtContent>
                    <w:p w14:paraId="797CE054"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067488b928914775b94421396f094044"/>
                          <w:lock w:val="sdtLocked"/>
                          <w:richText/>
                        </w:sdtPr>
                        <w:sdtContent>
                          <w:r>
                            <w:rPr>
                              <w:color w:val="000000"/>
                              <w:szCs w:val="24"/>
                              <w:lang w:eastAsia="lt-LT"/>
                            </w:rPr>
                            <w:t>12.1</w:t>
                          </w:r>
                        </w:sdtContent>
                      </w:sdt>
                      <w:r>
                        <w:rPr>
                          <w:color w:val="000000"/>
                          <w:szCs w:val="24"/>
                          <w:lang w:eastAsia="lt-LT"/>
                        </w:rPr>
                        <w:t>. jį faktiškai ir galutinai sumoka pareiškėjas, nesantis PVM mokėtojas;</w:t>
                      </w:r>
                    </w:p>
                  </w:sdtContent>
                </w:sdt>
                <w:sdt>
                  <w:sdtPr>
                    <w:alias w:val="12.2 pp."/>
                    <w:tag w:val="part_43a5e09a2e4d40289e51b0a6ceec937e"/>
                    <w:lock w:val="sdtLocked"/>
                    <w:richText/>
                  </w:sdtPr>
                  <w:sdtContent>
                    <w:p w14:paraId="46B6FD50"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43a5e09a2e4d40289e51b0a6ceec937e"/>
                          <w:lock w:val="sdtLocked"/>
                          <w:richText/>
                        </w:sdtPr>
                        <w:sdtContent>
                          <w:r>
                            <w:rPr>
                              <w:color w:val="000000"/>
                              <w:szCs w:val="24"/>
                              <w:lang w:eastAsia="lt-LT"/>
                            </w:rPr>
                            <w:t>12.2</w:t>
                          </w:r>
                        </w:sdtContent>
                      </w:sdt>
                      <w:r>
                        <w:rPr>
                          <w:color w:val="000000"/>
                          <w:szCs w:val="24"/>
                          <w:lang w:eastAsia="lt-LT"/>
                        </w:rPr>
                        <w:t xml:space="preserve">. pareiškėjo, PVM mokėtojo, veikla, kuriai organizuoti teikiama pagalba pagal šias taisykles, nėra laikoma ekonomine veikla ir už įsigytas šiai veiklai reikalingas prekes ar paslaugas pareiškėjas negalės susigrąžinti PVM. </w:t>
                      </w:r>
                    </w:p>
                  </w:sdtContent>
                </w:sdt>
              </w:sdtContent>
            </w:sdt>
            <w:sdt>
              <w:sdtPr>
                <w:alias w:val="13 p."/>
                <w:tag w:val="part_108ac8412081403bbe6576658049d86c"/>
                <w:lock w:val="sdtLocked"/>
                <w:richText/>
              </w:sdtPr>
              <w:sdtContent>
                <w:p w14:paraId="7520B735" w14:textId="77777777">
                  <w:pPr>
                    <w:widowControl w:val="0"/>
                    <w:suppressAutoHyphens/>
                    <w:overflowPunct w:val="0"/>
                    <w:spacing w:line="360" w:lineRule="auto"/>
                    <w:ind w:firstLine="720"/>
                    <w:jc w:val="both"/>
                    <w:textAlignment w:val="baseline"/>
                    <w:rPr>
                      <w:color w:val="000000"/>
                      <w:spacing w:val="-6"/>
                      <w:szCs w:val="24"/>
                      <w:lang w:eastAsia="lt-LT"/>
                    </w:rPr>
                  </w:pPr>
                  <w:sdt>
                    <w:sdtPr>
                      <w:alias w:val="Numeris"/>
                      <w:tag w:val="nr_108ac8412081403bbe6576658049d86c"/>
                      <w:lock w:val="sdtLocked"/>
                      <w:richText/>
                    </w:sdtPr>
                    <w:sdtContent>
                      <w:r>
                        <w:rPr>
                          <w:color w:val="000000"/>
                          <w:spacing w:val="-6"/>
                          <w:szCs w:val="24"/>
                          <w:lang w:eastAsia="lt-LT"/>
                        </w:rPr>
                        <w:t>13</w:t>
                      </w:r>
                    </w:sdtContent>
                  </w:sdt>
                  <w:r>
                    <w:rPr>
                      <w:color w:val="000000"/>
                      <w:spacing w:val="-6"/>
                      <w:szCs w:val="24"/>
                      <w:lang w:eastAsia="lt-LT"/>
                    </w:rPr>
                    <w:t>. Jeigu PVM pripažįstama tinkama finansuoti išlaida, pareiškėjas įsipareigoja nesiekti susigrąžinti PVM iš valstybės biudžeto.</w:t>
                  </w:r>
                </w:p>
              </w:sdtContent>
            </w:sdt>
            <w:sdt>
              <w:sdtPr>
                <w:alias w:val="14 p."/>
                <w:tag w:val="part_369fbead5860413bbd5b164d2900abd0"/>
                <w:lock w:val="sdtLocked"/>
                <w:richText/>
              </w:sdtPr>
              <w:sdtContent>
                <w:p w14:paraId="03216198"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369fbead5860413bbd5b164d2900abd0"/>
                      <w:lock w:val="sdtLocked"/>
                      <w:richText/>
                    </w:sdtPr>
                    <w:sdtContent>
                      <w:r>
                        <w:rPr>
                          <w:color w:val="000000"/>
                          <w:szCs w:val="24"/>
                          <w:lang w:eastAsia="lt-LT"/>
                        </w:rPr>
                        <w:t>14</w:t>
                      </w:r>
                    </w:sdtContent>
                  </w:sdt>
                  <w:r>
                    <w:rPr>
                      <w:color w:val="000000"/>
                      <w:szCs w:val="24"/>
                      <w:lang w:eastAsia="lt-LT"/>
                    </w:rPr>
                    <w:t>. Skiriant lėšas taisyklių</w:t>
                  </w:r>
                  <w:r>
                    <w:rPr>
                      <w:bCs/>
                      <w:color w:val="000000"/>
                      <w:szCs w:val="24"/>
                      <w:lang w:eastAsia="lt-LT"/>
                    </w:rPr>
                    <w:t xml:space="preserve"> </w:t>
                  </w:r>
                  <w:r>
                    <w:rPr>
                      <w:color w:val="000000"/>
                      <w:szCs w:val="24"/>
                      <w:lang w:eastAsia="lt-LT"/>
                    </w:rPr>
                    <w:t xml:space="preserve">10.2, 10.3 ir 10.4 papunkčiuose nurodytoms veikloms finansuoti, tinkamomis finansuoti pripažįstamos pareiškėjo ar pagalbos gavėjo (1 asmens) išlaidos, patirtos paraiškos užregistravimo Nacionalinėje mokėjimo agentūroje prie Žemės ūkio ministerijos (toliau – Agentūra) metais (toliau – einamieji metai) iki </w:t>
                  </w:r>
                  <w:r>
                    <w:rPr>
                      <w:szCs w:val="24"/>
                      <w:lang w:eastAsia="lt-LT"/>
                    </w:rPr>
                    <w:t xml:space="preserve">išlaidų pagrindimo suvestinės </w:t>
                  </w:r>
                  <w:r>
                    <w:rPr>
                      <w:color w:val="000000"/>
                      <w:szCs w:val="24"/>
                      <w:lang w:eastAsia="lt-LT"/>
                    </w:rPr>
                    <w:t xml:space="preserve">pateikimo datos ir pagrįstos išlaidų apmokėjimo įrodymo dokumentais. </w:t>
                  </w:r>
                </w:p>
              </w:sdtContent>
            </w:sdt>
            <w:sdt>
              <w:sdtPr>
                <w:alias w:val="15 p."/>
                <w:tag w:val="part_1b0b82dd3d5b42109844dccce6b7a217"/>
                <w:lock w:val="sdtLocked"/>
                <w:richText/>
              </w:sdtPr>
              <w:sdtContent>
                <w:p w14:paraId="32A9C914" w14:textId="77777777">
                  <w:pPr>
                    <w:widowControl w:val="0"/>
                    <w:suppressAutoHyphens/>
                    <w:overflowPunct w:val="0"/>
                    <w:spacing w:line="360" w:lineRule="auto"/>
                    <w:ind w:firstLine="720"/>
                    <w:jc w:val="both"/>
                    <w:textAlignment w:val="baseline"/>
                    <w:rPr>
                      <w:color w:val="000000"/>
                      <w:spacing w:val="-6"/>
                      <w:szCs w:val="24"/>
                      <w:lang w:eastAsia="lt-LT"/>
                    </w:rPr>
                  </w:pPr>
                  <w:sdt>
                    <w:sdtPr>
                      <w:alias w:val="Numeris"/>
                      <w:tag w:val="nr_1b0b82dd3d5b42109844dccce6b7a217"/>
                      <w:lock w:val="sdtLocked"/>
                      <w:richText/>
                    </w:sdtPr>
                    <w:sdtContent>
                      <w:r>
                        <w:rPr>
                          <w:color w:val="000000"/>
                          <w:szCs w:val="24"/>
                          <w:lang w:eastAsia="lt-LT"/>
                        </w:rPr>
                        <w:t>15</w:t>
                      </w:r>
                    </w:sdtContent>
                  </w:sdt>
                  <w:r>
                    <w:rPr>
                      <w:color w:val="000000"/>
                      <w:szCs w:val="24"/>
                      <w:lang w:eastAsia="lt-LT"/>
                    </w:rPr>
                    <w:t xml:space="preserve">. </w:t>
                  </w:r>
                  <w:r>
                    <w:rPr>
                      <w:color w:val="000000"/>
                      <w:spacing w:val="-6"/>
                      <w:szCs w:val="24"/>
                      <w:lang w:eastAsia="lt-LT"/>
                    </w:rPr>
                    <w:t>Tinkamomis finansuoti laikomos ir išlaidos, patirtos:</w:t>
                  </w:r>
                </w:p>
                <w:sdt>
                  <w:sdtPr>
                    <w:alias w:val="15.1 pp."/>
                    <w:tag w:val="part_a1262badfeab4bbdbc912a7187d5bda5"/>
                    <w:lock w:val="sdtLocked"/>
                    <w:richText/>
                  </w:sdtPr>
                  <w:sdtContent>
                    <w:p w14:paraId="3693DB56" w14:textId="77777777">
                      <w:pPr>
                        <w:widowControl w:val="0"/>
                        <w:suppressAutoHyphens/>
                        <w:overflowPunct w:val="0"/>
                        <w:spacing w:line="360" w:lineRule="auto"/>
                        <w:ind w:firstLine="720"/>
                        <w:jc w:val="both"/>
                        <w:textAlignment w:val="baseline"/>
                        <w:rPr>
                          <w:color w:val="000000"/>
                          <w:spacing w:val="-6"/>
                          <w:szCs w:val="24"/>
                          <w:lang w:eastAsia="lt-LT"/>
                        </w:rPr>
                      </w:pPr>
                      <w:sdt>
                        <w:sdtPr>
                          <w:alias w:val="Numeris"/>
                          <w:tag w:val="nr_a1262badfeab4bbdbc912a7187d5bda5"/>
                          <w:lock w:val="sdtLocked"/>
                          <w:richText/>
                        </w:sdtPr>
                        <w:sdtContent>
                          <w:r>
                            <w:rPr>
                              <w:color w:val="000000"/>
                              <w:spacing w:val="-6"/>
                              <w:szCs w:val="24"/>
                              <w:lang w:eastAsia="lt-LT"/>
                            </w:rPr>
                            <w:t>15.1</w:t>
                          </w:r>
                        </w:sdtContent>
                      </w:sdt>
                      <w:r>
                        <w:rPr>
                          <w:color w:val="000000"/>
                          <w:spacing w:val="-6"/>
                          <w:szCs w:val="24"/>
                          <w:lang w:eastAsia="lt-LT"/>
                        </w:rPr>
                        <w:t xml:space="preserve"> ankstesnių metų gruodžio mėnesį įsigyjant lėktuvo,</w:t>
                      </w:r>
                      <w:r>
                        <w:rPr>
                          <w:color w:val="000000"/>
                          <w:szCs w:val="24"/>
                          <w:lang w:eastAsia="lt-LT"/>
                        </w:rPr>
                        <w:t xml:space="preserve"> traukinio, kelto ar autobuso </w:t>
                      </w:r>
                      <w:r>
                        <w:rPr>
                          <w:color w:val="000000"/>
                          <w:spacing w:val="-6"/>
                          <w:szCs w:val="24"/>
                          <w:lang w:eastAsia="lt-LT"/>
                        </w:rPr>
                        <w:t>bilietus pagal taisyklių 11.2.1.2 papunktį ) ir (arba) nakvynės paslaugas užsienyje pagal 11.2.3 papunktį ), vykstant į parodas, muges ir (arba) kitus viešuosius renginius užsienyje einamųjų metų sausio mėnesį;</w:t>
                      </w:r>
                    </w:p>
                  </w:sdtContent>
                </w:sdt>
                <w:sdt>
                  <w:sdtPr>
                    <w:alias w:val="15.2 pp."/>
                    <w:tag w:val="part_d2081affac8f4c798bb88d834c2efe03"/>
                    <w:lock w:val="sdtLocked"/>
                    <w:richText/>
                  </w:sdtPr>
                  <w:sdtContent>
                    <w:p w14:paraId="61523F44"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d2081affac8f4c798bb88d834c2efe03"/>
                          <w:lock w:val="sdtLocked"/>
                          <w:richText/>
                        </w:sdtPr>
                        <w:sdtContent>
                          <w:r>
                            <w:rPr>
                              <w:color w:val="000000"/>
                              <w:spacing w:val="-6"/>
                              <w:szCs w:val="24"/>
                              <w:lang w:eastAsia="lt-LT"/>
                            </w:rPr>
                            <w:t>15.2</w:t>
                          </w:r>
                        </w:sdtContent>
                      </w:sdt>
                      <w:r>
                        <w:rPr>
                          <w:color w:val="000000"/>
                          <w:spacing w:val="-6"/>
                          <w:szCs w:val="24"/>
                          <w:lang w:eastAsia="lt-LT"/>
                        </w:rPr>
                        <w:t>.</w:t>
                      </w:r>
                      <w:r>
                        <w:rPr>
                          <w:color w:val="000000"/>
                          <w:szCs w:val="24"/>
                          <w:lang w:eastAsia="lt-LT"/>
                        </w:rPr>
                        <w:t xml:space="preserve"> </w:t>
                      </w:r>
                      <w:r>
                        <w:rPr>
                          <w:color w:val="000000"/>
                          <w:spacing w:val="-6"/>
                          <w:szCs w:val="24"/>
                          <w:lang w:eastAsia="lt-LT"/>
                        </w:rPr>
                        <w:t xml:space="preserve">ankstesniais metais sumokant dalyvio </w:t>
                      </w:r>
                      <w:r>
                        <w:rPr>
                          <w:color w:val="000000"/>
                          <w:szCs w:val="24"/>
                          <w:lang w:eastAsia="lt-LT"/>
                        </w:rPr>
                        <w:t xml:space="preserve">arba registracijos </w:t>
                      </w:r>
                      <w:r>
                        <w:rPr>
                          <w:color w:val="000000"/>
                          <w:spacing w:val="-6"/>
                          <w:szCs w:val="24"/>
                          <w:lang w:eastAsia="lt-LT"/>
                        </w:rPr>
                        <w:t xml:space="preserve">mokestį pagal taisyklių 11.2.4 papunktį, jei renginys buvo atšauktas dėl įgaliotų institucijų paskelbto karantino ar ekstremaliosios situacijos ir renginio organizatoriai atsisakė sugrąžinti sumokėtą dalyvio </w:t>
                      </w:r>
                      <w:r>
                        <w:rPr>
                          <w:color w:val="000000"/>
                          <w:szCs w:val="24"/>
                          <w:lang w:eastAsia="lt-LT"/>
                        </w:rPr>
                        <w:t xml:space="preserve">arba registracijos </w:t>
                      </w:r>
                      <w:r>
                        <w:rPr>
                          <w:color w:val="000000"/>
                          <w:spacing w:val="-6"/>
                          <w:szCs w:val="24"/>
                          <w:lang w:eastAsia="lt-LT"/>
                        </w:rPr>
                        <w:t>mokestį, įsipareigodami jį užskaityti einamųjų metų renginiui.</w:t>
                      </w:r>
                    </w:p>
                  </w:sdtContent>
                </w:sdt>
              </w:sdtContent>
            </w:sdt>
            <w:sdt>
              <w:sdtPr>
                <w:alias w:val="16 p."/>
                <w:tag w:val="part_9468088c475749388278faeab321f6ca"/>
                <w:lock w:val="sdtLocked"/>
                <w:richText/>
              </w:sdtPr>
              <w:sdtContent>
                <w:p w14:paraId="2B52096B"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9468088c475749388278faeab321f6ca"/>
                      <w:lock w:val="sdtLocked"/>
                      <w:richText/>
                    </w:sdtPr>
                    <w:sdtContent>
                      <w:r>
                        <w:rPr>
                          <w:color w:val="000000"/>
                          <w:szCs w:val="24"/>
                          <w:lang w:eastAsia="lt-LT"/>
                        </w:rPr>
                        <w:t>16</w:t>
                      </w:r>
                    </w:sdtContent>
                  </w:sdt>
                  <w:r>
                    <w:rPr>
                      <w:color w:val="000000"/>
                      <w:szCs w:val="24"/>
                      <w:lang w:eastAsia="lt-LT"/>
                    </w:rPr>
                    <w:t>. Maksimali pagalbos suma:</w:t>
                  </w:r>
                </w:p>
                <w:sdt>
                  <w:sdtPr>
                    <w:alias w:val="16.1 pp."/>
                    <w:tag w:val="part_bd91e727a3114c5e9ba83306534553d5"/>
                    <w:lock w:val="sdtLocked"/>
                    <w:richText/>
                  </w:sdtPr>
                  <w:sdtContent>
                    <w:p w14:paraId="05400F10"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bd91e727a3114c5e9ba83306534553d5"/>
                          <w:lock w:val="sdtLocked"/>
                          <w:richText/>
                        </w:sdtPr>
                        <w:sdtContent>
                          <w:r>
                            <w:rPr>
                              <w:color w:val="000000"/>
                              <w:szCs w:val="24"/>
                              <w:lang w:eastAsia="lt-LT"/>
                            </w:rPr>
                            <w:t>16.1</w:t>
                          </w:r>
                        </w:sdtContent>
                      </w:sdt>
                      <w:r>
                        <w:rPr>
                          <w:color w:val="000000"/>
                          <w:szCs w:val="24"/>
                          <w:lang w:eastAsia="lt-LT"/>
                        </w:rPr>
                        <w:t>. pagal šių taisyklių 10.1 papunktį – 100 proc. visų tinkamų finansuoti išlaidų;</w:t>
                      </w:r>
                    </w:p>
                  </w:sdtContent>
                </w:sdt>
                <w:sdt>
                  <w:sdtPr>
                    <w:alias w:val="16.2 pp."/>
                    <w:tag w:val="part_e1bb36ee173645b98f5c59858a1edd10"/>
                    <w:lock w:val="sdtLocked"/>
                    <w:richText/>
                  </w:sdtPr>
                  <w:sdtContent>
                    <w:p w14:paraId="058E8D57" w14:textId="42ED3606">
                      <w:pPr>
                        <w:widowControl w:val="0"/>
                        <w:suppressAutoHyphens/>
                        <w:overflowPunct w:val="0"/>
                        <w:spacing w:line="360" w:lineRule="auto"/>
                        <w:ind w:firstLine="720"/>
                        <w:jc w:val="both"/>
                        <w:textAlignment w:val="baseline"/>
                        <w:rPr>
                          <w:color w:val="000000"/>
                          <w:szCs w:val="24"/>
                          <w:lang w:eastAsia="lt-LT"/>
                        </w:rPr>
                      </w:pPr>
                      <w:sdt>
                        <w:sdtPr>
                          <w:alias w:val="Numeris"/>
                          <w:tag w:val="nr_e1bb36ee173645b98f5c59858a1edd10"/>
                          <w:lock w:val="sdtLocked"/>
                          <w:richText/>
                        </w:sdtPr>
                        <w:sdtContent>
                          <w:r>
                            <w:rPr>
                              <w:color w:val="000000"/>
                              <w:szCs w:val="24"/>
                              <w:lang w:eastAsia="lt-LT"/>
                            </w:rPr>
                            <w:t>16.2</w:t>
                          </w:r>
                        </w:sdtContent>
                      </w:sdt>
                      <w:r>
                        <w:rPr>
                          <w:color w:val="000000"/>
                          <w:szCs w:val="24"/>
                          <w:lang w:eastAsia="lt-LT"/>
                        </w:rPr>
                        <w:t>. pagal šių taisyklių 10.2 ir 10.3 papunkčius – vienam galutiniam pagalbos gavėjui, neviršijant paskelbtam kvietimui teikti paraiškas skirtos pagalbos sumos:</w:t>
                      </w:r>
                    </w:p>
                    <w:sdt>
                      <w:sdtPr>
                        <w:alias w:val="16.2.1 pp."/>
                        <w:tag w:val="part_f7a85084cc2948c0aea5e382606121de"/>
                        <w:lock w:val="sdtLocked"/>
                        <w:richText/>
                      </w:sdtPr>
                      <w:sdtContent>
                        <w:p w14:paraId="48D102BE" w14:textId="213E6E6E">
                          <w:pPr>
                            <w:widowControl w:val="0"/>
                            <w:suppressAutoHyphens/>
                            <w:overflowPunct w:val="0"/>
                            <w:spacing w:line="360" w:lineRule="auto"/>
                            <w:ind w:firstLine="720"/>
                            <w:jc w:val="both"/>
                            <w:textAlignment w:val="baseline"/>
                            <w:rPr>
                              <w:color w:val="000000"/>
                              <w:szCs w:val="24"/>
                              <w:lang w:eastAsia="lt-LT"/>
                            </w:rPr>
                          </w:pPr>
                          <w:sdt>
                            <w:sdtPr>
                              <w:alias w:val="Numeris"/>
                              <w:tag w:val="nr_f7a85084cc2948c0aea5e382606121de"/>
                              <w:lock w:val="sdtLocked"/>
                              <w:richText/>
                            </w:sdtPr>
                            <w:sdtContent>
                              <w:r>
                                <w:rPr>
                                  <w:color w:val="000000"/>
                                  <w:szCs w:val="24"/>
                                  <w:lang w:eastAsia="lt-LT"/>
                                </w:rPr>
                                <w:t>16.2.1</w:t>
                              </w:r>
                            </w:sdtContent>
                          </w:sdt>
                          <w:r>
                            <w:rPr>
                              <w:color w:val="000000"/>
                              <w:szCs w:val="24"/>
                              <w:lang w:eastAsia="lt-LT"/>
                            </w:rPr>
                            <w:t>. 80 proc. visų tinkamų finansuoti projekto išlaidų A kategorijos tautinio paveldo produktų kūrėjui (ši nuostata taip pat taikoma A ir B kategorijos tautinio paveldo produktų kūrėjui, jeigu A kategorijos produktai sudaro ne mažiau 70 proc. visų sertifikuotų produktų, kuriems kurti / realizuoti / populiarinti teikiama paraiška);</w:t>
                          </w:r>
                        </w:p>
                      </w:sdtContent>
                    </w:sdt>
                    <w:sdt>
                      <w:sdtPr>
                        <w:alias w:val="16.2.2 pp."/>
                        <w:tag w:val="part_117811eceebf4ca1b430ad20a7ac4e70"/>
                        <w:lock w:val="sdtLocked"/>
                        <w:richText/>
                      </w:sdtPr>
                      <w:sdtContent>
                        <w:p w14:paraId="15631F73"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117811eceebf4ca1b430ad20a7ac4e70"/>
                              <w:lock w:val="sdtLocked"/>
                              <w:richText/>
                            </w:sdtPr>
                            <w:sdtContent>
                              <w:r>
                                <w:rPr>
                                  <w:color w:val="000000"/>
                                  <w:szCs w:val="24"/>
                                  <w:lang w:eastAsia="lt-LT"/>
                                </w:rPr>
                                <w:t>16.2.2</w:t>
                              </w:r>
                            </w:sdtContent>
                          </w:sdt>
                          <w:r>
                            <w:rPr>
                              <w:color w:val="000000"/>
                              <w:szCs w:val="24"/>
                              <w:lang w:eastAsia="lt-LT"/>
                            </w:rPr>
                            <w:t>. 50 proc. visų tinkamų finansuoti projekto išlaidų B kategorijos tautinio paveldo produktų kūrėjui;</w:t>
                          </w:r>
                        </w:p>
                      </w:sdtContent>
                    </w:sdt>
                    <w:sdt>
                      <w:sdtPr>
                        <w:alias w:val="16.2.3 pp."/>
                        <w:tag w:val="part_70e8fd31fa314a2283a03279cb0c9d59"/>
                        <w:lock w:val="sdtLocked"/>
                        <w:richText/>
                      </w:sdtPr>
                      <w:sdtContent>
                        <w:p w14:paraId="16BA2BE3" w14:textId="731F3B2A">
                          <w:pPr>
                            <w:widowControl w:val="0"/>
                            <w:suppressAutoHyphens/>
                            <w:overflowPunct w:val="0"/>
                            <w:spacing w:line="360" w:lineRule="auto"/>
                            <w:ind w:firstLine="720"/>
                            <w:jc w:val="both"/>
                            <w:textAlignment w:val="baseline"/>
                            <w:rPr>
                              <w:color w:val="000000"/>
                              <w:szCs w:val="24"/>
                              <w:lang w:eastAsia="lt-LT"/>
                            </w:rPr>
                          </w:pPr>
                          <w:sdt>
                            <w:sdtPr>
                              <w:alias w:val="Numeris"/>
                              <w:tag w:val="nr_70e8fd31fa314a2283a03279cb0c9d59"/>
                              <w:lock w:val="sdtLocked"/>
                              <w:richText/>
                            </w:sdtPr>
                            <w:sdtContent>
                              <w:r>
                                <w:rPr>
                                  <w:color w:val="000000"/>
                                  <w:szCs w:val="24"/>
                                  <w:lang w:eastAsia="lt-LT"/>
                                </w:rPr>
                                <w:t>16.2.3</w:t>
                              </w:r>
                            </w:sdtContent>
                          </w:sdt>
                          <w:r>
                            <w:rPr>
                              <w:color w:val="000000"/>
                              <w:szCs w:val="24"/>
                              <w:lang w:eastAsia="lt-LT"/>
                            </w:rPr>
                            <w:t xml:space="preserve">. 65 proc. visų tinkamų finansuoti projekto išlaidų A ir B kategorijos tautinio paveldo produktų kūrėjui, jeigu A kategorijos produktai sudaro mažiau nei 70 proc. visų sertifikuotų produktų, kuriems kurti / realizuoti / populiarinti teikiama paraiška; </w:t>
                          </w:r>
                        </w:p>
                      </w:sdtContent>
                    </w:sdt>
                    <w:sdt>
                      <w:sdtPr>
                        <w:alias w:val="16.2.4 pp."/>
                        <w:tag w:val="part_af1628e73cc748c7ac4fb9186c058b98"/>
                        <w:lock w:val="sdtLocked"/>
                        <w:richText/>
                      </w:sdtPr>
                      <w:sdtContent>
                        <w:p w14:paraId="7F326446"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af1628e73cc748c7ac4fb9186c058b98"/>
                              <w:lock w:val="sdtLocked"/>
                              <w:richText/>
                            </w:sdtPr>
                            <w:sdtContent>
                              <w:r>
                                <w:rPr>
                                  <w:color w:val="000000"/>
                                  <w:szCs w:val="24"/>
                                  <w:lang w:eastAsia="lt-LT"/>
                                </w:rPr>
                                <w:t>16.2.4</w:t>
                              </w:r>
                            </w:sdtContent>
                          </w:sdt>
                          <w:r>
                            <w:rPr>
                              <w:color w:val="000000"/>
                              <w:szCs w:val="24"/>
                              <w:lang w:eastAsia="lt-LT"/>
                            </w:rPr>
                            <w:t>. 80 proc. visų tinkamų finansuoti išlaidų, jeigu galutinis pagalbos gavėjas yra tautinio paveldo produktų kūrėjus vienijanti asociacija arba tradicinių amatų centras.</w:t>
                          </w:r>
                        </w:p>
                      </w:sdtContent>
                    </w:sdt>
                  </w:sdtContent>
                </w:sdt>
                <w:sdt>
                  <w:sdtPr>
                    <w:alias w:val="16.3 pp."/>
                    <w:tag w:val="part_ee5729c3263b4250b37570fe9e0f7294"/>
                    <w:lock w:val="sdtLocked"/>
                    <w:richText/>
                  </w:sdtPr>
                  <w:sdtContent>
                    <w:p w14:paraId="4B3DD634"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ee5729c3263b4250b37570fe9e0f7294"/>
                          <w:lock w:val="sdtLocked"/>
                          <w:richText/>
                        </w:sdtPr>
                        <w:sdtContent>
                          <w:r>
                            <w:rPr>
                              <w:color w:val="000000"/>
                              <w:szCs w:val="24"/>
                              <w:lang w:eastAsia="lt-LT"/>
                            </w:rPr>
                            <w:t>16.3</w:t>
                          </w:r>
                        </w:sdtContent>
                      </w:sdt>
                      <w:r>
                        <w:rPr>
                          <w:color w:val="000000"/>
                          <w:szCs w:val="24"/>
                          <w:lang w:eastAsia="lt-LT"/>
                        </w:rPr>
                        <w:t>. šių taisyklių 10.4 papunktyje nustatytai veiklai finansuoti – 80 proc. visų tinkamų finansuoti išlaidų, neviršijant paskelbtam kvietimui teikti paraiškas skirtos pagalbos sumos.</w:t>
                      </w:r>
                    </w:p>
                  </w:sdtContent>
                </w:sdt>
              </w:sdtContent>
            </w:sdt>
            <w:sdt>
              <w:sdtPr>
                <w:alias w:val="17 p."/>
                <w:tag w:val="part_69ef23cd168e4d4e9b3fbfd624285ca8"/>
                <w:lock w:val="sdtLocked"/>
                <w:richText/>
              </w:sdtPr>
              <w:sdtContent>
                <w:p w14:paraId="1E4F5DA3"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69ef23cd168e4d4e9b3fbfd624285ca8"/>
                      <w:lock w:val="sdtLocked"/>
                      <w:richText/>
                    </w:sdtPr>
                    <w:sdtContent>
                      <w:r>
                        <w:rPr>
                          <w:color w:val="000000"/>
                          <w:szCs w:val="24"/>
                          <w:lang w:eastAsia="lt-LT"/>
                        </w:rPr>
                        <w:t>17</w:t>
                      </w:r>
                    </w:sdtContent>
                  </w:sdt>
                  <w:r>
                    <w:rPr>
                      <w:color w:val="000000"/>
                      <w:szCs w:val="24"/>
                      <w:lang w:eastAsia="lt-LT"/>
                    </w:rPr>
                    <w:t>. Skiriamų lėšų dydis skaičiuojamas atsižvelgiant tik į paraiškoje nurodytas tinkamas finansuoti išlaidas.</w:t>
                  </w:r>
                </w:p>
              </w:sdtContent>
            </w:sdt>
            <w:sdt>
              <w:sdtPr>
                <w:alias w:val="18 p."/>
                <w:tag w:val="part_d870bc43363548ba9b5966bc66d54833"/>
                <w:lock w:val="sdtLocked"/>
                <w:richText/>
              </w:sdtPr>
              <w:sdtContent>
                <w:p w14:paraId="65C7FA66"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d870bc43363548ba9b5966bc66d54833"/>
                      <w:lock w:val="sdtLocked"/>
                      <w:richText/>
                    </w:sdtPr>
                    <w:sdtContent>
                      <w:r>
                        <w:rPr>
                          <w:color w:val="000000"/>
                          <w:szCs w:val="24"/>
                          <w:lang w:eastAsia="lt-LT"/>
                        </w:rPr>
                        <w:t>18</w:t>
                      </w:r>
                    </w:sdtContent>
                  </w:sdt>
                  <w:r>
                    <w:rPr>
                      <w:color w:val="000000"/>
                      <w:szCs w:val="24"/>
                      <w:lang w:eastAsia="lt-LT"/>
                    </w:rPr>
                    <w:t xml:space="preserve">. </w:t>
                  </w:r>
                  <w:r>
                    <w:rPr>
                      <w:szCs w:val="24"/>
                      <w:lang w:eastAsia="lt-LT"/>
                    </w:rPr>
                    <w:t>Didžiausia galima pagalbos suma, teikiama vienam galutiniam pagalbos gavėjui, nurodytam taisyklių 20 punkte, vieneriems metams – 10 000 Eur.</w:t>
                  </w:r>
                </w:p>
                <w:p w14:paraId="43DE0022" w14:textId="77777777">
                  <w:pPr>
                    <w:widowControl w:val="0"/>
                    <w:suppressAutoHyphens/>
                    <w:overflowPunct w:val="0"/>
                    <w:ind w:firstLine="720"/>
                    <w:jc w:val="both"/>
                    <w:textAlignment w:val="baseline"/>
                    <w:rPr>
                      <w:color w:val="000000"/>
                      <w:szCs w:val="24"/>
                      <w:lang w:eastAsia="lt-LT"/>
                    </w:rPr>
                  </w:pPr>
                </w:p>
              </w:sdtContent>
            </w:sdt>
          </w:sdtContent>
        </w:sdt>
        <w:sdt>
          <w:sdtPr>
            <w:alias w:val="skyrius"/>
            <w:tag w:val="part_d9b9491638d143889396a3986656fcdf"/>
            <w:lock w:val="sdtLocked"/>
            <w:richText/>
          </w:sdtPr>
          <w:sdtContent>
            <w:p w14:paraId="36B7F377" w14:textId="77777777">
              <w:pPr>
                <w:jc w:val="center"/>
                <w:rPr>
                  <w:b/>
                  <w:szCs w:val="24"/>
                  <w:lang w:eastAsia="lt-LT"/>
                </w:rPr>
              </w:pPr>
              <w:sdt>
                <w:sdtPr>
                  <w:alias w:val="Numeris"/>
                  <w:tag w:val="nr_d9b9491638d143889396a3986656fcdf"/>
                  <w:lock w:val="sdtLocked"/>
                  <w:richText/>
                </w:sdtPr>
                <w:sdtContent>
                  <w:r>
                    <w:rPr>
                      <w:b/>
                      <w:szCs w:val="24"/>
                      <w:lang w:eastAsia="lt-LT"/>
                    </w:rPr>
                    <w:t>V</w:t>
                  </w:r>
                </w:sdtContent>
              </w:sdt>
              <w:r>
                <w:rPr>
                  <w:b/>
                  <w:szCs w:val="24"/>
                  <w:lang w:eastAsia="lt-LT"/>
                </w:rPr>
                <w:t xml:space="preserve"> SKYRIUS</w:t>
              </w:r>
            </w:p>
            <w:sdt>
              <w:sdtPr>
                <w:alias w:val="Pavadinimas"/>
                <w:tag w:val="title_d9b9491638d143889396a3986656fcdf"/>
                <w:lock w:val="sdtLocked"/>
                <w:richText/>
              </w:sdtPr>
              <w:sdtContent>
                <w:p w14:paraId="4A03F146" w14:textId="77777777">
                  <w:pPr>
                    <w:jc w:val="center"/>
                    <w:rPr>
                      <w:b/>
                      <w:szCs w:val="24"/>
                      <w:lang w:eastAsia="lt-LT"/>
                    </w:rPr>
                  </w:pPr>
                  <w:r>
                    <w:rPr>
                      <w:b/>
                      <w:szCs w:val="24"/>
                      <w:lang w:eastAsia="lt-LT"/>
                    </w:rPr>
                    <w:t xml:space="preserve">TINKAMI PAREIŠKĖJAI, GALUTINIAI PAGALBOS GAVĖJAI </w:t>
                  </w:r>
                </w:p>
                <w:p w14:paraId="144BEA7E" w14:textId="77777777">
                  <w:pPr>
                    <w:jc w:val="center"/>
                    <w:rPr>
                      <w:b/>
                      <w:szCs w:val="24"/>
                      <w:lang w:eastAsia="lt-LT"/>
                    </w:rPr>
                  </w:pPr>
                  <w:r>
                    <w:rPr>
                      <w:b/>
                      <w:szCs w:val="24"/>
                      <w:lang w:eastAsia="lt-LT"/>
                    </w:rPr>
                    <w:t>IR TINKAMUMO SĄLYGOS</w:t>
                  </w:r>
                </w:p>
              </w:sdtContent>
            </w:sdt>
            <w:p w14:paraId="3F6F9201" w14:textId="77777777">
              <w:pPr>
                <w:jc w:val="center"/>
                <w:rPr>
                  <w:b/>
                  <w:szCs w:val="24"/>
                  <w:lang w:eastAsia="lt-LT"/>
                </w:rPr>
              </w:pPr>
            </w:p>
            <w:sdt>
              <w:sdtPr>
                <w:alias w:val="19 p."/>
                <w:tag w:val="part_40418469115b4edc8052b66677fe96e9"/>
                <w:lock w:val="sdtLocked"/>
                <w:richText/>
              </w:sdtPr>
              <w:sdtContent>
                <w:p w14:paraId="36410CFA" w14:textId="77777777">
                  <w:pPr>
                    <w:widowControl w:val="0"/>
                    <w:suppressAutoHyphens/>
                    <w:overflowPunct w:val="0"/>
                    <w:spacing w:line="360" w:lineRule="auto"/>
                    <w:ind w:firstLine="720"/>
                    <w:jc w:val="both"/>
                    <w:textAlignment w:val="baseline"/>
                    <w:rPr>
                      <w:b/>
                      <w:bCs/>
                      <w:color w:val="000000"/>
                      <w:szCs w:val="24"/>
                      <w:lang w:eastAsia="lt-LT"/>
                    </w:rPr>
                  </w:pPr>
                  <w:sdt>
                    <w:sdtPr>
                      <w:alias w:val="Numeris"/>
                      <w:tag w:val="nr_40418469115b4edc8052b66677fe96e9"/>
                      <w:lock w:val="sdtLocked"/>
                      <w:richText/>
                    </w:sdtPr>
                    <w:sdtContent>
                      <w:r>
                        <w:rPr>
                          <w:color w:val="000000"/>
                          <w:szCs w:val="24"/>
                          <w:lang w:eastAsia="lt-LT"/>
                        </w:rPr>
                        <w:t>19</w:t>
                      </w:r>
                    </w:sdtContent>
                  </w:sdt>
                  <w:r>
                    <w:rPr>
                      <w:color w:val="000000"/>
                      <w:szCs w:val="24"/>
                      <w:lang w:eastAsia="lt-LT"/>
                    </w:rPr>
                    <w:t>. Pagal šias taisykles pareiškėjai gali būti:</w:t>
                  </w:r>
                </w:p>
                <w:sdt>
                  <w:sdtPr>
                    <w:alias w:val="19.1 pp."/>
                    <w:tag w:val="part_ee7012475fed430a837867a65ec75d2f"/>
                    <w:lock w:val="sdtLocked"/>
                    <w:richText/>
                  </w:sdtPr>
                  <w:sdtContent>
                    <w:p w14:paraId="789B99C6"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ee7012475fed430a837867a65ec75d2f"/>
                          <w:lock w:val="sdtLocked"/>
                          <w:richText/>
                        </w:sdtPr>
                        <w:sdtContent>
                          <w:r>
                            <w:rPr>
                              <w:color w:val="000000"/>
                              <w:szCs w:val="24"/>
                              <w:lang w:eastAsia="lt-LT"/>
                            </w:rPr>
                            <w:t>19.1</w:t>
                          </w:r>
                        </w:sdtContent>
                      </w:sdt>
                      <w:r>
                        <w:rPr>
                          <w:color w:val="000000"/>
                          <w:szCs w:val="24"/>
                          <w:lang w:eastAsia="lt-LT"/>
                        </w:rPr>
                        <w:t>. skiriant pagalbą taisyklių 10.1 papunktyje nurodytoms išlaidoms kompensuoti, fiziniai asmenys, kuriems suteiktas A kategorijos tautinio paveldo produkto sertifikatas ir kurie yra sumokėję atitinkamą valstybės rinkliavą;</w:t>
                      </w:r>
                    </w:p>
                  </w:sdtContent>
                </w:sdt>
                <w:sdt>
                  <w:sdtPr>
                    <w:alias w:val="19.2 pp."/>
                    <w:tag w:val="part_f147640c09e04c8b8f3fee79fbe79948"/>
                    <w:lock w:val="sdtLocked"/>
                    <w:richText/>
                  </w:sdtPr>
                  <w:sdtContent>
                    <w:p w14:paraId="046741A9"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f147640c09e04c8b8f3fee79fbe79948"/>
                          <w:lock w:val="sdtLocked"/>
                          <w:richText/>
                        </w:sdtPr>
                        <w:sdtContent>
                          <w:r>
                            <w:rPr>
                              <w:color w:val="000000"/>
                              <w:szCs w:val="24"/>
                              <w:lang w:eastAsia="lt-LT"/>
                            </w:rPr>
                            <w:t>19.2</w:t>
                          </w:r>
                        </w:sdtContent>
                      </w:sdt>
                      <w:r>
                        <w:rPr>
                          <w:color w:val="000000"/>
                          <w:szCs w:val="24"/>
                          <w:lang w:eastAsia="lt-LT"/>
                        </w:rPr>
                        <w:t>. skiriant pagalbą taisyklių 10.2 ir (arba) 10.3 papunkčiuose nurodytoms veikloms vykdyti:</w:t>
                      </w:r>
                    </w:p>
                    <w:sdt>
                      <w:sdtPr>
                        <w:alias w:val="19.2.1 pp."/>
                        <w:tag w:val="part_482de27f8d9e41e79c5486651dc358bc"/>
                        <w:lock w:val="sdtLocked"/>
                        <w:richText/>
                      </w:sdtPr>
                      <w:sdtContent>
                        <w:p w14:paraId="084EA646"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482de27f8d9e41e79c5486651dc358bc"/>
                              <w:lock w:val="sdtLocked"/>
                              <w:richText/>
                            </w:sdtPr>
                            <w:sdtContent>
                              <w:r>
                                <w:rPr>
                                  <w:color w:val="000000"/>
                                  <w:szCs w:val="24"/>
                                  <w:lang w:eastAsia="lt-LT"/>
                                </w:rPr>
                                <w:t>19.2.1</w:t>
                              </w:r>
                            </w:sdtContent>
                          </w:sdt>
                          <w:r>
                            <w:rPr>
                              <w:color w:val="000000"/>
                              <w:szCs w:val="24"/>
                              <w:lang w:eastAsia="lt-LT"/>
                            </w:rPr>
                            <w:t>. fiziniai ir juridiniai asmenys, kuriantys ir (arba) gaminantys, ir (arba) realizuojantys sertifikuotus A arba B kategorijos tautinio paveldo produktus;</w:t>
                          </w:r>
                        </w:p>
                      </w:sdtContent>
                    </w:sdt>
                    <w:sdt>
                      <w:sdtPr>
                        <w:alias w:val="19.2.2 pp."/>
                        <w:tag w:val="part_09e0bb05e90b434abebc526484a95e6d"/>
                        <w:lock w:val="sdtLocked"/>
                        <w:richText/>
                      </w:sdtPr>
                      <w:sdtContent>
                        <w:p w14:paraId="4C4D6F8B"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09e0bb05e90b434abebc526484a95e6d"/>
                              <w:lock w:val="sdtLocked"/>
                              <w:richText/>
                            </w:sdtPr>
                            <w:sdtContent>
                              <w:r>
                                <w:rPr>
                                  <w:color w:val="000000"/>
                                  <w:szCs w:val="24"/>
                                  <w:lang w:eastAsia="lt-LT"/>
                                </w:rPr>
                                <w:t>19.2.2</w:t>
                              </w:r>
                            </w:sdtContent>
                          </w:sdt>
                          <w:r>
                            <w:rPr>
                              <w:color w:val="000000"/>
                              <w:szCs w:val="24"/>
                              <w:lang w:eastAsia="lt-LT"/>
                            </w:rPr>
                            <w:t>. asociacijos, vienijančios tautinio paveldo produktų kūrėjus;</w:t>
                          </w:r>
                        </w:p>
                      </w:sdtContent>
                    </w:sdt>
                    <w:sdt>
                      <w:sdtPr>
                        <w:alias w:val="19.2.3 pp."/>
                        <w:tag w:val="part_f7ae6d7162b349ec99ce3ba32b85b2b1"/>
                        <w:lock w:val="sdtLocked"/>
                        <w:richText/>
                      </w:sdtPr>
                      <w:sdtContent>
                        <w:p w14:paraId="51BD1677"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f7ae6d7162b349ec99ce3ba32b85b2b1"/>
                              <w:lock w:val="sdtLocked"/>
                              <w:richText/>
                            </w:sdtPr>
                            <w:sdtContent>
                              <w:r>
                                <w:rPr>
                                  <w:color w:val="000000"/>
                                  <w:szCs w:val="24"/>
                                  <w:lang w:eastAsia="lt-LT"/>
                                </w:rPr>
                                <w:t>19.2.3</w:t>
                              </w:r>
                            </w:sdtContent>
                          </w:sdt>
                          <w:r>
                            <w:rPr>
                              <w:color w:val="000000"/>
                              <w:szCs w:val="24"/>
                              <w:lang w:eastAsia="lt-LT"/>
                            </w:rPr>
                            <w:t>. tradicinių amatų centrai, kurie pagal Lietuvos Respublikos juridiniame asmenų registre registruotus nuostatus (įstatus) ar kitą veiklą reglamentuojantį dokumentą atitinka Įstatyme nustatytą tradicinių amatų centro apibrėžimą ir atlieka Įstatyme nustatytas funkcijas;</w:t>
                          </w:r>
                        </w:p>
                      </w:sdtContent>
                    </w:sdt>
                  </w:sdtContent>
                </w:sdt>
                <w:sdt>
                  <w:sdtPr>
                    <w:alias w:val="19.3 pp."/>
                    <w:tag w:val="part_0a13e3fa0b264d47bbfe6a08e7a1a477"/>
                    <w:lock w:val="sdtLocked"/>
                    <w:richText/>
                  </w:sdtPr>
                  <w:sdtContent>
                    <w:p w14:paraId="5E13AD71"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0a13e3fa0b264d47bbfe6a08e7a1a477"/>
                          <w:lock w:val="sdtLocked"/>
                          <w:richText/>
                        </w:sdtPr>
                        <w:sdtContent>
                          <w:r>
                            <w:rPr>
                              <w:color w:val="000000"/>
                              <w:szCs w:val="24"/>
                              <w:lang w:eastAsia="lt-LT"/>
                            </w:rPr>
                            <w:t>19.3</w:t>
                          </w:r>
                        </w:sdtContent>
                      </w:sdt>
                      <w:r>
                        <w:rPr>
                          <w:color w:val="000000"/>
                          <w:szCs w:val="24"/>
                          <w:lang w:eastAsia="lt-LT"/>
                        </w:rPr>
                        <w:t xml:space="preserve">. skiriant pagalbą taisyklių 10.4 papunktyje nurodytai veiklai vykdyti, pagalbos gali kreiptis A kategorijos tradicinių amatų meistrai ir (arba) tradicinių amatų centrai, kurie pagal Lietuvos Respublikos juridiniame asmenų registre registruotus nuostatus (įstatus) ar kitą veiklą reglamentuojantį dokumentą atitinka Įstatyme nustatytą tradicinių amatų centro apibrėžimą ir atlieka Įstatyme nustatytas funkcijas, kai tradicinių amatų edukacinius užsiėmimus veda A kategorijos tradicinių amatų meistrai. </w:t>
                      </w:r>
                    </w:p>
                  </w:sdtContent>
                </w:sdt>
              </w:sdtContent>
            </w:sdt>
            <w:sdt>
              <w:sdtPr>
                <w:alias w:val="20 p."/>
                <w:tag w:val="part_2abba2ef8bf249ce828450a82f01c93f"/>
                <w:lock w:val="sdtLocked"/>
                <w:richText/>
              </w:sdtPr>
              <w:sdtContent>
                <w:p w14:paraId="33F1BC91" w14:textId="0679E17B">
                  <w:pPr>
                    <w:widowControl w:val="0"/>
                    <w:suppressAutoHyphens/>
                    <w:overflowPunct w:val="0"/>
                    <w:spacing w:line="360" w:lineRule="auto"/>
                    <w:ind w:firstLine="720"/>
                    <w:jc w:val="both"/>
                    <w:textAlignment w:val="baseline"/>
                    <w:rPr>
                      <w:color w:val="000000"/>
                      <w:szCs w:val="24"/>
                      <w:lang w:eastAsia="lt-LT"/>
                    </w:rPr>
                  </w:pPr>
                  <w:sdt>
                    <w:sdtPr>
                      <w:alias w:val="Numeris"/>
                      <w:tag w:val="nr_2abba2ef8bf249ce828450a82f01c93f"/>
                      <w:lock w:val="sdtLocked"/>
                      <w:richText/>
                    </w:sdtPr>
                    <w:sdtContent>
                      <w:r>
                        <w:rPr>
                          <w:color w:val="000000"/>
                          <w:szCs w:val="24"/>
                          <w:lang w:eastAsia="lt-LT"/>
                        </w:rPr>
                        <w:t>20</w:t>
                      </w:r>
                    </w:sdtContent>
                  </w:sdt>
                  <w:r>
                    <w:rPr>
                      <w:color w:val="000000"/>
                      <w:szCs w:val="24"/>
                      <w:lang w:eastAsia="lt-LT"/>
                    </w:rPr>
                    <w:t xml:space="preserve">. </w:t>
                  </w:r>
                  <w:r>
                    <w:rPr>
                      <w:color w:val="000000"/>
                      <w:spacing w:val="-4"/>
                      <w:szCs w:val="24"/>
                      <w:lang w:eastAsia="lt-LT"/>
                    </w:rPr>
                    <w:t xml:space="preserve">Galutiniai pagalbos gavėjai yra fiziniai ar juridiniai asmenys, kuriantys ir (ar) gaminantys tautinio paveldo produktus Lietuvoje. Jeigu paraišką teikia asociacija arba tradicinių amatų centras, galutinis pagalbos gavėjas yra jos </w:t>
                  </w:r>
                  <w:r>
                    <w:rPr>
                      <w:color w:val="000000"/>
                      <w:szCs w:val="24"/>
                      <w:lang w:eastAsia="lt-LT"/>
                    </w:rPr>
                    <w:t>/ jo</w:t>
                  </w:r>
                  <w:r>
                    <w:rPr>
                      <w:color w:val="000000"/>
                      <w:spacing w:val="-4"/>
                      <w:szCs w:val="24"/>
                      <w:lang w:eastAsia="lt-LT"/>
                    </w:rPr>
                    <w:t xml:space="preserve"> narys, nurodytas paraiškos </w:t>
                  </w:r>
                  <w:r>
                    <w:rPr>
                      <w:color w:val="000000"/>
                      <w:szCs w:val="24"/>
                      <w:lang w:eastAsia="lt-LT"/>
                    </w:rPr>
                    <w:t>galutinių pagalbos gavėjų sąraše</w:t>
                  </w:r>
                  <w:r>
                    <w:rPr>
                      <w:color w:val="000000"/>
                      <w:spacing w:val="-4"/>
                      <w:szCs w:val="24"/>
                      <w:lang w:eastAsia="lt-LT"/>
                    </w:rPr>
                    <w:t xml:space="preserve">. Galutiniu pagalbos gavėju gali būti ir asociacija bei </w:t>
                  </w:r>
                  <w:r>
                    <w:rPr>
                      <w:color w:val="000000"/>
                      <w:szCs w:val="24"/>
                      <w:lang w:eastAsia="lt-LT"/>
                    </w:rPr>
                    <w:t>tradicinių amatų centras</w:t>
                  </w:r>
                  <w:r>
                    <w:rPr>
                      <w:color w:val="000000"/>
                      <w:spacing w:val="-4"/>
                      <w:szCs w:val="24"/>
                      <w:lang w:eastAsia="lt-LT"/>
                    </w:rPr>
                    <w:t xml:space="preserve">, jei prašoma paramos 11.2.5 ir 11.3 p. nurodytoms išlaidoms kompensuoti. </w:t>
                  </w:r>
                </w:p>
              </w:sdtContent>
            </w:sdt>
            <w:sdt>
              <w:sdtPr>
                <w:alias w:val="21 p."/>
                <w:tag w:val="part_3a907884a9d6408795e8d9235689891f"/>
                <w:lock w:val="sdtLocked"/>
                <w:richText/>
              </w:sdtPr>
              <w:sdtContent>
                <w:p w14:paraId="5BDBCB75"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3a907884a9d6408795e8d9235689891f"/>
                      <w:lock w:val="sdtLocked"/>
                      <w:richText/>
                    </w:sdtPr>
                    <w:sdtContent>
                      <w:r>
                        <w:rPr>
                          <w:color w:val="000000"/>
                          <w:szCs w:val="24"/>
                          <w:lang w:eastAsia="lt-LT"/>
                        </w:rPr>
                        <w:t>21</w:t>
                      </w:r>
                    </w:sdtContent>
                  </w:sdt>
                  <w:r>
                    <w:rPr>
                      <w:color w:val="000000"/>
                      <w:szCs w:val="24"/>
                      <w:lang w:eastAsia="lt-LT"/>
                    </w:rPr>
                    <w:t>. Tuo atveju, kai pareiškėjas yra asociacija arba tradicinių amatų centras, ji / jis turi užtikrinti, kad asmenys, kuriems būtų skirta pagalba (galutiniai pagalbos gavėjai), yra tinkami pareiškėjai pagal taisyklių II,V skyrių nuostatas ir nepažeidžia taisyklių VI skyriaus nuostatų.</w:t>
                  </w:r>
                </w:p>
              </w:sdtContent>
            </w:sdt>
            <w:sdt>
              <w:sdtPr>
                <w:alias w:val="22 p."/>
                <w:tag w:val="part_3d4e3452a58a48118bc0325de9887129"/>
                <w:lock w:val="sdtLocked"/>
                <w:richText/>
              </w:sdtPr>
              <w:sdtContent>
                <w:p w14:paraId="1A193DF8" w14:textId="77777777">
                  <w:pPr>
                    <w:widowControl w:val="0"/>
                    <w:suppressAutoHyphens/>
                    <w:overflowPunct w:val="0"/>
                    <w:spacing w:line="360" w:lineRule="auto"/>
                    <w:ind w:firstLine="720"/>
                    <w:jc w:val="both"/>
                    <w:textAlignment w:val="baseline"/>
                    <w:rPr>
                      <w:bCs/>
                      <w:color w:val="000000"/>
                      <w:szCs w:val="24"/>
                      <w:lang w:eastAsia="lt-LT"/>
                    </w:rPr>
                  </w:pPr>
                  <w:sdt>
                    <w:sdtPr>
                      <w:alias w:val="Numeris"/>
                      <w:tag w:val="nr_3d4e3452a58a48118bc0325de9887129"/>
                      <w:lock w:val="sdtLocked"/>
                      <w:richText/>
                    </w:sdtPr>
                    <w:sdtContent>
                      <w:r>
                        <w:rPr>
                          <w:color w:val="000000"/>
                          <w:szCs w:val="24"/>
                          <w:lang w:eastAsia="lt-LT"/>
                        </w:rPr>
                        <w:t>22</w:t>
                      </w:r>
                    </w:sdtContent>
                  </w:sdt>
                  <w:r>
                    <w:rPr>
                      <w:color w:val="000000"/>
                      <w:szCs w:val="24"/>
                      <w:lang w:eastAsia="lt-LT"/>
                    </w:rPr>
                    <w:t>.</w:t>
                  </w:r>
                  <w:r>
                    <w:rPr>
                      <w:bCs/>
                      <w:color w:val="000000"/>
                      <w:szCs w:val="24"/>
                      <w:lang w:eastAsia="lt-LT"/>
                    </w:rPr>
                    <w:t xml:space="preserve"> Tinkamumo sąlygos:</w:t>
                  </w:r>
                </w:p>
                <w:sdt>
                  <w:sdtPr>
                    <w:alias w:val="22.1 pp."/>
                    <w:tag w:val="part_a586ee854c4c490eaa4a4fa38cfa7adc"/>
                    <w:lock w:val="sdtLocked"/>
                    <w:richText/>
                  </w:sdtPr>
                  <w:sdtContent>
                    <w:p w14:paraId="556B0D3D"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a586ee854c4c490eaa4a4fa38cfa7adc"/>
                          <w:lock w:val="sdtLocked"/>
                          <w:richText/>
                        </w:sdtPr>
                        <w:sdtContent>
                          <w:r>
                            <w:rPr>
                              <w:color w:val="000000"/>
                              <w:szCs w:val="24"/>
                              <w:lang w:eastAsia="lt-LT"/>
                            </w:rPr>
                            <w:t>22.1</w:t>
                          </w:r>
                        </w:sdtContent>
                      </w:sdt>
                      <w:r>
                        <w:rPr>
                          <w:color w:val="000000"/>
                          <w:szCs w:val="24"/>
                          <w:lang w:eastAsia="lt-LT"/>
                        </w:rPr>
                        <w:t>. Pagalba pagal šių taisyklių 10.2 papunktį gali būti skiriama, jeigu:</w:t>
                      </w:r>
                    </w:p>
                    <w:sdt>
                      <w:sdtPr>
                        <w:alias w:val="22.1.1 pp."/>
                        <w:tag w:val="part_f9b0eaf289bd45868bb3b78d14e24267"/>
                        <w:lock w:val="sdtLocked"/>
                        <w:richText/>
                      </w:sdtPr>
                      <w:sdtContent>
                        <w:p w14:paraId="06E7B534"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f9b0eaf289bd45868bb3b78d14e24267"/>
                              <w:lock w:val="sdtLocked"/>
                              <w:richText/>
                            </w:sdtPr>
                            <w:sdtContent>
                              <w:r>
                                <w:rPr>
                                  <w:color w:val="000000"/>
                                  <w:szCs w:val="24"/>
                                  <w:lang w:eastAsia="lt-LT"/>
                                </w:rPr>
                                <w:t>22.1.1</w:t>
                              </w:r>
                            </w:sdtContent>
                          </w:sdt>
                          <w:r>
                            <w:rPr>
                              <w:color w:val="000000"/>
                              <w:szCs w:val="24"/>
                              <w:lang w:eastAsia="lt-LT"/>
                            </w:rPr>
                            <w:t>. parodose, mugėse ir (arba) kituose viešuosiuose renginiuose demonstruojami ir (arba) realizuojami tautinio paveldo produktai ženklinami Tautinio paveldo produktų ženklų naudojimo tvarkos aprašo, patvirtinto Lietuvos Respublikos žemės ūkio ministro 2008 m. gruodžio 17 d. įsakymu Nr. 3D-691 „Dėl Tautinio paveldo produktų ženklų naudojimo tvarkos aprašo patvirtinimo“, nustatyta tvarka;</w:t>
                          </w:r>
                        </w:p>
                      </w:sdtContent>
                    </w:sdt>
                    <w:sdt>
                      <w:sdtPr>
                        <w:alias w:val="22.1.2 pp."/>
                        <w:tag w:val="part_ea8a5cb086d1484db276545dbb64e7c4"/>
                        <w:lock w:val="sdtLocked"/>
                        <w:richText/>
                      </w:sdtPr>
                      <w:sdtContent>
                        <w:p w14:paraId="021F4FC8" w14:textId="71AC3DBE">
                          <w:pPr>
                            <w:widowControl w:val="0"/>
                            <w:suppressAutoHyphens/>
                            <w:overflowPunct w:val="0"/>
                            <w:spacing w:line="360" w:lineRule="auto"/>
                            <w:ind w:firstLine="720"/>
                            <w:jc w:val="both"/>
                            <w:textAlignment w:val="baseline"/>
                            <w:rPr>
                              <w:color w:val="000000"/>
                              <w:szCs w:val="24"/>
                              <w:lang w:eastAsia="lt-LT"/>
                            </w:rPr>
                          </w:pPr>
                          <w:sdt>
                            <w:sdtPr>
                              <w:alias w:val="Numeris"/>
                              <w:tag w:val="nr_ea8a5cb086d1484db276545dbb64e7c4"/>
                              <w:lock w:val="sdtLocked"/>
                              <w:richText/>
                            </w:sdtPr>
                            <w:sdtContent>
                              <w:r>
                                <w:rPr>
                                  <w:color w:val="000000"/>
                                  <w:szCs w:val="24"/>
                                  <w:lang w:eastAsia="lt-LT"/>
                                </w:rPr>
                                <w:t>22.1.2</w:t>
                              </w:r>
                            </w:sdtContent>
                          </w:sdt>
                          <w:r>
                            <w:rPr>
                              <w:color w:val="000000"/>
                              <w:szCs w:val="24"/>
                              <w:lang w:eastAsia="lt-LT"/>
                            </w:rPr>
                            <w:t>. tautinio paveldo produktai sudaro ne mažesnę kaip du trečdaliai visų parodose, mugėse ir (arba) kituose viešuosiuose renginiuose demonstruojamų ir (arba) realizuojamų produktų asortimento dalį;</w:t>
                          </w:r>
                        </w:p>
                      </w:sdtContent>
                    </w:sdt>
                  </w:sdtContent>
                </w:sdt>
                <w:sdt>
                  <w:sdtPr>
                    <w:alias w:val="22.2 pp."/>
                    <w:tag w:val="part_fcc024fbbb424637a7797e96258c2cb3"/>
                    <w:lock w:val="sdtLocked"/>
                    <w:richText/>
                  </w:sdtPr>
                  <w:sdtContent>
                    <w:p w14:paraId="06444E80"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fcc024fbbb424637a7797e96258c2cb3"/>
                          <w:lock w:val="sdtLocked"/>
                          <w:richText/>
                        </w:sdtPr>
                        <w:sdtContent>
                          <w:r>
                            <w:rPr>
                              <w:color w:val="000000"/>
                              <w:szCs w:val="24"/>
                              <w:lang w:eastAsia="lt-LT"/>
                            </w:rPr>
                            <w:t>22.2</w:t>
                          </w:r>
                        </w:sdtContent>
                      </w:sdt>
                      <w:r>
                        <w:rPr>
                          <w:color w:val="000000"/>
                          <w:szCs w:val="24"/>
                          <w:lang w:eastAsia="lt-LT"/>
                        </w:rPr>
                        <w:t>. Pagalba pagal šių taisyklių 10.4 papunktį gali būti skiriama, jeigu:</w:t>
                      </w:r>
                    </w:p>
                    <w:sdt>
                      <w:sdtPr>
                        <w:alias w:val="22.2.1 pp."/>
                        <w:tag w:val="part_81a4fe0480574c9c90bf223523337173"/>
                        <w:lock w:val="sdtLocked"/>
                        <w:richText/>
                      </w:sdtPr>
                      <w:sdtContent>
                        <w:p w14:paraId="058449BD" w14:textId="7E188C97">
                          <w:pPr>
                            <w:overflowPunct w:val="0"/>
                            <w:spacing w:line="360" w:lineRule="auto"/>
                            <w:ind w:firstLine="720"/>
                            <w:jc w:val="both"/>
                            <w:textAlignment w:val="baseline"/>
                            <w:rPr>
                              <w:color w:val="000000"/>
                              <w:szCs w:val="24"/>
                              <w:lang w:eastAsia="lt-LT"/>
                            </w:rPr>
                          </w:pPr>
                          <w:sdt>
                            <w:sdtPr>
                              <w:alias w:val="Numeris"/>
                              <w:tag w:val="nr_81a4fe0480574c9c90bf223523337173"/>
                              <w:lock w:val="sdtLocked"/>
                              <w:richText/>
                            </w:sdtPr>
                            <w:sdtContent>
                              <w:r>
                                <w:rPr>
                                  <w:color w:val="000000"/>
                                  <w:szCs w:val="24"/>
                                  <w:lang w:eastAsia="lt-LT"/>
                                </w:rPr>
                                <w:t>22.2.1</w:t>
                              </w:r>
                            </w:sdtContent>
                          </w:sdt>
                          <w:r>
                            <w:rPr>
                              <w:color w:val="000000"/>
                              <w:szCs w:val="24"/>
                              <w:lang w:eastAsia="lt-LT"/>
                            </w:rPr>
                            <w:t xml:space="preserve">. pareiškėjas, planuojantis edukacinį užsiėmimą, ne vėliau kaip prieš 3 savaites iki jo pradžios praneša apie jį (skelbimo tekste (Word formatu) nurodydamas tradicinių amatų meistrą, edukacinio užsiėmimo temą, datą, laiką, trukmę ir vietą bei pateikdamas tautinio paveldo produkto, kurio gamybos bus mokoma edukacinio užsiėmimo metu, nuotrauką ir (ar) plakatą (horizontalaus formato) Lietuvos Respublikos žemės ūkio ministerijos (toliau – Ministerija) atsakingam padaliniui (toliau – Sekretoriatas), kuris informaciją apie planuojamą edukacinį užsiėmimą paskelbia interneto svetainėje </w:t>
                          </w:r>
                          <w:r>
                            <w:rPr>
                              <w:color w:val="0000FF"/>
                              <w:szCs w:val="24"/>
                              <w:u w:val="single"/>
                              <w:lang w:eastAsia="lt-LT"/>
                            </w:rPr>
                            <w:t xml:space="preserve">www.tautinispaveldas.lt </w:t>
                          </w:r>
                          <w:r>
                            <w:rPr>
                              <w:color w:val="000000"/>
                              <w:szCs w:val="24"/>
                              <w:lang w:eastAsia="lt-LT"/>
                            </w:rPr>
                            <w:t>ne vėliau kaip prieš 2 savaites iki jo pradžios;</w:t>
                          </w:r>
                          <w:r>
                            <w:t xml:space="preserve"> </w:t>
                          </w:r>
                        </w:p>
                      </w:sdtContent>
                    </w:sdt>
                    <w:sdt>
                      <w:sdtPr>
                        <w:alias w:val="22.2.2 pp."/>
                        <w:tag w:val="part_553c0a2dd0ed4361ba175688dc9eae07"/>
                        <w:lock w:val="sdtLocked"/>
                        <w:richText/>
                      </w:sdtPr>
                      <w:sdtContent>
                        <w:p w14:paraId="3F0D9BD6"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553c0a2dd0ed4361ba175688dc9eae07"/>
                              <w:lock w:val="sdtLocked"/>
                              <w:richText/>
                            </w:sdtPr>
                            <w:sdtContent>
                              <w:r>
                                <w:rPr>
                                  <w:color w:val="000000"/>
                                  <w:szCs w:val="24"/>
                                  <w:lang w:eastAsia="lt-LT"/>
                                </w:rPr>
                                <w:t>22.2.2</w:t>
                              </w:r>
                            </w:sdtContent>
                          </w:sdt>
                          <w:r>
                            <w:rPr>
                              <w:color w:val="000000"/>
                              <w:szCs w:val="24"/>
                              <w:lang w:eastAsia="lt-LT"/>
                            </w:rPr>
                            <w:t>. užsiėmimas vedamas gyvai;</w:t>
                          </w:r>
                        </w:p>
                      </w:sdtContent>
                    </w:sdt>
                    <w:sdt>
                      <w:sdtPr>
                        <w:alias w:val="22.2.3 pp."/>
                        <w:tag w:val="part_1e98cc4b39ef49fc945cbd33f18fca64"/>
                        <w:lock w:val="sdtLocked"/>
                        <w:richText/>
                      </w:sdtPr>
                      <w:sdtContent>
                        <w:p w14:paraId="08203691"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1e98cc4b39ef49fc945cbd33f18fca64"/>
                              <w:lock w:val="sdtLocked"/>
                              <w:richText/>
                            </w:sdtPr>
                            <w:sdtContent>
                              <w:r>
                                <w:rPr>
                                  <w:color w:val="000000"/>
                                  <w:szCs w:val="24"/>
                                  <w:lang w:eastAsia="lt-LT"/>
                                </w:rPr>
                                <w:t>22.2.3</w:t>
                              </w:r>
                            </w:sdtContent>
                          </w:sdt>
                          <w:r>
                            <w:rPr>
                              <w:color w:val="000000"/>
                              <w:szCs w:val="24"/>
                              <w:lang w:eastAsia="lt-LT"/>
                            </w:rPr>
                            <w:t>. dalyvių dalyvavimas nemokamas;</w:t>
                          </w:r>
                        </w:p>
                      </w:sdtContent>
                    </w:sdt>
                    <w:sdt>
                      <w:sdtPr>
                        <w:alias w:val="22.2.4 pp."/>
                        <w:tag w:val="part_9971932bd8fa4e9fa590a90d30104359"/>
                        <w:lock w:val="sdtLocked"/>
                        <w:richText/>
                      </w:sdtPr>
                      <w:sdtContent>
                        <w:p w14:paraId="56DA12BF"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9971932bd8fa4e9fa590a90d30104359"/>
                              <w:lock w:val="sdtLocked"/>
                              <w:richText/>
                            </w:sdtPr>
                            <w:sdtContent>
                              <w:r>
                                <w:rPr>
                                  <w:color w:val="000000"/>
                                  <w:szCs w:val="24"/>
                                  <w:lang w:eastAsia="lt-LT"/>
                                </w:rPr>
                                <w:t>22.2.4</w:t>
                              </w:r>
                            </w:sdtContent>
                          </w:sdt>
                          <w:r>
                            <w:rPr>
                              <w:color w:val="000000"/>
                              <w:szCs w:val="24"/>
                              <w:lang w:eastAsia="lt-LT"/>
                            </w:rPr>
                            <w:t>. dalyvių skaičius ne mažesnis kaip 7;</w:t>
                          </w:r>
                        </w:p>
                      </w:sdtContent>
                    </w:sdt>
                    <w:sdt>
                      <w:sdtPr>
                        <w:alias w:val="22.2.5 pp."/>
                        <w:tag w:val="part_0eca8268cf9840f4b376f75583bc00a7"/>
                        <w:lock w:val="sdtLocked"/>
                        <w:richText/>
                      </w:sdtPr>
                      <w:sdtContent>
                        <w:p w14:paraId="070DFA77"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0eca8268cf9840f4b376f75583bc00a7"/>
                              <w:lock w:val="sdtLocked"/>
                              <w:richText/>
                            </w:sdtPr>
                            <w:sdtContent>
                              <w:r>
                                <w:rPr>
                                  <w:color w:val="000000"/>
                                  <w:szCs w:val="24"/>
                                  <w:lang w:eastAsia="lt-LT"/>
                                </w:rPr>
                                <w:t>22.2.5</w:t>
                              </w:r>
                            </w:sdtContent>
                          </w:sdt>
                          <w:r>
                            <w:rPr>
                              <w:color w:val="000000"/>
                              <w:szCs w:val="24"/>
                              <w:lang w:eastAsia="lt-LT"/>
                            </w:rPr>
                            <w:t>. užsiėmimo trukmė ne trumpesnė kaip 2 akademinės valandos;</w:t>
                          </w:r>
                        </w:p>
                      </w:sdtContent>
                    </w:sdt>
                    <w:sdt>
                      <w:sdtPr>
                        <w:alias w:val="22.2.6 pp."/>
                        <w:tag w:val="part_24e27d3b43b648feb3fdff1ffd2f73b5"/>
                        <w:lock w:val="sdtLocked"/>
                        <w:richText/>
                      </w:sdtPr>
                      <w:sdtContent>
                        <w:p w14:paraId="3E4E48E0"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24e27d3b43b648feb3fdff1ffd2f73b5"/>
                              <w:lock w:val="sdtLocked"/>
                              <w:richText/>
                            </w:sdtPr>
                            <w:sdtContent>
                              <w:r>
                                <w:rPr>
                                  <w:color w:val="000000"/>
                                  <w:szCs w:val="24"/>
                                  <w:lang w:eastAsia="lt-LT"/>
                                </w:rPr>
                                <w:t>22.2.6</w:t>
                              </w:r>
                            </w:sdtContent>
                          </w:sdt>
                          <w:r>
                            <w:rPr>
                              <w:color w:val="000000"/>
                              <w:szCs w:val="24"/>
                              <w:lang w:eastAsia="lt-LT"/>
                            </w:rPr>
                            <w:t>. užsiėmimo metu programėlės „NMA agro“ pagalba išsiunčia Agentūrai pranešimą ir nuotrauką(-as), įrodančią(-as) užsiėmimo vykdymą bei dalyvių skaičių;</w:t>
                          </w:r>
                        </w:p>
                      </w:sdtContent>
                    </w:sdt>
                  </w:sdtContent>
                </w:sdt>
                <w:sdt>
                  <w:sdtPr>
                    <w:alias w:val="22.3 pp."/>
                    <w:tag w:val="part_1ce9a90d00b04881876045e9dabcf6f8"/>
                    <w:lock w:val="sdtLocked"/>
                    <w:richText/>
                  </w:sdtPr>
                  <w:sdtContent>
                    <w:p w14:paraId="5C4E8234"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1ce9a90d00b04881876045e9dabcf6f8"/>
                          <w:lock w:val="sdtLocked"/>
                          <w:richText/>
                        </w:sdtPr>
                        <w:sdtContent>
                          <w:r>
                            <w:rPr>
                              <w:color w:val="000000"/>
                              <w:szCs w:val="24"/>
                              <w:lang w:eastAsia="lt-LT"/>
                            </w:rPr>
                            <w:t>22.3</w:t>
                          </w:r>
                        </w:sdtContent>
                      </w:sdt>
                      <w:r>
                        <w:rPr>
                          <w:color w:val="000000"/>
                          <w:szCs w:val="24"/>
                          <w:lang w:eastAsia="lt-LT"/>
                        </w:rPr>
                        <w:t>. Pagalba pagal šių taisyklių 11.2.6 papunktį gali būti skiriama, jeigu pareiškėjas amato demonstravimo metu programėlės „NMA agro“ pagalba išsiunčia Agentūrai pranešimą ir nuotrauką(-as), įrodančią(-as) amato demonstravimą renginio metu.</w:t>
                      </w:r>
                    </w:p>
                    <w:p w14:paraId="4AE5F402" w14:textId="77777777">
                      <w:pPr>
                        <w:widowControl w:val="0"/>
                        <w:suppressAutoHyphens/>
                        <w:overflowPunct w:val="0"/>
                        <w:ind w:firstLine="720"/>
                        <w:jc w:val="both"/>
                        <w:textAlignment w:val="baseline"/>
                        <w:rPr>
                          <w:color w:val="000000"/>
                          <w:spacing w:val="-4"/>
                          <w:szCs w:val="24"/>
                          <w:lang w:eastAsia="lt-LT"/>
                        </w:rPr>
                      </w:pPr>
                    </w:p>
                  </w:sdtContent>
                </w:sdt>
              </w:sdtContent>
            </w:sdt>
          </w:sdtContent>
        </w:sdt>
        <w:sdt>
          <w:sdtPr>
            <w:alias w:val="skyrius"/>
            <w:tag w:val="part_0d75c63ed9224e998db11cdd9a1973fb"/>
            <w:lock w:val="sdtLocked"/>
            <w:richText/>
          </w:sdtPr>
          <w:sdtContent>
            <w:p w14:paraId="72CED8E0" w14:textId="77777777">
              <w:pPr>
                <w:jc w:val="center"/>
                <w:rPr>
                  <w:b/>
                  <w:szCs w:val="24"/>
                  <w:lang w:eastAsia="lt-LT"/>
                </w:rPr>
              </w:pPr>
              <w:sdt>
                <w:sdtPr>
                  <w:alias w:val="Numeris"/>
                  <w:tag w:val="nr_0d75c63ed9224e998db11cdd9a1973fb"/>
                  <w:lock w:val="sdtLocked"/>
                  <w:richText/>
                </w:sdtPr>
                <w:sdtContent>
                  <w:r>
                    <w:rPr>
                      <w:b/>
                      <w:szCs w:val="24"/>
                      <w:lang w:eastAsia="lt-LT"/>
                    </w:rPr>
                    <w:t>VI</w:t>
                  </w:r>
                </w:sdtContent>
              </w:sdt>
              <w:r>
                <w:rPr>
                  <w:b/>
                  <w:szCs w:val="24"/>
                  <w:lang w:eastAsia="lt-LT"/>
                </w:rPr>
                <w:t xml:space="preserve"> SKYRIUS</w:t>
              </w:r>
            </w:p>
            <w:p w14:paraId="0462F5A6" w14:textId="77777777">
              <w:pPr>
                <w:jc w:val="center"/>
                <w:rPr>
                  <w:b/>
                  <w:szCs w:val="24"/>
                  <w:lang w:eastAsia="lt-LT"/>
                </w:rPr>
              </w:pPr>
              <w:sdt>
                <w:sdtPr>
                  <w:alias w:val="Pavadinimas"/>
                  <w:tag w:val="title_0d75c63ed9224e998db11cdd9a1973fb"/>
                  <w:lock w:val="sdtLocked"/>
                  <w:richText/>
                </w:sdtPr>
                <w:sdtContent>
                  <w:r>
                    <w:rPr>
                      <w:b/>
                      <w:szCs w:val="24"/>
                      <w:lang w:eastAsia="lt-LT"/>
                    </w:rPr>
                    <w:t>NETINKAMI PAREIŠKĖJAI</w:t>
                  </w:r>
                </w:sdtContent>
              </w:sdt>
            </w:p>
            <w:p w14:paraId="6376A6E9" w14:textId="77777777">
              <w:pPr>
                <w:jc w:val="center"/>
                <w:rPr>
                  <w:b/>
                  <w:szCs w:val="24"/>
                  <w:lang w:eastAsia="lt-LT"/>
                </w:rPr>
              </w:pPr>
            </w:p>
            <w:sdt>
              <w:sdtPr>
                <w:alias w:val="23 p."/>
                <w:tag w:val="part_c0e49f9543ed431a86c8fdb50204b7bd"/>
                <w:lock w:val="sdtLocked"/>
                <w:richText/>
              </w:sdtPr>
              <w:sdtContent>
                <w:p w14:paraId="59EE2F08"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c0e49f9543ed431a86c8fdb50204b7bd"/>
                      <w:lock w:val="sdtLocked"/>
                      <w:richText/>
                    </w:sdtPr>
                    <w:sdtContent>
                      <w:r>
                        <w:rPr>
                          <w:color w:val="000000"/>
                          <w:spacing w:val="-2"/>
                          <w:szCs w:val="24"/>
                          <w:lang w:eastAsia="lt-LT"/>
                        </w:rPr>
                        <w:t>23</w:t>
                      </w:r>
                    </w:sdtContent>
                  </w:sdt>
                  <w:r>
                    <w:rPr>
                      <w:color w:val="000000"/>
                      <w:spacing w:val="-2"/>
                      <w:szCs w:val="24"/>
                      <w:lang w:eastAsia="lt-LT"/>
                    </w:rPr>
                    <w:t>. Pareiškėjui (jei pareiškėjas yra asociacija arba tradicinių amatų centras, šio taisyklių punkto reikalavimai taikomi galutiniams pagalbos gavėjams) lėšos negali būti skiriamos, jeigu:</w:t>
                  </w:r>
                </w:p>
                <w:sdt>
                  <w:sdtPr>
                    <w:alias w:val="23.1 pp."/>
                    <w:tag w:val="part_824ffa37f6854db992a36610c5783b13"/>
                    <w:lock w:val="sdtLocked"/>
                    <w:richText/>
                  </w:sdtPr>
                  <w:sdtContent>
                    <w:p w14:paraId="218F1F73"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824ffa37f6854db992a36610c5783b13"/>
                          <w:lock w:val="sdtLocked"/>
                          <w:richText/>
                        </w:sdtPr>
                        <w:sdtContent>
                          <w:r>
                            <w:rPr>
                              <w:color w:val="000000"/>
                              <w:szCs w:val="24"/>
                              <w:lang w:eastAsia="lt-LT"/>
                            </w:rPr>
                            <w:t>23.1</w:t>
                          </w:r>
                        </w:sdtContent>
                      </w:sdt>
                      <w:r>
                        <w:rPr>
                          <w:color w:val="000000"/>
                          <w:szCs w:val="24"/>
                          <w:lang w:eastAsia="lt-LT"/>
                        </w:rPr>
                        <w:t>. pareiškėjui yra iškelta byla dėl bankroto ir (arba) yra likviduojamas;</w:t>
                      </w:r>
                    </w:p>
                  </w:sdtContent>
                </w:sdt>
                <w:sdt>
                  <w:sdtPr>
                    <w:alias w:val="23.2 pp."/>
                    <w:tag w:val="part_e9902c5588cb40d38ceee974b63a1455"/>
                    <w:lock w:val="sdtLocked"/>
                    <w:richText/>
                  </w:sdtPr>
                  <w:sdtContent>
                    <w:p w14:paraId="0AB63494"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e9902c5588cb40d38ceee974b63a1455"/>
                          <w:lock w:val="sdtLocked"/>
                          <w:richText/>
                        </w:sdtPr>
                        <w:sdtContent>
                          <w:r>
                            <w:rPr>
                              <w:color w:val="000000"/>
                              <w:szCs w:val="24"/>
                              <w:lang w:eastAsia="lt-LT"/>
                            </w:rPr>
                            <w:t>23.2</w:t>
                          </w:r>
                        </w:sdtContent>
                      </w:sdt>
                      <w:r>
                        <w:rPr>
                          <w:color w:val="000000"/>
                          <w:szCs w:val="24"/>
                          <w:lang w:eastAsia="lt-LT"/>
                        </w:rPr>
                        <w:t>. pareiškėjas turi mokestinių skolų Lietuvos Respublikos valstybės biudžetui, Valstybinio socialinio draudimo fondui ir Agentūrai (išskyrus atvejus, kai mokesčių, delspinigių, baudų mokėjimas atidėtas Lietuvos Respublikos teisės aktų nustatyta tvarka arba dėl šių mokesčių, delspinigių, baudų vyksta mokestinis ginčas). Mokestinių skolų būklė gali būti tikslinama paraiškos vertinimo metu;</w:t>
                      </w:r>
                    </w:p>
                  </w:sdtContent>
                </w:sdt>
                <w:sdt>
                  <w:sdtPr>
                    <w:alias w:val="23.3 pp."/>
                    <w:tag w:val="part_aaf74ad25dc04bb18bad6d35deae615e"/>
                    <w:lock w:val="sdtLocked"/>
                    <w:richText/>
                  </w:sdtPr>
                  <w:sdtContent>
                    <w:p w14:paraId="0B0BD548"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aaf74ad25dc04bb18bad6d35deae615e"/>
                          <w:lock w:val="sdtLocked"/>
                          <w:richText/>
                        </w:sdtPr>
                        <w:sdtContent>
                          <w:r>
                            <w:rPr>
                              <w:color w:val="000000"/>
                              <w:szCs w:val="24"/>
                              <w:lang w:eastAsia="lt-LT"/>
                            </w:rPr>
                            <w:t>23.3</w:t>
                          </w:r>
                        </w:sdtContent>
                      </w:sdt>
                      <w:r>
                        <w:rPr>
                          <w:color w:val="000000"/>
                          <w:szCs w:val="24"/>
                          <w:lang w:eastAsia="lt-LT"/>
                        </w:rPr>
                        <w:t>. yra priimtas galutinis sprendimas dėl:</w:t>
                      </w:r>
                    </w:p>
                    <w:sdt>
                      <w:sdtPr>
                        <w:alias w:val="23.3.1 pp."/>
                        <w:tag w:val="part_c3f6b7a9cbbc4d4fb1047703a73c180d"/>
                        <w:lock w:val="sdtLocked"/>
                        <w:richText/>
                      </w:sdtPr>
                      <w:sdtContent>
                        <w:p w14:paraId="6001D185" w14:textId="77777777">
                          <w:pPr>
                            <w:widowControl w:val="0"/>
                            <w:suppressAutoHyphens/>
                            <w:overflowPunct w:val="0"/>
                            <w:spacing w:line="360" w:lineRule="auto"/>
                            <w:ind w:firstLine="720"/>
                            <w:jc w:val="both"/>
                            <w:textAlignment w:val="baseline"/>
                            <w:rPr>
                              <w:color w:val="000000"/>
                              <w:spacing w:val="-4"/>
                              <w:szCs w:val="24"/>
                              <w:lang w:eastAsia="lt-LT"/>
                            </w:rPr>
                          </w:pPr>
                          <w:sdt>
                            <w:sdtPr>
                              <w:alias w:val="Numeris"/>
                              <w:tag w:val="nr_c3f6b7a9cbbc4d4fb1047703a73c180d"/>
                              <w:lock w:val="sdtLocked"/>
                              <w:richText/>
                            </w:sdtPr>
                            <w:sdtContent>
                              <w:r>
                                <w:rPr>
                                  <w:color w:val="000000"/>
                                  <w:spacing w:val="-4"/>
                                  <w:szCs w:val="24"/>
                                  <w:lang w:eastAsia="lt-LT"/>
                                </w:rPr>
                                <w:t>23.3.1</w:t>
                              </w:r>
                            </w:sdtContent>
                          </w:sdt>
                          <w:r>
                            <w:rPr>
                              <w:color w:val="000000"/>
                              <w:spacing w:val="-4"/>
                              <w:szCs w:val="24"/>
                              <w:lang w:eastAsia="lt-LT"/>
                            </w:rPr>
                            <w:t>. pareiškėjo sutarties dėl paramos skyrimo iš Europos Sąjungos ir (arba) Lietuvos Respublikos valstybės biudžeto lėšų pažeidimo. Tokiu atveju pareiškėjas neturi teisės pretenduoti į pagalbą vienus metus nuo galutinio sprendimo priėmimo;</w:t>
                          </w:r>
                        </w:p>
                      </w:sdtContent>
                    </w:sdt>
                    <w:sdt>
                      <w:sdtPr>
                        <w:alias w:val="23.3.2 pp."/>
                        <w:tag w:val="part_ec016fed7c1944e880a3b19450ab5c53"/>
                        <w:lock w:val="sdtLocked"/>
                        <w:richText/>
                      </w:sdtPr>
                      <w:sdtContent>
                        <w:p w14:paraId="40CFB528"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ec016fed7c1944e880a3b19450ab5c53"/>
                              <w:lock w:val="sdtLocked"/>
                              <w:richText/>
                            </w:sdtPr>
                            <w:sdtContent>
                              <w:r>
                                <w:rPr>
                                  <w:color w:val="000000"/>
                                  <w:szCs w:val="24"/>
                                  <w:lang w:eastAsia="lt-LT"/>
                                </w:rPr>
                                <w:t>23.3.2</w:t>
                              </w:r>
                            </w:sdtContent>
                          </w:sdt>
                          <w:r>
                            <w:rPr>
                              <w:color w:val="000000"/>
                              <w:szCs w:val="24"/>
                              <w:lang w:eastAsia="lt-LT"/>
                            </w:rPr>
                            <w:t>. pagalbos mokėjimo nutraukimo dėl padaryto pažeidimo. Tokiu atveju pareiškėjas neturi teisės pretenduoti į pagalbą vienus metus nuo galutinio sprendimo priėmimo;</w:t>
                          </w:r>
                        </w:p>
                      </w:sdtContent>
                    </w:sdt>
                    <w:sdt>
                      <w:sdtPr>
                        <w:alias w:val="23.3.3 pp."/>
                        <w:tag w:val="part_56463d455fe447d88315fec7a1eae216"/>
                        <w:lock w:val="sdtLocked"/>
                        <w:richText/>
                      </w:sdtPr>
                      <w:sdtContent>
                        <w:p w14:paraId="7B659133"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56463d455fe447d88315fec7a1eae216"/>
                              <w:lock w:val="sdtLocked"/>
                              <w:richText/>
                            </w:sdtPr>
                            <w:sdtContent>
                              <w:r>
                                <w:rPr>
                                  <w:color w:val="000000"/>
                                  <w:szCs w:val="24"/>
                                  <w:lang w:eastAsia="lt-LT"/>
                                </w:rPr>
                                <w:t>23.3.3</w:t>
                              </w:r>
                            </w:sdtContent>
                          </w:sdt>
                          <w:r>
                            <w:rPr>
                              <w:color w:val="000000"/>
                              <w:szCs w:val="24"/>
                              <w:lang w:eastAsia="lt-LT"/>
                            </w:rPr>
                            <w:t>. pareiškėjo įvykdytos nusikalstamos veikos ar administracinio teisės pažeidimo, susijusių su pagalba. Tokiu atveju pareiškėjas neturi teisės pretenduoti į pagalbą dvejus metus nuo galutinio sprendimo priėmimo;</w:t>
                          </w:r>
                        </w:p>
                      </w:sdtContent>
                    </w:sdt>
                  </w:sdtContent>
                </w:sdt>
                <w:sdt>
                  <w:sdtPr>
                    <w:alias w:val="23.4 pp."/>
                    <w:tag w:val="part_f551783ea57043bdbe742e29f9a5bf4a"/>
                    <w:lock w:val="sdtLocked"/>
                    <w:richText/>
                  </w:sdtPr>
                  <w:sdtContent>
                    <w:p w14:paraId="02805149"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f551783ea57043bdbe742e29f9a5bf4a"/>
                          <w:lock w:val="sdtLocked"/>
                          <w:richText/>
                        </w:sdtPr>
                        <w:sdtContent>
                          <w:r>
                            <w:rPr>
                              <w:color w:val="000000"/>
                              <w:szCs w:val="24"/>
                              <w:lang w:eastAsia="lt-LT"/>
                            </w:rPr>
                            <w:t>23.4</w:t>
                          </w:r>
                        </w:sdtContent>
                      </w:sdt>
                      <w:r>
                        <w:rPr>
                          <w:color w:val="000000"/>
                          <w:szCs w:val="24"/>
                          <w:lang w:eastAsia="lt-LT"/>
                        </w:rPr>
                        <w:t>. pareiškėjas, siekdamas palankaus sprendimo, bandė daryti įtaką Agentūrai.</w:t>
                      </w:r>
                    </w:p>
                    <w:p w14:paraId="0FBB0576" w14:textId="77777777">
                      <w:pPr>
                        <w:widowControl w:val="0"/>
                        <w:suppressAutoHyphens/>
                        <w:overflowPunct w:val="0"/>
                        <w:ind w:firstLine="720"/>
                        <w:jc w:val="both"/>
                        <w:textAlignment w:val="baseline"/>
                        <w:rPr>
                          <w:color w:val="000000"/>
                          <w:szCs w:val="24"/>
                          <w:lang w:eastAsia="lt-LT"/>
                        </w:rPr>
                      </w:pPr>
                    </w:p>
                  </w:sdtContent>
                </w:sdt>
              </w:sdtContent>
            </w:sdt>
          </w:sdtContent>
        </w:sdt>
        <w:sdt>
          <w:sdtPr>
            <w:alias w:val="skyrius"/>
            <w:tag w:val="part_1bcb3be3746040ea8212cf81cb23cc4e"/>
            <w:lock w:val="sdtLocked"/>
            <w:richText/>
          </w:sdtPr>
          <w:sdtContent>
            <w:p w14:paraId="14CD2C3B" w14:textId="77777777">
              <w:pPr>
                <w:jc w:val="center"/>
                <w:rPr>
                  <w:b/>
                  <w:szCs w:val="24"/>
                  <w:lang w:eastAsia="lt-LT"/>
                </w:rPr>
              </w:pPr>
              <w:sdt>
                <w:sdtPr>
                  <w:alias w:val="Numeris"/>
                  <w:tag w:val="nr_1bcb3be3746040ea8212cf81cb23cc4e"/>
                  <w:lock w:val="sdtLocked"/>
                  <w:richText/>
                </w:sdtPr>
                <w:sdtContent>
                  <w:r>
                    <w:rPr>
                      <w:b/>
                      <w:szCs w:val="24"/>
                      <w:lang w:eastAsia="lt-LT"/>
                    </w:rPr>
                    <w:t>VII</w:t>
                  </w:r>
                </w:sdtContent>
              </w:sdt>
              <w:r>
                <w:rPr>
                  <w:b/>
                  <w:szCs w:val="24"/>
                  <w:lang w:eastAsia="lt-LT"/>
                </w:rPr>
                <w:t xml:space="preserve"> SKYRIUS</w:t>
              </w:r>
            </w:p>
            <w:p w14:paraId="1E268BEF" w14:textId="77777777">
              <w:pPr>
                <w:jc w:val="center"/>
                <w:rPr>
                  <w:b/>
                  <w:szCs w:val="24"/>
                  <w:lang w:eastAsia="lt-LT"/>
                </w:rPr>
              </w:pPr>
              <w:sdt>
                <w:sdtPr>
                  <w:alias w:val="Pavadinimas"/>
                  <w:tag w:val="title_1bcb3be3746040ea8212cf81cb23cc4e"/>
                  <w:lock w:val="sdtLocked"/>
                  <w:richText/>
                </w:sdtPr>
                <w:sdtContent>
                  <w:r>
                    <w:rPr>
                      <w:b/>
                      <w:szCs w:val="24"/>
                      <w:lang w:eastAsia="lt-LT"/>
                    </w:rPr>
                    <w:t>PRAŠYMŲ KOMPENSUOTI SERTIFIKAVIMO IŠLAIDAS TEIKIMAS IR SERTIFIKAVIMO IŠLAIDŲ KOMPENSAVIMAS</w:t>
                  </w:r>
                </w:sdtContent>
              </w:sdt>
            </w:p>
            <w:p w14:paraId="47D301A7" w14:textId="77777777">
              <w:pPr>
                <w:widowControl w:val="0"/>
                <w:overflowPunct w:val="0"/>
                <w:jc w:val="center"/>
                <w:textAlignment w:val="baseline"/>
                <w:rPr>
                  <w:szCs w:val="24"/>
                  <w:lang w:eastAsia="lt-LT"/>
                </w:rPr>
              </w:pPr>
            </w:p>
            <w:sdt>
              <w:sdtPr>
                <w:alias w:val="24 p."/>
                <w:tag w:val="part_c90f1ebbecd64b21a249c0e9cd7abb56"/>
                <w:lock w:val="sdtLocked"/>
                <w:richText/>
              </w:sdtPr>
              <w:sdtContent>
                <w:p w14:paraId="04F3357E"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c90f1ebbecd64b21a249c0e9cd7abb56"/>
                      <w:lock w:val="sdtLocked"/>
                      <w:richText/>
                    </w:sdtPr>
                    <w:sdtContent>
                      <w:r>
                        <w:rPr>
                          <w:color w:val="000000"/>
                          <w:szCs w:val="24"/>
                          <w:lang w:eastAsia="lt-LT"/>
                        </w:rPr>
                        <w:t>24</w:t>
                      </w:r>
                    </w:sdtContent>
                  </w:sdt>
                  <w:r>
                    <w:rPr>
                      <w:color w:val="000000"/>
                      <w:szCs w:val="24"/>
                      <w:lang w:eastAsia="lt-LT"/>
                    </w:rPr>
                    <w:t xml:space="preserve">. Prašymai dėl A kategorijos tautinio paveldo produkto sertifikavimo išlaidų kompensavimo (toliau – prašymas) (taisyklių 2 priedas) gali būti teikiami Ministerijai raštu visus metus. </w:t>
                  </w:r>
                </w:p>
              </w:sdtContent>
            </w:sdt>
            <w:sdt>
              <w:sdtPr>
                <w:alias w:val="25 p."/>
                <w:tag w:val="part_7c1aaefcdd7747819f5826f297626087"/>
                <w:lock w:val="sdtLocked"/>
                <w:richText/>
              </w:sdtPr>
              <w:sdtContent>
                <w:p w14:paraId="0157E3BE" w14:textId="77777777">
                  <w:pPr>
                    <w:spacing w:line="360" w:lineRule="auto"/>
                    <w:ind w:firstLine="709"/>
                    <w:jc w:val="both"/>
                  </w:pPr>
                  <w:sdt>
                    <w:sdtPr>
                      <w:alias w:val="Numeris"/>
                      <w:tag w:val="nr_7c1aaefcdd7747819f5826f297626087"/>
                      <w:lock w:val="sdtLocked"/>
                      <w:richText/>
                    </w:sdtPr>
                    <w:sdtContent>
                      <w:r>
                        <w:rPr>
                          <w:color w:val="000000"/>
                          <w:szCs w:val="24"/>
                          <w:lang w:eastAsia="lt-LT"/>
                        </w:rPr>
                        <w:t>25</w:t>
                      </w:r>
                    </w:sdtContent>
                  </w:sdt>
                  <w:r>
                    <w:rPr>
                      <w:color w:val="000000"/>
                      <w:szCs w:val="24"/>
                      <w:lang w:eastAsia="lt-LT"/>
                    </w:rPr>
                    <w:t xml:space="preserve">. Sekretoriatas gautus prašymus vertina du kartus per metus.  </w:t>
                  </w:r>
                  <w:r>
                    <w:t>Prašymai, gauti iki einamųjų metų birželio 30 d., įvertinami iki liepos 15 d., o prašymai, gauti po einamųjų metų birželio 30 d., įvertinami iki gruodžio 15 d. Sekretoriatas:</w:t>
                  </w:r>
                </w:p>
                <w:sdt>
                  <w:sdtPr>
                    <w:alias w:val="25.1 pp."/>
                    <w:tag w:val="part_3ea4d3805c9440aca54cc5fdbd9c999d"/>
                    <w:lock w:val="sdtLocked"/>
                    <w:richText/>
                  </w:sdtPr>
                  <w:sdtContent>
                    <w:p w14:paraId="23C88FA5"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3ea4d3805c9440aca54cc5fdbd9c999d"/>
                          <w:lock w:val="sdtLocked"/>
                          <w:richText/>
                        </w:sdtPr>
                        <w:sdtContent>
                          <w:r>
                            <w:rPr>
                              <w:color w:val="000000"/>
                              <w:szCs w:val="24"/>
                              <w:lang w:eastAsia="lt-LT"/>
                            </w:rPr>
                            <w:t>25.1</w:t>
                          </w:r>
                        </w:sdtContent>
                      </w:sdt>
                      <w:r>
                        <w:rPr>
                          <w:color w:val="000000"/>
                          <w:szCs w:val="24"/>
                          <w:lang w:eastAsia="lt-LT"/>
                        </w:rPr>
                        <w:t xml:space="preserve">. vadovaudamasis Suteiktos valstybės pagalbos ir nereikšmingos </w:t>
                      </w:r>
                      <w:r>
                        <w:rPr>
                          <w:i/>
                          <w:color w:val="000000"/>
                          <w:szCs w:val="24"/>
                          <w:lang w:eastAsia="lt-LT"/>
                        </w:rPr>
                        <w:t>(de minimis)</w:t>
                      </w:r>
                      <w:r>
                        <w:rPr>
                          <w:color w:val="000000"/>
                          <w:szCs w:val="24"/>
                          <w:lang w:eastAsia="lt-LT"/>
                        </w:rPr>
                        <w:t xml:space="preserve"> pagalbos registro (toliau – Registro) nuostatais, patvirtintais Lietuvos Respublikos Vyriausybės 2005 m. sausio 19 d. nutarimu Nr. 35 „Dėl Suteiktos valstybės pagalbos ir nereikšmingos </w:t>
                      </w:r>
                      <w:r>
                        <w:rPr>
                          <w:i/>
                          <w:color w:val="000000"/>
                          <w:szCs w:val="24"/>
                          <w:lang w:eastAsia="lt-LT"/>
                        </w:rPr>
                        <w:t>(de minimis)</w:t>
                      </w:r>
                      <w:r>
                        <w:rPr>
                          <w:color w:val="000000"/>
                          <w:szCs w:val="24"/>
                          <w:lang w:eastAsia="lt-LT"/>
                        </w:rPr>
                        <w:t xml:space="preserve"> pagalbos registro nuostatų patvirtinimo“, ir Suteiktos valstybės pagalbos ir nereikšmingos </w:t>
                      </w:r>
                      <w:r>
                        <w:rPr>
                          <w:i/>
                          <w:color w:val="000000"/>
                          <w:szCs w:val="24"/>
                          <w:lang w:eastAsia="lt-LT"/>
                        </w:rPr>
                        <w:t>(de minimis)</w:t>
                      </w:r>
                      <w:r>
                        <w:rPr>
                          <w:color w:val="000000"/>
                          <w:szCs w:val="24"/>
                          <w:lang w:eastAsia="lt-LT"/>
                        </w:rPr>
                        <w:t xml:space="preserve"> pagalbos duomenų tvarkymo taisyklėmis, patvirtintomis Lietuvos Respublikos konkurencijos tarybos 2015 m. lapkričio 13 d. nutarimu Nr. 1S-120/2015 „Dėl Suteiktos valstybės pagalbos ir nereikšmingos </w:t>
                      </w:r>
                      <w:r>
                        <w:rPr>
                          <w:i/>
                          <w:color w:val="000000"/>
                          <w:szCs w:val="24"/>
                          <w:lang w:eastAsia="lt-LT"/>
                        </w:rPr>
                        <w:t>(de minimis)</w:t>
                      </w:r>
                      <w:r>
                        <w:rPr>
                          <w:color w:val="000000"/>
                          <w:szCs w:val="24"/>
                          <w:lang w:eastAsia="lt-LT"/>
                        </w:rPr>
                        <w:t xml:space="preserve"> pagalbos duomenų tvarkymo taisyklių patvirtinimo“ (toliau – Duomenų tvarkymo taisyklės), patikrina, ar pareiškėjui (įskaitant su juo Reglamento </w:t>
                      </w:r>
                      <w:fldSimple w:instr="HYPERLINK http://eur-lex.europa.eu/legal-content/LIT/TXT/?uri=CELEX:32013R1407&amp;locale=lt \t _blank">
                        <w:r>
                          <w:rPr>
                            <w:color w:val="0000FF" w:themeColor="hyperlink"/>
                            <w:szCs w:val="24"/>
                            <w:lang w:eastAsia="lt-LT"/>
                            <w:u w:val="single"/>
                          </w:rPr>
                          <w:t>(ES) Nr. 1407/2013</w:t>
                        </w:r>
                      </w:fldSimple>
                      <w:r>
                        <w:rPr>
                          <w:color w:val="000000"/>
                          <w:szCs w:val="24"/>
                          <w:lang w:eastAsia="lt-LT"/>
                        </w:rPr>
                        <w:t xml:space="preserve"> 2 straipsnio 2 dalyje nurodytais ryšiais susijusius ūkio subjektus)  suteikus numatomą skirti pagalbos dydį, </w:t>
                      </w:r>
                      <w:r>
                        <w:rPr>
                          <w:bCs/>
                          <w:szCs w:val="24"/>
                        </w:rPr>
                        <w:t xml:space="preserve">nebus viršyta </w:t>
                      </w:r>
                      <w:r>
                        <w:rPr>
                          <w:color w:val="000000"/>
                          <w:szCs w:val="24"/>
                          <w:lang w:eastAsia="lt-LT"/>
                        </w:rPr>
                        <w:t>didžiausia leidžiama nereikšmingos (</w:t>
                      </w:r>
                      <w:r>
                        <w:rPr>
                          <w:i/>
                          <w:iCs/>
                          <w:color w:val="000000"/>
                          <w:szCs w:val="24"/>
                          <w:lang w:eastAsia="lt-LT"/>
                        </w:rPr>
                        <w:t>de minimis</w:t>
                      </w:r>
                      <w:r>
                        <w:rPr>
                          <w:color w:val="000000"/>
                          <w:szCs w:val="24"/>
                          <w:lang w:eastAsia="lt-LT"/>
                        </w:rPr>
                        <w:t xml:space="preserve">) pagalbos suma. </w:t>
                      </w:r>
                      <w:r>
                        <w:rPr>
                          <w:color w:val="000000"/>
                        </w:rPr>
                        <w:t>Jei pareiškėjui suteikus apskaičiuotą nereikšmingos (</w:t>
                      </w:r>
                      <w:r>
                        <w:rPr>
                          <w:i/>
                          <w:iCs/>
                          <w:color w:val="000000"/>
                        </w:rPr>
                        <w:t>de minimis</w:t>
                      </w:r>
                      <w:r>
                        <w:rPr>
                          <w:color w:val="000000"/>
                        </w:rPr>
                        <w:t>) pagalbos sumą būtų viršyta taisyklių 5.1 papunktyje nurodyta nereikšminga (</w:t>
                      </w:r>
                      <w:r>
                        <w:rPr>
                          <w:i/>
                          <w:iCs/>
                          <w:color w:val="000000"/>
                        </w:rPr>
                        <w:t>de minimis</w:t>
                      </w:r>
                      <w:r>
                        <w:rPr>
                          <w:color w:val="000000"/>
                        </w:rPr>
                        <w:t xml:space="preserve">) pagalbos suma, priimant sprendimą dėl pagalbos suteikimo apskaičiuota pagalbos suma sumažinama tiek, kad </w:t>
                      </w:r>
                      <w:r>
                        <w:t>pirmiau nurodyta riba nebūtų viršyta</w:t>
                      </w:r>
                      <w:r>
                        <w:rPr>
                          <w:color w:val="000000"/>
                          <w:szCs w:val="24"/>
                          <w:lang w:eastAsia="lt-LT"/>
                        </w:rPr>
                        <w:t>;</w:t>
                      </w:r>
                    </w:p>
                  </w:sdtContent>
                </w:sdt>
                <w:sdt>
                  <w:sdtPr>
                    <w:alias w:val="25.2 pp."/>
                    <w:tag w:val="part_710baca306e24b12a6818b493f3862b7"/>
                    <w:lock w:val="sdtLocked"/>
                    <w:richText/>
                  </w:sdtPr>
                  <w:sdtContent>
                    <w:p w14:paraId="603B7971"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710baca306e24b12a6818b493f3862b7"/>
                          <w:lock w:val="sdtLocked"/>
                          <w:richText/>
                        </w:sdtPr>
                        <w:sdtContent>
                          <w:r>
                            <w:rPr>
                              <w:color w:val="000000"/>
                              <w:szCs w:val="24"/>
                              <w:lang w:eastAsia="lt-LT"/>
                            </w:rPr>
                            <w:t>25.2</w:t>
                          </w:r>
                        </w:sdtContent>
                      </w:sdt>
                      <w:r>
                        <w:rPr>
                          <w:color w:val="000000"/>
                          <w:szCs w:val="24"/>
                          <w:lang w:eastAsia="lt-LT"/>
                        </w:rPr>
                        <w:t xml:space="preserve">. </w:t>
                      </w:r>
                      <w:r>
                        <w:rPr>
                          <w:szCs w:val="24"/>
                          <w:lang w:eastAsia="lt-LT"/>
                        </w:rPr>
                        <w:t>per Registro nuostatuose nustatytą terminą</w:t>
                      </w:r>
                      <w:r>
                        <w:rPr>
                          <w:color w:val="000000"/>
                          <w:szCs w:val="24"/>
                          <w:lang w:eastAsia="lt-LT"/>
                        </w:rPr>
                        <w:t xml:space="preserve"> pateikia Registrui informaciją apie prašymus pateikusiems pareiškėjams suteiktą pagalbą;</w:t>
                      </w:r>
                    </w:p>
                  </w:sdtContent>
                </w:sdt>
                <w:sdt>
                  <w:sdtPr>
                    <w:alias w:val="25.3 pp."/>
                    <w:tag w:val="part_992bcc15d6104a6e8894c99356619dc9"/>
                    <w:lock w:val="sdtLocked"/>
                    <w:richText/>
                  </w:sdtPr>
                  <w:sdtContent>
                    <w:p w14:paraId="64AEDAD9"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992bcc15d6104a6e8894c99356619dc9"/>
                          <w:lock w:val="sdtLocked"/>
                          <w:richText/>
                        </w:sdtPr>
                        <w:sdtContent>
                          <w:r>
                            <w:rPr>
                              <w:color w:val="000000"/>
                              <w:szCs w:val="24"/>
                              <w:lang w:eastAsia="lt-LT"/>
                            </w:rPr>
                            <w:t>25.3</w:t>
                          </w:r>
                        </w:sdtContent>
                      </w:sdt>
                      <w:r>
                        <w:rPr>
                          <w:color w:val="000000"/>
                          <w:szCs w:val="24"/>
                          <w:lang w:eastAsia="lt-LT"/>
                        </w:rPr>
                        <w:t>. per 5 darbo dienas nuo prašymų įvertinimo parengia potvarkį dėl A kategorijos tautinio paveldo produktų sertifikavimo išlaidų kompensavimo.</w:t>
                      </w:r>
                    </w:p>
                  </w:sdtContent>
                </w:sdt>
              </w:sdtContent>
            </w:sdt>
            <w:sdt>
              <w:sdtPr>
                <w:alias w:val="26 p."/>
                <w:tag w:val="part_acb4cb03579a43bc93094839853ca15f"/>
                <w:lock w:val="sdtLocked"/>
                <w:richText/>
              </w:sdtPr>
              <w:sdtContent>
                <w:p w14:paraId="230EA37B"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acb4cb03579a43bc93094839853ca15f"/>
                      <w:lock w:val="sdtLocked"/>
                      <w:richText/>
                    </w:sdtPr>
                    <w:sdtContent>
                      <w:r>
                        <w:rPr>
                          <w:color w:val="000000"/>
                          <w:szCs w:val="24"/>
                          <w:lang w:eastAsia="lt-LT"/>
                        </w:rPr>
                        <w:t>26</w:t>
                      </w:r>
                    </w:sdtContent>
                  </w:sdt>
                  <w:r>
                    <w:rPr>
                      <w:color w:val="000000"/>
                      <w:szCs w:val="24"/>
                      <w:lang w:eastAsia="lt-LT"/>
                    </w:rPr>
                    <w:t>. Sprendimą dėl A kategorijos tautinio paveldo produkto sertifikavimo išlaidų kompensavimo priima Ministerijos kancleris. Sekretoriatas Ministerijos kanclerio potvarkiu patvirtintą sprendimą dėl pagalbos skyrimo A kategorijos tautinio paveldo produktų sertifikavimo išlaidoms kompensuoti pateikia Ministerijos padaliniui, atsakingam už dokumentų finansų kontrolę ir teikiamų mokėjimo dokumentų finansinių dimensijų tinkamumą, kurių pagrindu atliekami mokėjimai ir fiksuojami ūkiniai įvykiai Ministerijos atskaitomybėje. Sekretoriatas per 5 darbo dienas po sprendimo dėl A kategorijos tautinio paveldo produkto sertifikavimo išlaidų kompensavimo priėmimo informuoja apie tai pareiškėjus el. paštu.</w:t>
                  </w:r>
                </w:p>
                <w:p w14:paraId="03A267B3" w14:textId="77777777">
                  <w:pPr>
                    <w:widowControl w:val="0"/>
                    <w:suppressAutoHyphens/>
                    <w:overflowPunct w:val="0"/>
                    <w:ind w:firstLine="720"/>
                    <w:jc w:val="both"/>
                    <w:textAlignment w:val="baseline"/>
                    <w:rPr>
                      <w:color w:val="000000"/>
                      <w:szCs w:val="24"/>
                      <w:lang w:eastAsia="lt-LT"/>
                    </w:rPr>
                  </w:pPr>
                </w:p>
              </w:sdtContent>
            </w:sdt>
          </w:sdtContent>
        </w:sdt>
        <w:sdt>
          <w:sdtPr>
            <w:alias w:val="skyrius"/>
            <w:tag w:val="part_c1a18b2182624bb6a472311738805473"/>
            <w:lock w:val="sdtLocked"/>
            <w:richText/>
          </w:sdtPr>
          <w:sdtContent>
            <w:p w14:paraId="0870F27B" w14:textId="77777777">
              <w:pPr>
                <w:jc w:val="center"/>
                <w:rPr>
                  <w:b/>
                  <w:szCs w:val="24"/>
                  <w:lang w:eastAsia="lt-LT"/>
                </w:rPr>
              </w:pPr>
              <w:sdt>
                <w:sdtPr>
                  <w:alias w:val="Numeris"/>
                  <w:tag w:val="nr_c1a18b2182624bb6a472311738805473"/>
                  <w:lock w:val="sdtLocked"/>
                  <w:richText/>
                </w:sdtPr>
                <w:sdtContent>
                  <w:r>
                    <w:rPr>
                      <w:b/>
                      <w:szCs w:val="24"/>
                      <w:lang w:eastAsia="lt-LT"/>
                    </w:rPr>
                    <w:t>VIII</w:t>
                  </w:r>
                </w:sdtContent>
              </w:sdt>
              <w:r>
                <w:rPr>
                  <w:b/>
                  <w:szCs w:val="24"/>
                  <w:lang w:eastAsia="lt-LT"/>
                </w:rPr>
                <w:t xml:space="preserve"> SKYRIUS</w:t>
              </w:r>
            </w:p>
            <w:p w14:paraId="701311DA" w14:textId="77777777">
              <w:pPr>
                <w:widowControl w:val="0"/>
                <w:suppressAutoHyphens/>
                <w:overflowPunct w:val="0"/>
                <w:jc w:val="center"/>
                <w:textAlignment w:val="baseline"/>
                <w:rPr>
                  <w:b/>
                  <w:szCs w:val="24"/>
                  <w:lang w:eastAsia="lt-LT"/>
                </w:rPr>
              </w:pPr>
              <w:sdt>
                <w:sdtPr>
                  <w:alias w:val="Pavadinimas"/>
                  <w:tag w:val="title_c1a18b2182624bb6a472311738805473"/>
                  <w:lock w:val="sdtLocked"/>
                  <w:richText/>
                </w:sdtPr>
                <w:sdtContent>
                  <w:r>
                    <w:rPr>
                      <w:b/>
                      <w:szCs w:val="24"/>
                      <w:lang w:eastAsia="lt-LT"/>
                    </w:rPr>
                    <w:t>PARAIŠKŲ TEIKIMAS, VERTINIMAS, LĖŠŲ SKYRIMAS IR IŠMOKĖJIMAS</w:t>
                  </w:r>
                </w:sdtContent>
              </w:sdt>
            </w:p>
            <w:p w14:paraId="26A0C8BD" w14:textId="77777777">
              <w:pPr>
                <w:widowControl w:val="0"/>
                <w:suppressAutoHyphens/>
                <w:overflowPunct w:val="0"/>
                <w:ind w:firstLine="720"/>
                <w:jc w:val="both"/>
                <w:textAlignment w:val="baseline"/>
                <w:rPr>
                  <w:color w:val="000000"/>
                  <w:szCs w:val="24"/>
                  <w:lang w:eastAsia="lt-LT"/>
                </w:rPr>
              </w:pPr>
            </w:p>
            <w:sdt>
              <w:sdtPr>
                <w:alias w:val="27 p."/>
                <w:tag w:val="part_b2420c3a402b47179cb6a99f1db5c4f8"/>
                <w:lock w:val="sdtLocked"/>
                <w:richText/>
              </w:sdtPr>
              <w:sdtContent>
                <w:p w14:paraId="0141CDE9"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b2420c3a402b47179cb6a99f1db5c4f8"/>
                      <w:lock w:val="sdtLocked"/>
                      <w:richText/>
                    </w:sdtPr>
                    <w:sdtContent>
                      <w:r>
                        <w:rPr>
                          <w:color w:val="000000"/>
                          <w:szCs w:val="24"/>
                          <w:lang w:eastAsia="lt-LT"/>
                        </w:rPr>
                        <w:t>27</w:t>
                      </w:r>
                    </w:sdtContent>
                  </w:sdt>
                  <w:r>
                    <w:rPr>
                      <w:color w:val="000000"/>
                      <w:szCs w:val="24"/>
                      <w:lang w:eastAsia="lt-LT"/>
                    </w:rPr>
                    <w:t xml:space="preserve">. Agentūra, </w:t>
                  </w:r>
                  <w:r>
                    <w:rPr>
                      <w:szCs w:val="24"/>
                      <w:lang w:eastAsia="lt-LT"/>
                    </w:rPr>
                    <w:t xml:space="preserve">vadovaudamasi žemės ūkio ministro įsakymu patvirtintu paraiškų surinkimo grafiku, </w:t>
                  </w:r>
                  <w:r>
                    <w:rPr>
                      <w:color w:val="000000"/>
                      <w:szCs w:val="24"/>
                      <w:lang w:eastAsia="lt-LT"/>
                    </w:rPr>
                    <w:t xml:space="preserve">interneto svetainėse </w:t>
                  </w:r>
                  <w:r>
                    <w:rPr>
                      <w:color w:val="0000FF"/>
                      <w:szCs w:val="24"/>
                      <w:u w:val="single"/>
                      <w:lang w:eastAsia="lt-LT"/>
                    </w:rPr>
                    <w:t>www.nma.lt</w:t>
                  </w:r>
                  <w:r>
                    <w:rPr>
                      <w:color w:val="000000"/>
                      <w:szCs w:val="24"/>
                      <w:lang w:eastAsia="lt-LT"/>
                    </w:rPr>
                    <w:t xml:space="preserve"> ir </w:t>
                  </w:r>
                  <w:r>
                    <w:rPr>
                      <w:color w:val="0563C1"/>
                      <w:szCs w:val="24"/>
                      <w:u w:val="single"/>
                      <w:lang w:eastAsia="lt-LT"/>
                    </w:rPr>
                    <w:t>www.tautinispaveldas.lt</w:t>
                  </w:r>
                  <w:r>
                    <w:rPr>
                      <w:color w:val="000000"/>
                      <w:szCs w:val="24"/>
                      <w:lang w:eastAsia="lt-LT"/>
                    </w:rPr>
                    <w:t xml:space="preserve"> paskelbia apie kvietimus teikti paraiškas gauti pagalbą taisyklių 10.2–10.4 papunkčiuose nurodytai veiklai vykdyti.</w:t>
                  </w:r>
                </w:p>
              </w:sdtContent>
            </w:sdt>
            <w:sdt>
              <w:sdtPr>
                <w:alias w:val="28 p."/>
                <w:tag w:val="part_63cf0806a5b648edbec1367787219f23"/>
                <w:lock w:val="sdtLocked"/>
                <w:richText/>
              </w:sdtPr>
              <w:sdtContent>
                <w:p w14:paraId="54850F8D" w14:textId="41AC2298">
                  <w:pPr>
                    <w:widowControl w:val="0"/>
                    <w:suppressAutoHyphens/>
                    <w:overflowPunct w:val="0"/>
                    <w:spacing w:line="360" w:lineRule="auto"/>
                    <w:ind w:firstLine="720"/>
                    <w:jc w:val="both"/>
                    <w:textAlignment w:val="baseline"/>
                    <w:rPr>
                      <w:color w:val="000000"/>
                      <w:szCs w:val="24"/>
                      <w:lang w:eastAsia="lt-LT"/>
                    </w:rPr>
                  </w:pPr>
                  <w:sdt>
                    <w:sdtPr>
                      <w:alias w:val="Numeris"/>
                      <w:tag w:val="nr_63cf0806a5b648edbec1367787219f23"/>
                      <w:lock w:val="sdtLocked"/>
                      <w:richText/>
                    </w:sdtPr>
                    <w:sdtContent>
                      <w:r>
                        <w:rPr>
                          <w:color w:val="000000"/>
                          <w:szCs w:val="24"/>
                          <w:lang w:eastAsia="lt-LT"/>
                        </w:rPr>
                        <w:t>28</w:t>
                      </w:r>
                    </w:sdtContent>
                  </w:sdt>
                  <w:r>
                    <w:rPr>
                      <w:color w:val="000000"/>
                      <w:szCs w:val="24"/>
                      <w:lang w:eastAsia="lt-LT"/>
                    </w:rPr>
                    <w:t xml:space="preserve">. Pareiškėjai, norintys gauti pagalbą, per skelbime nurodytą terminą Agentūrai pateikia paraiškas (1 priedas) asmeniškai, per įgaliotą asmenį, per kurjerį, registruota pašto siunta skelbime nurodytu adresu arba el. paštu </w:t>
                  </w:r>
                  <w:r>
                    <w:rPr>
                      <w:i/>
                      <w:iCs/>
                      <w:color w:val="0000FF"/>
                      <w:szCs w:val="24"/>
                      <w:u w:val="single"/>
                      <w:lang w:eastAsia="lt-LT"/>
                    </w:rPr>
                    <w:t>dokumentai@nma.lt</w:t>
                  </w:r>
                  <w:r>
                    <w:rPr>
                      <w:i/>
                      <w:iCs/>
                      <w:color w:val="000000"/>
                      <w:szCs w:val="24"/>
                      <w:lang w:eastAsia="lt-LT"/>
                    </w:rPr>
                    <w:t>.</w:t>
                  </w:r>
                  <w:r>
                    <w:rPr>
                      <w:rFonts w:eastAsia="Calibri"/>
                      <w:color w:val="000000"/>
                      <w:szCs w:val="24"/>
                      <w:lang w:eastAsia="lt-LT"/>
                    </w:rPr>
                    <w:t xml:space="preserve"> El. paštu teikiami dokumentai </w:t>
                  </w:r>
                  <w:r>
                    <w:rPr>
                      <w:i/>
                      <w:iCs/>
                      <w:color w:val="000000"/>
                      <w:szCs w:val="24"/>
                      <w:lang w:eastAsia="lt-LT"/>
                    </w:rPr>
                    <w:t>(</w:t>
                  </w:r>
                  <w:r>
                    <w:rPr>
                      <w:rFonts w:eastAsia="Calibri"/>
                      <w:i/>
                      <w:color w:val="000000"/>
                      <w:szCs w:val="24"/>
                      <w:lang w:eastAsia="lt-LT"/>
                    </w:rPr>
                    <w:t>doc</w:t>
                  </w:r>
                  <w:r>
                    <w:rPr>
                      <w:rFonts w:eastAsia="Calibri"/>
                      <w:color w:val="000000"/>
                      <w:szCs w:val="24"/>
                      <w:lang w:eastAsia="lt-LT"/>
                    </w:rPr>
                    <w:t xml:space="preserve"> arba </w:t>
                  </w:r>
                  <w:r>
                    <w:rPr>
                      <w:rFonts w:eastAsia="Calibri"/>
                      <w:i/>
                      <w:color w:val="000000"/>
                      <w:szCs w:val="24"/>
                      <w:lang w:eastAsia="lt-LT"/>
                    </w:rPr>
                    <w:t xml:space="preserve">docx </w:t>
                  </w:r>
                  <w:r>
                    <w:rPr>
                      <w:rFonts w:eastAsia="Calibri"/>
                      <w:color w:val="000000"/>
                      <w:szCs w:val="24"/>
                      <w:lang w:eastAsia="lt-LT"/>
                    </w:rPr>
                    <w:t>formatu) turi būti pasirašyti kvalifikuotu elektroniniu parašu</w:t>
                  </w:r>
                  <w:r>
                    <w:rPr>
                      <w:color w:val="000000"/>
                      <w:szCs w:val="24"/>
                      <w:lang w:eastAsia="lt-LT"/>
                    </w:rPr>
                    <w:t xml:space="preserve">. Paraiškos, pateiktos kitais būdais (neregistruotu paštu, faksu ir t. t.) arba pateiktos elektroniniu paštu, bet nepasirašytos </w:t>
                  </w:r>
                  <w:r>
                    <w:rPr>
                      <w:rFonts w:eastAsia="Calibri"/>
                      <w:color w:val="000000"/>
                      <w:szCs w:val="24"/>
                      <w:lang w:eastAsia="lt-LT"/>
                    </w:rPr>
                    <w:t>kvalifikuotu</w:t>
                  </w:r>
                  <w:r>
                    <w:rPr>
                      <w:color w:val="000000"/>
                      <w:szCs w:val="24"/>
                      <w:lang w:eastAsia="lt-LT"/>
                    </w:rPr>
                    <w:t xml:space="preserve"> elektroniniu parašu, nepriimamos. Kartu su paraiška Agentūrai turi būti pateikta:</w:t>
                  </w:r>
                  <w:r>
                    <w:t xml:space="preserve"> </w:t>
                  </w:r>
                </w:p>
                <w:sdt>
                  <w:sdtPr>
                    <w:alias w:val="28.1 pp."/>
                    <w:tag w:val="part_65daeef3301042c68a5d1e3b07f2689a"/>
                    <w:lock w:val="sdtLocked"/>
                    <w:richText/>
                  </w:sdtPr>
                  <w:sdtContent>
                    <w:p w14:paraId="0FB27F00"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65daeef3301042c68a5d1e3b07f2689a"/>
                          <w:lock w:val="sdtLocked"/>
                          <w:richText/>
                        </w:sdtPr>
                        <w:sdtContent>
                          <w:r>
                            <w:rPr>
                              <w:color w:val="000000"/>
                              <w:szCs w:val="24"/>
                              <w:lang w:eastAsia="lt-LT"/>
                            </w:rPr>
                            <w:t>28.1</w:t>
                          </w:r>
                        </w:sdtContent>
                      </w:sdt>
                      <w:r>
                        <w:rPr>
                          <w:color w:val="000000"/>
                          <w:szCs w:val="24"/>
                          <w:lang w:eastAsia="lt-LT"/>
                        </w:rPr>
                        <w:t>. tautinio paveldo produkto (-ų) sertifikato kopija ir (arba) tradicinių amatų meistro pažymėjimo kopija (jei prašoma pagalbos edukaciniams užsiėmimams organizuoti);</w:t>
                      </w:r>
                    </w:p>
                  </w:sdtContent>
                </w:sdt>
                <w:sdt>
                  <w:sdtPr>
                    <w:alias w:val="28.2 pp."/>
                    <w:tag w:val="part_a11a20df524942998e278c8b89cccd96"/>
                    <w:lock w:val="sdtLocked"/>
                    <w:richText/>
                  </w:sdtPr>
                  <w:sdtContent>
                    <w:p w14:paraId="4DBEDBB8"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a11a20df524942998e278c8b89cccd96"/>
                          <w:lock w:val="sdtLocked"/>
                          <w:richText/>
                        </w:sdtPr>
                        <w:sdtContent>
                          <w:r>
                            <w:rPr>
                              <w:color w:val="000000"/>
                              <w:szCs w:val="24"/>
                              <w:lang w:eastAsia="lt-LT"/>
                            </w:rPr>
                            <w:t>28.2</w:t>
                          </w:r>
                        </w:sdtContent>
                      </w:sdt>
                      <w:r>
                        <w:rPr>
                          <w:color w:val="000000"/>
                          <w:szCs w:val="24"/>
                          <w:lang w:eastAsia="lt-LT"/>
                        </w:rPr>
                        <w:t>. kvietimas į renginį ir (arba) renginio programa, kurioje nurodoma renginio vieta ir laikas (jei vykstama į parodas, muges ir (arba) kitus viešuosius renginius užsienyje, arba organizuojamas sertifikuotas tradicinis renginys);</w:t>
                      </w:r>
                    </w:p>
                  </w:sdtContent>
                </w:sdt>
                <w:sdt>
                  <w:sdtPr>
                    <w:alias w:val="28.3 pp."/>
                    <w:tag w:val="part_df702f2500a949cfbfbda2883ef574ee"/>
                    <w:lock w:val="sdtLocked"/>
                    <w:richText/>
                  </w:sdtPr>
                  <w:sdtContent>
                    <w:p w14:paraId="2E000EF1"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df702f2500a949cfbfbda2883ef574ee"/>
                          <w:lock w:val="sdtLocked"/>
                          <w:richText/>
                        </w:sdtPr>
                        <w:sdtContent>
                          <w:r>
                            <w:rPr>
                              <w:color w:val="000000"/>
                              <w:szCs w:val="24"/>
                              <w:lang w:eastAsia="lt-LT"/>
                            </w:rPr>
                            <w:t>28.3</w:t>
                          </w:r>
                        </w:sdtContent>
                      </w:sdt>
                      <w:r>
                        <w:rPr>
                          <w:color w:val="000000"/>
                          <w:szCs w:val="24"/>
                          <w:lang w:eastAsia="lt-LT"/>
                        </w:rPr>
                        <w:t>. komercinis (-iai) pasiūlymas (-ai) ir (arba) viešai prekių ar paslaugų teikėjų, kuriems tai yra įprastinė komercinė veikla, pateikta atspausdinta informacija, jei išlaidos dar neatliktos, ir (arba) pirkimo / apmokėjimo dokumentų kopijos, jei išlaidos jau atliktos (jei perkama įranga, tautinio paveldo produkto ženklinimo prekės, žaliavos, reikalingos edukaciniam užsiėmimui, lėktuvo, traukinio, kelto ar autobuso bilietai, transportavimo, nakvynės, vietos įrengimo, leidinių leidybos ir sertifikuoto renginio organizavimui reikalingos paslaugos);</w:t>
                      </w:r>
                    </w:p>
                  </w:sdtContent>
                </w:sdt>
                <w:sdt>
                  <w:sdtPr>
                    <w:alias w:val="28.4 pp."/>
                    <w:tag w:val="part_5067a43259d5453fbd3b09d34f3b0c8a"/>
                    <w:lock w:val="sdtLocked"/>
                    <w:richText/>
                  </w:sdtPr>
                  <w:sdtContent>
                    <w:p w14:paraId="5349F902"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5067a43259d5453fbd3b09d34f3b0c8a"/>
                          <w:lock w:val="sdtLocked"/>
                          <w:richText/>
                        </w:sdtPr>
                        <w:sdtContent>
                          <w:r>
                            <w:rPr>
                              <w:color w:val="000000"/>
                              <w:szCs w:val="24"/>
                              <w:lang w:eastAsia="lt-LT"/>
                            </w:rPr>
                            <w:t>28.4</w:t>
                          </w:r>
                        </w:sdtContent>
                      </w:sdt>
                      <w:r>
                        <w:rPr>
                          <w:color w:val="000000"/>
                          <w:szCs w:val="24"/>
                          <w:lang w:eastAsia="lt-LT"/>
                        </w:rPr>
                        <w:t>. tautinio paveldo produktų populiarinimo leidinio aprašymas, kuriame nurodomas turinys, tiražas, spaudos lankai, popieriaus rūšis (jei leidžiamas leidinys) arba elektroninio leidinio ar vaizdo klipo aprašymas, skelbimo būdas, vieta;</w:t>
                      </w:r>
                    </w:p>
                  </w:sdtContent>
                </w:sdt>
                <w:sdt>
                  <w:sdtPr>
                    <w:alias w:val="28.5 pp."/>
                    <w:tag w:val="part_1e77240f59ce4cda8250f24f46ded91d"/>
                    <w:lock w:val="sdtLocked"/>
                    <w:richText/>
                  </w:sdtPr>
                  <w:sdtContent>
                    <w:p w14:paraId="57E2AA2D" w14:textId="77777777">
                      <w:pPr>
                        <w:widowControl w:val="0"/>
                        <w:suppressAutoHyphens/>
                        <w:overflowPunct w:val="0"/>
                        <w:spacing w:line="360" w:lineRule="auto"/>
                        <w:ind w:firstLine="720"/>
                        <w:jc w:val="both"/>
                        <w:textAlignment w:val="baseline"/>
                        <w:rPr>
                          <w:kern w:val="24"/>
                          <w:szCs w:val="24"/>
                          <w:lang w:eastAsia="lt-LT"/>
                        </w:rPr>
                      </w:pPr>
                      <w:sdt>
                        <w:sdtPr>
                          <w:alias w:val="Numeris"/>
                          <w:tag w:val="nr_1e77240f59ce4cda8250f24f46ded91d"/>
                          <w:lock w:val="sdtLocked"/>
                          <w:richText/>
                        </w:sdtPr>
                        <w:sdtContent>
                          <w:r>
                            <w:rPr>
                              <w:color w:val="000000"/>
                              <w:szCs w:val="24"/>
                              <w:lang w:eastAsia="lt-LT"/>
                            </w:rPr>
                            <w:t>28.5</w:t>
                          </w:r>
                        </w:sdtContent>
                      </w:sdt>
                      <w:r>
                        <w:rPr>
                          <w:color w:val="000000"/>
                          <w:szCs w:val="24"/>
                          <w:lang w:eastAsia="lt-LT"/>
                        </w:rPr>
                        <w:t xml:space="preserve">. jei pareiškėjas yra asociacija arba tradicinių amatų centras, galutinių pagalbos gavėjų sąrašas, </w:t>
                      </w:r>
                      <w:r>
                        <w:rPr>
                          <w:szCs w:val="24"/>
                          <w:lang w:eastAsia="lt-LT"/>
                        </w:rPr>
                        <w:t xml:space="preserve">galutinių pagalbos gavėjų pasirašyti prašymai dalyvauti asociacijos ar </w:t>
                      </w:r>
                      <w:r>
                        <w:rPr>
                          <w:lang w:eastAsia="lt-LT"/>
                        </w:rPr>
                        <w:t>tradicinių amatų centro</w:t>
                      </w:r>
                      <w:r>
                        <w:rPr>
                          <w:szCs w:val="24"/>
                          <w:lang w:eastAsia="lt-LT"/>
                        </w:rPr>
                        <w:t xml:space="preserve"> projekte (juose nurodoma</w:t>
                      </w:r>
                      <w:r>
                        <w:rPr>
                          <w:rFonts w:ascii="Arial" w:hAnsi="Arial" w:cs="Arial"/>
                          <w:sz w:val="20"/>
                          <w:lang w:eastAsia="lt-LT"/>
                        </w:rPr>
                        <w:t xml:space="preserve"> </w:t>
                      </w:r>
                      <w:r>
                        <w:rPr>
                          <w:szCs w:val="24"/>
                          <w:lang w:eastAsia="lt-LT"/>
                        </w:rPr>
                        <w:t>g</w:t>
                      </w:r>
                      <w:r>
                        <w:rPr>
                          <w:color w:val="000000"/>
                          <w:szCs w:val="24"/>
                          <w:lang w:eastAsia="lt-LT"/>
                        </w:rPr>
                        <w:t xml:space="preserve">alutinio pagalbos gavėjo vardas ir pavardė, asmens kodas, įmonės pavadinimas ir kodas, adresas, telefono Nr., tautinio paveldo produkto kategorija ir prašoma pagalbos suma), tautinio paveldo produkto sertifikatų ir (arba) tradicinių amatų meistro pažymėjimų kopijos ir duomenys pagal paraiškos 3 punkto lentelę. Tuo atveju, jeigu galutinis pagalbos gavėjas yra susijęs su kitais ūkio subjektais Reglamento </w:t>
                      </w:r>
                      <w:fldSimple w:instr="HYPERLINK http://eur-lex.europa.eu/legal-content/LIT/TXT/?uri=CELEX:32013R1407&amp;locale=lt \t _blank">
                        <w:r>
                          <w:rPr>
                            <w:color w:val="0000FF" w:themeColor="hyperlink"/>
                            <w:szCs w:val="24"/>
                            <w:lang w:eastAsia="lt-LT"/>
                            <w:u w:val="single"/>
                          </w:rPr>
                          <w:t>(ES) Nr. 1407/2013</w:t>
                        </w:r>
                      </w:fldSimple>
                      <w:r>
                        <w:rPr>
                          <w:color w:val="000000"/>
                          <w:szCs w:val="24"/>
                          <w:lang w:eastAsia="lt-LT"/>
                        </w:rPr>
                        <w:t xml:space="preserve"> 2 straipsnio 2 dalyje nurodytais ryšiais ar buvo reorganizuojamas, kaip nurodyta taisyklių 5.3 papunktyje, pateikia su nurodytais atvejais susijusių subjektų pavadinimus ir (arba) vardus ir pavardes bei įmonių ir (arba) asmens kodus.</w:t>
                      </w:r>
                    </w:p>
                  </w:sdtContent>
                </w:sdt>
              </w:sdtContent>
            </w:sdt>
            <w:sdt>
              <w:sdtPr>
                <w:alias w:val="29 p."/>
                <w:tag w:val="part_e1f0b14d86b94f2eaa079cced86ce837"/>
                <w:lock w:val="sdtLocked"/>
                <w:richText/>
              </w:sdtPr>
              <w:sdtContent>
                <w:p w14:paraId="2DA76221" w14:textId="77777777">
                  <w:pPr>
                    <w:widowControl w:val="0"/>
                    <w:suppressAutoHyphens/>
                    <w:overflowPunct w:val="0"/>
                    <w:spacing w:line="360" w:lineRule="auto"/>
                    <w:ind w:firstLine="720"/>
                    <w:jc w:val="both"/>
                    <w:textAlignment w:val="baseline"/>
                    <w:rPr>
                      <w:kern w:val="24"/>
                      <w:szCs w:val="24"/>
                      <w:lang w:eastAsia="lt-LT"/>
                    </w:rPr>
                  </w:pPr>
                  <w:sdt>
                    <w:sdtPr>
                      <w:alias w:val="Numeris"/>
                      <w:tag w:val="nr_e1f0b14d86b94f2eaa079cced86ce837"/>
                      <w:lock w:val="sdtLocked"/>
                      <w:richText/>
                    </w:sdtPr>
                    <w:sdtContent>
                      <w:r>
                        <w:rPr>
                          <w:kern w:val="24"/>
                          <w:szCs w:val="24"/>
                          <w:lang w:eastAsia="lt-LT"/>
                        </w:rPr>
                        <w:t>29</w:t>
                      </w:r>
                    </w:sdtContent>
                  </w:sdt>
                  <w:r>
                    <w:rPr>
                      <w:kern w:val="24"/>
                      <w:szCs w:val="24"/>
                      <w:lang w:eastAsia="lt-LT"/>
                    </w:rPr>
                    <w:t>. Paraiška ir prie jos pridedami dokumentai turi būti:</w:t>
                  </w:r>
                </w:p>
                <w:sdt>
                  <w:sdtPr>
                    <w:alias w:val="29.1 pp."/>
                    <w:tag w:val="part_1d4a75424d0e439d9cc49e9c105070ba"/>
                    <w:lock w:val="sdtLocked"/>
                    <w:richText/>
                  </w:sdtPr>
                  <w:sdtContent>
                    <w:p w14:paraId="096C6768" w14:textId="77777777">
                      <w:pPr>
                        <w:widowControl w:val="0"/>
                        <w:suppressAutoHyphens/>
                        <w:overflowPunct w:val="0"/>
                        <w:spacing w:line="360" w:lineRule="auto"/>
                        <w:ind w:firstLine="720"/>
                        <w:jc w:val="both"/>
                        <w:textAlignment w:val="baseline"/>
                        <w:rPr>
                          <w:kern w:val="24"/>
                          <w:szCs w:val="24"/>
                          <w:lang w:eastAsia="lt-LT"/>
                        </w:rPr>
                      </w:pPr>
                      <w:sdt>
                        <w:sdtPr>
                          <w:alias w:val="Numeris"/>
                          <w:tag w:val="nr_1d4a75424d0e439d9cc49e9c105070ba"/>
                          <w:lock w:val="sdtLocked"/>
                          <w:richText/>
                        </w:sdtPr>
                        <w:sdtContent>
                          <w:r>
                            <w:rPr>
                              <w:kern w:val="24"/>
                              <w:szCs w:val="24"/>
                              <w:lang w:eastAsia="lt-LT"/>
                            </w:rPr>
                            <w:t>29.1</w:t>
                          </w:r>
                        </w:sdtContent>
                      </w:sdt>
                      <w:r>
                        <w:rPr>
                          <w:kern w:val="24"/>
                          <w:szCs w:val="24"/>
                          <w:lang w:eastAsia="lt-LT"/>
                        </w:rPr>
                        <w:t>. pateikti visi reikalaujami;</w:t>
                      </w:r>
                    </w:p>
                  </w:sdtContent>
                </w:sdt>
                <w:sdt>
                  <w:sdtPr>
                    <w:alias w:val="29.2 pp."/>
                    <w:tag w:val="part_81e1be02ad1044dd9e49f3be840ddaa1"/>
                    <w:lock w:val="sdtLocked"/>
                    <w:richText/>
                  </w:sdtPr>
                  <w:sdtContent>
                    <w:p w14:paraId="1EC7A4F9" w14:textId="77777777">
                      <w:pPr>
                        <w:widowControl w:val="0"/>
                        <w:suppressAutoHyphens/>
                        <w:overflowPunct w:val="0"/>
                        <w:spacing w:line="360" w:lineRule="auto"/>
                        <w:ind w:firstLine="720"/>
                        <w:jc w:val="both"/>
                        <w:textAlignment w:val="baseline"/>
                        <w:rPr>
                          <w:kern w:val="24"/>
                          <w:szCs w:val="24"/>
                          <w:lang w:eastAsia="lt-LT"/>
                        </w:rPr>
                      </w:pPr>
                      <w:sdt>
                        <w:sdtPr>
                          <w:alias w:val="Numeris"/>
                          <w:tag w:val="nr_81e1be02ad1044dd9e49f3be840ddaa1"/>
                          <w:lock w:val="sdtLocked"/>
                          <w:richText/>
                        </w:sdtPr>
                        <w:sdtContent>
                          <w:r>
                            <w:rPr>
                              <w:kern w:val="24"/>
                              <w:szCs w:val="24"/>
                              <w:lang w:eastAsia="lt-LT"/>
                            </w:rPr>
                            <w:t>29.2</w:t>
                          </w:r>
                        </w:sdtContent>
                      </w:sdt>
                      <w:r>
                        <w:rPr>
                          <w:kern w:val="24"/>
                          <w:szCs w:val="24"/>
                          <w:lang w:eastAsia="lt-LT"/>
                        </w:rPr>
                        <w:t>. parašyti valstybine kalba arba išversti į ją, vertimo tikrumą patvirtinus pareiškėjo parašu;</w:t>
                      </w:r>
                    </w:p>
                  </w:sdtContent>
                </w:sdt>
                <w:sdt>
                  <w:sdtPr>
                    <w:alias w:val="29.3 pp."/>
                    <w:tag w:val="part_ff0428298a8a41019cdc73a1fd107c83"/>
                    <w:lock w:val="sdtLocked"/>
                    <w:richText/>
                  </w:sdtPr>
                  <w:sdtContent>
                    <w:p w14:paraId="6C10B407" w14:textId="77777777">
                      <w:pPr>
                        <w:widowControl w:val="0"/>
                        <w:suppressAutoHyphens/>
                        <w:overflowPunct w:val="0"/>
                        <w:spacing w:line="360" w:lineRule="auto"/>
                        <w:ind w:firstLine="720"/>
                        <w:jc w:val="both"/>
                        <w:textAlignment w:val="baseline"/>
                        <w:rPr>
                          <w:kern w:val="24"/>
                          <w:szCs w:val="24"/>
                          <w:lang w:eastAsia="lt-LT"/>
                        </w:rPr>
                      </w:pPr>
                      <w:sdt>
                        <w:sdtPr>
                          <w:alias w:val="Numeris"/>
                          <w:tag w:val="nr_ff0428298a8a41019cdc73a1fd107c83"/>
                          <w:lock w:val="sdtLocked"/>
                          <w:richText/>
                        </w:sdtPr>
                        <w:sdtContent>
                          <w:r>
                            <w:rPr>
                              <w:kern w:val="24"/>
                              <w:szCs w:val="24"/>
                              <w:lang w:eastAsia="lt-LT"/>
                            </w:rPr>
                            <w:t>29.3</w:t>
                          </w:r>
                        </w:sdtContent>
                      </w:sdt>
                      <w:r>
                        <w:rPr>
                          <w:kern w:val="24"/>
                          <w:szCs w:val="24"/>
                          <w:lang w:eastAsia="lt-LT"/>
                        </w:rPr>
                        <w:t>. išsamiai ir teisingai užpildyti;</w:t>
                      </w:r>
                    </w:p>
                  </w:sdtContent>
                </w:sdt>
                <w:sdt>
                  <w:sdtPr>
                    <w:alias w:val="29.4 pp."/>
                    <w:tag w:val="part_4c99629d7cdf42bb9e2dfa1b455c66b3"/>
                    <w:lock w:val="sdtLocked"/>
                    <w:richText/>
                  </w:sdtPr>
                  <w:sdtContent>
                    <w:p w14:paraId="57D76CFF" w14:textId="77777777">
                      <w:pPr>
                        <w:widowControl w:val="0"/>
                        <w:suppressAutoHyphens/>
                        <w:overflowPunct w:val="0"/>
                        <w:spacing w:line="360" w:lineRule="auto"/>
                        <w:ind w:firstLine="720"/>
                        <w:jc w:val="both"/>
                        <w:textAlignment w:val="baseline"/>
                        <w:rPr>
                          <w:kern w:val="24"/>
                          <w:szCs w:val="24"/>
                          <w:lang w:eastAsia="lt-LT"/>
                        </w:rPr>
                      </w:pPr>
                      <w:sdt>
                        <w:sdtPr>
                          <w:alias w:val="Numeris"/>
                          <w:tag w:val="nr_4c99629d7cdf42bb9e2dfa1b455c66b3"/>
                          <w:lock w:val="sdtLocked"/>
                          <w:richText/>
                        </w:sdtPr>
                        <w:sdtContent>
                          <w:r>
                            <w:rPr>
                              <w:kern w:val="24"/>
                              <w:szCs w:val="24"/>
                              <w:lang w:eastAsia="lt-LT"/>
                            </w:rPr>
                            <w:t>29.4</w:t>
                          </w:r>
                        </w:sdtContent>
                      </w:sdt>
                      <w:r>
                        <w:rPr>
                          <w:kern w:val="24"/>
                          <w:szCs w:val="24"/>
                          <w:lang w:eastAsia="lt-LT"/>
                        </w:rPr>
                        <w:t>. pasirašyti pareiškėjo;</w:t>
                      </w:r>
                    </w:p>
                  </w:sdtContent>
                </w:sdt>
                <w:sdt>
                  <w:sdtPr>
                    <w:alias w:val="29.5 pp."/>
                    <w:tag w:val="part_835e4058fd924f629d2f398fc21dd71e"/>
                    <w:lock w:val="sdtLocked"/>
                    <w:richText/>
                  </w:sdtPr>
                  <w:sdtContent>
                    <w:p w14:paraId="7E7D6799" w14:textId="77777777">
                      <w:pPr>
                        <w:widowControl w:val="0"/>
                        <w:suppressAutoHyphens/>
                        <w:overflowPunct w:val="0"/>
                        <w:spacing w:line="360" w:lineRule="auto"/>
                        <w:ind w:firstLine="720"/>
                        <w:jc w:val="both"/>
                        <w:textAlignment w:val="baseline"/>
                        <w:rPr>
                          <w:kern w:val="24"/>
                          <w:szCs w:val="24"/>
                          <w:lang w:eastAsia="lt-LT"/>
                        </w:rPr>
                      </w:pPr>
                      <w:sdt>
                        <w:sdtPr>
                          <w:alias w:val="Numeris"/>
                          <w:tag w:val="nr_835e4058fd924f629d2f398fc21dd71e"/>
                          <w:lock w:val="sdtLocked"/>
                          <w:richText/>
                        </w:sdtPr>
                        <w:sdtContent>
                          <w:r>
                            <w:rPr>
                              <w:kern w:val="24"/>
                              <w:szCs w:val="24"/>
                              <w:lang w:eastAsia="lt-LT"/>
                            </w:rPr>
                            <w:t>29.5</w:t>
                          </w:r>
                        </w:sdtContent>
                      </w:sdt>
                      <w:r>
                        <w:rPr>
                          <w:kern w:val="24"/>
                          <w:szCs w:val="24"/>
                          <w:lang w:eastAsia="lt-LT"/>
                        </w:rPr>
                        <w:t>. dokumentų kopijos turi būti aiškiai įskaitomos, jų tikrumas turi būti patvirtintas pareiškėjo parašu.</w:t>
                      </w:r>
                    </w:p>
                  </w:sdtContent>
                </w:sdt>
              </w:sdtContent>
            </w:sdt>
            <w:sdt>
              <w:sdtPr>
                <w:alias w:val="30 p."/>
                <w:tag w:val="part_608326e7813c4519b4465686490dafa3"/>
                <w:lock w:val="sdtLocked"/>
                <w:richText/>
              </w:sdtPr>
              <w:sdtContent>
                <w:p w14:paraId="2BFC472E"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608326e7813c4519b4465686490dafa3"/>
                      <w:lock w:val="sdtLocked"/>
                      <w:richText/>
                    </w:sdtPr>
                    <w:sdtContent>
                      <w:r>
                        <w:rPr>
                          <w:color w:val="000000"/>
                          <w:szCs w:val="24"/>
                          <w:lang w:eastAsia="lt-LT"/>
                        </w:rPr>
                        <w:t>30</w:t>
                      </w:r>
                    </w:sdtContent>
                  </w:sdt>
                  <w:r>
                    <w:rPr>
                      <w:color w:val="000000"/>
                      <w:szCs w:val="24"/>
                      <w:lang w:eastAsia="lt-LT"/>
                    </w:rPr>
                    <w:t>. Paraiškos priimamos, nagrinėjamos ir pagalba skiriama vadovaujantis Bendrosiomis administravimo taisyklėmis, Pagrindinių reikalavimų aprašu ir šiomis taisyklėmis.</w:t>
                  </w:r>
                </w:p>
              </w:sdtContent>
            </w:sdt>
            <w:sdt>
              <w:sdtPr>
                <w:alias w:val="31 p."/>
                <w:tag w:val="part_4a455c5d8bc7404bbbd479e2125b46f9"/>
                <w:lock w:val="sdtLocked"/>
                <w:richText/>
              </w:sdtPr>
              <w:sdtContent>
                <w:p w14:paraId="08436716"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4a455c5d8bc7404bbbd479e2125b46f9"/>
                      <w:lock w:val="sdtLocked"/>
                      <w:richText/>
                    </w:sdtPr>
                    <w:sdtContent>
                      <w:r>
                        <w:rPr>
                          <w:color w:val="000000"/>
                          <w:szCs w:val="24"/>
                          <w:lang w:eastAsia="lt-LT"/>
                        </w:rPr>
                        <w:t>31</w:t>
                      </w:r>
                    </w:sdtContent>
                  </w:sdt>
                  <w:r>
                    <w:rPr>
                      <w:color w:val="000000"/>
                      <w:szCs w:val="24"/>
                      <w:lang w:eastAsia="lt-LT"/>
                    </w:rPr>
                    <w:t>. Paraiškos vertinamos pagal šiuos kriterijus:</w:t>
                  </w:r>
                </w:p>
                <w:sdt>
                  <w:sdtPr>
                    <w:alias w:val="31.1 pp."/>
                    <w:tag w:val="part_16b8a3c607e0412b8b0f0afff40837a5"/>
                    <w:lock w:val="sdtLocked"/>
                    <w:richText/>
                  </w:sdtPr>
                  <w:sdtContent>
                    <w:p w14:paraId="1CD67363"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16b8a3c607e0412b8b0f0afff40837a5"/>
                          <w:lock w:val="sdtLocked"/>
                          <w:richText/>
                        </w:sdtPr>
                        <w:sdtContent>
                          <w:r>
                            <w:rPr>
                              <w:color w:val="000000"/>
                              <w:szCs w:val="24"/>
                              <w:lang w:eastAsia="lt-LT"/>
                            </w:rPr>
                            <w:t>31.1</w:t>
                          </w:r>
                        </w:sdtContent>
                      </w:sdt>
                      <w:r>
                        <w:rPr>
                          <w:color w:val="000000"/>
                          <w:szCs w:val="24"/>
                          <w:lang w:eastAsia="lt-LT"/>
                        </w:rPr>
                        <w:t>. pareiškėjo tinkamumą gauti pagalbą pagal taisyklių 7 punkto, V ir VI skyrių nuostatas;</w:t>
                      </w:r>
                    </w:p>
                  </w:sdtContent>
                </w:sdt>
                <w:sdt>
                  <w:sdtPr>
                    <w:alias w:val="31.2 pp."/>
                    <w:tag w:val="part_4de52566405846e59b43611e8fac786a"/>
                    <w:lock w:val="sdtLocked"/>
                    <w:richText/>
                  </w:sdtPr>
                  <w:sdtContent>
                    <w:p w14:paraId="6A155FE0"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4de52566405846e59b43611e8fac786a"/>
                          <w:lock w:val="sdtLocked"/>
                          <w:richText/>
                        </w:sdtPr>
                        <w:sdtContent>
                          <w:r>
                            <w:rPr>
                              <w:color w:val="000000"/>
                              <w:szCs w:val="24"/>
                              <w:lang w:eastAsia="lt-LT"/>
                            </w:rPr>
                            <w:t>31.2</w:t>
                          </w:r>
                        </w:sdtContent>
                      </w:sdt>
                      <w:r>
                        <w:rPr>
                          <w:color w:val="000000"/>
                          <w:szCs w:val="24"/>
                          <w:lang w:eastAsia="lt-LT"/>
                        </w:rPr>
                        <w:t>. paraiškos atitiktį šių taisyklių II skyriuje nustatytiems pagrindiniams finansavimo principams;</w:t>
                      </w:r>
                    </w:p>
                  </w:sdtContent>
                </w:sdt>
                <w:sdt>
                  <w:sdtPr>
                    <w:alias w:val="31.3 pp."/>
                    <w:tag w:val="part_3f83f7ea788a4fb09e4794f50b7ea4b1"/>
                    <w:lock w:val="sdtLocked"/>
                    <w:richText/>
                  </w:sdtPr>
                  <w:sdtContent>
                    <w:p w14:paraId="510BF615"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3f83f7ea788a4fb09e4794f50b7ea4b1"/>
                          <w:lock w:val="sdtLocked"/>
                          <w:richText/>
                        </w:sdtPr>
                        <w:sdtContent>
                          <w:r>
                            <w:rPr>
                              <w:color w:val="000000"/>
                              <w:szCs w:val="24"/>
                              <w:lang w:eastAsia="lt-LT"/>
                            </w:rPr>
                            <w:t>31.3</w:t>
                          </w:r>
                        </w:sdtContent>
                      </w:sdt>
                      <w:r>
                        <w:rPr>
                          <w:color w:val="000000"/>
                          <w:szCs w:val="24"/>
                          <w:lang w:eastAsia="lt-LT"/>
                        </w:rPr>
                        <w:t>. paraiškos ir pridedamų dokumentų atitiktį taisyklių 29 punkte nustatytiems reikalavimams;</w:t>
                      </w:r>
                    </w:p>
                  </w:sdtContent>
                </w:sdt>
                <w:sdt>
                  <w:sdtPr>
                    <w:alias w:val="31.4 pp."/>
                    <w:tag w:val="part_862ae11ec0e34d3ba217976dbd0395bf"/>
                    <w:lock w:val="sdtLocked"/>
                    <w:richText/>
                  </w:sdtPr>
                  <w:sdtContent>
                    <w:p w14:paraId="52EC5812"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862ae11ec0e34d3ba217976dbd0395bf"/>
                          <w:lock w:val="sdtLocked"/>
                          <w:richText/>
                        </w:sdtPr>
                        <w:sdtContent>
                          <w:r>
                            <w:rPr>
                              <w:color w:val="000000"/>
                              <w:szCs w:val="24"/>
                              <w:lang w:eastAsia="lt-LT"/>
                            </w:rPr>
                            <w:t>31.4</w:t>
                          </w:r>
                        </w:sdtContent>
                      </w:sdt>
                      <w:r>
                        <w:rPr>
                          <w:color w:val="000000"/>
                          <w:szCs w:val="24"/>
                          <w:lang w:eastAsia="lt-LT"/>
                        </w:rPr>
                        <w:t>. finansuojamos veiklos tinkamumą pagal taisyklių III skyrių;</w:t>
                      </w:r>
                    </w:p>
                  </w:sdtContent>
                </w:sdt>
                <w:sdt>
                  <w:sdtPr>
                    <w:alias w:val="31.5 pp."/>
                    <w:tag w:val="part_accdd2d4f4cf41c4a28d980dc1cf943c"/>
                    <w:lock w:val="sdtLocked"/>
                    <w:richText/>
                  </w:sdtPr>
                  <w:sdtContent>
                    <w:p w14:paraId="4FFB9F94"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accdd2d4f4cf41c4a28d980dc1cf943c"/>
                          <w:lock w:val="sdtLocked"/>
                          <w:richText/>
                        </w:sdtPr>
                        <w:sdtContent>
                          <w:r>
                            <w:rPr>
                              <w:color w:val="000000"/>
                              <w:szCs w:val="24"/>
                              <w:lang w:eastAsia="lt-LT"/>
                            </w:rPr>
                            <w:t>31.5</w:t>
                          </w:r>
                        </w:sdtContent>
                      </w:sdt>
                      <w:r>
                        <w:rPr>
                          <w:color w:val="000000"/>
                          <w:szCs w:val="24"/>
                          <w:lang w:eastAsia="lt-LT"/>
                        </w:rPr>
                        <w:t>. tinkamas finansuoti išlaidas ir finansavimo dydį pagal taisyklių IV skyrių;</w:t>
                      </w:r>
                    </w:p>
                  </w:sdtContent>
                </w:sdt>
                <w:sdt>
                  <w:sdtPr>
                    <w:alias w:val="31.6 pp."/>
                    <w:tag w:val="part_a257c4bef4644f2cb6808361717ed1cb"/>
                    <w:lock w:val="sdtLocked"/>
                    <w:richText/>
                  </w:sdtPr>
                  <w:sdtContent>
                    <w:p w14:paraId="0325BFF8" w14:textId="77777777">
                      <w:pPr>
                        <w:overflowPunct w:val="0"/>
                        <w:spacing w:line="360" w:lineRule="auto"/>
                        <w:ind w:firstLine="720"/>
                        <w:jc w:val="both"/>
                        <w:textAlignment w:val="baseline"/>
                        <w:rPr>
                          <w:color w:val="000000"/>
                          <w:szCs w:val="24"/>
                          <w:lang w:eastAsia="lt-LT"/>
                        </w:rPr>
                      </w:pPr>
                      <w:sdt>
                        <w:sdtPr>
                          <w:alias w:val="Numeris"/>
                          <w:tag w:val="nr_a257c4bef4644f2cb6808361717ed1cb"/>
                          <w:lock w:val="sdtLocked"/>
                          <w:richText/>
                        </w:sdtPr>
                        <w:sdtContent>
                          <w:r>
                            <w:rPr>
                              <w:color w:val="000000"/>
                              <w:szCs w:val="24"/>
                              <w:lang w:eastAsia="lt-LT"/>
                            </w:rPr>
                            <w:t>31.6</w:t>
                          </w:r>
                        </w:sdtContent>
                      </w:sdt>
                      <w:r>
                        <w:rPr>
                          <w:color w:val="000000"/>
                          <w:szCs w:val="24"/>
                          <w:lang w:eastAsia="lt-LT"/>
                        </w:rPr>
                        <w:t>. prašomų lėšų pagrįstumą.</w:t>
                      </w:r>
                      <w:r>
                        <w:t xml:space="preserve"> </w:t>
                      </w:r>
                    </w:p>
                  </w:sdtContent>
                </w:sdt>
              </w:sdtContent>
            </w:sdt>
            <w:sdt>
              <w:sdtPr>
                <w:alias w:val="32 p."/>
                <w:tag w:val="part_2b03e1d5b887421684555d48875745f8"/>
                <w:lock w:val="sdtLocked"/>
                <w:richText/>
              </w:sdtPr>
              <w:sdtContent>
                <w:p w14:paraId="5A424058"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2b03e1d5b887421684555d48875745f8"/>
                      <w:lock w:val="sdtLocked"/>
                      <w:richText/>
                    </w:sdtPr>
                    <w:sdtContent>
                      <w:r>
                        <w:rPr>
                          <w:color w:val="000000"/>
                          <w:szCs w:val="24"/>
                          <w:lang w:eastAsia="lt-LT"/>
                        </w:rPr>
                        <w:t>32</w:t>
                      </w:r>
                    </w:sdtContent>
                  </w:sdt>
                  <w:r>
                    <w:rPr>
                      <w:color w:val="000000"/>
                      <w:szCs w:val="24"/>
                      <w:lang w:eastAsia="lt-LT"/>
                    </w:rPr>
                    <w:t>. Jeigu gautose paraiškose bendras prašomos pagalbos sumos poreikis didesnis nei paskelbtam kvietimui teikti paraiškas skirta bendra pagalbos suma, pareiškėjams taikomi šie pirmumo kriterijai (mažėjančios svarbos tvarka):</w:t>
                  </w:r>
                </w:p>
                <w:sdt>
                  <w:sdtPr>
                    <w:alias w:val="32.1 pp."/>
                    <w:tag w:val="part_8495a49f0537443996b95b2cd0483905"/>
                    <w:lock w:val="sdtLocked"/>
                    <w:richText/>
                  </w:sdtPr>
                  <w:sdtContent>
                    <w:p w14:paraId="3AAB531A"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8495a49f0537443996b95b2cd0483905"/>
                          <w:lock w:val="sdtLocked"/>
                          <w:richText/>
                        </w:sdtPr>
                        <w:sdtContent>
                          <w:r>
                            <w:rPr>
                              <w:color w:val="000000"/>
                              <w:szCs w:val="24"/>
                              <w:lang w:eastAsia="lt-LT"/>
                            </w:rPr>
                            <w:t>32.1</w:t>
                          </w:r>
                        </w:sdtContent>
                      </w:sdt>
                      <w:r>
                        <w:rPr>
                          <w:color w:val="000000"/>
                          <w:szCs w:val="24"/>
                          <w:lang w:eastAsia="lt-LT"/>
                        </w:rPr>
                        <w:t>. paraiška teikiama organizuoti sertifikuotą tradicinį renginį;</w:t>
                      </w:r>
                    </w:p>
                  </w:sdtContent>
                </w:sdt>
                <w:sdt>
                  <w:sdtPr>
                    <w:alias w:val="32.2 pp."/>
                    <w:tag w:val="part_f4b5164f3f804d87b4be3bcd05d995ce"/>
                    <w:lock w:val="sdtLocked"/>
                    <w:richText/>
                  </w:sdtPr>
                  <w:sdtContent>
                    <w:p w14:paraId="599FE2D6"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f4b5164f3f804d87b4be3bcd05d995ce"/>
                          <w:lock w:val="sdtLocked"/>
                          <w:richText/>
                        </w:sdtPr>
                        <w:sdtContent>
                          <w:r>
                            <w:rPr>
                              <w:color w:val="000000"/>
                              <w:szCs w:val="24"/>
                              <w:lang w:eastAsia="lt-LT"/>
                            </w:rPr>
                            <w:t>32.2</w:t>
                          </w:r>
                        </w:sdtContent>
                      </w:sdt>
                      <w:r>
                        <w:rPr>
                          <w:color w:val="000000"/>
                          <w:szCs w:val="24"/>
                          <w:lang w:eastAsia="lt-LT"/>
                        </w:rPr>
                        <w:t xml:space="preserve">. pareiškėjas nėra maitinimo paslaugas teikianti įmonė (jei pareiškėjas yra asociacija arba tradicinių amatų centras, reikalavimą turi atitikti visi galutiniai pagalbos gavėjai). </w:t>
                      </w:r>
                    </w:p>
                  </w:sdtContent>
                </w:sdt>
              </w:sdtContent>
            </w:sdt>
            <w:sdt>
              <w:sdtPr>
                <w:alias w:val="33 p."/>
                <w:tag w:val="part_e14d0c4a0af247338634c8ac6320b38e"/>
                <w:lock w:val="sdtLocked"/>
                <w:richText/>
              </w:sdtPr>
              <w:sdtContent>
                <w:p w14:paraId="65CE1623"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e14d0c4a0af247338634c8ac6320b38e"/>
                      <w:lock w:val="sdtLocked"/>
                      <w:richText/>
                    </w:sdtPr>
                    <w:sdtContent>
                      <w:r>
                        <w:rPr>
                          <w:color w:val="000000"/>
                          <w:szCs w:val="24"/>
                          <w:lang w:eastAsia="lt-LT"/>
                        </w:rPr>
                        <w:t>33</w:t>
                      </w:r>
                    </w:sdtContent>
                  </w:sdt>
                  <w:r>
                    <w:rPr>
                      <w:color w:val="000000"/>
                      <w:szCs w:val="24"/>
                      <w:lang w:eastAsia="lt-LT"/>
                    </w:rPr>
                    <w:t xml:space="preserve">. Jei pritaikius pirmumo kriterijus kvietimui skirtų lėšų nepakanka antrąjį pirmumo kriterijų atitinkančioms paraiškoms finansuoti, paraiškos reitinguojamos pagal surinktų atrankos balų skaičių: </w:t>
                  </w:r>
                </w:p>
                <w:sdt>
                  <w:sdtPr>
                    <w:alias w:val="33.1 pp."/>
                    <w:tag w:val="part_896446fb3c4f4157b75625c187bcc54d"/>
                    <w:lock w:val="sdtLocked"/>
                    <w:richText/>
                  </w:sdtPr>
                  <w:sdtContent>
                    <w:p w14:paraId="2E343A39"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896446fb3c4f4157b75625c187bcc54d"/>
                          <w:lock w:val="sdtLocked"/>
                          <w:richText/>
                        </w:sdtPr>
                        <w:sdtContent>
                          <w:r>
                            <w:rPr>
                              <w:color w:val="000000"/>
                              <w:szCs w:val="24"/>
                              <w:lang w:eastAsia="lt-LT"/>
                            </w:rPr>
                            <w:t>33.1</w:t>
                          </w:r>
                        </w:sdtContent>
                      </w:sdt>
                      <w:r>
                        <w:rPr>
                          <w:color w:val="000000"/>
                          <w:szCs w:val="24"/>
                          <w:lang w:eastAsia="lt-LT"/>
                        </w:rPr>
                        <w:t>. paraiška teikiama dalyvauti Lietuvos Respublikoje rengiamose seną tradiciją turinčiose parodose, mugėse ir (ar) kituose viešuosiuose renginiuose – po 1 balą už kiekvieną renginį (už atitiktį šiam kriterijui daugiausiai gali būti skiriama 10 balų):</w:t>
                      </w:r>
                    </w:p>
                    <w:sdt>
                      <w:sdtPr>
                        <w:alias w:val="33.1.1 pp."/>
                        <w:tag w:val="part_ae27f11d2b4c48e6a2d637c9d700789c"/>
                        <w:lock w:val="sdtLocked"/>
                        <w:richText/>
                      </w:sdtPr>
                      <w:sdtContent>
                        <w:p w14:paraId="24AA59B3"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ae27f11d2b4c48e6a2d637c9d700789c"/>
                              <w:lock w:val="sdtLocked"/>
                              <w:richText/>
                            </w:sdtPr>
                            <w:sdtContent>
                              <w:r>
                                <w:rPr>
                                  <w:color w:val="000000"/>
                                  <w:szCs w:val="24"/>
                                  <w:lang w:eastAsia="lt-LT"/>
                                </w:rPr>
                                <w:t>33.1.1</w:t>
                              </w:r>
                            </w:sdtContent>
                          </w:sdt>
                          <w:r>
                            <w:rPr>
                              <w:color w:val="000000"/>
                              <w:szCs w:val="24"/>
                              <w:lang w:eastAsia="lt-LT"/>
                            </w:rPr>
                            <w:t>. Dainų šventė;</w:t>
                          </w:r>
                        </w:p>
                      </w:sdtContent>
                    </w:sdt>
                    <w:sdt>
                      <w:sdtPr>
                        <w:alias w:val="33.1.2 pp."/>
                        <w:tag w:val="part_ae532288a66a47c0be7302cb7cd3c84e"/>
                        <w:lock w:val="sdtLocked"/>
                        <w:richText/>
                      </w:sdtPr>
                      <w:sdtContent>
                        <w:p w14:paraId="363FFC53"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ae532288a66a47c0be7302cb7cd3c84e"/>
                              <w:lock w:val="sdtLocked"/>
                              <w:richText/>
                            </w:sdtPr>
                            <w:sdtContent>
                              <w:r>
                                <w:rPr>
                                  <w:color w:val="000000"/>
                                  <w:szCs w:val="24"/>
                                  <w:lang w:eastAsia="lt-LT"/>
                                </w:rPr>
                                <w:t>33.1.2</w:t>
                              </w:r>
                            </w:sdtContent>
                          </w:sdt>
                          <w:r>
                            <w:rPr>
                              <w:color w:val="000000"/>
                              <w:szCs w:val="24"/>
                              <w:lang w:eastAsia="lt-LT"/>
                            </w:rPr>
                            <w:t>. Šv. Baltramiejaus mugė;</w:t>
                          </w:r>
                        </w:p>
                      </w:sdtContent>
                    </w:sdt>
                    <w:sdt>
                      <w:sdtPr>
                        <w:alias w:val="33.1.3 pp."/>
                        <w:tag w:val="part_7b555f4a438d4fff813b4e6ff09fab8d"/>
                        <w:lock w:val="sdtLocked"/>
                        <w:richText/>
                      </w:sdtPr>
                      <w:sdtContent>
                        <w:p w14:paraId="4FBFBCE4"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7b555f4a438d4fff813b4e6ff09fab8d"/>
                              <w:lock w:val="sdtLocked"/>
                              <w:richText/>
                            </w:sdtPr>
                            <w:sdtContent>
                              <w:r>
                                <w:rPr>
                                  <w:color w:val="000000"/>
                                  <w:szCs w:val="24"/>
                                  <w:lang w:eastAsia="lt-LT"/>
                                </w:rPr>
                                <w:t>33.1.3</w:t>
                              </w:r>
                            </w:sdtContent>
                          </w:sdt>
                          <w:r>
                            <w:rPr>
                              <w:color w:val="000000"/>
                              <w:szCs w:val="24"/>
                              <w:lang w:eastAsia="lt-LT"/>
                            </w:rPr>
                            <w:t>. tarptautinis eksperimentinės archeologijos festivalis „Gyvosios archeologijos dienos Kernavėje“;</w:t>
                          </w:r>
                        </w:p>
                      </w:sdtContent>
                    </w:sdt>
                    <w:sdt>
                      <w:sdtPr>
                        <w:alias w:val="33.1.4 pp."/>
                        <w:tag w:val="part_ef880d8fc3a84e63a9226e13eaddc6bd"/>
                        <w:lock w:val="sdtLocked"/>
                        <w:richText/>
                      </w:sdtPr>
                      <w:sdtContent>
                        <w:p w14:paraId="09BE4E46"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ef880d8fc3a84e63a9226e13eaddc6bd"/>
                              <w:lock w:val="sdtLocked"/>
                              <w:richText/>
                            </w:sdtPr>
                            <w:sdtContent>
                              <w:r>
                                <w:rPr>
                                  <w:color w:val="000000"/>
                                  <w:szCs w:val="24"/>
                                  <w:lang w:eastAsia="lt-LT"/>
                                </w:rPr>
                                <w:t>33.1.4</w:t>
                              </w:r>
                            </w:sdtContent>
                          </w:sdt>
                          <w:r>
                            <w:rPr>
                              <w:color w:val="000000"/>
                              <w:szCs w:val="24"/>
                              <w:lang w:eastAsia="lt-LT"/>
                            </w:rPr>
                            <w:t xml:space="preserve">. festivalis „Skamba, skamba kankliai“; </w:t>
                          </w:r>
                        </w:p>
                      </w:sdtContent>
                    </w:sdt>
                    <w:sdt>
                      <w:sdtPr>
                        <w:alias w:val="33.1.5 pp."/>
                        <w:tag w:val="part_0a9f172158a84475a38a6a7304b2cdc4"/>
                        <w:lock w:val="sdtLocked"/>
                        <w:richText/>
                      </w:sdtPr>
                      <w:sdtContent>
                        <w:p w14:paraId="64CD85EE"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0a9f172158a84475a38a6a7304b2cdc4"/>
                              <w:lock w:val="sdtLocked"/>
                              <w:richText/>
                            </w:sdtPr>
                            <w:sdtContent>
                              <w:r>
                                <w:rPr>
                                  <w:color w:val="000000"/>
                                  <w:szCs w:val="24"/>
                                  <w:lang w:eastAsia="lt-LT"/>
                                </w:rPr>
                                <w:t>33.1.5</w:t>
                              </w:r>
                            </w:sdtContent>
                          </w:sdt>
                          <w:r>
                            <w:rPr>
                              <w:color w:val="000000"/>
                              <w:szCs w:val="24"/>
                              <w:lang w:eastAsia="lt-LT"/>
                            </w:rPr>
                            <w:t>. Kaziuko mugė;</w:t>
                          </w:r>
                        </w:p>
                      </w:sdtContent>
                    </w:sdt>
                    <w:sdt>
                      <w:sdtPr>
                        <w:alias w:val="33.1.6 pp."/>
                        <w:tag w:val="part_6c4f0502110244358baa24754ebf046d"/>
                        <w:lock w:val="sdtLocked"/>
                        <w:richText/>
                      </w:sdtPr>
                      <w:sdtContent>
                        <w:p w14:paraId="3B97E5A3"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6c4f0502110244358baa24754ebf046d"/>
                              <w:lock w:val="sdtLocked"/>
                              <w:richText/>
                            </w:sdtPr>
                            <w:sdtContent>
                              <w:r>
                                <w:rPr>
                                  <w:color w:val="000000"/>
                                  <w:szCs w:val="24"/>
                                  <w:lang w:eastAsia="lt-LT"/>
                                </w:rPr>
                                <w:t>33.1.6</w:t>
                              </w:r>
                            </w:sdtContent>
                          </w:sdt>
                          <w:r>
                            <w:rPr>
                              <w:color w:val="000000"/>
                              <w:szCs w:val="24"/>
                              <w:lang w:eastAsia="lt-LT"/>
                            </w:rPr>
                            <w:t>. respublikinė konkursinė liaudies meno paroda „Aukso vainikas“;</w:t>
                          </w:r>
                        </w:p>
                      </w:sdtContent>
                    </w:sdt>
                    <w:sdt>
                      <w:sdtPr>
                        <w:alias w:val="33.1.7 pp."/>
                        <w:tag w:val="part_a922b9205ef4491781c431f938ee57a9"/>
                        <w:lock w:val="sdtLocked"/>
                        <w:richText/>
                      </w:sdtPr>
                      <w:sdtContent>
                        <w:p w14:paraId="4D516073"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a922b9205ef4491781c431f938ee57a9"/>
                              <w:lock w:val="sdtLocked"/>
                              <w:richText/>
                            </w:sdtPr>
                            <w:sdtContent>
                              <w:r>
                                <w:rPr>
                                  <w:color w:val="000000"/>
                                  <w:szCs w:val="24"/>
                                  <w:lang w:eastAsia="lt-LT"/>
                                </w:rPr>
                                <w:t>33.1.7</w:t>
                              </w:r>
                            </w:sdtContent>
                          </w:sdt>
                          <w:r>
                            <w:rPr>
                              <w:color w:val="000000"/>
                              <w:szCs w:val="24"/>
                              <w:lang w:eastAsia="lt-LT"/>
                            </w:rPr>
                            <w:t>. tarptautinis folkloro festivalis „Baltica“;</w:t>
                          </w:r>
                        </w:p>
                      </w:sdtContent>
                    </w:sdt>
                    <w:sdt>
                      <w:sdtPr>
                        <w:alias w:val="33.1.8 pp."/>
                        <w:tag w:val="part_3ad8adef54064085a239594c82aac8ef"/>
                        <w:lock w:val="sdtLocked"/>
                        <w:richText/>
                      </w:sdtPr>
                      <w:sdtContent>
                        <w:p w14:paraId="45EE0B7F"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3ad8adef54064085a239594c82aac8ef"/>
                              <w:lock w:val="sdtLocked"/>
                              <w:richText/>
                            </w:sdtPr>
                            <w:sdtContent>
                              <w:r>
                                <w:rPr>
                                  <w:color w:val="000000"/>
                                  <w:szCs w:val="24"/>
                                  <w:lang w:eastAsia="lt-LT"/>
                                </w:rPr>
                                <w:t>33.1.8</w:t>
                              </w:r>
                            </w:sdtContent>
                          </w:sdt>
                          <w:r>
                            <w:rPr>
                              <w:color w:val="000000"/>
                              <w:szCs w:val="24"/>
                              <w:lang w:eastAsia="lt-LT"/>
                            </w:rPr>
                            <w:t xml:space="preserve">. festivalis „Sostinės dienos“; </w:t>
                          </w:r>
                        </w:p>
                      </w:sdtContent>
                    </w:sdt>
                    <w:sdt>
                      <w:sdtPr>
                        <w:alias w:val="33.1.9 pp."/>
                        <w:tag w:val="part_fc5aed30227f4454bb02f6d1bdd88033"/>
                        <w:lock w:val="sdtLocked"/>
                        <w:richText/>
                      </w:sdtPr>
                      <w:sdtContent>
                        <w:p w14:paraId="583BDA4E"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fc5aed30227f4454bb02f6d1bdd88033"/>
                              <w:lock w:val="sdtLocked"/>
                              <w:richText/>
                            </w:sdtPr>
                            <w:sdtContent>
                              <w:r>
                                <w:rPr>
                                  <w:color w:val="000000"/>
                                  <w:szCs w:val="24"/>
                                  <w:lang w:eastAsia="lt-LT"/>
                                </w:rPr>
                                <w:t>33.1.9</w:t>
                              </w:r>
                            </w:sdtContent>
                          </w:sdt>
                          <w:r>
                            <w:rPr>
                              <w:color w:val="000000"/>
                              <w:szCs w:val="24"/>
                              <w:lang w:eastAsia="lt-LT"/>
                            </w:rPr>
                            <w:t>. Jūros šventė;</w:t>
                          </w:r>
                        </w:p>
                      </w:sdtContent>
                    </w:sdt>
                    <w:sdt>
                      <w:sdtPr>
                        <w:alias w:val="33.1.10 pp."/>
                        <w:tag w:val="part_b66f15fb4df0464c94603213b9c2c594"/>
                        <w:lock w:val="sdtLocked"/>
                        <w:richText/>
                      </w:sdtPr>
                      <w:sdtContent>
                        <w:p w14:paraId="0B32D401"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b66f15fb4df0464c94603213b9c2c594"/>
                              <w:lock w:val="sdtLocked"/>
                              <w:richText/>
                            </w:sdtPr>
                            <w:sdtContent>
                              <w:r>
                                <w:rPr>
                                  <w:color w:val="000000"/>
                                  <w:szCs w:val="24"/>
                                  <w:lang w:eastAsia="lt-LT"/>
                                </w:rPr>
                                <w:t>33.1.10</w:t>
                              </w:r>
                            </w:sdtContent>
                          </w:sdt>
                          <w:r>
                            <w:rPr>
                              <w:color w:val="000000"/>
                              <w:szCs w:val="24"/>
                              <w:lang w:eastAsia="lt-LT"/>
                            </w:rPr>
                            <w:t xml:space="preserve">. tarptautinis folkloro festivalis „Parbėg laivelis“; </w:t>
                          </w:r>
                        </w:p>
                      </w:sdtContent>
                    </w:sdt>
                  </w:sdtContent>
                </w:sdt>
                <w:sdt>
                  <w:sdtPr>
                    <w:alias w:val="33.2 pp."/>
                    <w:tag w:val="part_ebc3cb2342224c22b51caf22ab878242"/>
                    <w:lock w:val="sdtLocked"/>
                    <w:richText/>
                  </w:sdtPr>
                  <w:sdtContent>
                    <w:p w14:paraId="37FBF2E5"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ebc3cb2342224c22b51caf22ab878242"/>
                          <w:lock w:val="sdtLocked"/>
                          <w:richText/>
                        </w:sdtPr>
                        <w:sdtContent>
                          <w:r>
                            <w:rPr>
                              <w:color w:val="000000"/>
                              <w:szCs w:val="24"/>
                              <w:lang w:eastAsia="lt-LT"/>
                            </w:rPr>
                            <w:t>33.2</w:t>
                          </w:r>
                        </w:sdtContent>
                      </w:sdt>
                      <w:r>
                        <w:rPr>
                          <w:color w:val="000000"/>
                          <w:szCs w:val="24"/>
                          <w:lang w:eastAsia="lt-LT"/>
                        </w:rPr>
                        <w:t>. paraiška teikiama tradicinių amatų edukaciniams užsiėmimams organizuoti – po 1 balą už kiekvieną edukacinį užsiėmimą (už atitiktį šiam kriterijui daugiausiai gali būti skiriama 10 balų);</w:t>
                      </w:r>
                    </w:p>
                  </w:sdtContent>
                </w:sdt>
                <w:sdt>
                  <w:sdtPr>
                    <w:alias w:val="33.3 pp."/>
                    <w:tag w:val="part_ddd2630317c0435f8698b4cc6973c7d1"/>
                    <w:lock w:val="sdtLocked"/>
                    <w:richText/>
                  </w:sdtPr>
                  <w:sdtContent>
                    <w:p w14:paraId="57A20E70"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ddd2630317c0435f8698b4cc6973c7d1"/>
                          <w:lock w:val="sdtLocked"/>
                          <w:richText/>
                        </w:sdtPr>
                        <w:sdtContent>
                          <w:r>
                            <w:rPr>
                              <w:color w:val="000000"/>
                              <w:szCs w:val="24"/>
                              <w:lang w:eastAsia="lt-LT"/>
                            </w:rPr>
                            <w:t>33.3</w:t>
                          </w:r>
                        </w:sdtContent>
                      </w:sdt>
                      <w:r>
                        <w:rPr>
                          <w:color w:val="000000"/>
                          <w:szCs w:val="24"/>
                          <w:lang w:eastAsia="lt-LT"/>
                        </w:rPr>
                        <w:t xml:space="preserve">. paraiška teikiama tradicinio amato demonstravimui renginio metu pagal taisyklių  11.2.6 papunktį – po 1 balą už kiekvieną renginį, kuriame demonstruojamas amatas (už atitiktį šiam kriterijui, daugiausiai gali būti skiriama  – 5 balai);</w:t>
                      </w:r>
                    </w:p>
                  </w:sdtContent>
                </w:sdt>
                <w:sdt>
                  <w:sdtPr>
                    <w:alias w:val="33.4 pp."/>
                    <w:tag w:val="part_1e8c9aebc50443b9847c17525cfb764c"/>
                    <w:lock w:val="sdtLocked"/>
                    <w:richText/>
                  </w:sdtPr>
                  <w:sdtContent>
                    <w:p w14:paraId="7F10B0F5" w14:textId="33F274D6">
                      <w:pPr>
                        <w:widowControl w:val="0"/>
                        <w:suppressAutoHyphens/>
                        <w:overflowPunct w:val="0"/>
                        <w:spacing w:line="360" w:lineRule="auto"/>
                        <w:ind w:firstLine="720"/>
                        <w:jc w:val="both"/>
                        <w:textAlignment w:val="baseline"/>
                        <w:rPr>
                          <w:color w:val="000000"/>
                          <w:szCs w:val="24"/>
                          <w:lang w:eastAsia="lt-LT"/>
                        </w:rPr>
                      </w:pPr>
                      <w:sdt>
                        <w:sdtPr>
                          <w:alias w:val="Numeris"/>
                          <w:tag w:val="nr_1e8c9aebc50443b9847c17525cfb764c"/>
                          <w:lock w:val="sdtLocked"/>
                          <w:richText/>
                        </w:sdtPr>
                        <w:sdtContent>
                          <w:r>
                            <w:rPr>
                              <w:color w:val="000000"/>
                              <w:szCs w:val="24"/>
                              <w:lang w:eastAsia="lt-LT"/>
                            </w:rPr>
                            <w:t>33.4</w:t>
                          </w:r>
                        </w:sdtContent>
                      </w:sdt>
                      <w:r>
                        <w:rPr>
                          <w:color w:val="000000"/>
                          <w:szCs w:val="24"/>
                          <w:lang w:eastAsia="lt-LT"/>
                        </w:rPr>
                        <w:t>. paraiška teikiama tautinio paveldo produktų populiarinimo leidinių leidybai pagal taisyklių 11.3 papunktį – 2 balai;</w:t>
                      </w:r>
                    </w:p>
                  </w:sdtContent>
                </w:sdt>
                <w:sdt>
                  <w:sdtPr>
                    <w:alias w:val="33.5 pp."/>
                    <w:tag w:val="part_2385f0a4e3d448d7a4b6369c1017c176"/>
                    <w:lock w:val="sdtLocked"/>
                    <w:richText/>
                  </w:sdtPr>
                  <w:sdtContent>
                    <w:p w14:paraId="3E6191C7"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2385f0a4e3d448d7a4b6369c1017c176"/>
                          <w:lock w:val="sdtLocked"/>
                          <w:richText/>
                        </w:sdtPr>
                        <w:sdtContent>
                          <w:r>
                            <w:rPr>
                              <w:color w:val="000000"/>
                              <w:szCs w:val="24"/>
                              <w:lang w:eastAsia="lt-LT"/>
                            </w:rPr>
                            <w:t>33.5</w:t>
                          </w:r>
                        </w:sdtContent>
                      </w:sdt>
                      <w:r>
                        <w:rPr>
                          <w:color w:val="000000"/>
                          <w:szCs w:val="24"/>
                          <w:lang w:eastAsia="lt-LT"/>
                        </w:rPr>
                        <w:t>. paraiška teikiama populiarinti ne maisto ir gėrimų tautinio paveldo produktus – 2 balai (jei pareiškėjas yra asociacija arba tradicinių amatų centras, reikalavimą turi atitikti visi galutiniai pagalbos gavėjai);</w:t>
                      </w:r>
                    </w:p>
                  </w:sdtContent>
                </w:sdt>
                <w:sdt>
                  <w:sdtPr>
                    <w:alias w:val="33.6 pp."/>
                    <w:tag w:val="part_934c7403843f447883ae45b773ef9e79"/>
                    <w:lock w:val="sdtLocked"/>
                    <w:richText/>
                  </w:sdtPr>
                  <w:sdtContent>
                    <w:p w14:paraId="402252FD"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934c7403843f447883ae45b773ef9e79"/>
                          <w:lock w:val="sdtLocked"/>
                          <w:richText/>
                        </w:sdtPr>
                        <w:sdtContent>
                          <w:r>
                            <w:rPr>
                              <w:color w:val="000000"/>
                              <w:szCs w:val="24"/>
                              <w:lang w:eastAsia="lt-LT"/>
                            </w:rPr>
                            <w:t>33.6</w:t>
                          </w:r>
                        </w:sdtContent>
                      </w:sdt>
                      <w:r>
                        <w:rPr>
                          <w:color w:val="000000"/>
                          <w:szCs w:val="24"/>
                          <w:lang w:eastAsia="lt-LT"/>
                        </w:rPr>
                        <w:t>. paraiškos projekte numatoma daugiau prisidėti nuosavomis lėšomis (paraiškoje nurodomas ne mažiau kaip 10 proc. punktais mažesnis nei galimas maksimalus pagalbos dydis, nurodytas 16.2 p.) – 2 balai;</w:t>
                      </w:r>
                    </w:p>
                  </w:sdtContent>
                </w:sdt>
                <w:sdt>
                  <w:sdtPr>
                    <w:alias w:val="33.7 pp."/>
                    <w:tag w:val="part_9c3f08e000df408a97e97b46f31c0c0b"/>
                    <w:lock w:val="sdtLocked"/>
                    <w:richText/>
                  </w:sdtPr>
                  <w:sdtContent>
                    <w:p w14:paraId="7FD689A0"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9c3f08e000df408a97e97b46f31c0c0b"/>
                          <w:lock w:val="sdtLocked"/>
                          <w:richText/>
                        </w:sdtPr>
                        <w:sdtContent>
                          <w:r>
                            <w:rPr>
                              <w:color w:val="000000"/>
                              <w:szCs w:val="24"/>
                              <w:lang w:eastAsia="lt-LT"/>
                            </w:rPr>
                            <w:t>33.7</w:t>
                          </w:r>
                        </w:sdtContent>
                      </w:sdt>
                      <w:r>
                        <w:rPr>
                          <w:color w:val="000000"/>
                          <w:szCs w:val="24"/>
                          <w:lang w:eastAsia="lt-LT"/>
                        </w:rPr>
                        <w:t>. pagalba pagal šias taisykles būtų gaunama pirmą kartą – 2 balai (balai nesuteikiami, jei pareiškėjas yra asociacija arba tradicinių amatų centras).</w:t>
                      </w:r>
                    </w:p>
                  </w:sdtContent>
                </w:sdt>
              </w:sdtContent>
            </w:sdt>
            <w:sdt>
              <w:sdtPr>
                <w:alias w:val="34 p."/>
                <w:tag w:val="part_28106c137ecc4cc1b139c3bbc1ef6ea4"/>
                <w:lock w:val="sdtLocked"/>
                <w:richText/>
              </w:sdtPr>
              <w:sdtContent>
                <w:p w14:paraId="646AB788" w14:textId="77777777">
                  <w:pPr>
                    <w:spacing w:line="360" w:lineRule="auto"/>
                    <w:ind w:firstLine="720"/>
                    <w:jc w:val="both"/>
                    <w:rPr>
                      <w:rFonts w:ascii="Calibri" w:hAnsi="Calibri" w:cs="Calibri"/>
                      <w:sz w:val="20"/>
                      <w:lang w:eastAsia="lt-LT"/>
                    </w:rPr>
                  </w:pPr>
                  <w:sdt>
                    <w:sdtPr>
                      <w:alias w:val="Numeris"/>
                      <w:tag w:val="nr_28106c137ecc4cc1b139c3bbc1ef6ea4"/>
                      <w:lock w:val="sdtLocked"/>
                      <w:richText/>
                    </w:sdtPr>
                    <w:sdtContent>
                      <w:r>
                        <w:rPr>
                          <w:color w:val="000000"/>
                          <w:szCs w:val="24"/>
                          <w:lang w:eastAsia="lt-LT"/>
                        </w:rPr>
                        <w:t>34</w:t>
                      </w:r>
                    </w:sdtContent>
                  </w:sdt>
                  <w:r>
                    <w:rPr>
                      <w:color w:val="000000"/>
                      <w:szCs w:val="24"/>
                      <w:lang w:eastAsia="lt-LT"/>
                    </w:rPr>
                    <w:t>. Jei sureitingavus paraiškas pagal surinktų atrankos balų skaičių kvietimui skirtų lėšų nepakanka vienodą atrankos balų skaičių surinkusioms paraiškoms finansuoti, pagalbos suma šioms paraiškoms mažinama proporcingai trūkstamų lėšų kiekiui, o paraiškos, kurios surinko mažesnį atrankos balų skaičių, atmetamos ir finansavimas joms neskiriamas. Jei paraiškoms pritaikius pirmumo kriterijus lieka nepaskirstytų kvietimui skirtų lėšų, bet jų nepakanka visoms paraiškoms, neatitikusioms pirmumo kriterijų, finansuoti, pagalbos suma šioms likusioms paraiškoms mažinama proporcingai trūkstamų lėšų kiekiui.</w:t>
                  </w:r>
                </w:p>
              </w:sdtContent>
            </w:sdt>
            <w:sdt>
              <w:sdtPr>
                <w:alias w:val="35 p."/>
                <w:tag w:val="part_55a72df990134228b31af050021a9b41"/>
                <w:lock w:val="sdtLocked"/>
                <w:richText/>
              </w:sdtPr>
              <w:sdtContent>
                <w:p w14:paraId="6D0FD8B6"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55a72df990134228b31af050021a9b41"/>
                      <w:lock w:val="sdtLocked"/>
                      <w:richText/>
                    </w:sdtPr>
                    <w:sdtContent>
                      <w:r>
                        <w:rPr>
                          <w:color w:val="000000"/>
                          <w:szCs w:val="24"/>
                          <w:lang w:eastAsia="lt-LT"/>
                        </w:rPr>
                        <w:t>35</w:t>
                      </w:r>
                    </w:sdtContent>
                  </w:sdt>
                  <w:r>
                    <w:rPr>
                      <w:color w:val="000000"/>
                      <w:szCs w:val="24"/>
                      <w:lang w:eastAsia="lt-LT"/>
                    </w:rPr>
                    <w:t>. Jeigu paraiškoje ar prie jos pridedamuose dokumentuose nėra duomenų ir (arba) informacijos, iš kurių būtų galima nustatyti pareiškėjo atitiktį pirmumo kriterijui, laikoma, kad pareiškėjas jo neatitinka. Paklausimai pareiškėjui dėl atitikties pirmumo kriterijams nesiunčiami.</w:t>
                  </w:r>
                </w:p>
              </w:sdtContent>
            </w:sdt>
            <w:sdt>
              <w:sdtPr>
                <w:alias w:val="36 p."/>
                <w:tag w:val="part_361b78774776487c8e0877d8133a8515"/>
                <w:lock w:val="sdtLocked"/>
                <w:richText/>
              </w:sdtPr>
              <w:sdtContent>
                <w:p w14:paraId="13F9A512"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361b78774776487c8e0877d8133a8515"/>
                      <w:lock w:val="sdtLocked"/>
                      <w:richText/>
                    </w:sdtPr>
                    <w:sdtContent>
                      <w:r>
                        <w:rPr>
                          <w:color w:val="000000"/>
                          <w:szCs w:val="24"/>
                          <w:lang w:eastAsia="lt-LT"/>
                        </w:rPr>
                        <w:t>36</w:t>
                      </w:r>
                    </w:sdtContent>
                  </w:sdt>
                  <w:r>
                    <w:rPr>
                      <w:color w:val="000000"/>
                      <w:szCs w:val="24"/>
                      <w:lang w:eastAsia="lt-LT"/>
                    </w:rPr>
                    <w:t>. Pateiktų paraiškų vertinimą atlieka Agentūra. Paraiškos įvertinamos per 40 darbo dienų nuo paraiškų priėmimo termino nurodyto kvietime pabaigos. Į paraiškos įvertinimo terminą neįskaičiuojamas paklausimų dėl papildomos informacijos ir (arba) dokumentų pateikimo terminas.</w:t>
                  </w:r>
                </w:p>
              </w:sdtContent>
            </w:sdt>
            <w:sdt>
              <w:sdtPr>
                <w:alias w:val="37 p."/>
                <w:tag w:val="part_c5094023034e41a4ae226620bd9fcc12"/>
                <w:lock w:val="sdtLocked"/>
                <w:richText/>
              </w:sdtPr>
              <w:sdtContent>
                <w:p w14:paraId="6B3E6D31"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c5094023034e41a4ae226620bd9fcc12"/>
                      <w:lock w:val="sdtLocked"/>
                      <w:richText/>
                    </w:sdtPr>
                    <w:sdtContent>
                      <w:r>
                        <w:rPr>
                          <w:color w:val="000000"/>
                          <w:szCs w:val="24"/>
                          <w:lang w:eastAsia="lt-LT"/>
                        </w:rPr>
                        <w:t>37</w:t>
                      </w:r>
                    </w:sdtContent>
                  </w:sdt>
                  <w:r>
                    <w:rPr>
                      <w:color w:val="000000"/>
                      <w:szCs w:val="24"/>
                      <w:lang w:eastAsia="lt-LT"/>
                    </w:rPr>
                    <w:t>. Agentūra, gavusi taisyklių 28 punkte nurodytus dokumentus, juos patikrina ir, jei pateikti dokumentai neatitinka taisyklių 29 punkte nustatytų reikalavimų arba paraiškai tinkamai įvertinti pagal taisyklių 31 punkte nurodytus kriterijus reikalingi papildomi dokumentai ar informacija, informuoja pareiškėją el. paštu apie rastus trūkumus, kuriems pašalinti nustato ne trumpesnį kaip 5 darbo dienų terminą. Jei per nustatytą terminą pareiškėjas nepašalina rastų trūkumų ir jei trūksta duomenų paraiškos vertinimui atlikti, paraiška atmetama. Gavus pareiškėjo atsakymą į paklausimą, paraiškos vertinimas negali trukti ilgiau kaip 10 darbo dienų.</w:t>
                  </w:r>
                </w:p>
              </w:sdtContent>
            </w:sdt>
            <w:sdt>
              <w:sdtPr>
                <w:alias w:val="38 p."/>
                <w:tag w:val="part_33ee7a727abc4d7fa68f4ab5f034145b"/>
                <w:lock w:val="sdtLocked"/>
                <w:richText/>
              </w:sdtPr>
              <w:sdtContent>
                <w:p w14:paraId="54EFDFD8"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33ee7a727abc4d7fa68f4ab5f034145b"/>
                      <w:lock w:val="sdtLocked"/>
                      <w:richText/>
                    </w:sdtPr>
                    <w:sdtContent>
                      <w:r>
                        <w:rPr>
                          <w:color w:val="000000"/>
                          <w:szCs w:val="24"/>
                          <w:lang w:eastAsia="lt-LT"/>
                        </w:rPr>
                        <w:t>38</w:t>
                      </w:r>
                    </w:sdtContent>
                  </w:sdt>
                  <w:r>
                    <w:rPr>
                      <w:color w:val="000000"/>
                      <w:szCs w:val="24"/>
                      <w:lang w:eastAsia="lt-LT"/>
                    </w:rPr>
                    <w:t xml:space="preserve">. Agentūra, vertindama paraiškas, vadovaudamasi Registro nuostatais ir Duomenų tvarkymo taisyklėmis, patikrina, ar pareiškėjui (jei pareiškėjas yra asociacija ar tradicinių amatų centras, kiekvieno galutinio pagalbos gavėjo, kuris gautų pagalbą) (įskaitant su juo Reglamento </w:t>
                  </w:r>
                  <w:fldSimple w:instr="HYPERLINK http://eur-lex.europa.eu/legal-content/LIT/TXT/?uri=CELEX:32013R1407&amp;locale=lt \t _blank">
                    <w:r>
                      <w:rPr>
                        <w:color w:val="0000FF" w:themeColor="hyperlink"/>
                        <w:szCs w:val="24"/>
                        <w:lang w:eastAsia="lt-LT"/>
                        <w:u w:val="single"/>
                      </w:rPr>
                      <w:t>(ES) Nr. 1407/2013</w:t>
                    </w:r>
                  </w:fldSimple>
                  <w:r>
                    <w:rPr>
                      <w:color w:val="000000"/>
                      <w:szCs w:val="24"/>
                      <w:lang w:eastAsia="lt-LT"/>
                    </w:rPr>
                    <w:t xml:space="preserve"> 2 straipsnio 2 dalyje nurodytais ryšiais susijusius ūkio subjektus)  suteikus numatomą skirti pagalbos dydį, </w:t>
                  </w:r>
                  <w:r>
                    <w:rPr>
                      <w:bCs/>
                      <w:szCs w:val="24"/>
                    </w:rPr>
                    <w:t xml:space="preserve">nebus viršyta </w:t>
                  </w:r>
                  <w:r>
                    <w:rPr>
                      <w:color w:val="000000"/>
                      <w:szCs w:val="24"/>
                      <w:lang w:eastAsia="lt-LT"/>
                    </w:rPr>
                    <w:t>didžiausia leidžiama nereikšmingos (</w:t>
                  </w:r>
                  <w:r>
                    <w:rPr>
                      <w:i/>
                      <w:iCs/>
                      <w:color w:val="000000"/>
                      <w:szCs w:val="24"/>
                      <w:lang w:eastAsia="lt-LT"/>
                    </w:rPr>
                    <w:t>de minimis</w:t>
                  </w:r>
                  <w:r>
                    <w:rPr>
                      <w:color w:val="000000"/>
                      <w:szCs w:val="24"/>
                      <w:lang w:eastAsia="lt-LT"/>
                    </w:rPr>
                    <w:t xml:space="preserve">) pagalbos suma. </w:t>
                  </w:r>
                  <w:r>
                    <w:rPr>
                      <w:color w:val="000000"/>
                    </w:rPr>
                    <w:t xml:space="preserve">Jei pareiškėjui </w:t>
                  </w:r>
                  <w:r>
                    <w:rPr>
                      <w:color w:val="000000"/>
                      <w:szCs w:val="24"/>
                      <w:lang w:eastAsia="lt-LT"/>
                    </w:rPr>
                    <w:t xml:space="preserve">ar galutiniam pagalbos gavėjui </w:t>
                  </w:r>
                  <w:r>
                    <w:rPr>
                      <w:color w:val="000000"/>
                    </w:rPr>
                    <w:t>suteikus apskaičiuotą nereikšmingos (</w:t>
                  </w:r>
                  <w:r>
                    <w:rPr>
                      <w:i/>
                      <w:iCs/>
                      <w:color w:val="000000"/>
                    </w:rPr>
                    <w:t>de minimis</w:t>
                  </w:r>
                  <w:r>
                    <w:rPr>
                      <w:color w:val="000000"/>
                    </w:rPr>
                    <w:t>) pagalbos sumą būtų viršyta taisyklių 5.1 papunktyje nurodyta nereikšminga (</w:t>
                  </w:r>
                  <w:r>
                    <w:rPr>
                      <w:i/>
                      <w:iCs/>
                      <w:color w:val="000000"/>
                    </w:rPr>
                    <w:t>de minimis</w:t>
                  </w:r>
                  <w:r>
                    <w:rPr>
                      <w:color w:val="000000"/>
                    </w:rPr>
                    <w:t xml:space="preserve">) pagalbos suma, priimant sprendimą dėl pagalbos suteikimo apskaičiuota pagalbos suma sumažinama tiek, kad </w:t>
                  </w:r>
                  <w:r>
                    <w:t>pirmiau nurodyta riba nebūtų viršyta</w:t>
                  </w:r>
                  <w:r>
                    <w:rPr>
                      <w:color w:val="000000"/>
                      <w:szCs w:val="24"/>
                      <w:lang w:eastAsia="lt-LT"/>
                    </w:rPr>
                    <w:t>.</w:t>
                  </w:r>
                </w:p>
              </w:sdtContent>
            </w:sdt>
            <w:sdt>
              <w:sdtPr>
                <w:alias w:val="39 p."/>
                <w:tag w:val="part_0cfcdf4370074e56a14dcb9be7675212"/>
                <w:lock w:val="sdtLocked"/>
                <w:richText/>
              </w:sdtPr>
              <w:sdtContent>
                <w:p w14:paraId="116B42CE" w14:textId="54A7A162">
                  <w:pPr>
                    <w:widowControl w:val="0"/>
                    <w:suppressAutoHyphens/>
                    <w:overflowPunct w:val="0"/>
                    <w:spacing w:line="360" w:lineRule="auto"/>
                    <w:ind w:firstLine="720"/>
                    <w:jc w:val="both"/>
                    <w:textAlignment w:val="baseline"/>
                    <w:rPr>
                      <w:color w:val="000000"/>
                      <w:szCs w:val="24"/>
                      <w:lang w:eastAsia="lt-LT"/>
                    </w:rPr>
                  </w:pPr>
                  <w:sdt>
                    <w:sdtPr>
                      <w:alias w:val="Numeris"/>
                      <w:tag w:val="nr_0cfcdf4370074e56a14dcb9be7675212"/>
                      <w:lock w:val="sdtLocked"/>
                      <w:richText/>
                    </w:sdtPr>
                    <w:sdtContent>
                      <w:r>
                        <w:rPr>
                          <w:color w:val="000000"/>
                          <w:szCs w:val="24"/>
                          <w:lang w:eastAsia="lt-LT"/>
                        </w:rPr>
                        <w:t>39</w:t>
                      </w:r>
                    </w:sdtContent>
                  </w:sdt>
                  <w:r>
                    <w:rPr>
                      <w:color w:val="000000"/>
                      <w:szCs w:val="24"/>
                      <w:lang w:eastAsia="lt-LT"/>
                    </w:rPr>
                    <w:t>. Agentūra, įvertinusi paraiškas pagal šių taisyklių 31 punkte nustatytus kriterijus bei duomenų patikslinimo dokumentus, jei buvo siųstas paklausimas, ir pagal 32 punkte nustatytus pirmumo kriterijus bei 33 punkte nustatytus atrankos balus, jeigu gautose paraiškose bendras prašomos pagalbos sumos poreikis didesnis nei paskelbtam kvietimui teikti paraiškas skirta bendra pagalbos suma, parengia paraiškų vertinimo rezultatų suvestinę.</w:t>
                  </w:r>
                </w:p>
              </w:sdtContent>
            </w:sdt>
            <w:sdt>
              <w:sdtPr>
                <w:alias w:val="40 p."/>
                <w:tag w:val="part_820c3fb372ea42d8a7c3bc534ef68189"/>
                <w:lock w:val="sdtLocked"/>
                <w:richText/>
              </w:sdtPr>
              <w:sdtContent>
                <w:p w14:paraId="5AEE8A70" w14:textId="3DE71BF2">
                  <w:pPr>
                    <w:widowControl w:val="0"/>
                    <w:suppressAutoHyphens/>
                    <w:overflowPunct w:val="0"/>
                    <w:spacing w:line="360" w:lineRule="auto"/>
                    <w:ind w:firstLine="720"/>
                    <w:jc w:val="both"/>
                    <w:textAlignment w:val="baseline"/>
                    <w:rPr>
                      <w:color w:val="000000"/>
                      <w:szCs w:val="24"/>
                      <w:lang w:eastAsia="lt-LT"/>
                    </w:rPr>
                  </w:pPr>
                  <w:sdt>
                    <w:sdtPr>
                      <w:alias w:val="Numeris"/>
                      <w:tag w:val="nr_820c3fb372ea42d8a7c3bc534ef68189"/>
                      <w:lock w:val="sdtLocked"/>
                      <w:richText/>
                    </w:sdtPr>
                    <w:sdtContent>
                      <w:r>
                        <w:rPr>
                          <w:color w:val="000000"/>
                          <w:szCs w:val="24"/>
                          <w:lang w:eastAsia="lt-LT"/>
                        </w:rPr>
                        <w:t>40</w:t>
                      </w:r>
                    </w:sdtContent>
                  </w:sdt>
                  <w:r>
                    <w:rPr>
                      <w:color w:val="000000"/>
                      <w:szCs w:val="24"/>
                      <w:lang w:eastAsia="lt-LT"/>
                    </w:rPr>
                    <w:t>. Agentūra, įvertinusi paraiškų vertinimo rezultatų suvestinę ir atsižvelgdama į tautinio paveldo išsaugojimo priemonėms finansuoti einamaisiais metais skirtas lėšas, taip pat, jei gautose paraiškose numatytos pagalbos sumos poreikis didesnis nei kvietimui teikti paraiškas skirtų lėšų suma, į pareiškėjams taikomus pirmumo kriterijus ir atrankos balus, nustatytus taisyklių 32 ir 33 punktuose, gali skirti visą paraiškoje nurodytą sumą, mažesnę, nei nurodyta paraiškoje, sumą arba motyvuojant siūlyti visai pagalbos neskirti. Tais atvejais, kai prašomą sumą projektui įgyvendinti siūloma sumažinti, Agentūra per 3 darbo dienas informuoja pareiškėją el. paštu, pasiūlydama pateikti patikslintą paraišką. Patikslinta paraiška pakartotinai teikiama pasirašyta elektroniniu būdu ne ilgiau kaip per 5 darbo dienas nuo pasiūlymo pateikti patikslintą paraišką įteikimo dienos. Per nustatytą terminą pareiškėjui nepateikus patikslintos paraiškos, priimamas sprendimas pagalbos neskirti.</w:t>
                  </w:r>
                </w:p>
              </w:sdtContent>
            </w:sdt>
            <w:sdt>
              <w:sdtPr>
                <w:alias w:val="41 p."/>
                <w:tag w:val="part_2dab6bfe35a441ad8499ecf78ffd3296"/>
                <w:lock w:val="sdtLocked"/>
                <w:richText/>
              </w:sdtPr>
              <w:sdtContent>
                <w:p w14:paraId="0C41CDF9"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2dab6bfe35a441ad8499ecf78ffd3296"/>
                      <w:lock w:val="sdtLocked"/>
                      <w:richText/>
                    </w:sdtPr>
                    <w:sdtContent>
                      <w:r>
                        <w:rPr>
                          <w:color w:val="000000"/>
                          <w:szCs w:val="24"/>
                          <w:lang w:eastAsia="lt-LT"/>
                        </w:rPr>
                        <w:t>41</w:t>
                      </w:r>
                    </w:sdtContent>
                  </w:sdt>
                  <w:r>
                    <w:rPr>
                      <w:color w:val="000000"/>
                      <w:szCs w:val="24"/>
                      <w:lang w:eastAsia="lt-LT"/>
                    </w:rPr>
                    <w:t>. Galutinį sprendimą dėl lėšų skyrimo arba neskyrimo pagal pateiktas paraiškas priima Agentūra. Agentūros sprendimas patvirtinamas Agentūros direktoriaus nustatyta tvarka iki einamųjų metų spalio 1 d. Agentūrai priėmus sprendimą dėl lėšų skyrimo pareiškėjui taisyklių 10.2, 10.3 ir (ar) 10.4 papunkčiuose nurodytoms veikloms finansuoti, pareiškėjas tampa projekto vykdytoju.</w:t>
                  </w:r>
                </w:p>
              </w:sdtContent>
            </w:sdt>
            <w:sdt>
              <w:sdtPr>
                <w:alias w:val="42 p."/>
                <w:tag w:val="part_1c449cede56f45179ce7e385dfdc63ec"/>
                <w:lock w:val="sdtLocked"/>
                <w:richText/>
              </w:sdtPr>
              <w:sdtContent>
                <w:p w14:paraId="5387706B"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1c449cede56f45179ce7e385dfdc63ec"/>
                      <w:lock w:val="sdtLocked"/>
                      <w:richText/>
                    </w:sdtPr>
                    <w:sdtContent>
                      <w:r>
                        <w:rPr>
                          <w:color w:val="000000"/>
                          <w:szCs w:val="24"/>
                          <w:lang w:eastAsia="lt-LT"/>
                        </w:rPr>
                        <w:t>42</w:t>
                      </w:r>
                    </w:sdtContent>
                  </w:sdt>
                  <w:r>
                    <w:rPr>
                      <w:color w:val="000000"/>
                      <w:szCs w:val="24"/>
                      <w:lang w:eastAsia="lt-LT"/>
                    </w:rPr>
                    <w:t xml:space="preserve">. Agentūra informuoja projekto vykdytojus el. paštu, kad jiems suteikiama pagalba, nurodant pagalbos dydį. Jei projekto vykdytojas yra asociacija ar </w:t>
                  </w:r>
                  <w:r>
                    <w:rPr>
                      <w:color w:val="000000"/>
                      <w:lang w:eastAsia="lt-LT"/>
                    </w:rPr>
                    <w:t>tradicinių amatų centras</w:t>
                  </w:r>
                  <w:r>
                    <w:rPr>
                      <w:color w:val="000000"/>
                      <w:szCs w:val="24"/>
                      <w:lang w:eastAsia="lt-LT"/>
                    </w:rPr>
                    <w:t>, projekto vykdytojas informuoja savo galutinius pagalbos gavėjus apie jiems suteiktą pagalbą.</w:t>
                  </w:r>
                </w:p>
              </w:sdtContent>
            </w:sdt>
            <w:sdt>
              <w:sdtPr>
                <w:alias w:val="43 p."/>
                <w:tag w:val="part_757b8ce73456456fa7360a98e8cfda7a"/>
                <w:lock w:val="sdtLocked"/>
                <w:richText/>
              </w:sdtPr>
              <w:sdtContent>
                <w:p w14:paraId="0DF0A419"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757b8ce73456456fa7360a98e8cfda7a"/>
                      <w:lock w:val="sdtLocked"/>
                      <w:richText/>
                    </w:sdtPr>
                    <w:sdtContent>
                      <w:r>
                        <w:rPr>
                          <w:color w:val="000000"/>
                          <w:szCs w:val="24"/>
                          <w:lang w:eastAsia="lt-LT"/>
                        </w:rPr>
                        <w:t>43</w:t>
                      </w:r>
                    </w:sdtContent>
                  </w:sdt>
                  <w:r>
                    <w:rPr>
                      <w:color w:val="000000"/>
                      <w:szCs w:val="24"/>
                      <w:lang w:eastAsia="lt-LT"/>
                    </w:rPr>
                    <w:t>. Agentūra per 5 darbo dienas nuo galutinio sprendimo neskirti lėšų priėmimo informuoja pareiškėjus el. paštu, kuriems neskirtas finansavimas, apie priimtą sprendimą.</w:t>
                  </w:r>
                </w:p>
              </w:sdtContent>
            </w:sdt>
            <w:sdt>
              <w:sdtPr>
                <w:alias w:val="44 p."/>
                <w:tag w:val="part_dea40e3baebd42c28b3c5762edc62f89"/>
                <w:lock w:val="sdtLocked"/>
                <w:richText/>
              </w:sdtPr>
              <w:sdtContent>
                <w:p w14:paraId="63D403C9" w14:textId="77777777">
                  <w:pPr>
                    <w:widowControl w:val="0"/>
                    <w:suppressAutoHyphens/>
                    <w:overflowPunct w:val="0"/>
                    <w:spacing w:line="360" w:lineRule="auto"/>
                    <w:ind w:firstLine="720"/>
                    <w:jc w:val="both"/>
                    <w:textAlignment w:val="baseline"/>
                    <w:rPr>
                      <w:b/>
                      <w:bCs/>
                      <w:color w:val="000000"/>
                      <w:szCs w:val="24"/>
                      <w:lang w:eastAsia="lt-LT"/>
                    </w:rPr>
                  </w:pPr>
                  <w:sdt>
                    <w:sdtPr>
                      <w:alias w:val="Numeris"/>
                      <w:tag w:val="nr_dea40e3baebd42c28b3c5762edc62f89"/>
                      <w:lock w:val="sdtLocked"/>
                      <w:richText/>
                    </w:sdtPr>
                    <w:sdtContent>
                      <w:r>
                        <w:rPr>
                          <w:bCs/>
                          <w:color w:val="000000"/>
                          <w:szCs w:val="24"/>
                          <w:lang w:eastAsia="lt-LT"/>
                        </w:rPr>
                        <w:t>44</w:t>
                      </w:r>
                    </w:sdtContent>
                  </w:sdt>
                  <w:r>
                    <w:rPr>
                      <w:bCs/>
                      <w:color w:val="000000"/>
                      <w:szCs w:val="24"/>
                      <w:lang w:eastAsia="lt-LT"/>
                    </w:rPr>
                    <w:t xml:space="preserve">. </w:t>
                  </w:r>
                  <w:r>
                    <w:rPr>
                      <w:color w:val="000000"/>
                      <w:szCs w:val="24"/>
                      <w:lang w:eastAsia="lt-LT"/>
                    </w:rPr>
                    <w:t xml:space="preserve">Agentūra, priėmusi sprendimą dėl lėšų skyrimo, vadovaudamasi Registro nuostatais, pateikia Registrui informaciją apie </w:t>
                  </w:r>
                  <w:r>
                    <w:rPr>
                      <w:szCs w:val="24"/>
                      <w:lang w:eastAsia="lt-LT"/>
                    </w:rPr>
                    <w:t xml:space="preserve">galutiniams pagalbos gavėjams </w:t>
                  </w:r>
                  <w:r>
                    <w:rPr>
                      <w:color w:val="000000"/>
                      <w:szCs w:val="24"/>
                      <w:lang w:eastAsia="lt-LT"/>
                    </w:rPr>
                    <w:t>suteiktą pagalbą.</w:t>
                  </w:r>
                </w:p>
              </w:sdtContent>
            </w:sdt>
            <w:sdt>
              <w:sdtPr>
                <w:alias w:val="45 p."/>
                <w:tag w:val="part_b051a4dd90c547c7b9e147e174b4fd92"/>
                <w:lock w:val="sdtLocked"/>
                <w:richText/>
              </w:sdtPr>
              <w:sdtContent>
                <w:p w14:paraId="57A21268" w14:textId="77777777">
                  <w:pPr>
                    <w:widowControl w:val="0"/>
                    <w:suppressAutoHyphens/>
                    <w:overflowPunct w:val="0"/>
                    <w:spacing w:line="360" w:lineRule="auto"/>
                    <w:ind w:firstLine="720"/>
                    <w:jc w:val="both"/>
                    <w:textAlignment w:val="baseline"/>
                    <w:rPr>
                      <w:color w:val="000000"/>
                      <w:spacing w:val="-4"/>
                      <w:szCs w:val="24"/>
                      <w:lang w:eastAsia="lt-LT"/>
                    </w:rPr>
                  </w:pPr>
                  <w:sdt>
                    <w:sdtPr>
                      <w:alias w:val="Numeris"/>
                      <w:tag w:val="nr_b051a4dd90c547c7b9e147e174b4fd92"/>
                      <w:lock w:val="sdtLocked"/>
                      <w:richText/>
                    </w:sdtPr>
                    <w:sdtContent>
                      <w:r>
                        <w:rPr>
                          <w:color w:val="000000"/>
                          <w:spacing w:val="-4"/>
                          <w:szCs w:val="24"/>
                          <w:lang w:eastAsia="lt-LT"/>
                        </w:rPr>
                        <w:t>45</w:t>
                      </w:r>
                    </w:sdtContent>
                  </w:sdt>
                  <w:r>
                    <w:rPr>
                      <w:color w:val="000000"/>
                      <w:spacing w:val="-4"/>
                      <w:szCs w:val="24"/>
                      <w:lang w:eastAsia="lt-LT"/>
                    </w:rPr>
                    <w:t>. Agentūra, išmokėdama lėšas pagalbos gavėjams, taiko išlaidų kompensavimo su avanso mokėjimu būdą.</w:t>
                  </w:r>
                </w:p>
              </w:sdtContent>
            </w:sdt>
            <w:sdt>
              <w:sdtPr>
                <w:alias w:val="46 p."/>
                <w:tag w:val="part_86948365dc734bb196eb6e9735e957d8"/>
                <w:lock w:val="sdtLocked"/>
                <w:richText/>
              </w:sdtPr>
              <w:sdtContent>
                <w:p w14:paraId="7FA8F831" w14:textId="77777777">
                  <w:pPr>
                    <w:widowControl w:val="0"/>
                    <w:suppressAutoHyphens/>
                    <w:overflowPunct w:val="0"/>
                    <w:spacing w:line="360" w:lineRule="auto"/>
                    <w:ind w:firstLine="720"/>
                    <w:jc w:val="both"/>
                    <w:textAlignment w:val="baseline"/>
                    <w:rPr>
                      <w:szCs w:val="24"/>
                      <w:lang w:eastAsia="lt-LT"/>
                    </w:rPr>
                  </w:pPr>
                  <w:sdt>
                    <w:sdtPr>
                      <w:alias w:val="Numeris"/>
                      <w:tag w:val="nr_86948365dc734bb196eb6e9735e957d8"/>
                      <w:lock w:val="sdtLocked"/>
                      <w:richText/>
                    </w:sdtPr>
                    <w:sdtContent>
                      <w:r>
                        <w:rPr>
                          <w:color w:val="000000"/>
                          <w:spacing w:val="-4"/>
                          <w:szCs w:val="24"/>
                          <w:lang w:eastAsia="lt-LT"/>
                        </w:rPr>
                        <w:t>46</w:t>
                      </w:r>
                    </w:sdtContent>
                  </w:sdt>
                  <w:r>
                    <w:rPr>
                      <w:color w:val="000000"/>
                      <w:spacing w:val="-4"/>
                      <w:szCs w:val="24"/>
                      <w:lang w:eastAsia="lt-LT"/>
                    </w:rPr>
                    <w:t xml:space="preserve">. </w:t>
                  </w:r>
                  <w:r>
                    <w:rPr>
                      <w:szCs w:val="24"/>
                      <w:lang w:eastAsia="lt-LT"/>
                    </w:rPr>
                    <w:t>Po Agentūros sprendimo skirti pagalbą patvirtinimo Agentūra projekto vykdytojui per 20 darbo dienų avansu perveda 50 proc. sprendime dėl lėšų skyrimo numatytos pagalbos sumos (išskyrus projektus ar jų dalis, įgyvendinamas nuo lapkričio 1 d. – visos jiems skirtos lėšos pervedamos avansu), jei sprendime nenumatyta kitaip.</w:t>
                  </w:r>
                </w:p>
              </w:sdtContent>
            </w:sdt>
            <w:sdt>
              <w:sdtPr>
                <w:alias w:val="47 p."/>
                <w:tag w:val="part_aac6e62e0dfc4ea4b1c6cde123ee01c0"/>
                <w:lock w:val="sdtLocked"/>
                <w:richText/>
              </w:sdtPr>
              <w:sdtContent>
                <w:p w14:paraId="10467CE5" w14:textId="77777777">
                  <w:pPr>
                    <w:widowControl w:val="0"/>
                    <w:suppressAutoHyphens/>
                    <w:overflowPunct w:val="0"/>
                    <w:spacing w:line="360" w:lineRule="auto"/>
                    <w:ind w:firstLine="720"/>
                    <w:jc w:val="both"/>
                    <w:textAlignment w:val="baseline"/>
                    <w:rPr>
                      <w:szCs w:val="24"/>
                      <w:lang w:eastAsia="lt-LT"/>
                    </w:rPr>
                  </w:pPr>
                  <w:sdt>
                    <w:sdtPr>
                      <w:alias w:val="Numeris"/>
                      <w:tag w:val="nr_aac6e62e0dfc4ea4b1c6cde123ee01c0"/>
                      <w:lock w:val="sdtLocked"/>
                      <w:richText/>
                    </w:sdtPr>
                    <w:sdtContent>
                      <w:r>
                        <w:rPr>
                          <w:szCs w:val="24"/>
                          <w:lang w:eastAsia="lt-LT"/>
                        </w:rPr>
                        <w:t>47</w:t>
                      </w:r>
                    </w:sdtContent>
                  </w:sdt>
                  <w:r>
                    <w:rPr>
                      <w:szCs w:val="24"/>
                      <w:lang w:eastAsia="lt-LT"/>
                    </w:rPr>
                    <w:t xml:space="preserve">. Įgyvendinant projektą, jokie su Agentūra nesuderinti nukrypimai nuo planuoto paraiškoje įgyvendinimo nėra leidžiami. Jei po Agentūros sprendimo skirti pagalbą patvirtinimo dėl nenumatytų aplinkybių keičiasi parodos, mugės ar kito viešo renginio, kuriame buvo planuojama dalyvauti ir kuriam buvo skirta pagalba, data, vieta arba norima dalyvauti kitoje parodoje, mugėje ar kitame viešajame renginyje, projekto vykdytojas gali kreiptis el. paštu į Agentūrą su prašymu patikslinti duomenis apie parodą, mugę, kitą viešą renginį, kuriame planuojama dalyvauti, kartu nurodydamas šio patikslinimo priežastis bei pateikdamas patikslintą paraišką PDF formatu. Pagalbos suma ir išlaidų rūšys negali būti tikslinamos. Neįvykusios parodos, mugės ir (ar) kito viešojo renginio keitimas kitu renginiu, kuris jau buvo įvykęs anksčiau už neįvykusį, nėra leidžiamas. Prašymas dėl Paraiškos keitimo negali būti teikiamas likus mažiau negu 5 d. d. iki Išlaidų pagrindimo suvestinės teikimo termino pabaigos. Atsakymą dėl Paraiškos keitimo Agentūra </w:t>
                  </w:r>
                  <w:r>
                    <w:rPr>
                      <w:color w:val="000000"/>
                      <w:szCs w:val="24"/>
                      <w:lang w:eastAsia="lt-LT"/>
                    </w:rPr>
                    <w:t>išsiunčia projekto vykdytojui el. paštu.</w:t>
                  </w:r>
                </w:p>
              </w:sdtContent>
            </w:sdt>
            <w:sdt>
              <w:sdtPr>
                <w:alias w:val="48 p."/>
                <w:tag w:val="part_b7156825b8284beaa0af9c4c1308b2c1"/>
                <w:lock w:val="sdtLocked"/>
                <w:richText/>
              </w:sdtPr>
              <w:sdtContent>
                <w:p w14:paraId="7B3211DD" w14:textId="7F60AE1B">
                  <w:pPr>
                    <w:widowControl w:val="0"/>
                    <w:suppressAutoHyphens/>
                    <w:overflowPunct w:val="0"/>
                    <w:spacing w:line="360" w:lineRule="auto"/>
                    <w:ind w:firstLine="720"/>
                    <w:jc w:val="both"/>
                    <w:textAlignment w:val="baseline"/>
                    <w:rPr>
                      <w:color w:val="000000"/>
                      <w:szCs w:val="24"/>
                      <w:lang w:eastAsia="lt-LT"/>
                    </w:rPr>
                  </w:pPr>
                  <w:sdt>
                    <w:sdtPr>
                      <w:alias w:val="Numeris"/>
                      <w:tag w:val="nr_b7156825b8284beaa0af9c4c1308b2c1"/>
                      <w:lock w:val="sdtLocked"/>
                      <w:richText/>
                    </w:sdtPr>
                    <w:sdtContent>
                      <w:r>
                        <w:rPr>
                          <w:color w:val="000000"/>
                          <w:szCs w:val="24"/>
                          <w:lang w:eastAsia="lt-LT"/>
                        </w:rPr>
                        <w:t>48</w:t>
                      </w:r>
                    </w:sdtContent>
                  </w:sdt>
                  <w:r>
                    <w:rPr>
                      <w:color w:val="000000"/>
                      <w:szCs w:val="24"/>
                      <w:lang w:eastAsia="lt-LT"/>
                    </w:rPr>
                    <w:t xml:space="preserve">. Galimas iki 20 proc. išlaidų nukrypimas pagal kiekvieno renginio atskiras išlaidų rūšis, neviršijant bendros paraiškoje ir Agentūros patvirtintame sprendime dėl lėšų skyrimo numatytos sumos (minėtas nuokrypis taisyklių 11.2 </w:t>
                  </w:r>
                  <w:r>
                    <w:rPr>
                      <w:szCs w:val="24"/>
                      <w:lang w:eastAsia="lt-LT"/>
                    </w:rPr>
                    <w:t xml:space="preserve">– </w:t>
                  </w:r>
                  <w:r>
                    <w:rPr>
                      <w:color w:val="000000"/>
                      <w:szCs w:val="24"/>
                      <w:lang w:eastAsia="lt-LT"/>
                    </w:rPr>
                    <w:t xml:space="preserve">11.4 papunkčiuose numatytoms išlaidoms galimas tik tada ir tik tiek, kiek neviršijama šiuose taisyklių papunkčiuose numatyta maksimali mokėtina pagalbos suma). Išlaidų nukrypimas pagal kiekvieno renginio išlaidų rūšis daugiau kaip 20 proc. ir išlaidos, nenumatytos taisyklėse ir paraiškoje arba galutinių pagalbos gavėjų prašymuose, nefinansuojamos. Taip pat nefinansuojamos pagalbos gavėjo paraiškoje numatytos išlaidos, susijusios su dalyvavimu </w:t>
                  </w:r>
                  <w:r>
                    <w:rPr>
                      <w:szCs w:val="24"/>
                      <w:lang w:eastAsia="lt-LT"/>
                    </w:rPr>
                    <w:t xml:space="preserve">parodoje, mugėje ar kitame viešame </w:t>
                  </w:r>
                  <w:r>
                    <w:rPr>
                      <w:color w:val="000000"/>
                      <w:szCs w:val="24"/>
                      <w:lang w:eastAsia="lt-LT"/>
                    </w:rPr>
                    <w:t>renginyje, kuris neįvyko. Šiuo atveju dėl lėšų susigrąžinimo pagalbos gavėjas turi kreiptis į paslaugų teikėją.</w:t>
                  </w:r>
                </w:p>
              </w:sdtContent>
            </w:sdt>
            <w:sdt>
              <w:sdtPr>
                <w:alias w:val="49 p."/>
                <w:tag w:val="part_78613c3d72e34503979061e5506aeddc"/>
                <w:lock w:val="sdtLocked"/>
                <w:richText/>
              </w:sdtPr>
              <w:sdtContent>
                <w:p w14:paraId="4AE43FB9"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78613c3d72e34503979061e5506aeddc"/>
                      <w:lock w:val="sdtLocked"/>
                      <w:richText/>
                    </w:sdtPr>
                    <w:sdtContent>
                      <w:r>
                        <w:rPr>
                          <w:color w:val="000000"/>
                          <w:szCs w:val="24"/>
                          <w:lang w:eastAsia="lt-LT"/>
                        </w:rPr>
                        <w:t>49</w:t>
                      </w:r>
                    </w:sdtContent>
                  </w:sdt>
                  <w:r>
                    <w:rPr>
                      <w:color w:val="000000"/>
                      <w:szCs w:val="24"/>
                      <w:lang w:eastAsia="lt-LT"/>
                    </w:rPr>
                    <w:t xml:space="preserve">. Jeigu pareiškėjas yra asociacija arba </w:t>
                  </w:r>
                  <w:r>
                    <w:rPr>
                      <w:color w:val="000000"/>
                      <w:lang w:eastAsia="lt-LT"/>
                    </w:rPr>
                    <w:t>tradicinių amatų centras</w:t>
                  </w:r>
                  <w:r>
                    <w:rPr>
                      <w:color w:val="000000"/>
                      <w:szCs w:val="24"/>
                      <w:lang w:eastAsia="lt-LT"/>
                    </w:rPr>
                    <w:t>, galutinių pagalbos gavėjų, nurodytų paraiškoje, keitimas kitais yra negalimas.</w:t>
                  </w:r>
                </w:p>
              </w:sdtContent>
            </w:sdt>
            <w:sdt>
              <w:sdtPr>
                <w:alias w:val="50 p."/>
                <w:tag w:val="part_4849af90138f4bd9b2677b3f556f29cc"/>
                <w:lock w:val="sdtLocked"/>
                <w:richText/>
              </w:sdtPr>
              <w:sdtContent>
                <w:p w14:paraId="316D808A"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4849af90138f4bd9b2677b3f556f29cc"/>
                      <w:lock w:val="sdtLocked"/>
                      <w:richText/>
                    </w:sdtPr>
                    <w:sdtContent>
                      <w:r>
                        <w:rPr>
                          <w:color w:val="000000"/>
                          <w:szCs w:val="24"/>
                          <w:lang w:eastAsia="lt-LT"/>
                        </w:rPr>
                        <w:t>50</w:t>
                      </w:r>
                    </w:sdtContent>
                  </w:sdt>
                  <w:r>
                    <w:rPr>
                      <w:color w:val="000000"/>
                      <w:szCs w:val="24"/>
                      <w:lang w:eastAsia="lt-LT"/>
                    </w:rPr>
                    <w:t xml:space="preserve">. </w:t>
                  </w:r>
                  <w:r>
                    <w:rPr>
                      <w:szCs w:val="24"/>
                      <w:lang w:eastAsia="lt-LT"/>
                    </w:rPr>
                    <w:t>Projektas turi būti įgyvendintas ir už jį atsiskaityta ne vėliau kaip iki einamųjų metų spalio 31 d. (išskyrus projektus ar jų dalis, įgyvendinamus ir vykdomus nuo lapkričio 1 d. – projektų vykdytojai atsiskaito už patirtas išlaidas ne vėliau kaip iki einamųjų metų gruodžio 30 d.). Už patirtas išlaidas atsiskaitoma pateikiant Agentūrai išlaidų pagrindimo suvestinę, kurios forma tvirtinama Agentūros nustatyta tvarka. Išlaidų pagrindimo suvestinės</w:t>
                  </w:r>
                  <w:r>
                    <w:rPr>
                      <w:color w:val="000000"/>
                      <w:szCs w:val="24"/>
                      <w:lang w:eastAsia="lt-LT"/>
                    </w:rPr>
                    <w:t xml:space="preserve"> teikiamos ir tikrinamos vadovaujantis Bendrosiose administravimo taisyklėse ir šiose taisyklėse nustatyta tvarka. Pateikdamas </w:t>
                  </w:r>
                  <w:r>
                    <w:rPr>
                      <w:szCs w:val="24"/>
                      <w:lang w:eastAsia="lt-LT"/>
                    </w:rPr>
                    <w:t>išlaidų pagrindimo suvestinę</w:t>
                  </w:r>
                  <w:r>
                    <w:rPr>
                      <w:color w:val="000000"/>
                      <w:szCs w:val="24"/>
                      <w:lang w:eastAsia="lt-LT"/>
                    </w:rPr>
                    <w:t xml:space="preserve">, projekto vykdytojas turi visiškai atsiskaityti už įgyvendintą projektą ir gautą avansą. Jei projekto dalis įgyvendinama po lapkričio 1 d., už projekto dalį, įgyvendintą iki spalio 31 d., atsiskaitoma pateikiant </w:t>
                  </w:r>
                  <w:r>
                    <w:rPr>
                      <w:szCs w:val="24"/>
                      <w:lang w:eastAsia="lt-LT"/>
                    </w:rPr>
                    <w:t>išlaidų pagrindimo suvestinę</w:t>
                  </w:r>
                  <w:r>
                    <w:rPr>
                      <w:color w:val="000000"/>
                      <w:szCs w:val="24"/>
                      <w:lang w:eastAsia="lt-LT"/>
                    </w:rPr>
                    <w:t xml:space="preserve"> </w:t>
                  </w:r>
                  <w:r>
                    <w:rPr>
                      <w:szCs w:val="24"/>
                      <w:lang w:eastAsia="lt-LT"/>
                    </w:rPr>
                    <w:t xml:space="preserve">ne vėliau kaip iki einamųjų metų </w:t>
                  </w:r>
                  <w:r>
                    <w:rPr>
                      <w:color w:val="000000"/>
                      <w:szCs w:val="24"/>
                      <w:lang w:eastAsia="lt-LT"/>
                    </w:rPr>
                    <w:t>spalio 31 d., o už projekto dalį, įgyvendinamą po lapkričio 1 d., atsiskaitoma pateikiant antrą i</w:t>
                  </w:r>
                  <w:r>
                    <w:rPr>
                      <w:szCs w:val="24"/>
                      <w:lang w:eastAsia="lt-LT"/>
                    </w:rPr>
                    <w:t>šlaidų pagrindimo suvestinę</w:t>
                  </w:r>
                  <w:r>
                    <w:rPr>
                      <w:color w:val="000000"/>
                      <w:szCs w:val="24"/>
                      <w:lang w:eastAsia="lt-LT"/>
                    </w:rPr>
                    <w:t xml:space="preserve"> </w:t>
                  </w:r>
                  <w:r>
                    <w:rPr>
                      <w:szCs w:val="24"/>
                      <w:lang w:eastAsia="lt-LT"/>
                    </w:rPr>
                    <w:t xml:space="preserve">ne vėliau kaip iki einamųjų metų gruodžio 30 d. </w:t>
                  </w:r>
                  <w:r>
                    <w:rPr>
                      <w:color w:val="000000"/>
                      <w:szCs w:val="24"/>
                      <w:lang w:eastAsia="lt-LT"/>
                    </w:rPr>
                    <w:t xml:space="preserve">Pareiškėjai išlaidų pagrindimo suvestines Agentūrai pateikia asmeniškai, per įgaliotą asmenį, per kurjerį, registruota pašto siunta, adresu: Blindžių g. 17, 08111 Vilnius, arba el. paštu </w:t>
                  </w:r>
                  <w:r>
                    <w:rPr>
                      <w:i/>
                      <w:iCs/>
                      <w:color w:val="0000FF"/>
                      <w:szCs w:val="24"/>
                      <w:u w:val="single"/>
                      <w:lang w:eastAsia="lt-LT"/>
                    </w:rPr>
                    <w:t>dokumentai@nma.lt</w:t>
                  </w:r>
                  <w:r>
                    <w:rPr>
                      <w:i/>
                      <w:iCs/>
                      <w:color w:val="000000"/>
                      <w:szCs w:val="24"/>
                      <w:lang w:eastAsia="lt-LT"/>
                    </w:rPr>
                    <w:t>.</w:t>
                  </w:r>
                  <w:r>
                    <w:rPr>
                      <w:rFonts w:eastAsia="Calibri"/>
                      <w:color w:val="000000"/>
                      <w:szCs w:val="24"/>
                      <w:lang w:eastAsia="lt-LT"/>
                    </w:rPr>
                    <w:t xml:space="preserve"> El. paštu teikiamos </w:t>
                  </w:r>
                  <w:r>
                    <w:rPr>
                      <w:color w:val="000000"/>
                      <w:szCs w:val="24"/>
                      <w:lang w:eastAsia="lt-LT"/>
                    </w:rPr>
                    <w:t>Išlaidų pagrindimo suvestinės</w:t>
                  </w:r>
                  <w:r>
                    <w:rPr>
                      <w:rFonts w:eastAsia="Calibri"/>
                      <w:color w:val="000000"/>
                      <w:szCs w:val="24"/>
                      <w:lang w:eastAsia="lt-LT"/>
                    </w:rPr>
                    <w:t xml:space="preserve"> </w:t>
                  </w:r>
                  <w:r>
                    <w:rPr>
                      <w:i/>
                      <w:iCs/>
                      <w:color w:val="000000"/>
                      <w:szCs w:val="24"/>
                      <w:lang w:eastAsia="lt-LT"/>
                    </w:rPr>
                    <w:t>(</w:t>
                  </w:r>
                  <w:r>
                    <w:rPr>
                      <w:rFonts w:eastAsia="Calibri"/>
                      <w:i/>
                      <w:color w:val="000000"/>
                      <w:szCs w:val="24"/>
                      <w:lang w:eastAsia="lt-LT"/>
                    </w:rPr>
                    <w:t>doc</w:t>
                  </w:r>
                  <w:r>
                    <w:rPr>
                      <w:rFonts w:eastAsia="Calibri"/>
                      <w:color w:val="000000"/>
                      <w:szCs w:val="24"/>
                      <w:lang w:eastAsia="lt-LT"/>
                    </w:rPr>
                    <w:t xml:space="preserve"> arba </w:t>
                  </w:r>
                  <w:r>
                    <w:rPr>
                      <w:rFonts w:eastAsia="Calibri"/>
                      <w:i/>
                      <w:color w:val="000000"/>
                      <w:szCs w:val="24"/>
                      <w:lang w:eastAsia="lt-LT"/>
                    </w:rPr>
                    <w:t xml:space="preserve">docx </w:t>
                  </w:r>
                  <w:r>
                    <w:rPr>
                      <w:rFonts w:eastAsia="Calibri"/>
                      <w:color w:val="000000"/>
                      <w:szCs w:val="24"/>
                      <w:lang w:eastAsia="lt-LT"/>
                    </w:rPr>
                    <w:t>formatu) turi būti pasirašytos kvalifikuotu elektroniniu parašu</w:t>
                  </w:r>
                  <w:r>
                    <w:rPr>
                      <w:color w:val="000000"/>
                      <w:szCs w:val="24"/>
                      <w:lang w:eastAsia="lt-LT"/>
                    </w:rPr>
                    <w:t xml:space="preserve">. Išlaidų pagrindimo suvestinės, pateiktos kitais būdais (neregistruotu paštu, faksu ir t. t.) arba pateiktos el. paštu, bet nepasirašytos </w:t>
                  </w:r>
                  <w:r>
                    <w:rPr>
                      <w:rFonts w:eastAsia="Calibri"/>
                      <w:color w:val="000000"/>
                      <w:szCs w:val="24"/>
                      <w:lang w:eastAsia="lt-LT"/>
                    </w:rPr>
                    <w:t>kvalifikuotu</w:t>
                  </w:r>
                  <w:r>
                    <w:rPr>
                      <w:color w:val="000000"/>
                      <w:szCs w:val="24"/>
                      <w:lang w:eastAsia="lt-LT"/>
                    </w:rPr>
                    <w:t xml:space="preserve"> elektroniniu parašu, nepriimamos. Kartu su išlaidų pagrindimo suvestinėmis</w:t>
                  </w:r>
                  <w:r>
                    <w:rPr>
                      <w:szCs w:val="24"/>
                      <w:lang w:eastAsia="lt-LT"/>
                    </w:rPr>
                    <w:t xml:space="preserve"> teikiamos</w:t>
                  </w:r>
                  <w:r>
                    <w:rPr>
                      <w:color w:val="000000"/>
                      <w:szCs w:val="24"/>
                      <w:lang w:eastAsia="lt-LT"/>
                    </w:rPr>
                    <w:t>:</w:t>
                  </w:r>
                </w:p>
                <w:sdt>
                  <w:sdtPr>
                    <w:alias w:val="50.1 pp."/>
                    <w:tag w:val="part_a5db9e894d8c40209222213a337b18ef"/>
                    <w:lock w:val="sdtLocked"/>
                    <w:richText/>
                  </w:sdtPr>
                  <w:sdtContent>
                    <w:p w14:paraId="50E8E9ED"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a5db9e894d8c40209222213a337b18ef"/>
                          <w:lock w:val="sdtLocked"/>
                          <w:richText/>
                        </w:sdtPr>
                        <w:sdtContent>
                          <w:r>
                            <w:rPr>
                              <w:color w:val="000000"/>
                              <w:szCs w:val="24"/>
                              <w:lang w:eastAsia="lt-LT"/>
                            </w:rPr>
                            <w:t>50.1</w:t>
                          </w:r>
                        </w:sdtContent>
                      </w:sdt>
                      <w:r>
                        <w:rPr>
                          <w:color w:val="000000"/>
                          <w:szCs w:val="24"/>
                          <w:lang w:eastAsia="lt-LT"/>
                        </w:rPr>
                        <w:t>. ataskaita apie projekto įvykdymo rezultatus (taisyklių 3 priedas);</w:t>
                      </w:r>
                    </w:p>
                  </w:sdtContent>
                </w:sdt>
                <w:sdt>
                  <w:sdtPr>
                    <w:alias w:val="50.2 pp."/>
                    <w:tag w:val="part_02fead599f0943609c49529ac5342cba"/>
                    <w:lock w:val="sdtLocked"/>
                    <w:richText/>
                  </w:sdtPr>
                  <w:sdtContent>
                    <w:p w14:paraId="126300FE"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02fead599f0943609c49529ac5342cba"/>
                          <w:lock w:val="sdtLocked"/>
                          <w:richText/>
                        </w:sdtPr>
                        <w:sdtContent>
                          <w:r>
                            <w:rPr>
                              <w:color w:val="000000"/>
                              <w:szCs w:val="24"/>
                              <w:lang w:eastAsia="lt-LT"/>
                            </w:rPr>
                            <w:t>50.2</w:t>
                          </w:r>
                        </w:sdtContent>
                      </w:sdt>
                      <w:r>
                        <w:rPr>
                          <w:color w:val="000000"/>
                          <w:szCs w:val="24"/>
                          <w:lang w:eastAsia="lt-LT"/>
                        </w:rPr>
                        <w:t xml:space="preserve">. jei projekto vykdytojas yra asociacija arba </w:t>
                      </w:r>
                      <w:r>
                        <w:rPr>
                          <w:color w:val="000000"/>
                          <w:lang w:eastAsia="lt-LT"/>
                        </w:rPr>
                        <w:t>tradicinių amatų centras</w:t>
                      </w:r>
                      <w:r>
                        <w:rPr>
                          <w:color w:val="000000"/>
                          <w:szCs w:val="24"/>
                          <w:lang w:eastAsia="lt-LT"/>
                        </w:rPr>
                        <w:t>, pateikiamas galutinių pagalbos gavėjų pasirašytas sąrašas, kuriame nurodomos jų vardas, pavardė / pavadinimas, tautinio paveldo produkto kategorija, renginiai, kuriuose jie dalyvavo, jiems skiriama pagalbos suma;</w:t>
                      </w:r>
                    </w:p>
                  </w:sdtContent>
                </w:sdt>
                <w:sdt>
                  <w:sdtPr>
                    <w:alias w:val="50.3 pp."/>
                    <w:tag w:val="part_3bf91dde5284453787c2ec1367395656"/>
                    <w:lock w:val="sdtLocked"/>
                    <w:richText/>
                  </w:sdtPr>
                  <w:sdtContent>
                    <w:p w14:paraId="7B29C638" w14:textId="77777777">
                      <w:pPr>
                        <w:widowControl w:val="0"/>
                        <w:suppressAutoHyphens/>
                        <w:overflowPunct w:val="0"/>
                        <w:spacing w:line="360" w:lineRule="auto"/>
                        <w:ind w:firstLine="720"/>
                        <w:jc w:val="both"/>
                        <w:textAlignment w:val="baseline"/>
                        <w:rPr>
                          <w:color w:val="0000FF"/>
                          <w:szCs w:val="24"/>
                          <w:u w:val="single"/>
                          <w:lang w:eastAsia="lt-LT"/>
                        </w:rPr>
                      </w:pPr>
                      <w:sdt>
                        <w:sdtPr>
                          <w:alias w:val="Numeris"/>
                          <w:tag w:val="nr_3bf91dde5284453787c2ec1367395656"/>
                          <w:lock w:val="sdtLocked"/>
                          <w:richText/>
                        </w:sdtPr>
                        <w:sdtContent>
                          <w:r>
                            <w:rPr>
                              <w:color w:val="000000"/>
                              <w:szCs w:val="24"/>
                              <w:lang w:eastAsia="lt-LT"/>
                            </w:rPr>
                            <w:t>50.3</w:t>
                          </w:r>
                        </w:sdtContent>
                      </w:sdt>
                      <w:r>
                        <w:rPr>
                          <w:color w:val="000000"/>
                          <w:szCs w:val="24"/>
                          <w:lang w:eastAsia="lt-LT"/>
                        </w:rPr>
                        <w:t xml:space="preserve">. jei buvo organizuojami tradicinių amatų edukaciniai užsiėmimai, pateikiami kiekvieno edukacinio užsiėmimo dalyvių pasirašyti sąrašai arba patvirtintos jų kopijos (nurodomas dalyvių vardas, pavardė, užsiėmimas, data, trukmė, , telefonas) ir atspausdinta informacija, kad apie nemokamus edukacinius užsiėmimus 2 savaitės iki jų pradžios buvo paskelbta interneto svetainėje </w:t>
                      </w:r>
                      <w:r>
                        <w:rPr>
                          <w:color w:val="0000FF"/>
                          <w:szCs w:val="24"/>
                          <w:u w:val="single"/>
                          <w:lang w:eastAsia="lt-LT"/>
                        </w:rPr>
                        <w:t>www.tautinispaveldas.lt;</w:t>
                      </w:r>
                    </w:p>
                  </w:sdtContent>
                </w:sdt>
                <w:sdt>
                  <w:sdtPr>
                    <w:alias w:val="50.4 pp."/>
                    <w:tag w:val="part_4883601235b143e39767f4c8d6fe52cd"/>
                    <w:lock w:val="sdtLocked"/>
                    <w:richText/>
                  </w:sdtPr>
                  <w:sdtContent>
                    <w:p w14:paraId="0CA64A28"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4883601235b143e39767f4c8d6fe52cd"/>
                          <w:lock w:val="sdtLocked"/>
                          <w:richText/>
                        </w:sdtPr>
                        <w:sdtContent>
                          <w:r>
                            <w:rPr>
                              <w:color w:val="000000"/>
                              <w:szCs w:val="24"/>
                            </w:rPr>
                            <w:t>50.4</w:t>
                          </w:r>
                        </w:sdtContent>
                      </w:sdt>
                      <w:r>
                        <w:rPr>
                          <w:color w:val="000000"/>
                          <w:szCs w:val="24"/>
                        </w:rPr>
                        <w:t>. jei demonstruojamas tradicinis amatas parodoje, mugėje ir (arba) kitame viešajame renginyje, pateikiamas renginio organizatoriaus išduotas tradicinio amato demonstravimą patvirtinantis dokumentas, kuriame nurodytas amatą demonstravęs tradicinis amatininkas, amato demonstravimo data ir renginio pavadinimas</w:t>
                      </w:r>
                      <w:r>
                        <w:rPr>
                          <w:color w:val="000000"/>
                          <w:szCs w:val="24"/>
                          <w:lang w:eastAsia="lt-LT"/>
                        </w:rPr>
                        <w:t>;</w:t>
                      </w:r>
                    </w:p>
                  </w:sdtContent>
                </w:sdt>
                <w:sdt>
                  <w:sdtPr>
                    <w:alias w:val="50.5 pp."/>
                    <w:tag w:val="part_686cc33d28a54928899e5d31b9cffba1"/>
                    <w:lock w:val="sdtLocked"/>
                    <w:richText/>
                  </w:sdtPr>
                  <w:sdtContent>
                    <w:p w14:paraId="6277A517" w14:textId="39AE501E">
                      <w:pPr>
                        <w:widowControl w:val="0"/>
                        <w:suppressAutoHyphens/>
                        <w:overflowPunct w:val="0"/>
                        <w:spacing w:line="360" w:lineRule="auto"/>
                        <w:ind w:firstLine="720"/>
                        <w:jc w:val="both"/>
                        <w:textAlignment w:val="baseline"/>
                        <w:rPr>
                          <w:color w:val="000000"/>
                          <w:szCs w:val="24"/>
                          <w:lang w:eastAsia="lt-LT"/>
                        </w:rPr>
                      </w:pPr>
                      <w:sdt>
                        <w:sdtPr>
                          <w:alias w:val="Numeris"/>
                          <w:tag w:val="nr_686cc33d28a54928899e5d31b9cffba1"/>
                          <w:lock w:val="sdtLocked"/>
                          <w:richText/>
                        </w:sdtPr>
                        <w:sdtContent>
                          <w:r>
                            <w:rPr>
                              <w:color w:val="000000"/>
                              <w:szCs w:val="24"/>
                              <w:lang w:eastAsia="lt-LT"/>
                            </w:rPr>
                            <w:t>50.5</w:t>
                          </w:r>
                        </w:sdtContent>
                      </w:sdt>
                      <w:r>
                        <w:rPr>
                          <w:color w:val="000000"/>
                          <w:szCs w:val="24"/>
                          <w:lang w:eastAsia="lt-LT"/>
                        </w:rPr>
                        <w:t>. dokumentų, įrodančių, kad buvo dalyvauta parodoje, mugėje, ar kitame viešame renginyje (</w:t>
                      </w:r>
                      <w:r>
                        <w:t>leidimai prekybai, sutartys, padėkos ar pan</w:t>
                      </w:r>
                      <w:r>
                        <w:rPr>
                          <w:color w:val="000000"/>
                          <w:szCs w:val="24"/>
                          <w:lang w:eastAsia="lt-LT"/>
                        </w:rPr>
                        <w:t>.), kopijos;</w:t>
                      </w:r>
                    </w:p>
                  </w:sdtContent>
                </w:sdt>
                <w:sdt>
                  <w:sdtPr>
                    <w:alias w:val="50.6 pp."/>
                    <w:tag w:val="part_20a2d16564094f7285f4b458997d711b"/>
                    <w:lock w:val="sdtLocked"/>
                    <w:richText/>
                  </w:sdtPr>
                  <w:sdtContent>
                    <w:p w14:paraId="052B49CC"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20a2d16564094f7285f4b458997d711b"/>
                          <w:lock w:val="sdtLocked"/>
                          <w:richText/>
                        </w:sdtPr>
                        <w:sdtContent>
                          <w:r>
                            <w:rPr>
                              <w:color w:val="000000"/>
                              <w:szCs w:val="24"/>
                              <w:lang w:eastAsia="lt-LT"/>
                            </w:rPr>
                            <w:t>50.6</w:t>
                          </w:r>
                        </w:sdtContent>
                      </w:sdt>
                      <w:r>
                        <w:rPr>
                          <w:color w:val="000000"/>
                          <w:szCs w:val="24"/>
                          <w:lang w:eastAsia="lt-LT"/>
                        </w:rPr>
                        <w:t>. dokumentų, įrodančių transporto degalų išlaidas (kvitų, sąskaitų kopijas). Jeigu jos didesnės, nei nurodytos paraiškoje (paskaičiuotos pagal kuro įkainio dydį (0,09 Eur/km (su PVM) arba 0,08 Eur/km (be PVM) padauginus iš dvigubo trumpiausio atstumo (km) nuo gyvenamosios vietos iki renginio vietos), išlaidų suma, viršijanti paraiškoje nurodytą sumą, nekompensuojama;</w:t>
                      </w:r>
                    </w:p>
                  </w:sdtContent>
                </w:sdt>
                <w:sdt>
                  <w:sdtPr>
                    <w:alias w:val="50.7 pp."/>
                    <w:tag w:val="part_3b32c918673c4551a1bf63d042dfee3b"/>
                    <w:lock w:val="sdtLocked"/>
                    <w:richText/>
                  </w:sdtPr>
                  <w:sdtContent>
                    <w:p w14:paraId="68BAC44A"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3b32c918673c4551a1bf63d042dfee3b"/>
                          <w:lock w:val="sdtLocked"/>
                          <w:richText/>
                        </w:sdtPr>
                        <w:sdtContent>
                          <w:r>
                            <w:rPr>
                              <w:color w:val="000000"/>
                              <w:szCs w:val="24"/>
                              <w:lang w:eastAsia="lt-LT"/>
                            </w:rPr>
                            <w:t>50.7</w:t>
                          </w:r>
                        </w:sdtContent>
                      </w:sdt>
                      <w:r>
                        <w:rPr>
                          <w:color w:val="000000"/>
                          <w:szCs w:val="24"/>
                          <w:lang w:eastAsia="lt-LT"/>
                        </w:rPr>
                        <w:t xml:space="preserve"> kitų dokumentų, patvirtinančių patirtas išlaidas (kelionės bilietų, parkavimo kvitų, įrangos, žaliavų įsigijimo, leidinio rengimo sąskaitų ir t. t.), kopijos.</w:t>
                      </w:r>
                    </w:p>
                  </w:sdtContent>
                </w:sdt>
              </w:sdtContent>
            </w:sdt>
            <w:sdt>
              <w:sdtPr>
                <w:alias w:val="51 p."/>
                <w:tag w:val="part_460e2a336a374b95a76e4ea42943f888"/>
                <w:lock w:val="sdtLocked"/>
                <w:richText/>
              </w:sdtPr>
              <w:sdtContent>
                <w:p w14:paraId="1C318B85" w14:textId="77777777">
                  <w:pPr>
                    <w:widowControl w:val="0"/>
                    <w:suppressAutoHyphens/>
                    <w:overflowPunct w:val="0"/>
                    <w:spacing w:line="360" w:lineRule="auto"/>
                    <w:ind w:firstLine="720"/>
                    <w:jc w:val="both"/>
                    <w:textAlignment w:val="baseline"/>
                    <w:rPr>
                      <w:kern w:val="24"/>
                      <w:szCs w:val="24"/>
                      <w:lang w:eastAsia="lt-LT"/>
                    </w:rPr>
                  </w:pPr>
                  <w:sdt>
                    <w:sdtPr>
                      <w:alias w:val="Numeris"/>
                      <w:tag w:val="nr_460e2a336a374b95a76e4ea42943f888"/>
                      <w:lock w:val="sdtLocked"/>
                      <w:richText/>
                    </w:sdtPr>
                    <w:sdtContent>
                      <w:r>
                        <w:rPr>
                          <w:kern w:val="24"/>
                          <w:szCs w:val="24"/>
                          <w:lang w:eastAsia="lt-LT"/>
                        </w:rPr>
                        <w:t>51</w:t>
                      </w:r>
                    </w:sdtContent>
                  </w:sdt>
                  <w:r>
                    <w:rPr>
                      <w:kern w:val="24"/>
                      <w:szCs w:val="24"/>
                      <w:lang w:eastAsia="lt-LT"/>
                    </w:rPr>
                    <w:t>. Išlaidų pagrindimo suvestinė ir prie jos pridedami dokumentai turi būti:</w:t>
                  </w:r>
                </w:p>
                <w:sdt>
                  <w:sdtPr>
                    <w:alias w:val="51.1 pp."/>
                    <w:tag w:val="part_6b1d751f1ce14a278a5ee86d97e4c0f8"/>
                    <w:lock w:val="sdtLocked"/>
                    <w:richText/>
                  </w:sdtPr>
                  <w:sdtContent>
                    <w:p w14:paraId="33C21DDF" w14:textId="77777777">
                      <w:pPr>
                        <w:widowControl w:val="0"/>
                        <w:suppressAutoHyphens/>
                        <w:overflowPunct w:val="0"/>
                        <w:spacing w:line="360" w:lineRule="auto"/>
                        <w:ind w:firstLine="720"/>
                        <w:jc w:val="both"/>
                        <w:textAlignment w:val="baseline"/>
                        <w:rPr>
                          <w:kern w:val="24"/>
                          <w:szCs w:val="24"/>
                          <w:lang w:eastAsia="lt-LT"/>
                        </w:rPr>
                      </w:pPr>
                      <w:sdt>
                        <w:sdtPr>
                          <w:alias w:val="Numeris"/>
                          <w:tag w:val="nr_6b1d751f1ce14a278a5ee86d97e4c0f8"/>
                          <w:lock w:val="sdtLocked"/>
                          <w:richText/>
                        </w:sdtPr>
                        <w:sdtContent>
                          <w:r>
                            <w:rPr>
                              <w:kern w:val="24"/>
                              <w:szCs w:val="24"/>
                              <w:lang w:eastAsia="lt-LT"/>
                            </w:rPr>
                            <w:t>51.1</w:t>
                          </w:r>
                        </w:sdtContent>
                      </w:sdt>
                      <w:r>
                        <w:rPr>
                          <w:kern w:val="24"/>
                          <w:szCs w:val="24"/>
                          <w:lang w:eastAsia="lt-LT"/>
                        </w:rPr>
                        <w:t>. pateikti visi reikalaujami;</w:t>
                      </w:r>
                    </w:p>
                  </w:sdtContent>
                </w:sdt>
                <w:sdt>
                  <w:sdtPr>
                    <w:alias w:val="51.2 pp."/>
                    <w:tag w:val="part_43668a192beb44159562d9f4e061fed8"/>
                    <w:lock w:val="sdtLocked"/>
                    <w:richText/>
                  </w:sdtPr>
                  <w:sdtContent>
                    <w:p w14:paraId="3900C276" w14:textId="77777777">
                      <w:pPr>
                        <w:widowControl w:val="0"/>
                        <w:suppressAutoHyphens/>
                        <w:overflowPunct w:val="0"/>
                        <w:spacing w:line="360" w:lineRule="auto"/>
                        <w:ind w:firstLine="720"/>
                        <w:jc w:val="both"/>
                        <w:textAlignment w:val="baseline"/>
                        <w:rPr>
                          <w:kern w:val="24"/>
                          <w:szCs w:val="24"/>
                          <w:lang w:eastAsia="lt-LT"/>
                        </w:rPr>
                      </w:pPr>
                      <w:sdt>
                        <w:sdtPr>
                          <w:alias w:val="Numeris"/>
                          <w:tag w:val="nr_43668a192beb44159562d9f4e061fed8"/>
                          <w:lock w:val="sdtLocked"/>
                          <w:richText/>
                        </w:sdtPr>
                        <w:sdtContent>
                          <w:r>
                            <w:rPr>
                              <w:kern w:val="24"/>
                              <w:szCs w:val="24"/>
                              <w:lang w:eastAsia="lt-LT"/>
                            </w:rPr>
                            <w:t>51.2</w:t>
                          </w:r>
                        </w:sdtContent>
                      </w:sdt>
                      <w:r>
                        <w:rPr>
                          <w:kern w:val="24"/>
                          <w:szCs w:val="24"/>
                          <w:lang w:eastAsia="lt-LT"/>
                        </w:rPr>
                        <w:t>. parašyti valstybine kalba arba išversti į ją, vertimo tikrumą patvirtinus pareiškėjo parašu;</w:t>
                      </w:r>
                    </w:p>
                  </w:sdtContent>
                </w:sdt>
                <w:sdt>
                  <w:sdtPr>
                    <w:alias w:val="51.3 pp."/>
                    <w:tag w:val="part_dacbe117ec474cc0aad5bc5da786a594"/>
                    <w:lock w:val="sdtLocked"/>
                    <w:richText/>
                  </w:sdtPr>
                  <w:sdtContent>
                    <w:p w14:paraId="6D310986" w14:textId="77777777">
                      <w:pPr>
                        <w:widowControl w:val="0"/>
                        <w:suppressAutoHyphens/>
                        <w:overflowPunct w:val="0"/>
                        <w:spacing w:line="360" w:lineRule="auto"/>
                        <w:ind w:firstLine="720"/>
                        <w:jc w:val="both"/>
                        <w:textAlignment w:val="baseline"/>
                        <w:rPr>
                          <w:kern w:val="24"/>
                          <w:szCs w:val="24"/>
                          <w:lang w:eastAsia="lt-LT"/>
                        </w:rPr>
                      </w:pPr>
                      <w:sdt>
                        <w:sdtPr>
                          <w:alias w:val="Numeris"/>
                          <w:tag w:val="nr_dacbe117ec474cc0aad5bc5da786a594"/>
                          <w:lock w:val="sdtLocked"/>
                          <w:richText/>
                        </w:sdtPr>
                        <w:sdtContent>
                          <w:r>
                            <w:rPr>
                              <w:kern w:val="24"/>
                              <w:szCs w:val="24"/>
                              <w:lang w:eastAsia="lt-LT"/>
                            </w:rPr>
                            <w:t>51.3</w:t>
                          </w:r>
                        </w:sdtContent>
                      </w:sdt>
                      <w:r>
                        <w:rPr>
                          <w:kern w:val="24"/>
                          <w:szCs w:val="24"/>
                          <w:lang w:eastAsia="lt-LT"/>
                        </w:rPr>
                        <w:t>. išsamiai ir teisingai užpildyti;</w:t>
                      </w:r>
                    </w:p>
                  </w:sdtContent>
                </w:sdt>
                <w:sdt>
                  <w:sdtPr>
                    <w:alias w:val="51.4 pp."/>
                    <w:tag w:val="part_93d0b2da4c1d4527a67829400a6488ec"/>
                    <w:lock w:val="sdtLocked"/>
                    <w:richText/>
                  </w:sdtPr>
                  <w:sdtContent>
                    <w:p w14:paraId="0D473FA9" w14:textId="77777777">
                      <w:pPr>
                        <w:widowControl w:val="0"/>
                        <w:suppressAutoHyphens/>
                        <w:overflowPunct w:val="0"/>
                        <w:spacing w:line="360" w:lineRule="auto"/>
                        <w:ind w:firstLine="720"/>
                        <w:jc w:val="both"/>
                        <w:textAlignment w:val="baseline"/>
                        <w:rPr>
                          <w:kern w:val="24"/>
                          <w:szCs w:val="24"/>
                          <w:lang w:eastAsia="lt-LT"/>
                        </w:rPr>
                      </w:pPr>
                      <w:sdt>
                        <w:sdtPr>
                          <w:alias w:val="Numeris"/>
                          <w:tag w:val="nr_93d0b2da4c1d4527a67829400a6488ec"/>
                          <w:lock w:val="sdtLocked"/>
                          <w:richText/>
                        </w:sdtPr>
                        <w:sdtContent>
                          <w:r>
                            <w:rPr>
                              <w:kern w:val="24"/>
                              <w:szCs w:val="24"/>
                              <w:lang w:eastAsia="lt-LT"/>
                            </w:rPr>
                            <w:t>51.4</w:t>
                          </w:r>
                        </w:sdtContent>
                      </w:sdt>
                      <w:r>
                        <w:rPr>
                          <w:kern w:val="24"/>
                          <w:szCs w:val="24"/>
                          <w:lang w:eastAsia="lt-LT"/>
                        </w:rPr>
                        <w:t>. pasirašyti pagalbos gavėjo;</w:t>
                      </w:r>
                    </w:p>
                  </w:sdtContent>
                </w:sdt>
                <w:sdt>
                  <w:sdtPr>
                    <w:alias w:val="51.5 pp."/>
                    <w:tag w:val="part_54129c44b726422f815d9dd6bf6ff100"/>
                    <w:lock w:val="sdtLocked"/>
                    <w:richText/>
                  </w:sdtPr>
                  <w:sdtContent>
                    <w:p w14:paraId="0161F21E" w14:textId="77777777">
                      <w:pPr>
                        <w:widowControl w:val="0"/>
                        <w:suppressAutoHyphens/>
                        <w:overflowPunct w:val="0"/>
                        <w:spacing w:line="360" w:lineRule="auto"/>
                        <w:ind w:firstLine="720"/>
                        <w:jc w:val="both"/>
                        <w:textAlignment w:val="baseline"/>
                        <w:rPr>
                          <w:kern w:val="24"/>
                          <w:szCs w:val="24"/>
                          <w:lang w:eastAsia="lt-LT"/>
                        </w:rPr>
                      </w:pPr>
                      <w:sdt>
                        <w:sdtPr>
                          <w:alias w:val="Numeris"/>
                          <w:tag w:val="nr_54129c44b726422f815d9dd6bf6ff100"/>
                          <w:lock w:val="sdtLocked"/>
                          <w:richText/>
                        </w:sdtPr>
                        <w:sdtContent>
                          <w:r>
                            <w:rPr>
                              <w:kern w:val="24"/>
                              <w:szCs w:val="24"/>
                              <w:lang w:eastAsia="lt-LT"/>
                            </w:rPr>
                            <w:t>51.5</w:t>
                          </w:r>
                        </w:sdtContent>
                      </w:sdt>
                      <w:r>
                        <w:rPr>
                          <w:kern w:val="24"/>
                          <w:szCs w:val="24"/>
                          <w:lang w:eastAsia="lt-LT"/>
                        </w:rPr>
                        <w:t>. dokumentų kopijos turi būti aiškiai įskaitomos, jų tikrumas turi būti patvirtintas pareiškėjo parašu.</w:t>
                      </w:r>
                    </w:p>
                  </w:sdtContent>
                </w:sdt>
              </w:sdtContent>
            </w:sdt>
            <w:sdt>
              <w:sdtPr>
                <w:alias w:val="52 p."/>
                <w:tag w:val="part_2ed534f33daf4056a936596a5f6b4e25"/>
                <w:lock w:val="sdtLocked"/>
                <w:richText/>
              </w:sdtPr>
              <w:sdtContent>
                <w:p w14:paraId="25921376" w14:textId="77777777">
                  <w:pPr>
                    <w:widowControl w:val="0"/>
                    <w:suppressAutoHyphens/>
                    <w:overflowPunct w:val="0"/>
                    <w:spacing w:line="360" w:lineRule="auto"/>
                    <w:ind w:firstLine="720"/>
                    <w:jc w:val="both"/>
                    <w:textAlignment w:val="baseline"/>
                    <w:rPr>
                      <w:kern w:val="24"/>
                      <w:szCs w:val="24"/>
                      <w:lang w:eastAsia="lt-LT"/>
                    </w:rPr>
                  </w:pPr>
                  <w:sdt>
                    <w:sdtPr>
                      <w:alias w:val="Numeris"/>
                      <w:tag w:val="nr_2ed534f33daf4056a936596a5f6b4e25"/>
                      <w:lock w:val="sdtLocked"/>
                      <w:richText/>
                    </w:sdtPr>
                    <w:sdtContent>
                      <w:r>
                        <w:rPr>
                          <w:kern w:val="24"/>
                          <w:szCs w:val="24"/>
                          <w:lang w:eastAsia="lt-LT"/>
                        </w:rPr>
                        <w:t>52</w:t>
                      </w:r>
                    </w:sdtContent>
                  </w:sdt>
                  <w:r>
                    <w:rPr>
                      <w:kern w:val="24"/>
                      <w:szCs w:val="24"/>
                      <w:lang w:eastAsia="lt-LT"/>
                    </w:rPr>
                    <w:t xml:space="preserve">. Jei projekto vykdytojas patyrė išlaidas ne eurais, o kita užsienio valiuta, patirtos tinkamų finansuoti išlaidų ir prašomos pagalbos sumos pagrindimo suvestinėje turi būti nurodytos perskaičiuotos į eurus pagal Europos Centrinio Banko kasdien skelbiamą euro ir užsienio valiutų santykį: </w:t>
                  </w:r>
                  <w:r>
                    <w:rPr>
                      <w:color w:val="0000FF"/>
                      <w:u w:val="single"/>
                    </w:rPr>
                    <w:t>https://www.lb.lt/lt/kasdien-skelbiami-euro-ir-uzsienio-valiutu-santykiai-skelbia-europos-centrinis-bankas</w:t>
                  </w:r>
                  <w:r>
                    <w:t>.</w:t>
                  </w:r>
                </w:p>
              </w:sdtContent>
            </w:sdt>
            <w:sdt>
              <w:sdtPr>
                <w:alias w:val="53 p."/>
                <w:tag w:val="part_6ac2f800b5264694bedef137798ee9ee"/>
                <w:lock w:val="sdtLocked"/>
                <w:richText/>
              </w:sdtPr>
              <w:sdtContent>
                <w:p w14:paraId="70014FEF" w14:textId="77777777">
                  <w:pPr>
                    <w:widowControl w:val="0"/>
                    <w:suppressAutoHyphens/>
                    <w:overflowPunct w:val="0"/>
                    <w:spacing w:line="360" w:lineRule="auto"/>
                    <w:ind w:firstLine="720"/>
                    <w:jc w:val="both"/>
                    <w:textAlignment w:val="baseline"/>
                    <w:rPr>
                      <w:color w:val="000000"/>
                      <w:spacing w:val="-2"/>
                      <w:szCs w:val="24"/>
                      <w:lang w:eastAsia="lt-LT"/>
                    </w:rPr>
                  </w:pPr>
                  <w:sdt>
                    <w:sdtPr>
                      <w:alias w:val="Numeris"/>
                      <w:tag w:val="nr_6ac2f800b5264694bedef137798ee9ee"/>
                      <w:lock w:val="sdtLocked"/>
                      <w:richText/>
                    </w:sdtPr>
                    <w:sdtContent>
                      <w:r>
                        <w:rPr>
                          <w:color w:val="000000"/>
                          <w:spacing w:val="-2"/>
                          <w:szCs w:val="24"/>
                          <w:lang w:eastAsia="lt-LT"/>
                        </w:rPr>
                        <w:t>53</w:t>
                      </w:r>
                    </w:sdtContent>
                  </w:sdt>
                  <w:r>
                    <w:rPr>
                      <w:color w:val="000000"/>
                      <w:spacing w:val="-2"/>
                      <w:szCs w:val="24"/>
                      <w:lang w:eastAsia="lt-LT"/>
                    </w:rPr>
                    <w:t xml:space="preserve">. Išlaidų pagrindimo suvestinės ir pridedamų dokumentų pateikimo terminas gali būti pratęstas dėl pateisinamų priežasčių </w:t>
                  </w:r>
                  <w:r>
                    <w:rPr>
                      <w:szCs w:val="24"/>
                      <w:lang w:eastAsia="lt-LT"/>
                    </w:rPr>
                    <w:t xml:space="preserve">(pateisinamomis priežastimis laikomos nenugalimos jėgos </w:t>
                  </w:r>
                  <w:r>
                    <w:rPr>
                      <w:i/>
                      <w:szCs w:val="24"/>
                      <w:lang w:eastAsia="lt-LT"/>
                    </w:rPr>
                    <w:t>(force majeure)</w:t>
                  </w:r>
                  <w:r>
                    <w:rPr>
                      <w:szCs w:val="24"/>
                      <w:lang w:eastAsia="lt-LT"/>
                    </w:rPr>
                    <w:t>, pagalbos gavėjo ar kito, atsakingo už dokumentų pateikimą, asmens liga)</w:t>
                  </w:r>
                  <w:r>
                    <w:rPr>
                      <w:color w:val="000000"/>
                      <w:spacing w:val="-2"/>
                      <w:szCs w:val="24"/>
                      <w:lang w:eastAsia="lt-LT"/>
                    </w:rPr>
                    <w:t xml:space="preserve">. Šiuo atveju </w:t>
                  </w:r>
                  <w:r>
                    <w:rPr>
                      <w:color w:val="000000"/>
                      <w:szCs w:val="24"/>
                      <w:lang w:eastAsia="lt-LT"/>
                    </w:rPr>
                    <w:t xml:space="preserve">projekto vykdytojas, </w:t>
                  </w:r>
                  <w:r>
                    <w:rPr>
                      <w:color w:val="000000"/>
                      <w:spacing w:val="-2"/>
                      <w:szCs w:val="24"/>
                      <w:lang w:eastAsia="lt-LT"/>
                    </w:rPr>
                    <w:t xml:space="preserve">iki taisyklių 50 punkte nustatyto termino, turi pateikti Agentūrai rašytinį prašymą dėl </w:t>
                  </w:r>
                  <w:r>
                    <w:rPr>
                      <w:szCs w:val="24"/>
                      <w:lang w:eastAsia="lt-LT"/>
                    </w:rPr>
                    <w:t xml:space="preserve">išlaidų pagrindimo suvestinės </w:t>
                  </w:r>
                  <w:r>
                    <w:rPr>
                      <w:color w:val="000000"/>
                      <w:spacing w:val="-2"/>
                      <w:szCs w:val="24"/>
                      <w:lang w:eastAsia="lt-LT"/>
                    </w:rPr>
                    <w:t>ir pridedamų dokumentų pateikimo termino pratęsimo, jį pagrindžiant pateisinamų priežasčių atsiradimu ir įrodančiais dokumentais.</w:t>
                  </w:r>
                  <w:r>
                    <w:rPr>
                      <w:color w:val="000000"/>
                      <w:szCs w:val="24"/>
                      <w:lang w:eastAsia="lt-LT"/>
                    </w:rPr>
                    <w:t xml:space="preserve"> Agentūra apie pritarimą ar nepritarimą prašymui dėl </w:t>
                  </w:r>
                  <w:r>
                    <w:rPr>
                      <w:szCs w:val="24"/>
                      <w:lang w:eastAsia="lt-LT"/>
                    </w:rPr>
                    <w:t xml:space="preserve">išlaidų pagrindimo suvestinės </w:t>
                  </w:r>
                  <w:r>
                    <w:rPr>
                      <w:color w:val="000000"/>
                      <w:szCs w:val="24"/>
                      <w:lang w:eastAsia="lt-LT"/>
                    </w:rPr>
                    <w:t xml:space="preserve">ir pridedamų dokumentų pateikimo termino pratęsimo informuoja projekto vykdytoją el. paštu. </w:t>
                  </w:r>
                  <w:r>
                    <w:rPr>
                      <w:szCs w:val="24"/>
                      <w:lang w:eastAsia="lt-LT"/>
                    </w:rPr>
                    <w:t xml:space="preserve">Jei </w:t>
                  </w:r>
                  <w:r>
                    <w:rPr>
                      <w:color w:val="000000"/>
                      <w:szCs w:val="24"/>
                      <w:lang w:eastAsia="lt-LT"/>
                    </w:rPr>
                    <w:t xml:space="preserve">projekto vykdytojas </w:t>
                  </w:r>
                  <w:r>
                    <w:rPr>
                      <w:szCs w:val="24"/>
                      <w:lang w:eastAsia="lt-LT"/>
                    </w:rPr>
                    <w:t xml:space="preserve">dėl nepateisinamų priežasčių išlaidų pagrindimo suvestinę ir pridedamus dokumentus pateikia pavėluotai, pagalba už kiekvieną pavėluotą darbo dieną sumažinama 1 proc. nuo apskaičiuotos pagalbos sumos už išlaidų pagrindimo suvestinėje deklaruotas patirtas tinkamas finansuoti išlaidas. Pavėluotai pateiktos išlaidų pagrindimo suvestinės ir pridedami dokumentai priimami 10 darbo dienų nuo taisyklių 50 punkte nustatyto termino, vėliau pateiktos išlaidų pagrindimo suvestinės ir pridedami dokumentai nepriimami, likusi pagalbos dalis neišmokama ir </w:t>
                  </w:r>
                  <w:r>
                    <w:rPr>
                      <w:color w:val="000000"/>
                      <w:szCs w:val="24"/>
                      <w:lang w:eastAsia="lt-LT"/>
                    </w:rPr>
                    <w:t>projekto vykdytojas privalo grąžinti išmokėtą avansą</w:t>
                  </w:r>
                  <w:r>
                    <w:rPr>
                      <w:szCs w:val="24"/>
                      <w:lang w:eastAsia="lt-LT"/>
                    </w:rPr>
                    <w:t>.</w:t>
                  </w:r>
                </w:p>
              </w:sdtContent>
            </w:sdt>
            <w:sdt>
              <w:sdtPr>
                <w:alias w:val="54 p."/>
                <w:tag w:val="part_fa730350fed74eb387656610f4f66b14"/>
                <w:lock w:val="sdtLocked"/>
                <w:richText/>
              </w:sdtPr>
              <w:sdtContent>
                <w:p w14:paraId="7D6486C2" w14:textId="77777777">
                  <w:pPr>
                    <w:widowControl w:val="0"/>
                    <w:suppressAutoHyphens/>
                    <w:overflowPunct w:val="0"/>
                    <w:spacing w:line="360" w:lineRule="auto"/>
                    <w:ind w:firstLine="720"/>
                    <w:jc w:val="both"/>
                    <w:textAlignment w:val="baseline"/>
                    <w:rPr>
                      <w:color w:val="000000"/>
                      <w:spacing w:val="-2"/>
                      <w:szCs w:val="24"/>
                      <w:lang w:eastAsia="lt-LT"/>
                    </w:rPr>
                  </w:pPr>
                  <w:sdt>
                    <w:sdtPr>
                      <w:alias w:val="Numeris"/>
                      <w:tag w:val="nr_fa730350fed74eb387656610f4f66b14"/>
                      <w:lock w:val="sdtLocked"/>
                      <w:richText/>
                    </w:sdtPr>
                    <w:sdtContent>
                      <w:r>
                        <w:rPr>
                          <w:color w:val="000000"/>
                          <w:spacing w:val="-2"/>
                          <w:szCs w:val="24"/>
                          <w:lang w:eastAsia="lt-LT"/>
                        </w:rPr>
                        <w:t>54</w:t>
                      </w:r>
                    </w:sdtContent>
                  </w:sdt>
                  <w:r>
                    <w:rPr>
                      <w:color w:val="000000"/>
                      <w:spacing w:val="-2"/>
                      <w:szCs w:val="24"/>
                      <w:lang w:eastAsia="lt-LT"/>
                    </w:rPr>
                    <w:t xml:space="preserve">. Agentūra, teigiamai įvertinusi </w:t>
                  </w:r>
                  <w:r>
                    <w:rPr>
                      <w:szCs w:val="24"/>
                      <w:lang w:eastAsia="lt-LT"/>
                    </w:rPr>
                    <w:t xml:space="preserve">išlaidų pagrindimo suvestinę </w:t>
                  </w:r>
                  <w:r>
                    <w:rPr>
                      <w:color w:val="000000"/>
                      <w:spacing w:val="-2"/>
                      <w:szCs w:val="24"/>
                      <w:lang w:eastAsia="lt-LT"/>
                    </w:rPr>
                    <w:t xml:space="preserve">ir pridedamus dokumentus, priima sprendimą išmokėti likusią pagalbos dalį. </w:t>
                  </w:r>
                </w:p>
              </w:sdtContent>
            </w:sdt>
            <w:sdt>
              <w:sdtPr>
                <w:alias w:val="55 p."/>
                <w:tag w:val="part_2b42ada1abaa47ccba42b42ed4c100cb"/>
                <w:lock w:val="sdtLocked"/>
                <w:richText/>
              </w:sdtPr>
              <w:sdtContent>
                <w:p w14:paraId="1492BD89" w14:textId="77777777">
                  <w:pPr>
                    <w:widowControl w:val="0"/>
                    <w:suppressAutoHyphens/>
                    <w:overflowPunct w:val="0"/>
                    <w:spacing w:line="360" w:lineRule="auto"/>
                    <w:ind w:firstLine="720"/>
                    <w:jc w:val="both"/>
                    <w:textAlignment w:val="baseline"/>
                    <w:rPr>
                      <w:color w:val="000000"/>
                      <w:spacing w:val="-2"/>
                      <w:szCs w:val="24"/>
                      <w:lang w:eastAsia="lt-LT"/>
                    </w:rPr>
                  </w:pPr>
                  <w:sdt>
                    <w:sdtPr>
                      <w:alias w:val="Numeris"/>
                      <w:tag w:val="nr_2b42ada1abaa47ccba42b42ed4c100cb"/>
                      <w:lock w:val="sdtLocked"/>
                      <w:richText/>
                    </w:sdtPr>
                    <w:sdtContent>
                      <w:r>
                        <w:rPr>
                          <w:color w:val="000000"/>
                          <w:szCs w:val="24"/>
                          <w:lang w:eastAsia="lt-LT"/>
                        </w:rPr>
                        <w:t>55</w:t>
                      </w:r>
                    </w:sdtContent>
                  </w:sdt>
                  <w:r>
                    <w:rPr>
                      <w:color w:val="000000"/>
                      <w:szCs w:val="24"/>
                      <w:lang w:eastAsia="lt-LT"/>
                    </w:rPr>
                    <w:t>. Agentūra lėšas projekto vykdytojams užsako ir išmoka Bendrųjų administravimo taisyklių nustatyta tvarka.</w:t>
                  </w:r>
                </w:p>
              </w:sdtContent>
            </w:sdt>
            <w:sdt>
              <w:sdtPr>
                <w:alias w:val="56 p."/>
                <w:tag w:val="part_4144b5521db84715af225aea47bb35ca"/>
                <w:lock w:val="sdtLocked"/>
                <w:richText/>
              </w:sdtPr>
              <w:sdtContent>
                <w:p w14:paraId="5C7DEA63" w14:textId="77777777">
                  <w:pPr>
                    <w:widowControl w:val="0"/>
                    <w:suppressAutoHyphens/>
                    <w:overflowPunct w:val="0"/>
                    <w:spacing w:line="360" w:lineRule="auto"/>
                    <w:ind w:firstLine="720"/>
                    <w:jc w:val="both"/>
                    <w:textAlignment w:val="baseline"/>
                    <w:rPr>
                      <w:color w:val="000000"/>
                      <w:spacing w:val="-2"/>
                      <w:szCs w:val="24"/>
                      <w:lang w:eastAsia="lt-LT"/>
                    </w:rPr>
                  </w:pPr>
                  <w:sdt>
                    <w:sdtPr>
                      <w:alias w:val="Numeris"/>
                      <w:tag w:val="nr_4144b5521db84715af225aea47bb35ca"/>
                      <w:lock w:val="sdtLocked"/>
                      <w:richText/>
                    </w:sdtPr>
                    <w:sdtContent>
                      <w:r>
                        <w:rPr>
                          <w:color w:val="000000"/>
                          <w:spacing w:val="-2"/>
                          <w:szCs w:val="24"/>
                          <w:lang w:eastAsia="lt-LT"/>
                        </w:rPr>
                        <w:t>56</w:t>
                      </w:r>
                    </w:sdtContent>
                  </w:sdt>
                  <w:r>
                    <w:rPr>
                      <w:color w:val="000000"/>
                      <w:spacing w:val="-2"/>
                      <w:szCs w:val="24"/>
                      <w:lang w:eastAsia="lt-LT"/>
                    </w:rPr>
                    <w:t xml:space="preserve">. Jeigu vertinant </w:t>
                  </w:r>
                  <w:r>
                    <w:rPr>
                      <w:szCs w:val="24"/>
                      <w:lang w:eastAsia="lt-LT"/>
                    </w:rPr>
                    <w:t xml:space="preserve">išlaidų pagrindimo suvestinę </w:t>
                  </w:r>
                  <w:r>
                    <w:rPr>
                      <w:color w:val="000000"/>
                      <w:spacing w:val="-2"/>
                      <w:szCs w:val="24"/>
                      <w:lang w:eastAsia="lt-LT"/>
                    </w:rPr>
                    <w:t xml:space="preserve">ir pridedamus dokumentus kyla neaiškumų ar paaiškėja, kad nepateikti visi privalomi dokumentai, projekto vykdytojui el. paštu siunčiamas paklausimas (), kuriame nurodomas terminas, per kurį projekto vykdytojas turi trūkstamus dokumentus ir (arba) patikslintus duomenis pateikti. Informacijos ir (arba) dokumentų pateikimo terminas gali būti pratęstas gavus projekto vykdytojo rašytinį prašymą ir paaiškinimą dėl termino pratęsimo pagal taisyklių 53 punktą. Jei projekto vykdytojas per nustatytą terminą nepateikia trūkstamos informacijos ir (arba) dokumentų arba pateikia nepilnai patikslintus, </w:t>
                  </w:r>
                  <w:r>
                    <w:rPr>
                      <w:szCs w:val="24"/>
                      <w:lang w:eastAsia="lt-LT"/>
                    </w:rPr>
                    <w:t xml:space="preserve">išlaidų pagrindimo suvestinės </w:t>
                  </w:r>
                  <w:r>
                    <w:rPr>
                      <w:color w:val="000000"/>
                      <w:spacing w:val="-2"/>
                      <w:szCs w:val="24"/>
                      <w:lang w:eastAsia="lt-LT"/>
                    </w:rPr>
                    <w:t>ir pridedami dokumentai baigiami vertinti pagal turimus duomenis. Pakartotinis paklausimas dėl duomenų tikslinimo projekto vykdytojui nebesiunčiamas.</w:t>
                  </w:r>
                </w:p>
              </w:sdtContent>
            </w:sdt>
            <w:sdt>
              <w:sdtPr>
                <w:alias w:val="57 p."/>
                <w:tag w:val="part_c06da0bb2507476c91fd2d823cb38c66"/>
                <w:lock w:val="sdtLocked"/>
                <w:richText/>
              </w:sdtPr>
              <w:sdtContent>
                <w:p w14:paraId="6595CBF4"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c06da0bb2507476c91fd2d823cb38c66"/>
                      <w:lock w:val="sdtLocked"/>
                      <w:richText/>
                    </w:sdtPr>
                    <w:sdtContent>
                      <w:r>
                        <w:rPr>
                          <w:color w:val="000000"/>
                          <w:szCs w:val="24"/>
                          <w:lang w:eastAsia="lt-LT"/>
                        </w:rPr>
                        <w:t>57</w:t>
                      </w:r>
                    </w:sdtContent>
                  </w:sdt>
                  <w:r>
                    <w:rPr>
                      <w:color w:val="000000"/>
                      <w:szCs w:val="24"/>
                      <w:lang w:eastAsia="lt-LT"/>
                    </w:rPr>
                    <w:t xml:space="preserve">. Jei Agentūra nustato, kad </w:t>
                  </w:r>
                  <w:r>
                    <w:rPr>
                      <w:szCs w:val="24"/>
                      <w:lang w:eastAsia="lt-LT"/>
                    </w:rPr>
                    <w:t>išlaidų pagrindimo suvestinėje</w:t>
                  </w:r>
                  <w:r>
                    <w:rPr>
                      <w:color w:val="000000"/>
                      <w:szCs w:val="24"/>
                      <w:lang w:eastAsia="lt-LT"/>
                    </w:rPr>
                    <w:t xml:space="preserve"> nurodytų tinkamų finansuoti išlaidų prašomos pagalbos suma mažesnė už avansu pervestą lėšų sumą, projekto vykdytojas privalo grąžinti atitinkamą išmokėto avanso dalį.</w:t>
                  </w:r>
                </w:p>
              </w:sdtContent>
            </w:sdt>
            <w:sdt>
              <w:sdtPr>
                <w:alias w:val="58 p."/>
                <w:tag w:val="part_79719da044fd441d823c3ed9c759c69e"/>
                <w:lock w:val="sdtLocked"/>
                <w:richText/>
              </w:sdtPr>
              <w:sdtContent>
                <w:p w14:paraId="3EBE3060"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79719da044fd441d823c3ed9c759c69e"/>
                      <w:lock w:val="sdtLocked"/>
                      <w:richText/>
                    </w:sdtPr>
                    <w:sdtContent>
                      <w:r>
                        <w:rPr>
                          <w:color w:val="000000"/>
                          <w:szCs w:val="24"/>
                          <w:lang w:eastAsia="lt-LT"/>
                        </w:rPr>
                        <w:t>58</w:t>
                      </w:r>
                    </w:sdtContent>
                  </w:sdt>
                  <w:r>
                    <w:rPr>
                      <w:color w:val="000000"/>
                      <w:szCs w:val="24"/>
                      <w:lang w:eastAsia="lt-LT"/>
                    </w:rPr>
                    <w:t xml:space="preserve">. Jei Agentūra nustato, kad </w:t>
                  </w:r>
                  <w:r>
                    <w:rPr>
                      <w:szCs w:val="24"/>
                      <w:lang w:eastAsia="lt-LT"/>
                    </w:rPr>
                    <w:t xml:space="preserve">išlaidų pagrindimo suvestinės </w:t>
                  </w:r>
                  <w:r>
                    <w:rPr>
                      <w:color w:val="000000"/>
                      <w:szCs w:val="24"/>
                      <w:lang w:eastAsia="lt-LT"/>
                    </w:rPr>
                    <w:t>pateikimo metu projekto vykdytojas nebeatitinka pirmumo kriterijų, už kuriuos paraiškų vertinimo metu buvo skirtas pirmumas (jei priimant sprendimą buvo taikyti pirmumo kriterijai), projekto vykdytojas privalo grąžinti išmokėto avanso dalį ir jam neišmokama likusi pagalbos dalis.</w:t>
                  </w:r>
                </w:p>
              </w:sdtContent>
            </w:sdt>
            <w:sdt>
              <w:sdtPr>
                <w:alias w:val="59 p."/>
                <w:tag w:val="part_ef411b6879ba4ea48fd422db22d61ccd"/>
                <w:lock w:val="sdtLocked"/>
                <w:richText/>
              </w:sdtPr>
              <w:sdtContent>
                <w:p w14:paraId="21529976"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ef411b6879ba4ea48fd422db22d61ccd"/>
                      <w:lock w:val="sdtLocked"/>
                      <w:richText/>
                    </w:sdtPr>
                    <w:sdtContent>
                      <w:r>
                        <w:rPr>
                          <w:color w:val="000000"/>
                          <w:szCs w:val="24"/>
                          <w:lang w:eastAsia="lt-LT"/>
                        </w:rPr>
                        <w:t>59</w:t>
                      </w:r>
                    </w:sdtContent>
                  </w:sdt>
                  <w:r>
                    <w:rPr>
                      <w:color w:val="000000"/>
                      <w:szCs w:val="24"/>
                      <w:lang w:eastAsia="lt-LT"/>
                    </w:rPr>
                    <w:t>. Pažeidimai nustatomi ir grąžintinos lėšos administruojamos Bendrųjų administravimo taisyklių nustatyta tvarka.</w:t>
                  </w:r>
                </w:p>
              </w:sdtContent>
            </w:sdt>
            <w:sdt>
              <w:sdtPr>
                <w:alias w:val="60 p."/>
                <w:tag w:val="part_271414adf08b4b3a974354d674bb27e6"/>
                <w:lock w:val="sdtLocked"/>
                <w:richText/>
              </w:sdtPr>
              <w:sdtContent>
                <w:p w14:paraId="78D5FB63"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271414adf08b4b3a974354d674bb27e6"/>
                      <w:lock w:val="sdtLocked"/>
                      <w:richText/>
                    </w:sdtPr>
                    <w:sdtContent>
                      <w:r>
                        <w:rPr>
                          <w:color w:val="000000"/>
                          <w:szCs w:val="24"/>
                          <w:lang w:eastAsia="lt-LT"/>
                        </w:rPr>
                        <w:t>60</w:t>
                      </w:r>
                    </w:sdtContent>
                  </w:sdt>
                  <w:r>
                    <w:rPr>
                      <w:color w:val="000000"/>
                      <w:szCs w:val="24"/>
                      <w:lang w:eastAsia="lt-LT"/>
                    </w:rPr>
                    <w:t>. Agentūros ataskaitų teikimas Ministerijai vykdomas Bendrųjų administravimo taisyklių nustatyta tvarka ir terminais. Ministerijos prašymu Agentūra turi pateikti informaciją apie lėšų išmokėjimą ir (arba) kitą nurodytą informaciją.</w:t>
                  </w:r>
                </w:p>
                <w:p w14:paraId="4419F5A8" w14:textId="77777777">
                  <w:pPr>
                    <w:widowControl w:val="0"/>
                    <w:tabs>
                      <w:tab w:val="left" w:pos="0"/>
                    </w:tabs>
                    <w:suppressAutoHyphens/>
                    <w:overflowPunct w:val="0"/>
                    <w:jc w:val="both"/>
                    <w:textAlignment w:val="baseline"/>
                    <w:rPr>
                      <w:color w:val="000000"/>
                      <w:szCs w:val="24"/>
                      <w:lang w:eastAsia="lt-LT"/>
                    </w:rPr>
                  </w:pPr>
                </w:p>
              </w:sdtContent>
            </w:sdt>
          </w:sdtContent>
        </w:sdt>
        <w:sdt>
          <w:sdtPr>
            <w:alias w:val="skyrius"/>
            <w:tag w:val="part_4d2ed1bd461d45ceb568bb24539868ed"/>
            <w:lock w:val="sdtLocked"/>
            <w:richText/>
          </w:sdtPr>
          <w:sdtContent>
            <w:p w14:paraId="32F20F11" w14:textId="77777777">
              <w:pPr>
                <w:jc w:val="center"/>
                <w:rPr>
                  <w:b/>
                  <w:szCs w:val="24"/>
                  <w:lang w:eastAsia="lt-LT"/>
                </w:rPr>
              </w:pPr>
              <w:sdt>
                <w:sdtPr>
                  <w:alias w:val="Numeris"/>
                  <w:tag w:val="nr_4d2ed1bd461d45ceb568bb24539868ed"/>
                  <w:lock w:val="sdtLocked"/>
                  <w:richText/>
                </w:sdtPr>
                <w:sdtContent>
                  <w:r>
                    <w:rPr>
                      <w:b/>
                      <w:szCs w:val="24"/>
                      <w:lang w:eastAsia="lt-LT"/>
                    </w:rPr>
                    <w:t>IX</w:t>
                  </w:r>
                </w:sdtContent>
              </w:sdt>
              <w:r>
                <w:rPr>
                  <w:b/>
                  <w:szCs w:val="24"/>
                  <w:lang w:eastAsia="lt-LT"/>
                </w:rPr>
                <w:t xml:space="preserve"> SKYRIUS</w:t>
              </w:r>
            </w:p>
            <w:p w14:paraId="0B38BB46" w14:textId="77777777">
              <w:pPr>
                <w:jc w:val="center"/>
                <w:rPr>
                  <w:b/>
                  <w:szCs w:val="24"/>
                  <w:lang w:eastAsia="lt-LT"/>
                </w:rPr>
              </w:pPr>
              <w:sdt>
                <w:sdtPr>
                  <w:alias w:val="Pavadinimas"/>
                  <w:tag w:val="title_4d2ed1bd461d45ceb568bb24539868ed"/>
                  <w:lock w:val="sdtLocked"/>
                  <w:richText/>
                </w:sdtPr>
                <w:sdtContent>
                  <w:r>
                    <w:rPr>
                      <w:b/>
                      <w:szCs w:val="24"/>
                      <w:lang w:eastAsia="lt-LT"/>
                    </w:rPr>
                    <w:t>LĖŠŲ PANAUDOJIMO KONTROLĖ IR ATSAKOMYBĖ</w:t>
                  </w:r>
                </w:sdtContent>
              </w:sdt>
            </w:p>
            <w:p w14:paraId="1A751378" w14:textId="77777777">
              <w:pPr>
                <w:widowControl w:val="0"/>
                <w:ind w:firstLine="720"/>
                <w:rPr>
                  <w:szCs w:val="24"/>
                  <w:lang w:eastAsia="lt-LT"/>
                </w:rPr>
              </w:pPr>
            </w:p>
            <w:sdt>
              <w:sdtPr>
                <w:alias w:val="61 p."/>
                <w:tag w:val="part_3547097da5514338b97f2f46c4b5ca7a"/>
                <w:lock w:val="sdtLocked"/>
                <w:richText/>
              </w:sdtPr>
              <w:sdtContent>
                <w:p w14:paraId="1878AE6D"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3547097da5514338b97f2f46c4b5ca7a"/>
                      <w:lock w:val="sdtLocked"/>
                      <w:richText/>
                    </w:sdtPr>
                    <w:sdtContent>
                      <w:r>
                        <w:rPr>
                          <w:color w:val="000000"/>
                          <w:szCs w:val="24"/>
                          <w:lang w:eastAsia="lt-LT"/>
                        </w:rPr>
                        <w:t>61</w:t>
                      </w:r>
                    </w:sdtContent>
                  </w:sdt>
                  <w:r>
                    <w:rPr>
                      <w:color w:val="000000"/>
                      <w:szCs w:val="24"/>
                      <w:lang w:eastAsia="lt-LT"/>
                    </w:rPr>
                    <w:t>. Už skirtų lėšų panaudojimą atsako projekto vykdytojas. Projekto vykdytojas negali perduoti ar kitaip perleisti tretiesiems asmenims už pagalbos lėšas įsigytą įrangą per trejų metų laikotarpį nuo sprendimo dėl lėšų skyrimo priėmimo.</w:t>
                  </w:r>
                </w:p>
              </w:sdtContent>
            </w:sdt>
            <w:sdt>
              <w:sdtPr>
                <w:alias w:val="62 p."/>
                <w:tag w:val="part_6463d3dcd0524bae8fb14b5946738598"/>
                <w:lock w:val="sdtLocked"/>
                <w:richText/>
              </w:sdtPr>
              <w:sdtContent>
                <w:p w14:paraId="68C8382E"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6463d3dcd0524bae8fb14b5946738598"/>
                      <w:lock w:val="sdtLocked"/>
                      <w:richText/>
                    </w:sdtPr>
                    <w:sdtContent>
                      <w:r>
                        <w:rPr>
                          <w:color w:val="000000"/>
                          <w:szCs w:val="24"/>
                          <w:lang w:eastAsia="lt-LT"/>
                        </w:rPr>
                        <w:t>62</w:t>
                      </w:r>
                    </w:sdtContent>
                  </w:sdt>
                  <w:r>
                    <w:rPr>
                      <w:color w:val="000000"/>
                      <w:szCs w:val="24"/>
                      <w:lang w:eastAsia="lt-LT"/>
                    </w:rPr>
                    <w:t xml:space="preserve">. Projekto vykdytojų, pateikusių </w:t>
                  </w:r>
                  <w:r>
                    <w:rPr>
                      <w:szCs w:val="24"/>
                      <w:lang w:eastAsia="lt-LT"/>
                    </w:rPr>
                    <w:t>išlaidų pagrindimo suvestines</w:t>
                  </w:r>
                  <w:r>
                    <w:rPr>
                      <w:color w:val="000000"/>
                      <w:szCs w:val="24"/>
                      <w:lang w:eastAsia="lt-LT"/>
                    </w:rPr>
                    <w:t xml:space="preserve">, patikras vietoje atlieka Agentūra Bendrųjų administravimo taisyklių, šių taisyklių ir kitų teisės aktų nustatyta tvarka. Agentūra Agentūros direktoriaus įsakymu patvirtinta tvarka atsirenka 5 proc. projektų ir pateikusius suvestines pagalbos gavėjus patikrina vietoje, ar išlaidų pagrindimo suvestinėje nurodytos išlaidos yra pagrįstos išlaidų pagrindimo ir išlaidų apmokėjimo dokumentais, ar išlaidos yra padarytos numatytos paraiškoje bei taisyklėse numatytais terminais ir tvarka. </w:t>
                  </w:r>
                </w:p>
              </w:sdtContent>
            </w:sdt>
            <w:sdt>
              <w:sdtPr>
                <w:alias w:val="63 p."/>
                <w:tag w:val="part_5196164018634fa4852989c5cdf19461"/>
                <w:lock w:val="sdtLocked"/>
                <w:richText/>
              </w:sdtPr>
              <w:sdtContent>
                <w:p w14:paraId="64201978"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5196164018634fa4852989c5cdf19461"/>
                      <w:lock w:val="sdtLocked"/>
                      <w:richText/>
                    </w:sdtPr>
                    <w:sdtContent>
                      <w:r>
                        <w:rPr>
                          <w:color w:val="000000"/>
                          <w:szCs w:val="24"/>
                          <w:lang w:eastAsia="lt-LT"/>
                        </w:rPr>
                        <w:t>63</w:t>
                      </w:r>
                    </w:sdtContent>
                  </w:sdt>
                  <w:r>
                    <w:rPr>
                      <w:color w:val="000000"/>
                      <w:szCs w:val="24"/>
                      <w:lang w:eastAsia="lt-LT"/>
                    </w:rPr>
                    <w:t>. Esant poreikiui, Agentūra Agentūros direktoriaus įsakymu patvirtinta tvarka atlieka užsakomąją patikrą vietoje. Projekto vykdytojas privalo leisti Agentūros Kontrolės departamento ar kitiems kompetentingiems tarnautojams atlikti patikras vietoje.</w:t>
                  </w:r>
                </w:p>
              </w:sdtContent>
            </w:sdt>
            <w:sdt>
              <w:sdtPr>
                <w:alias w:val="64 p."/>
                <w:tag w:val="part_1abfb71a1c604283ad42933f276ba068"/>
                <w:lock w:val="sdtLocked"/>
                <w:richText/>
              </w:sdtPr>
              <w:sdtContent>
                <w:p w14:paraId="3E7E0BDA" w14:textId="3992D656">
                  <w:pPr>
                    <w:widowControl w:val="0"/>
                    <w:suppressAutoHyphens/>
                    <w:overflowPunct w:val="0"/>
                    <w:spacing w:line="360" w:lineRule="auto"/>
                    <w:ind w:firstLine="720"/>
                    <w:jc w:val="both"/>
                    <w:textAlignment w:val="baseline"/>
                    <w:rPr>
                      <w:color w:val="000000"/>
                      <w:spacing w:val="-2"/>
                      <w:szCs w:val="24"/>
                      <w:lang w:eastAsia="lt-LT"/>
                    </w:rPr>
                  </w:pPr>
                  <w:sdt>
                    <w:sdtPr>
                      <w:alias w:val="Numeris"/>
                      <w:tag w:val="nr_1abfb71a1c604283ad42933f276ba068"/>
                      <w:lock w:val="sdtLocked"/>
                      <w:richText/>
                    </w:sdtPr>
                    <w:sdtContent>
                      <w:r>
                        <w:rPr>
                          <w:color w:val="000000"/>
                          <w:spacing w:val="-2"/>
                          <w:szCs w:val="24"/>
                          <w:lang w:eastAsia="lt-LT"/>
                        </w:rPr>
                        <w:t>64</w:t>
                      </w:r>
                    </w:sdtContent>
                  </w:sdt>
                  <w:r>
                    <w:rPr>
                      <w:color w:val="000000"/>
                      <w:spacing w:val="-2"/>
                      <w:szCs w:val="24"/>
                      <w:lang w:eastAsia="lt-LT"/>
                    </w:rPr>
                    <w:t>. Projektų vykdytojų patikrinimas renginio vietoje atliekamas Tautinio paveldo produktų atitikties tradicijai ir tradicinių amatų meistrų veiklos patikrinimų tvarkos apraše, patvirtintame Lietuvos Respublikos žemės ūkio ministro 2010 m. kovo 25 d. įsakymu Nr. 3D-270 „Dėl Tautinio paveldo produktų atitikties tradicijai ir tradicinių amatų meistrų veiklos patikrinimų tvarkos aprašo patvirtinimo“, nustatyta tvarka.</w:t>
                  </w:r>
                  <w:r>
                    <w:t xml:space="preserve"> Patikrinimo metu nustačius taisyklių pažeidimus, renginio vietoje užpildomas patikrinimo aktas ir jo kopiją Sekretoriatas per 10 darbo dienų pateikia Agentūrai.</w:t>
                  </w:r>
                </w:p>
              </w:sdtContent>
            </w:sdt>
            <w:sdt>
              <w:sdtPr>
                <w:alias w:val="65 p."/>
                <w:tag w:val="part_4ad870f969ca4aaca314a06c2adbbd05"/>
                <w:lock w:val="sdtLocked"/>
                <w:richText/>
              </w:sdtPr>
              <w:sdtContent>
                <w:p w14:paraId="04997C52"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4ad870f969ca4aaca314a06c2adbbd05"/>
                      <w:lock w:val="sdtLocked"/>
                      <w:richText/>
                    </w:sdtPr>
                    <w:sdtContent>
                      <w:r>
                        <w:rPr>
                          <w:color w:val="000000"/>
                          <w:szCs w:val="24"/>
                          <w:lang w:eastAsia="lt-LT"/>
                        </w:rPr>
                        <w:t>65</w:t>
                      </w:r>
                    </w:sdtContent>
                  </w:sdt>
                  <w:r>
                    <w:rPr>
                      <w:color w:val="000000"/>
                      <w:szCs w:val="24"/>
                      <w:lang w:eastAsia="lt-LT"/>
                    </w:rPr>
                    <w:t>. Už teikiamų duomenų teisingumą atsako juos pateikęs pareiškėjas ir (ar) galutinis pagalbos gavėjas. Projekto vykdytojas privalo ne trumpiau kaip 5 metus nuo paraiškos pateikimo saugoti visą su paraiška ir vykdomu projektu susijusią medžiagą ir dokumentus.</w:t>
                  </w:r>
                </w:p>
              </w:sdtContent>
            </w:sdt>
            <w:sdt>
              <w:sdtPr>
                <w:alias w:val="66 p."/>
                <w:tag w:val="part_a4585375422b4f9cba7efb49682eaade"/>
                <w:lock w:val="sdtLocked"/>
                <w:richText/>
              </w:sdtPr>
              <w:sdtContent>
                <w:p w14:paraId="0F430C44" w14:textId="77777777">
                  <w:pPr>
                    <w:widowControl w:val="0"/>
                    <w:suppressAutoHyphens/>
                    <w:overflowPunct w:val="0"/>
                    <w:spacing w:line="360" w:lineRule="auto"/>
                    <w:ind w:firstLine="720"/>
                    <w:jc w:val="both"/>
                    <w:textAlignment w:val="baseline"/>
                  </w:pPr>
                  <w:sdt>
                    <w:sdtPr>
                      <w:alias w:val="Numeris"/>
                      <w:tag w:val="nr_a4585375422b4f9cba7efb49682eaade"/>
                      <w:lock w:val="sdtLocked"/>
                      <w:richText/>
                    </w:sdtPr>
                    <w:sdtContent>
                      <w:r>
                        <w:t>66</w:t>
                      </w:r>
                    </w:sdtContent>
                  </w:sdt>
                  <w:r>
                    <w:t xml:space="preserve">. Pareiškėjų ir (arba) pagalbos gavėjų skundai dėl administruojančių institucijų priimtų sprendimų, veikimo ar neveikimo nagrinėjami </w:t>
                  </w:r>
                  <w:r>
                    <w:rPr>
                      <w:lang w:eastAsia="lt-LT"/>
                    </w:rPr>
                    <w:t>Bendrųjų administravimo taisyklių nustatyta tvarka</w:t>
                  </w:r>
                  <w:r>
                    <w:t>.</w:t>
                  </w:r>
                </w:p>
              </w:sdtContent>
            </w:sdt>
            <w:sdt>
              <w:sdtPr>
                <w:alias w:val="67 p."/>
                <w:tag w:val="part_6a348741eaa5449982c620b14acc8c73"/>
                <w:lock w:val="sdtLocked"/>
                <w:richText/>
              </w:sdtPr>
              <w:sdtContent>
                <w:p w14:paraId="1A3A4234" w14:textId="4A31CE74">
                  <w:pPr>
                    <w:widowControl w:val="0"/>
                    <w:suppressAutoHyphens/>
                    <w:overflowPunct w:val="0"/>
                    <w:spacing w:line="360" w:lineRule="auto"/>
                    <w:ind w:firstLine="720"/>
                    <w:jc w:val="both"/>
                    <w:textAlignment w:val="baseline"/>
                  </w:pPr>
                  <w:sdt>
                    <w:sdtPr>
                      <w:alias w:val="Numeris"/>
                      <w:tag w:val="nr_6a348741eaa5449982c620b14acc8c73"/>
                      <w:lock w:val="sdtLocked"/>
                      <w:richText/>
                    </w:sdtPr>
                    <w:sdtContent>
                      <w:r>
                        <w:t>67</w:t>
                      </w:r>
                    </w:sdtContent>
                  </w:sdt>
                  <w:r>
                    <w:t xml:space="preserve">. Agentūra privalo saugoti visą su pagalbos teikimu susijusią informaciją ir dokumentus </w:t>
                  </w:r>
                  <w:r>
                    <w:rPr>
                      <w:color w:val="000000"/>
                      <w:szCs w:val="24"/>
                      <w:lang w:eastAsia="lt-LT"/>
                    </w:rPr>
                    <w:t>Lietuvos Respublikos archyvų įstatymo nustatyta tvarka</w:t>
                  </w:r>
                  <w:r>
                    <w:t>.</w:t>
                  </w:r>
                </w:p>
              </w:sdtContent>
            </w:sdt>
            <w:sdt>
              <w:sdtPr>
                <w:alias w:val="68 p."/>
                <w:tag w:val="part_cdfc89e351474e658f28e2078cf83b68"/>
                <w:lock w:val="sdtLocked"/>
                <w:richText/>
              </w:sdtPr>
              <w:sdtContent>
                <w:p w14:paraId="480A92E4" w14:textId="424E7F9E">
                  <w:pPr>
                    <w:widowControl w:val="0"/>
                    <w:suppressAutoHyphens/>
                    <w:overflowPunct w:val="0"/>
                    <w:spacing w:line="360" w:lineRule="auto"/>
                    <w:ind w:firstLine="720"/>
                    <w:jc w:val="both"/>
                    <w:textAlignment w:val="baseline"/>
                    <w:rPr>
                      <w:color w:val="000000"/>
                      <w:szCs w:val="24"/>
                      <w:lang w:eastAsia="lt-LT"/>
                    </w:rPr>
                  </w:pPr>
                  <w:sdt>
                    <w:sdtPr>
                      <w:alias w:val="Numeris"/>
                      <w:tag w:val="nr_cdfc89e351474e658f28e2078cf83b68"/>
                      <w:lock w:val="sdtLocked"/>
                      <w:richText/>
                    </w:sdtPr>
                    <w:sdtContent>
                      <w:r>
                        <w:rPr>
                          <w:color w:val="000000"/>
                          <w:szCs w:val="24"/>
                          <w:lang w:eastAsia="lt-LT"/>
                        </w:rPr>
                        <w:t>68</w:t>
                      </w:r>
                    </w:sdtContent>
                  </w:sdt>
                  <w:r>
                    <w:rPr>
                      <w:color w:val="000000"/>
                      <w:szCs w:val="24"/>
                      <w:lang w:eastAsia="lt-LT"/>
                    </w:rPr>
                    <w:t xml:space="preserve">. </w:t>
                  </w:r>
                  <w:r>
                    <w:rPr>
                      <w:szCs w:val="24"/>
                      <w:lang w:eastAsia="lt-LT"/>
                    </w:rPr>
                    <w:t>Kiti šiose taisyklėse nereglamentuojami klausimai sprendžiami vadovaujantis Bendrųjų administravimo taisyklių nustatyta tvarka.</w:t>
                  </w:r>
                </w:p>
              </w:sdtContent>
            </w:sdt>
            <w:sdt>
              <w:sdtPr>
                <w:alias w:val="69 p."/>
                <w:tag w:val="part_43cbaebe3d84400fb038320bd4f2dd13"/>
                <w:lock w:val="sdtLocked"/>
                <w:richText/>
              </w:sdtPr>
              <w:sdtContent>
                <w:p w14:paraId="58B2120A" w14:textId="77777777">
                  <w:pPr>
                    <w:widowControl w:val="0"/>
                    <w:suppressAutoHyphens/>
                    <w:overflowPunct w:val="0"/>
                    <w:spacing w:line="360" w:lineRule="auto"/>
                    <w:ind w:firstLine="720"/>
                    <w:jc w:val="both"/>
                    <w:textAlignment w:val="baseline"/>
                    <w:rPr>
                      <w:szCs w:val="24"/>
                      <w:lang w:eastAsia="lt-LT"/>
                    </w:rPr>
                  </w:pPr>
                  <w:sdt>
                    <w:sdtPr>
                      <w:alias w:val="Numeris"/>
                      <w:tag w:val="nr_43cbaebe3d84400fb038320bd4f2dd13"/>
                      <w:lock w:val="sdtLocked"/>
                      <w:richText/>
                    </w:sdtPr>
                    <w:sdtContent>
                      <w:r>
                        <w:rPr>
                          <w:szCs w:val="24"/>
                          <w:lang w:eastAsia="lt-LT"/>
                        </w:rPr>
                        <w:t>69</w:t>
                      </w:r>
                    </w:sdtContent>
                  </w:sdt>
                  <w:r>
                    <w:rPr>
                      <w:szCs w:val="24"/>
                      <w:lang w:eastAsia="lt-LT"/>
                    </w:rPr>
                    <w:t>. Pasikeitus šiose taisyklėse nurodytiems teisės aktams, tiesiogiai taikomos naujos šių teisės aktų nuostatos.</w:t>
                  </w:r>
                </w:p>
              </w:sdtContent>
            </w:sdt>
            <w:sdt>
              <w:sdtPr>
                <w:alias w:val="70 p."/>
                <w:tag w:val="part_144384f7063646f8baf5a58ba3880c52"/>
                <w:lock w:val="sdtLocked"/>
                <w:richText/>
              </w:sdtPr>
              <w:sdtContent>
                <w:p w14:paraId="426AE1F9" w14:textId="77777777">
                  <w:pPr>
                    <w:widowControl w:val="0"/>
                    <w:suppressAutoHyphens/>
                    <w:overflowPunct w:val="0"/>
                    <w:spacing w:line="360" w:lineRule="auto"/>
                    <w:ind w:firstLine="720"/>
                    <w:jc w:val="both"/>
                    <w:textAlignment w:val="baseline"/>
                    <w:rPr>
                      <w:color w:val="000000"/>
                      <w:szCs w:val="24"/>
                      <w:lang w:eastAsia="lt-LT"/>
                    </w:rPr>
                  </w:pPr>
                  <w:sdt>
                    <w:sdtPr>
                      <w:alias w:val="Numeris"/>
                      <w:tag w:val="nr_144384f7063646f8baf5a58ba3880c52"/>
                      <w:lock w:val="sdtLocked"/>
                      <w:richText/>
                    </w:sdtPr>
                    <w:sdtContent>
                      <w:r>
                        <w:rPr>
                          <w:szCs w:val="24"/>
                          <w:lang w:eastAsia="lt-LT"/>
                        </w:rPr>
                        <w:t>70</w:t>
                      </w:r>
                    </w:sdtContent>
                  </w:sdt>
                  <w:r>
                    <w:rPr>
                      <w:szCs w:val="24"/>
                      <w:lang w:eastAsia="lt-LT"/>
                    </w:rPr>
                    <w:t>. Pasikeitus šioms taisyklėms, nauji reikalavimai taikomi vienodai visiems pareiškėjams, išskyrus atvejus, kai žemės ūkio ministro įsakyme numatyta kitaip.</w:t>
                  </w:r>
                </w:p>
                <w:p w14:paraId="196BED38" w14:textId="77777777">
                  <w:pPr>
                    <w:widowControl w:val="0"/>
                    <w:overflowPunct w:val="0"/>
                    <w:jc w:val="center"/>
                    <w:textAlignment w:val="baseline"/>
                  </w:pPr>
                  <w:r>
                    <w:rPr>
                      <w:szCs w:val="24"/>
                      <w:lang w:eastAsia="lt-LT"/>
                    </w:rPr>
                    <w:t>___________________________</w:t>
                  </w:r>
                </w:p>
                <w:p w14:paraId="5C783610" w14:textId="77777777">
                  <w:pPr>
                    <w:tabs>
                      <w:tab w:val="center" w:pos="4819"/>
                      <w:tab w:val="right" w:pos="9638"/>
                    </w:tabs>
                  </w:pPr>
                </w:p>
                <w:p w14:paraId="0ABEF0E9" w14:textId="77777777">
                  <w:pPr>
                    <w:widowControl w:val="0"/>
                    <w:overflowPunct w:val="0"/>
                    <w:ind w:left="5102"/>
                    <w:jc w:val="both"/>
                    <w:textAlignment w:val="baseline"/>
                    <w:sectPr>
                      <w:headerReference w:type="even" r:id="rId6"/>
                      <w:headerReference w:type="default" r:id="rId7"/>
                      <w:footerReference w:type="even" r:id="rId8"/>
                      <w:footerReference w:type="default" r:id="rId9"/>
                      <w:headerReference w:type="first" r:id="rId10"/>
                      <w:footerReference w:type="first" r:id="rId11"/>
                      <w:pgSz w:w="11907" w:h="16840"/>
                      <w:pgMar w:top="1134" w:right="1134" w:bottom="567" w:left="1701" w:header="567" w:footer="567" w:gutter="0"/>
                      <w:pgNumType w:start="1"/>
                      <w:cols w:space="1296"/>
                      <w:titlePg/>
                      <w:docGrid w:linePitch="326"/>
                    </w:sectPr>
                  </w:pPr>
                </w:p>
                <w:p w14:paraId="30ADE4A9" w14:textId="77777777">
                  <w:pPr>
                    <w:tabs>
                      <w:tab w:val="center" w:pos="4819"/>
                      <w:tab w:val="right" w:pos="9638"/>
                    </w:tabs>
                  </w:pPr>
                </w:p>
              </w:sdtContent>
            </w:sdt>
          </w:sdtContent>
        </w:sdt>
      </w:sdtContent>
    </w:sdt>
    <w:sdt>
      <w:sdtPr>
        <w:alias w:val="1 pr."/>
        <w:tag w:val="part_749134e9edcc4e51b1f32634d8e4f092"/>
        <w:lock w:val="sdtLocked"/>
        <w:richText/>
      </w:sdtPr>
      <w:sdtContent>
        <w:p w14:paraId="5A2CE01A" w14:textId="77777777">
          <w:pPr>
            <w:widowControl w:val="0"/>
            <w:overflowPunct w:val="0"/>
            <w:ind w:left="5102"/>
            <w:jc w:val="both"/>
            <w:textAlignment w:val="baseline"/>
            <w:rPr>
              <w:sz w:val="20"/>
            </w:rPr>
          </w:pPr>
          <w:r>
            <w:rPr>
              <w:sz w:val="20"/>
            </w:rPr>
            <w:t>Tautinio paveldo veiklos finansavimo taisyklių</w:t>
          </w:r>
        </w:p>
        <w:p w14:paraId="069E2DE6" w14:textId="77777777">
          <w:pPr>
            <w:widowControl w:val="0"/>
            <w:overflowPunct w:val="0"/>
            <w:ind w:left="5102"/>
            <w:jc w:val="both"/>
            <w:textAlignment w:val="baseline"/>
            <w:rPr>
              <w:sz w:val="20"/>
            </w:rPr>
          </w:pPr>
          <w:sdt>
            <w:sdtPr>
              <w:alias w:val="Numeris"/>
              <w:tag w:val="nr_749134e9edcc4e51b1f32634d8e4f092"/>
              <w:lock w:val="sdtLocked"/>
              <w:richText/>
            </w:sdtPr>
            <w:sdtContent>
              <w:r>
                <w:rPr>
                  <w:sz w:val="20"/>
                </w:rPr>
                <w:t>1</w:t>
              </w:r>
            </w:sdtContent>
          </w:sdt>
          <w:r>
            <w:rPr>
              <w:sz w:val="20"/>
            </w:rPr>
            <w:t xml:space="preserve"> priedas</w:t>
          </w:r>
        </w:p>
        <w:p w14:paraId="7D538BF8" w14:textId="77777777">
          <w:pPr>
            <w:widowControl w:val="0"/>
            <w:overflowPunct w:val="0"/>
            <w:jc w:val="center"/>
            <w:textAlignment w:val="baseline"/>
            <w:rPr>
              <w:sz w:val="22"/>
              <w:szCs w:val="22"/>
            </w:rPr>
          </w:pPr>
        </w:p>
        <w:p w14:paraId="092DAAE0" w14:textId="77777777">
          <w:pPr>
            <w:widowControl w:val="0"/>
            <w:overflowPunct w:val="0"/>
            <w:jc w:val="center"/>
            <w:textAlignment w:val="baseline"/>
            <w:rPr>
              <w:bCs/>
              <w:szCs w:val="24"/>
            </w:rPr>
          </w:pPr>
          <w:r>
            <w:rPr>
              <w:bCs/>
              <w:szCs w:val="24"/>
            </w:rPr>
            <w:t>(</w:t>
          </w:r>
          <w:r>
            <w:rPr>
              <w:b/>
              <w:szCs w:val="24"/>
            </w:rPr>
            <w:t>Paraiškos gauti lėšas pagal Tautinio paveldo veiklos finansavimo taisykles forma</w:t>
          </w:r>
          <w:r>
            <w:rPr>
              <w:bCs/>
              <w:szCs w:val="24"/>
            </w:rPr>
            <w:t>)</w:t>
          </w:r>
        </w:p>
        <w:p w14:paraId="3800F791" w14:textId="77777777">
          <w:pPr>
            <w:widowControl w:val="0"/>
            <w:overflowPunct w:val="0"/>
            <w:jc w:val="center"/>
            <w:textAlignment w:val="baseline"/>
            <w:rPr>
              <w:szCs w:val="24"/>
            </w:rPr>
          </w:pPr>
        </w:p>
        <w:p w14:paraId="18264541" w14:textId="77777777">
          <w:pPr>
            <w:widowControl w:val="0"/>
            <w:overflowPunct w:val="0"/>
            <w:jc w:val="center"/>
            <w:textAlignment w:val="baseline"/>
            <w:rPr>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14:paraId="3300FD66" w14:textId="77777777">
            <w:tc>
              <w:tcPr>
                <w:tcW w:w="9629" w:type="dxa"/>
              </w:tcPr>
              <w:p w14:paraId="0F3B7E59" w14:textId="77777777">
                <w:pPr>
                  <w:widowControl w:val="0"/>
                  <w:overflowPunct w:val="0"/>
                  <w:jc w:val="center"/>
                  <w:textAlignment w:val="baseline"/>
                  <w:rPr>
                    <w:bCs/>
                    <w:szCs w:val="24"/>
                  </w:rPr>
                </w:pPr>
                <w:r>
                  <w:rPr>
                    <w:color w:val="808080"/>
                  </w:rPr>
                  <w:t>Norėdami įrašyti vardą ir pavardę, spustelėkite arba bakstelėkite čia</w:t>
                </w:r>
              </w:p>
              <w:p w14:paraId="786AC47E" w14:textId="77777777">
                <w:pPr>
                  <w:widowControl w:val="0"/>
                  <w:overflowPunct w:val="0"/>
                  <w:jc w:val="center"/>
                  <w:textAlignment w:val="baseline"/>
                  <w:rPr>
                    <w:i/>
                    <w:iCs/>
                    <w:sz w:val="20"/>
                  </w:rPr>
                </w:pPr>
              </w:p>
            </w:tc>
          </w:tr>
        </w:tbl>
        <w:p w14:paraId="480613FC" w14:textId="77777777">
          <w:pPr>
            <w:widowControl w:val="0"/>
            <w:overflowPunct w:val="0"/>
            <w:jc w:val="center"/>
            <w:textAlignment w:val="baseline"/>
            <w:rPr>
              <w:i/>
              <w:iCs/>
              <w:sz w:val="20"/>
            </w:rPr>
          </w:pPr>
          <w:r>
            <w:rPr>
              <w:i/>
              <w:iCs/>
              <w:sz w:val="20"/>
            </w:rPr>
            <w:t>(pareiškėjas)</w:t>
          </w:r>
        </w:p>
        <w:p w14:paraId="2C3993E6" w14:textId="77777777">
          <w:pPr>
            <w:widowControl w:val="0"/>
            <w:overflowPunct w:val="0"/>
            <w:jc w:val="both"/>
            <w:textAlignment w:val="baseline"/>
            <w:rPr>
              <w:szCs w:val="24"/>
            </w:rPr>
          </w:pPr>
        </w:p>
        <w:p w14:paraId="37EBA0DE" w14:textId="77777777">
          <w:pPr>
            <w:widowControl w:val="0"/>
            <w:overflowPunct w:val="0"/>
            <w:jc w:val="both"/>
            <w:textAlignment w:val="baseline"/>
            <w:rPr>
              <w:szCs w:val="24"/>
            </w:rPr>
          </w:pPr>
          <w:r>
            <w:rPr>
              <w:szCs w:val="24"/>
            </w:rPr>
            <w:t>Nacionalinei mokėjimo agentūrai prie Žemės ūkio ministerijos</w:t>
          </w:r>
        </w:p>
        <w:p w14:paraId="658734F8" w14:textId="77777777">
          <w:pPr>
            <w:widowControl w:val="0"/>
            <w:overflowPunct w:val="0"/>
            <w:jc w:val="both"/>
            <w:textAlignment w:val="baseline"/>
            <w:rPr>
              <w:szCs w:val="24"/>
            </w:rPr>
          </w:pPr>
        </w:p>
        <w:sdt>
          <w:sdtPr>
            <w:alias w:val="skirsnis"/>
            <w:tag w:val="part_88d3356b8c9a42449d75b0d2372121cb"/>
            <w:lock w:val="sdtLocked"/>
            <w:richText/>
          </w:sdtPr>
          <w:sdtContent>
            <w:sdt>
              <w:sdtPr>
                <w:alias w:val="Pavadinimas"/>
                <w:tag w:val="title_88d3356b8c9a42449d75b0d2372121cb"/>
                <w:lock w:val="sdtLocked"/>
                <w:richText/>
              </w:sdtPr>
              <w:sdtContent>
                <w:p w14:paraId="0F080382" w14:textId="77777777">
                  <w:pPr>
                    <w:overflowPunct w:val="0"/>
                    <w:jc w:val="center"/>
                    <w:textAlignment w:val="baseline"/>
                    <w:rPr>
                      <w:b/>
                      <w:szCs w:val="24"/>
                    </w:rPr>
                  </w:pPr>
                  <w:r>
                    <w:rPr>
                      <w:b/>
                      <w:szCs w:val="24"/>
                    </w:rPr>
                    <w:t xml:space="preserve">PARAIŠKA GAUTI LĖŠAS PAGAL </w:t>
                  </w:r>
                </w:p>
                <w:p w14:paraId="417B5DE8" w14:textId="77777777">
                  <w:pPr>
                    <w:overflowPunct w:val="0"/>
                    <w:jc w:val="center"/>
                    <w:textAlignment w:val="baseline"/>
                    <w:rPr>
                      <w:b/>
                      <w:szCs w:val="24"/>
                    </w:rPr>
                  </w:pPr>
                  <w:r>
                    <w:rPr>
                      <w:b/>
                      <w:szCs w:val="24"/>
                    </w:rPr>
                    <w:t>TAUTINIO PAVELDO VEIKLOS FINANSAVIMO TAISYKLES</w:t>
                  </w:r>
                </w:p>
              </w:sdtContent>
            </w:sdt>
            <w:p w14:paraId="34CE524B" w14:textId="77777777">
              <w:pPr>
                <w:widowControl w:val="0"/>
                <w:overflowPunct w:val="0"/>
                <w:jc w:val="both"/>
                <w:textAlignment w:val="baseline"/>
                <w:rPr>
                  <w:szCs w:val="24"/>
                </w:rPr>
              </w:pPr>
            </w:p>
            <w:p w14:paraId="6A37C5E2" w14:textId="77777777">
              <w:pPr>
                <w:overflowPunct w:val="0"/>
                <w:jc w:val="center"/>
                <w:textAlignment w:val="baseline"/>
                <w:rPr>
                  <w:b/>
                  <w:szCs w:val="24"/>
                </w:rPr>
              </w:pPr>
              <w:r>
                <w:rPr>
                  <w:bCs/>
                  <w:szCs w:val="24"/>
                </w:rPr>
                <w:t>Paraiškos pildymo data:</w:t>
              </w:r>
              <w:r>
                <w:rPr>
                  <w:b/>
                  <w:szCs w:val="24"/>
                </w:rPr>
                <w:t xml:space="preserve">  </w:t>
              </w:r>
              <w:r>
                <w:rPr>
                  <w:color w:val="808080"/>
                </w:rPr>
                <w:t>Norėdami įvesti datą, spustelėkite čia</w:t>
              </w:r>
            </w:p>
            <w:p w14:paraId="78AF699B" w14:textId="77777777">
              <w:pPr>
                <w:overflowPunct w:val="0"/>
                <w:jc w:val="both"/>
                <w:textAlignment w:val="baseline"/>
                <w:rPr>
                  <w:b/>
                  <w:szCs w:val="24"/>
                </w:rPr>
              </w:pPr>
            </w:p>
            <w:sdt>
              <w:sdtPr>
                <w:alias w:val="1 pr. 1 p."/>
                <w:tag w:val="part_a4e08d4ae3c946e697d079180f3f8618"/>
                <w:lock w:val="sdtLocked"/>
                <w:richText/>
              </w:sdtPr>
              <w:sdtContent>
                <w:p w14:paraId="7C735ED5" w14:textId="77777777">
                  <w:pPr>
                    <w:overflowPunct w:val="0"/>
                    <w:ind w:firstLine="720"/>
                    <w:jc w:val="both"/>
                    <w:textAlignment w:val="baseline"/>
                    <w:rPr>
                      <w:b/>
                      <w:szCs w:val="24"/>
                    </w:rPr>
                  </w:pPr>
                  <w:sdt>
                    <w:sdtPr>
                      <w:alias w:val="Numeris"/>
                      <w:tag w:val="nr_a4e08d4ae3c946e697d079180f3f8618"/>
                      <w:lock w:val="sdtLocked"/>
                      <w:richText/>
                    </w:sdtPr>
                    <w:sdtContent>
                      <w:r>
                        <w:rPr>
                          <w:b/>
                          <w:szCs w:val="24"/>
                        </w:rPr>
                        <w:t>1</w:t>
                      </w:r>
                    </w:sdtContent>
                  </w:sdt>
                  <w:r>
                    <w:rPr>
                      <w:b/>
                      <w:szCs w:val="24"/>
                    </w:rPr>
                    <w:t>. PAREIŠKĖJO DUOMENYS</w:t>
                  </w:r>
                </w:p>
                <w:p w14:paraId="710A1793" w14:textId="77777777">
                  <w:pPr>
                    <w:overflowPunct w:val="0"/>
                    <w:jc w:val="both"/>
                    <w:textAlignment w:val="baseline"/>
                    <w:rPr>
                      <w:b/>
                      <w:szCs w:val="24"/>
                    </w:rPr>
                  </w:pPr>
                </w:p>
                <w:tbl>
                  <w:tblPr>
                    <w:tblW w:w="9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132"/>
                    <w:gridCol w:w="1418"/>
                    <w:gridCol w:w="2690"/>
                    <w:gridCol w:w="3125"/>
                    <w:gridCol w:w="1425"/>
                  </w:tblGrid>
                  <w:tr w14:paraId="590D557E" w14:textId="77777777">
                    <w:trPr>
                      <w:cantSplit/>
                      <w:trHeight w:val="128"/>
                    </w:trPr>
                    <w:tc>
                      <w:tcPr>
                        <w:tcW w:w="1302" w:type="pct"/>
                        <w:gridSpan w:val="2"/>
                        <w:tcBorders>
                          <w:top w:val="single" w:sz="4" w:space="0" w:color="auto"/>
                          <w:left w:val="single" w:sz="4" w:space="0" w:color="auto"/>
                          <w:bottom w:val="single" w:sz="4" w:space="0" w:color="auto"/>
                          <w:right w:val="single" w:sz="4" w:space="0" w:color="auto"/>
                        </w:tcBorders>
                        <w:vAlign w:val="center"/>
                        <w:hideMark/>
                      </w:tcPr>
                      <w:p w14:paraId="2B374888" w14:textId="4A6BB7D9">
                        <w:pPr>
                          <w:widowControl w:val="0"/>
                          <w:overflowPunct w:val="0"/>
                          <w:ind w:left="47" w:right="140"/>
                          <w:jc w:val="both"/>
                          <w:textAlignment w:val="baseline"/>
                          <w:rPr>
                            <w:sz w:val="22"/>
                            <w:szCs w:val="22"/>
                          </w:rPr>
                        </w:pPr>
                        <w:r>
                          <w:rPr>
                            <w:sz w:val="22"/>
                            <w:szCs w:val="22"/>
                          </w:rPr>
                          <w:t xml:space="preserve">Pareiškėjo vardas, pavardė arba pavadinimas </w:t>
                        </w:r>
                      </w:p>
                    </w:tc>
                    <w:tc>
                      <w:tcPr>
                        <w:tcW w:w="3698" w:type="pct"/>
                        <w:gridSpan w:val="3"/>
                        <w:tcBorders>
                          <w:top w:val="single" w:sz="4" w:space="0" w:color="auto"/>
                          <w:left w:val="single" w:sz="4" w:space="0" w:color="auto"/>
                          <w:bottom w:val="single" w:sz="4" w:space="0" w:color="auto"/>
                          <w:right w:val="single" w:sz="4" w:space="0" w:color="auto"/>
                        </w:tcBorders>
                        <w:vAlign w:val="center"/>
                      </w:tcPr>
                      <w:p w14:paraId="02E65311" w14:textId="77777777">
                        <w:pPr>
                          <w:widowControl w:val="0"/>
                          <w:overflowPunct w:val="0"/>
                          <w:jc w:val="both"/>
                          <w:textAlignment w:val="baseline"/>
                          <w:rPr>
                            <w:szCs w:val="24"/>
                          </w:rPr>
                        </w:pPr>
                      </w:p>
                    </w:tc>
                  </w:tr>
                  <w:tr w14:paraId="0B766ECE" w14:textId="77777777">
                    <w:trPr>
                      <w:cantSplit/>
                      <w:trHeight w:val="354"/>
                    </w:trPr>
                    <w:tc>
                      <w:tcPr>
                        <w:tcW w:w="1302" w:type="pct"/>
                        <w:gridSpan w:val="2"/>
                        <w:tcBorders>
                          <w:top w:val="single" w:sz="4" w:space="0" w:color="auto"/>
                          <w:left w:val="single" w:sz="4" w:space="0" w:color="auto"/>
                          <w:bottom w:val="single" w:sz="4" w:space="0" w:color="auto"/>
                          <w:right w:val="single" w:sz="4" w:space="0" w:color="auto"/>
                        </w:tcBorders>
                        <w:vAlign w:val="center"/>
                        <w:hideMark/>
                      </w:tcPr>
                      <w:p w14:paraId="6F95A3F5" w14:textId="77777777">
                        <w:pPr>
                          <w:widowControl w:val="0"/>
                          <w:overflowPunct w:val="0"/>
                          <w:ind w:left="47"/>
                          <w:jc w:val="both"/>
                          <w:textAlignment w:val="baseline"/>
                          <w:rPr>
                            <w:sz w:val="22"/>
                            <w:szCs w:val="22"/>
                          </w:rPr>
                        </w:pPr>
                        <w:r>
                          <w:rPr>
                            <w:sz w:val="22"/>
                            <w:szCs w:val="22"/>
                          </w:rPr>
                          <w:t>Teisinė forma</w:t>
                        </w:r>
                      </w:p>
                    </w:tc>
                    <w:tc>
                      <w:tcPr>
                        <w:tcW w:w="3698" w:type="pct"/>
                        <w:gridSpan w:val="3"/>
                        <w:tcBorders>
                          <w:top w:val="single" w:sz="4" w:space="0" w:color="auto"/>
                          <w:left w:val="single" w:sz="4" w:space="0" w:color="auto"/>
                          <w:bottom w:val="single" w:sz="4" w:space="0" w:color="auto"/>
                          <w:right w:val="single" w:sz="4" w:space="0" w:color="auto"/>
                        </w:tcBorders>
                        <w:vAlign w:val="center"/>
                      </w:tcPr>
                      <w:p w14:paraId="5ABFCF09" w14:textId="77777777">
                        <w:pPr>
                          <w:widowControl w:val="0"/>
                          <w:overflowPunct w:val="0"/>
                          <w:jc w:val="both"/>
                          <w:textAlignment w:val="baseline"/>
                          <w:rPr>
                            <w:szCs w:val="24"/>
                          </w:rPr>
                        </w:pPr>
                      </w:p>
                    </w:tc>
                  </w:tr>
                  <w:tr w14:paraId="06EB71AC" w14:textId="77777777">
                    <w:trPr>
                      <w:cantSplit/>
                      <w:trHeight w:val="401"/>
                    </w:trPr>
                    <w:tc>
                      <w:tcPr>
                        <w:tcW w:w="1302" w:type="pct"/>
                        <w:gridSpan w:val="2"/>
                        <w:tcBorders>
                          <w:top w:val="single" w:sz="4" w:space="0" w:color="auto"/>
                          <w:left w:val="single" w:sz="4" w:space="0" w:color="auto"/>
                          <w:bottom w:val="single" w:sz="4" w:space="0" w:color="auto"/>
                          <w:right w:val="single" w:sz="4" w:space="0" w:color="auto"/>
                        </w:tcBorders>
                        <w:vAlign w:val="center"/>
                        <w:hideMark/>
                      </w:tcPr>
                      <w:p w14:paraId="598582D7" w14:textId="77777777">
                        <w:pPr>
                          <w:widowControl w:val="0"/>
                          <w:overflowPunct w:val="0"/>
                          <w:ind w:left="47"/>
                          <w:jc w:val="both"/>
                          <w:textAlignment w:val="baseline"/>
                          <w:rPr>
                            <w:sz w:val="22"/>
                            <w:szCs w:val="22"/>
                          </w:rPr>
                        </w:pPr>
                        <w:r>
                          <w:rPr>
                            <w:sz w:val="22"/>
                            <w:szCs w:val="22"/>
                          </w:rPr>
                          <w:t>Įmonės</w:t>
                        </w:r>
                        <w:r>
                          <w:rPr>
                            <w:b/>
                            <w:sz w:val="22"/>
                            <w:szCs w:val="22"/>
                          </w:rPr>
                          <w:t xml:space="preserve"> </w:t>
                        </w:r>
                        <w:r>
                          <w:rPr>
                            <w:sz w:val="22"/>
                            <w:szCs w:val="22"/>
                          </w:rPr>
                          <w:t>ar asmens kodas</w:t>
                        </w:r>
                      </w:p>
                    </w:tc>
                    <w:tc>
                      <w:tcPr>
                        <w:tcW w:w="3698" w:type="pct"/>
                        <w:gridSpan w:val="3"/>
                        <w:tcBorders>
                          <w:top w:val="single" w:sz="4" w:space="0" w:color="auto"/>
                          <w:left w:val="single" w:sz="4" w:space="0" w:color="auto"/>
                          <w:bottom w:val="single" w:sz="4" w:space="0" w:color="auto"/>
                          <w:right w:val="single" w:sz="4" w:space="0" w:color="auto"/>
                        </w:tcBorders>
                        <w:vAlign w:val="center"/>
                      </w:tcPr>
                      <w:p w14:paraId="71F9602C" w14:textId="77777777">
                        <w:pPr>
                          <w:widowControl w:val="0"/>
                          <w:overflowPunct w:val="0"/>
                          <w:jc w:val="both"/>
                          <w:textAlignment w:val="baseline"/>
                          <w:rPr>
                            <w:szCs w:val="24"/>
                          </w:rPr>
                        </w:pPr>
                      </w:p>
                    </w:tc>
                  </w:tr>
                  <w:tr w14:paraId="1F4CD2E6" w14:textId="77777777">
                    <w:trPr>
                      <w:cantSplit/>
                      <w:trHeight w:val="401"/>
                    </w:trPr>
                    <w:tc>
                      <w:tcPr>
                        <w:tcW w:w="1302" w:type="pct"/>
                        <w:gridSpan w:val="2"/>
                        <w:tcBorders>
                          <w:top w:val="single" w:sz="4" w:space="0" w:color="auto"/>
                          <w:left w:val="single" w:sz="4" w:space="0" w:color="auto"/>
                          <w:bottom w:val="single" w:sz="4" w:space="0" w:color="auto"/>
                          <w:right w:val="single" w:sz="4" w:space="0" w:color="auto"/>
                        </w:tcBorders>
                        <w:vAlign w:val="center"/>
                        <w:hideMark/>
                      </w:tcPr>
                      <w:p w14:paraId="1174865D" w14:textId="77777777">
                        <w:pPr>
                          <w:widowControl w:val="0"/>
                          <w:overflowPunct w:val="0"/>
                          <w:ind w:left="47" w:right="140"/>
                          <w:jc w:val="both"/>
                          <w:textAlignment w:val="baseline"/>
                          <w:rPr>
                            <w:sz w:val="22"/>
                            <w:szCs w:val="22"/>
                          </w:rPr>
                        </w:pPr>
                        <w:r>
                          <w:rPr>
                            <w:sz w:val="22"/>
                            <w:szCs w:val="22"/>
                          </w:rPr>
                          <w:t>Vadovo vardas, pavardė, telefono Nr.</w:t>
                        </w:r>
                      </w:p>
                    </w:tc>
                    <w:tc>
                      <w:tcPr>
                        <w:tcW w:w="3698" w:type="pct"/>
                        <w:gridSpan w:val="3"/>
                        <w:tcBorders>
                          <w:top w:val="single" w:sz="4" w:space="0" w:color="auto"/>
                          <w:left w:val="single" w:sz="4" w:space="0" w:color="auto"/>
                          <w:bottom w:val="single" w:sz="4" w:space="0" w:color="auto"/>
                          <w:right w:val="single" w:sz="4" w:space="0" w:color="auto"/>
                        </w:tcBorders>
                        <w:vAlign w:val="center"/>
                      </w:tcPr>
                      <w:p w14:paraId="3E535E13" w14:textId="77777777">
                        <w:pPr>
                          <w:widowControl w:val="0"/>
                          <w:overflowPunct w:val="0"/>
                          <w:jc w:val="both"/>
                          <w:textAlignment w:val="baseline"/>
                          <w:rPr>
                            <w:szCs w:val="24"/>
                          </w:rPr>
                        </w:pPr>
                      </w:p>
                    </w:tc>
                  </w:tr>
                  <w:tr w14:paraId="075B7780" w14:textId="77777777">
                    <w:trPr>
                      <w:cantSplit/>
                      <w:trHeight w:val="437"/>
                    </w:trPr>
                    <w:tc>
                      <w:tcPr>
                        <w:tcW w:w="1302" w:type="pct"/>
                        <w:gridSpan w:val="2"/>
                        <w:tcBorders>
                          <w:top w:val="single" w:sz="4" w:space="0" w:color="auto"/>
                          <w:left w:val="single" w:sz="4" w:space="0" w:color="auto"/>
                          <w:bottom w:val="single" w:sz="4" w:space="0" w:color="auto"/>
                          <w:right w:val="single" w:sz="4" w:space="0" w:color="auto"/>
                        </w:tcBorders>
                        <w:vAlign w:val="center"/>
                        <w:hideMark/>
                      </w:tcPr>
                      <w:p w14:paraId="61438CC8" w14:textId="77777777">
                        <w:pPr>
                          <w:widowControl w:val="0"/>
                          <w:overflowPunct w:val="0"/>
                          <w:ind w:left="47" w:right="140"/>
                          <w:jc w:val="both"/>
                          <w:textAlignment w:val="baseline"/>
                          <w:rPr>
                            <w:sz w:val="22"/>
                            <w:szCs w:val="22"/>
                          </w:rPr>
                        </w:pPr>
                        <w:r>
                          <w:rPr>
                            <w:sz w:val="22"/>
                            <w:szCs w:val="22"/>
                          </w:rPr>
                          <w:t>Finansininko vardas, pavardė, telefono Nr.</w:t>
                        </w:r>
                      </w:p>
                    </w:tc>
                    <w:tc>
                      <w:tcPr>
                        <w:tcW w:w="3698" w:type="pct"/>
                        <w:gridSpan w:val="3"/>
                        <w:tcBorders>
                          <w:top w:val="single" w:sz="4" w:space="0" w:color="auto"/>
                          <w:left w:val="single" w:sz="4" w:space="0" w:color="auto"/>
                          <w:bottom w:val="single" w:sz="4" w:space="0" w:color="auto"/>
                          <w:right w:val="single" w:sz="4" w:space="0" w:color="auto"/>
                        </w:tcBorders>
                        <w:vAlign w:val="center"/>
                      </w:tcPr>
                      <w:p w14:paraId="777CBC94" w14:textId="77777777">
                        <w:pPr>
                          <w:widowControl w:val="0"/>
                          <w:overflowPunct w:val="0"/>
                          <w:jc w:val="both"/>
                          <w:textAlignment w:val="baseline"/>
                          <w:rPr>
                            <w:szCs w:val="24"/>
                          </w:rPr>
                        </w:pPr>
                      </w:p>
                    </w:tc>
                  </w:tr>
                  <w:tr w14:paraId="16F28766" w14:textId="77777777">
                    <w:trPr>
                      <w:cantSplit/>
                      <w:trHeight w:val="255"/>
                    </w:trPr>
                    <w:tc>
                      <w:tcPr>
                        <w:tcW w:w="1302" w:type="pct"/>
                        <w:gridSpan w:val="2"/>
                        <w:vMerge w:val="restart"/>
                        <w:tcBorders>
                          <w:top w:val="single" w:sz="4" w:space="0" w:color="auto"/>
                          <w:left w:val="single" w:sz="4" w:space="0" w:color="auto"/>
                          <w:bottom w:val="single" w:sz="4" w:space="0" w:color="auto"/>
                          <w:right w:val="single" w:sz="4" w:space="0" w:color="auto"/>
                        </w:tcBorders>
                        <w:vAlign w:val="center"/>
                        <w:hideMark/>
                      </w:tcPr>
                      <w:p w14:paraId="5B04152F" w14:textId="77777777">
                        <w:pPr>
                          <w:widowControl w:val="0"/>
                          <w:overflowPunct w:val="0"/>
                          <w:ind w:left="47" w:right="140"/>
                          <w:jc w:val="both"/>
                          <w:textAlignment w:val="baseline"/>
                          <w:rPr>
                            <w:sz w:val="22"/>
                            <w:szCs w:val="22"/>
                          </w:rPr>
                        </w:pPr>
                        <w:r>
                          <w:rPr>
                            <w:sz w:val="22"/>
                            <w:szCs w:val="22"/>
                          </w:rPr>
                          <w:t>Adresas: gatvė, namo Nr., pašto indeksas, vietovė, savivaldybė</w:t>
                        </w:r>
                      </w:p>
                    </w:tc>
                    <w:tc>
                      <w:tcPr>
                        <w:tcW w:w="1374" w:type="pct"/>
                        <w:tcBorders>
                          <w:top w:val="single" w:sz="4" w:space="0" w:color="auto"/>
                          <w:left w:val="single" w:sz="4" w:space="0" w:color="auto"/>
                          <w:bottom w:val="single" w:sz="4" w:space="0" w:color="auto"/>
                          <w:right w:val="single" w:sz="4" w:space="0" w:color="auto"/>
                        </w:tcBorders>
                        <w:vAlign w:val="center"/>
                        <w:hideMark/>
                      </w:tcPr>
                      <w:p w14:paraId="46AD81F1" w14:textId="77777777">
                        <w:pPr>
                          <w:widowControl w:val="0"/>
                          <w:overflowPunct w:val="0"/>
                          <w:ind w:left="47" w:right="137"/>
                          <w:jc w:val="both"/>
                          <w:textAlignment w:val="baseline"/>
                          <w:rPr>
                            <w:i/>
                            <w:szCs w:val="24"/>
                          </w:rPr>
                        </w:pPr>
                        <w:r>
                          <w:rPr>
                            <w:sz w:val="22"/>
                            <w:szCs w:val="22"/>
                          </w:rPr>
                          <w:t>Buveinės (juridinio asmens) arba gyvenamosios vietos (fizinio asmens)</w:t>
                        </w:r>
                      </w:p>
                    </w:tc>
                    <w:tc>
                      <w:tcPr>
                        <w:tcW w:w="2322" w:type="pct"/>
                        <w:gridSpan w:val="2"/>
                        <w:tcBorders>
                          <w:top w:val="single" w:sz="4" w:space="0" w:color="auto"/>
                          <w:left w:val="single" w:sz="4" w:space="0" w:color="auto"/>
                          <w:bottom w:val="single" w:sz="4" w:space="0" w:color="auto"/>
                          <w:right w:val="single" w:sz="4" w:space="0" w:color="auto"/>
                        </w:tcBorders>
                        <w:vAlign w:val="center"/>
                      </w:tcPr>
                      <w:p w14:paraId="095EDA8A" w14:textId="77777777">
                        <w:pPr>
                          <w:widowControl w:val="0"/>
                          <w:overflowPunct w:val="0"/>
                          <w:jc w:val="both"/>
                          <w:textAlignment w:val="baseline"/>
                          <w:rPr>
                            <w:i/>
                            <w:szCs w:val="24"/>
                          </w:rPr>
                        </w:pPr>
                      </w:p>
                    </w:tc>
                  </w:tr>
                  <w:tr w14:paraId="1EDF33A8" w14:textId="77777777">
                    <w:trPr>
                      <w:cantSplit/>
                      <w:trHeight w:val="583"/>
                    </w:trPr>
                    <w:tc>
                      <w:tcPr>
                        <w:tcW w:w="1302" w:type="pct"/>
                        <w:gridSpan w:val="2"/>
                        <w:vMerge/>
                        <w:tcBorders>
                          <w:top w:val="single" w:sz="4" w:space="0" w:color="auto"/>
                          <w:left w:val="single" w:sz="4" w:space="0" w:color="auto"/>
                          <w:bottom w:val="single" w:sz="4" w:space="0" w:color="auto"/>
                          <w:right w:val="single" w:sz="4" w:space="0" w:color="auto"/>
                        </w:tcBorders>
                        <w:vAlign w:val="center"/>
                        <w:hideMark/>
                      </w:tcPr>
                      <w:p w14:paraId="71410E6C" w14:textId="77777777">
                        <w:pPr>
                          <w:overflowPunct w:val="0"/>
                          <w:jc w:val="both"/>
                          <w:textAlignment w:val="baseline"/>
                          <w:rPr>
                            <w:sz w:val="22"/>
                            <w:szCs w:val="22"/>
                          </w:rPr>
                        </w:pPr>
                      </w:p>
                    </w:tc>
                    <w:tc>
                      <w:tcPr>
                        <w:tcW w:w="1374" w:type="pct"/>
                        <w:tcBorders>
                          <w:top w:val="single" w:sz="4" w:space="0" w:color="auto"/>
                          <w:left w:val="single" w:sz="4" w:space="0" w:color="auto"/>
                          <w:bottom w:val="single" w:sz="4" w:space="0" w:color="auto"/>
                          <w:right w:val="single" w:sz="4" w:space="0" w:color="auto"/>
                        </w:tcBorders>
                        <w:vAlign w:val="center"/>
                        <w:hideMark/>
                      </w:tcPr>
                      <w:p w14:paraId="67D3322E" w14:textId="77777777">
                        <w:pPr>
                          <w:widowControl w:val="0"/>
                          <w:overflowPunct w:val="0"/>
                          <w:ind w:left="47"/>
                          <w:jc w:val="both"/>
                          <w:textAlignment w:val="baseline"/>
                          <w:rPr>
                            <w:i/>
                            <w:szCs w:val="24"/>
                          </w:rPr>
                        </w:pPr>
                        <w:r>
                          <w:rPr>
                            <w:sz w:val="22"/>
                            <w:szCs w:val="22"/>
                          </w:rPr>
                          <w:t>Korespondencijos</w:t>
                        </w:r>
                      </w:p>
                    </w:tc>
                    <w:tc>
                      <w:tcPr>
                        <w:tcW w:w="2322" w:type="pct"/>
                        <w:gridSpan w:val="2"/>
                        <w:tcBorders>
                          <w:top w:val="single" w:sz="4" w:space="0" w:color="auto"/>
                          <w:left w:val="single" w:sz="4" w:space="0" w:color="auto"/>
                          <w:bottom w:val="single" w:sz="4" w:space="0" w:color="auto"/>
                          <w:right w:val="single" w:sz="4" w:space="0" w:color="auto"/>
                        </w:tcBorders>
                        <w:vAlign w:val="center"/>
                      </w:tcPr>
                      <w:p w14:paraId="2C38ECBF" w14:textId="77777777">
                        <w:pPr>
                          <w:widowControl w:val="0"/>
                          <w:overflowPunct w:val="0"/>
                          <w:jc w:val="both"/>
                          <w:textAlignment w:val="baseline"/>
                          <w:rPr>
                            <w:i/>
                            <w:szCs w:val="24"/>
                          </w:rPr>
                        </w:pPr>
                      </w:p>
                    </w:tc>
                  </w:tr>
                  <w:tr w14:paraId="23AA017A" w14:textId="77777777">
                    <w:trPr>
                      <w:cantSplit/>
                      <w:trHeight w:val="390"/>
                    </w:trPr>
                    <w:tc>
                      <w:tcPr>
                        <w:tcW w:w="1302" w:type="pct"/>
                        <w:gridSpan w:val="2"/>
                        <w:tcBorders>
                          <w:top w:val="single" w:sz="4" w:space="0" w:color="auto"/>
                          <w:left w:val="single" w:sz="4" w:space="0" w:color="auto"/>
                          <w:bottom w:val="single" w:sz="4" w:space="0" w:color="auto"/>
                          <w:right w:val="single" w:sz="4" w:space="0" w:color="auto"/>
                        </w:tcBorders>
                        <w:vAlign w:val="center"/>
                        <w:hideMark/>
                      </w:tcPr>
                      <w:p w14:paraId="73CD6675" w14:textId="77777777">
                        <w:pPr>
                          <w:widowControl w:val="0"/>
                          <w:overflowPunct w:val="0"/>
                          <w:ind w:left="47"/>
                          <w:jc w:val="both"/>
                          <w:textAlignment w:val="baseline"/>
                          <w:rPr>
                            <w:sz w:val="22"/>
                            <w:szCs w:val="22"/>
                          </w:rPr>
                        </w:pPr>
                        <w:r>
                          <w:rPr>
                            <w:sz w:val="22"/>
                            <w:szCs w:val="22"/>
                          </w:rPr>
                          <w:t>Telefono Nr.</w:t>
                        </w:r>
                      </w:p>
                    </w:tc>
                    <w:tc>
                      <w:tcPr>
                        <w:tcW w:w="3698" w:type="pct"/>
                        <w:gridSpan w:val="3"/>
                        <w:tcBorders>
                          <w:top w:val="single" w:sz="4" w:space="0" w:color="auto"/>
                          <w:left w:val="single" w:sz="4" w:space="0" w:color="auto"/>
                          <w:bottom w:val="single" w:sz="4" w:space="0" w:color="auto"/>
                          <w:right w:val="single" w:sz="4" w:space="0" w:color="auto"/>
                        </w:tcBorders>
                        <w:vAlign w:val="center"/>
                      </w:tcPr>
                      <w:p w14:paraId="29E079B6" w14:textId="77777777">
                        <w:pPr>
                          <w:widowControl w:val="0"/>
                          <w:overflowPunct w:val="0"/>
                          <w:jc w:val="both"/>
                          <w:textAlignment w:val="baseline"/>
                          <w:rPr>
                            <w:szCs w:val="24"/>
                          </w:rPr>
                        </w:pPr>
                      </w:p>
                    </w:tc>
                  </w:tr>
                  <w:tr w14:paraId="514C97AA" w14:textId="77777777">
                    <w:trPr>
                      <w:cantSplit/>
                      <w:trHeight w:val="423"/>
                    </w:trPr>
                    <w:tc>
                      <w:tcPr>
                        <w:tcW w:w="1302" w:type="pct"/>
                        <w:gridSpan w:val="2"/>
                        <w:tcBorders>
                          <w:top w:val="single" w:sz="4" w:space="0" w:color="auto"/>
                          <w:left w:val="single" w:sz="4" w:space="0" w:color="auto"/>
                          <w:bottom w:val="single" w:sz="4" w:space="0" w:color="auto"/>
                          <w:right w:val="single" w:sz="4" w:space="0" w:color="auto"/>
                        </w:tcBorders>
                        <w:vAlign w:val="center"/>
                        <w:hideMark/>
                      </w:tcPr>
                      <w:p w14:paraId="4C076E4D" w14:textId="77777777">
                        <w:pPr>
                          <w:widowControl w:val="0"/>
                          <w:overflowPunct w:val="0"/>
                          <w:ind w:left="47"/>
                          <w:jc w:val="both"/>
                          <w:textAlignment w:val="baseline"/>
                          <w:rPr>
                            <w:sz w:val="22"/>
                            <w:szCs w:val="22"/>
                          </w:rPr>
                        </w:pPr>
                        <w:r>
                          <w:rPr>
                            <w:sz w:val="22"/>
                            <w:szCs w:val="22"/>
                          </w:rPr>
                          <w:t>El. p. adresas</w:t>
                        </w:r>
                      </w:p>
                    </w:tc>
                    <w:tc>
                      <w:tcPr>
                        <w:tcW w:w="3698" w:type="pct"/>
                        <w:gridSpan w:val="3"/>
                        <w:tcBorders>
                          <w:top w:val="single" w:sz="4" w:space="0" w:color="auto"/>
                          <w:left w:val="single" w:sz="4" w:space="0" w:color="auto"/>
                          <w:bottom w:val="single" w:sz="4" w:space="0" w:color="auto"/>
                          <w:right w:val="single" w:sz="4" w:space="0" w:color="auto"/>
                        </w:tcBorders>
                        <w:vAlign w:val="center"/>
                      </w:tcPr>
                      <w:p w14:paraId="541F56AA" w14:textId="77777777">
                        <w:pPr>
                          <w:widowControl w:val="0"/>
                          <w:overflowPunct w:val="0"/>
                          <w:jc w:val="both"/>
                          <w:textAlignment w:val="baseline"/>
                          <w:rPr>
                            <w:szCs w:val="24"/>
                          </w:rPr>
                        </w:pPr>
                      </w:p>
                    </w:tc>
                  </w:tr>
                  <w:tr w14:paraId="76ABFC03" w14:textId="77777777">
                    <w:trPr>
                      <w:cantSplit/>
                      <w:trHeight w:val="415"/>
                    </w:trPr>
                    <w:tc>
                      <w:tcPr>
                        <w:tcW w:w="1302" w:type="pct"/>
                        <w:gridSpan w:val="2"/>
                        <w:tcBorders>
                          <w:top w:val="single" w:sz="4" w:space="0" w:color="auto"/>
                          <w:left w:val="single" w:sz="4" w:space="0" w:color="auto"/>
                          <w:bottom w:val="single" w:sz="4" w:space="0" w:color="auto"/>
                          <w:right w:val="single" w:sz="4" w:space="0" w:color="auto"/>
                        </w:tcBorders>
                        <w:vAlign w:val="center"/>
                        <w:hideMark/>
                      </w:tcPr>
                      <w:p w14:paraId="026341C8" w14:textId="77777777">
                        <w:pPr>
                          <w:widowControl w:val="0"/>
                          <w:overflowPunct w:val="0"/>
                          <w:ind w:left="47"/>
                          <w:jc w:val="both"/>
                          <w:textAlignment w:val="baseline"/>
                          <w:rPr>
                            <w:sz w:val="22"/>
                            <w:szCs w:val="22"/>
                          </w:rPr>
                        </w:pPr>
                        <w:r>
                          <w:rPr>
                            <w:sz w:val="22"/>
                            <w:szCs w:val="22"/>
                          </w:rPr>
                          <w:t>Banko pavadinimas</w:t>
                        </w:r>
                      </w:p>
                    </w:tc>
                    <w:tc>
                      <w:tcPr>
                        <w:tcW w:w="3698" w:type="pct"/>
                        <w:gridSpan w:val="3"/>
                        <w:tcBorders>
                          <w:top w:val="single" w:sz="4" w:space="0" w:color="auto"/>
                          <w:left w:val="single" w:sz="4" w:space="0" w:color="auto"/>
                          <w:bottom w:val="single" w:sz="4" w:space="0" w:color="auto"/>
                          <w:right w:val="single" w:sz="4" w:space="0" w:color="auto"/>
                        </w:tcBorders>
                        <w:vAlign w:val="center"/>
                      </w:tcPr>
                      <w:p w14:paraId="34DF5426" w14:textId="77777777">
                        <w:pPr>
                          <w:widowControl w:val="0"/>
                          <w:overflowPunct w:val="0"/>
                          <w:jc w:val="both"/>
                          <w:textAlignment w:val="baseline"/>
                          <w:rPr>
                            <w:i/>
                            <w:szCs w:val="24"/>
                          </w:rPr>
                        </w:pPr>
                      </w:p>
                    </w:tc>
                  </w:tr>
                  <w:tr w14:paraId="131B3901" w14:textId="77777777">
                    <w:trPr>
                      <w:cantSplit/>
                      <w:trHeight w:val="407"/>
                    </w:trPr>
                    <w:tc>
                      <w:tcPr>
                        <w:tcW w:w="1302" w:type="pct"/>
                        <w:gridSpan w:val="2"/>
                        <w:tcBorders>
                          <w:top w:val="single" w:sz="4" w:space="0" w:color="auto"/>
                          <w:left w:val="single" w:sz="4" w:space="0" w:color="auto"/>
                          <w:bottom w:val="single" w:sz="4" w:space="0" w:color="auto"/>
                          <w:right w:val="single" w:sz="4" w:space="0" w:color="auto"/>
                        </w:tcBorders>
                        <w:vAlign w:val="center"/>
                        <w:hideMark/>
                      </w:tcPr>
                      <w:p w14:paraId="3EEFF780" w14:textId="77777777">
                        <w:pPr>
                          <w:widowControl w:val="0"/>
                          <w:overflowPunct w:val="0"/>
                          <w:ind w:left="47"/>
                          <w:jc w:val="both"/>
                          <w:textAlignment w:val="baseline"/>
                          <w:rPr>
                            <w:sz w:val="22"/>
                            <w:szCs w:val="22"/>
                          </w:rPr>
                        </w:pPr>
                        <w:r>
                          <w:rPr>
                            <w:sz w:val="22"/>
                            <w:szCs w:val="22"/>
                          </w:rPr>
                          <w:t>Banko kodas</w:t>
                        </w:r>
                      </w:p>
                    </w:tc>
                    <w:tc>
                      <w:tcPr>
                        <w:tcW w:w="3698" w:type="pct"/>
                        <w:gridSpan w:val="3"/>
                        <w:tcBorders>
                          <w:top w:val="single" w:sz="4" w:space="0" w:color="auto"/>
                          <w:left w:val="single" w:sz="4" w:space="0" w:color="auto"/>
                          <w:bottom w:val="single" w:sz="4" w:space="0" w:color="auto"/>
                          <w:right w:val="single" w:sz="4" w:space="0" w:color="auto"/>
                        </w:tcBorders>
                        <w:vAlign w:val="center"/>
                        <w:hideMark/>
                      </w:tcPr>
                      <w:p w14:paraId="16F6BF72" w14:textId="77777777">
                        <w:pPr>
                          <w:widowControl w:val="0"/>
                          <w:overflowPunct w:val="0"/>
                          <w:jc w:val="both"/>
                          <w:textAlignment w:val="baseline"/>
                          <w:rPr>
                            <w:szCs w:val="24"/>
                          </w:rPr>
                        </w:pPr>
                      </w:p>
                    </w:tc>
                  </w:tr>
                  <w:tr w14:paraId="0E160A8A" w14:textId="77777777">
                    <w:trPr>
                      <w:cantSplit/>
                      <w:trHeight w:val="433"/>
                    </w:trPr>
                    <w:tc>
                      <w:tcPr>
                        <w:tcW w:w="1302" w:type="pct"/>
                        <w:gridSpan w:val="2"/>
                        <w:tcBorders>
                          <w:top w:val="single" w:sz="4" w:space="0" w:color="auto"/>
                          <w:left w:val="single" w:sz="4" w:space="0" w:color="auto"/>
                          <w:bottom w:val="single" w:sz="4" w:space="0" w:color="auto"/>
                          <w:right w:val="single" w:sz="4" w:space="0" w:color="auto"/>
                        </w:tcBorders>
                        <w:vAlign w:val="center"/>
                        <w:hideMark/>
                      </w:tcPr>
                      <w:p w14:paraId="1666A4DF" w14:textId="77777777">
                        <w:pPr>
                          <w:widowControl w:val="0"/>
                          <w:overflowPunct w:val="0"/>
                          <w:ind w:left="47" w:right="140"/>
                          <w:jc w:val="both"/>
                          <w:textAlignment w:val="baseline"/>
                          <w:rPr>
                            <w:sz w:val="22"/>
                            <w:szCs w:val="22"/>
                          </w:rPr>
                        </w:pPr>
                        <w:r>
                          <w:rPr>
                            <w:sz w:val="22"/>
                            <w:szCs w:val="22"/>
                          </w:rPr>
                          <w:t>Atsiskaitomosios sąskaitos Nr.</w:t>
                        </w:r>
                      </w:p>
                    </w:tc>
                    <w:tc>
                      <w:tcPr>
                        <w:tcW w:w="3698" w:type="pct"/>
                        <w:gridSpan w:val="3"/>
                        <w:tcBorders>
                          <w:top w:val="single" w:sz="4" w:space="0" w:color="auto"/>
                          <w:left w:val="single" w:sz="4" w:space="0" w:color="auto"/>
                          <w:bottom w:val="single" w:sz="4" w:space="0" w:color="auto"/>
                          <w:right w:val="single" w:sz="4" w:space="0" w:color="auto"/>
                        </w:tcBorders>
                        <w:vAlign w:val="center"/>
                      </w:tcPr>
                      <w:p w14:paraId="7ACFB9C1" w14:textId="77777777">
                        <w:pPr>
                          <w:widowControl w:val="0"/>
                          <w:overflowPunct w:val="0"/>
                          <w:jc w:val="both"/>
                          <w:textAlignment w:val="baseline"/>
                          <w:rPr>
                            <w:sz w:val="4"/>
                            <w:szCs w:val="4"/>
                          </w:rPr>
                        </w:pPr>
                      </w:p>
                    </w:tc>
                  </w:tr>
                  <w:tr w14:paraId="087DCD84" w14:textId="77777777">
                    <w:trPr>
                      <w:cantSplit/>
                      <w:trHeight w:val="553"/>
                    </w:trPr>
                    <w:tc>
                      <w:tcPr>
                        <w:tcW w:w="578" w:type="pct"/>
                        <w:vMerge w:val="restart"/>
                        <w:tcBorders>
                          <w:top w:val="single" w:sz="4" w:space="0" w:color="auto"/>
                          <w:left w:val="single" w:sz="4" w:space="0" w:color="auto"/>
                          <w:bottom w:val="single" w:sz="4" w:space="0" w:color="auto"/>
                          <w:right w:val="single" w:sz="4" w:space="0" w:color="auto"/>
                        </w:tcBorders>
                        <w:hideMark/>
                      </w:tcPr>
                      <w:p w14:paraId="7E9F197C" w14:textId="77777777">
                        <w:pPr>
                          <w:widowControl w:val="0"/>
                          <w:overflowPunct w:val="0"/>
                          <w:ind w:left="47"/>
                          <w:jc w:val="both"/>
                          <w:textAlignment w:val="baseline"/>
                          <w:rPr>
                            <w:sz w:val="22"/>
                            <w:szCs w:val="22"/>
                          </w:rPr>
                        </w:pPr>
                        <w:r>
                          <w:rPr>
                            <w:sz w:val="22"/>
                            <w:szCs w:val="22"/>
                          </w:rPr>
                          <w:t xml:space="preserve">Pažymėti tinkamą </w:t>
                        </w:r>
                        <w:r>
                          <w:rPr>
                            <w:i/>
                            <w:iCs/>
                            <w:sz w:val="22"/>
                            <w:szCs w:val="22"/>
                          </w:rPr>
                          <w:t>(pažymima ženklu „X“)</w:t>
                        </w:r>
                      </w:p>
                    </w:tc>
                    <w:tc>
                      <w:tcPr>
                        <w:tcW w:w="3694" w:type="pct"/>
                        <w:gridSpan w:val="3"/>
                        <w:tcBorders>
                          <w:top w:val="single" w:sz="4" w:space="0" w:color="auto"/>
                          <w:left w:val="single" w:sz="4" w:space="0" w:color="auto"/>
                          <w:bottom w:val="single" w:sz="4" w:space="0" w:color="auto"/>
                          <w:right w:val="single" w:sz="4" w:space="0" w:color="auto"/>
                        </w:tcBorders>
                        <w:hideMark/>
                      </w:tcPr>
                      <w:p w14:paraId="38A1A395" w14:textId="6CCFBDB3">
                        <w:pPr>
                          <w:widowControl w:val="0"/>
                          <w:overflowPunct w:val="0"/>
                          <w:ind w:left="136"/>
                          <w:jc w:val="both"/>
                          <w:textAlignment w:val="baseline"/>
                          <w:rPr>
                            <w:rFonts w:eastAsia="MS Mincho"/>
                            <w:sz w:val="22"/>
                            <w:szCs w:val="22"/>
                          </w:rPr>
                        </w:pPr>
                        <w:r>
                          <w:rPr>
                            <w:rFonts w:eastAsia="MS Mincho"/>
                            <w:sz w:val="22"/>
                            <w:szCs w:val="22"/>
                          </w:rPr>
                          <w:t>Esu PVM mokėtojas</w:t>
                        </w:r>
                      </w:p>
                      <w:p w14:paraId="2C0D5695" w14:textId="77777777">
                        <w:pPr>
                          <w:widowControl w:val="0"/>
                          <w:overflowPunct w:val="0"/>
                          <w:ind w:left="136"/>
                          <w:jc w:val="both"/>
                          <w:textAlignment w:val="baseline"/>
                          <w:rPr>
                            <w:rFonts w:eastAsia="MS Mincho"/>
                            <w:szCs w:val="24"/>
                          </w:rPr>
                        </w:pPr>
                        <w:r>
                          <w:rPr>
                            <w:rFonts w:eastAsia="MS Mincho"/>
                            <w:sz w:val="22"/>
                            <w:szCs w:val="22"/>
                          </w:rPr>
                          <w:t>Jei taip, nurodykite PVM mokėtojo kodą</w:t>
                        </w:r>
                        <w:r>
                          <w:rPr>
                            <w:rFonts w:eastAsia="MS Mincho"/>
                            <w:szCs w:val="24"/>
                          </w:rPr>
                          <w:t xml:space="preserve">: </w:t>
                        </w:r>
                        <w:r>
                          <w:rPr>
                            <w:color w:val="808080"/>
                          </w:rPr>
                          <w:t xml:space="preserve"> įveskite kodą</w:t>
                        </w:r>
                      </w:p>
                    </w:tc>
                    <w:tc>
                      <w:tcPr>
                        <w:tcW w:w="729" w:type="pct"/>
                        <w:tcBorders>
                          <w:top w:val="single" w:sz="4" w:space="0" w:color="auto"/>
                          <w:left w:val="single" w:sz="4" w:space="0" w:color="auto"/>
                          <w:bottom w:val="single" w:sz="4" w:space="0" w:color="auto"/>
                          <w:right w:val="single" w:sz="4" w:space="0" w:color="auto"/>
                        </w:tcBorders>
                        <w:vAlign w:val="center"/>
                        <w:hideMark/>
                      </w:tcPr>
                      <w:p w14:paraId="16BF6899" w14:textId="77777777">
                        <w:pPr>
                          <w:widowControl w:val="0"/>
                          <w:tabs>
                            <w:tab w:val="left" w:pos="854"/>
                          </w:tabs>
                          <w:overflowPunct w:val="0"/>
                          <w:ind w:right="-145" w:firstLine="56"/>
                          <w:jc w:val="both"/>
                          <w:textAlignment w:val="baseline"/>
                          <w:rPr>
                            <w:rFonts w:eastAsia="MS Mincho"/>
                            <w:sz w:val="4"/>
                            <w:szCs w:val="4"/>
                          </w:rPr>
                        </w:pPr>
                        <w:r>
                          <w:rPr>
                            <w:rFonts w:eastAsia="MS Mincho"/>
                            <w:sz w:val="22"/>
                            <w:szCs w:val="22"/>
                          </w:rPr>
                          <w:t>Taip</w:t>
                        </w:r>
                        <w:r>
                          <w:rPr>
                            <w:rFonts w:eastAsia="MS Mincho"/>
                            <w:szCs w:val="24"/>
                          </w:rPr>
                          <w:t xml:space="preserve"> </w:t>
                        </w:r>
                        <w:r>
                          <w:rPr>
                            <w:rFonts w:ascii="MS Gothic" w:eastAsia="MS Gothic" w:hAnsi="MS Gothic"/>
                            <w:szCs w:val="24"/>
                          </w:rPr>
                          <w:t>☐</w:t>
                        </w:r>
                      </w:p>
                      <w:p w14:paraId="481C8096" w14:textId="77777777">
                        <w:pPr>
                          <w:widowControl w:val="0"/>
                          <w:overflowPunct w:val="0"/>
                          <w:ind w:firstLine="57"/>
                          <w:jc w:val="both"/>
                          <w:textAlignment w:val="baseline"/>
                          <w:rPr>
                            <w:rFonts w:eastAsia="MS Mincho"/>
                            <w:szCs w:val="24"/>
                          </w:rPr>
                        </w:pPr>
                        <w:r>
                          <w:rPr>
                            <w:rFonts w:eastAsia="MS Mincho"/>
                            <w:sz w:val="22"/>
                            <w:szCs w:val="22"/>
                          </w:rPr>
                          <w:t xml:space="preserve">Ne    </w:t>
                        </w:r>
                        <w:r>
                          <w:rPr>
                            <w:rFonts w:ascii="MS Gothic" w:eastAsia="MS Gothic" w:hAnsi="MS Gothic"/>
                            <w:szCs w:val="24"/>
                          </w:rPr>
                          <w:t>☐</w:t>
                        </w:r>
                      </w:p>
                    </w:tc>
                  </w:tr>
                  <w:tr w14:paraId="79B666D6" w14:textId="77777777">
                    <w:trPr>
                      <w:cantSplit/>
                      <w:trHeight w:val="897"/>
                    </w:trPr>
                    <w:tc>
                      <w:tcPr>
                        <w:tcW w:w="578" w:type="pct"/>
                        <w:vMerge/>
                        <w:tcBorders>
                          <w:top w:val="single" w:sz="4" w:space="0" w:color="auto"/>
                          <w:left w:val="single" w:sz="4" w:space="0" w:color="auto"/>
                          <w:bottom w:val="single" w:sz="4" w:space="0" w:color="auto"/>
                          <w:right w:val="single" w:sz="4" w:space="0" w:color="auto"/>
                        </w:tcBorders>
                        <w:vAlign w:val="center"/>
                        <w:hideMark/>
                      </w:tcPr>
                      <w:p w14:paraId="5D41FE51" w14:textId="77777777">
                        <w:pPr>
                          <w:overflowPunct w:val="0"/>
                          <w:jc w:val="both"/>
                          <w:textAlignment w:val="baseline"/>
                          <w:rPr>
                            <w:sz w:val="22"/>
                            <w:szCs w:val="22"/>
                          </w:rPr>
                        </w:pPr>
                      </w:p>
                    </w:tc>
                    <w:tc>
                      <w:tcPr>
                        <w:tcW w:w="3694" w:type="pct"/>
                        <w:gridSpan w:val="3"/>
                        <w:tcBorders>
                          <w:top w:val="single" w:sz="4" w:space="0" w:color="auto"/>
                          <w:left w:val="single" w:sz="4" w:space="0" w:color="auto"/>
                          <w:bottom w:val="single" w:sz="4" w:space="0" w:color="auto"/>
                          <w:right w:val="single" w:sz="4" w:space="0" w:color="auto"/>
                        </w:tcBorders>
                        <w:hideMark/>
                      </w:tcPr>
                      <w:p w14:paraId="47C66090" w14:textId="77777777">
                        <w:pPr>
                          <w:widowControl w:val="0"/>
                          <w:overflowPunct w:val="0"/>
                          <w:ind w:left="136"/>
                          <w:jc w:val="both"/>
                          <w:textAlignment w:val="baseline"/>
                          <w:rPr>
                            <w:sz w:val="22"/>
                            <w:szCs w:val="22"/>
                          </w:rPr>
                        </w:pPr>
                        <w:r>
                          <w:rPr>
                            <w:sz w:val="22"/>
                            <w:szCs w:val="22"/>
                          </w:rPr>
                          <w:t>Jei PVM mokėtojas:</w:t>
                        </w:r>
                      </w:p>
                      <w:p w14:paraId="207346D0" w14:textId="77777777">
                        <w:pPr>
                          <w:widowControl w:val="0"/>
                          <w:overflowPunct w:val="0"/>
                          <w:ind w:left="136"/>
                          <w:jc w:val="both"/>
                          <w:textAlignment w:val="baseline"/>
                          <w:rPr>
                            <w:rFonts w:eastAsia="MS Mincho"/>
                            <w:sz w:val="22"/>
                            <w:szCs w:val="22"/>
                          </w:rPr>
                        </w:pPr>
                        <w:r>
                          <w:rPr>
                            <w:sz w:val="22"/>
                            <w:szCs w:val="22"/>
                          </w:rPr>
                          <w:t>Patvirtinu, kad priemonė, kuriai organizuoti prašoma lėšų, nėra ekonominė veikla ir už šiai veiklai organizuoti įsigytas prekes ir paslaugas negalėsiu susigrąžinti PVM</w:t>
                        </w:r>
                      </w:p>
                    </w:tc>
                    <w:tc>
                      <w:tcPr>
                        <w:tcW w:w="729" w:type="pct"/>
                        <w:tcBorders>
                          <w:top w:val="single" w:sz="4" w:space="0" w:color="auto"/>
                          <w:left w:val="single" w:sz="4" w:space="0" w:color="auto"/>
                          <w:bottom w:val="single" w:sz="4" w:space="0" w:color="auto"/>
                          <w:right w:val="single" w:sz="4" w:space="0" w:color="auto"/>
                        </w:tcBorders>
                      </w:tcPr>
                      <w:p w14:paraId="01704C85" w14:textId="77777777">
                        <w:pPr>
                          <w:widowControl w:val="0"/>
                          <w:tabs>
                            <w:tab w:val="left" w:pos="854"/>
                          </w:tabs>
                          <w:overflowPunct w:val="0"/>
                          <w:ind w:right="-145" w:hanging="1"/>
                          <w:jc w:val="both"/>
                          <w:textAlignment w:val="baseline"/>
                          <w:rPr>
                            <w:rFonts w:eastAsia="MS Mincho"/>
                            <w:sz w:val="16"/>
                            <w:szCs w:val="16"/>
                          </w:rPr>
                        </w:pPr>
                      </w:p>
                      <w:p w14:paraId="4C342B36" w14:textId="77777777">
                        <w:pPr>
                          <w:widowControl w:val="0"/>
                          <w:tabs>
                            <w:tab w:val="left" w:pos="854"/>
                          </w:tabs>
                          <w:overflowPunct w:val="0"/>
                          <w:ind w:right="-145" w:firstLine="56"/>
                          <w:jc w:val="both"/>
                          <w:textAlignment w:val="baseline"/>
                          <w:rPr>
                            <w:rFonts w:eastAsia="MS Mincho"/>
                            <w:sz w:val="4"/>
                            <w:szCs w:val="4"/>
                          </w:rPr>
                        </w:pPr>
                        <w:r>
                          <w:rPr>
                            <w:rFonts w:eastAsia="MS Mincho"/>
                            <w:sz w:val="22"/>
                            <w:szCs w:val="22"/>
                          </w:rPr>
                          <w:t>Taip</w:t>
                        </w:r>
                        <w:r>
                          <w:rPr>
                            <w:rFonts w:eastAsia="MS Mincho"/>
                            <w:szCs w:val="24"/>
                          </w:rPr>
                          <w:t xml:space="preserve"> </w:t>
                        </w:r>
                        <w:r>
                          <w:rPr>
                            <w:rFonts w:ascii="MS Gothic" w:eastAsia="MS Gothic" w:hAnsi="MS Gothic"/>
                            <w:szCs w:val="24"/>
                          </w:rPr>
                          <w:t>☐</w:t>
                        </w:r>
                      </w:p>
                      <w:p w14:paraId="086A867F" w14:textId="77777777">
                        <w:pPr>
                          <w:widowControl w:val="0"/>
                          <w:tabs>
                            <w:tab w:val="left" w:pos="854"/>
                          </w:tabs>
                          <w:overflowPunct w:val="0"/>
                          <w:ind w:right="-145" w:firstLine="57"/>
                          <w:jc w:val="both"/>
                          <w:textAlignment w:val="baseline"/>
                          <w:rPr>
                            <w:rFonts w:eastAsia="MS Mincho"/>
                            <w:szCs w:val="24"/>
                          </w:rPr>
                        </w:pPr>
                        <w:r>
                          <w:rPr>
                            <w:rFonts w:eastAsia="MS Mincho"/>
                            <w:sz w:val="22"/>
                            <w:szCs w:val="22"/>
                          </w:rPr>
                          <w:t xml:space="preserve">Ne    </w:t>
                        </w:r>
                        <w:r>
                          <w:rPr>
                            <w:rFonts w:ascii="MS Gothic" w:eastAsia="MS Gothic" w:hAnsi="MS Gothic"/>
                            <w:szCs w:val="24"/>
                          </w:rPr>
                          <w:t>☐</w:t>
                        </w:r>
                      </w:p>
                    </w:tc>
                  </w:tr>
                  <w:tr w14:paraId="7BA4FA3A" w14:textId="77777777">
                    <w:trPr>
                      <w:cantSplit/>
                      <w:trHeight w:val="897"/>
                    </w:trPr>
                    <w:tc>
                      <w:tcPr>
                        <w:tcW w:w="578" w:type="pct"/>
                        <w:vMerge/>
                        <w:tcBorders>
                          <w:top w:val="single" w:sz="4" w:space="0" w:color="auto"/>
                          <w:left w:val="single" w:sz="4" w:space="0" w:color="auto"/>
                          <w:bottom w:val="single" w:sz="4" w:space="0" w:color="auto"/>
                          <w:right w:val="single" w:sz="4" w:space="0" w:color="auto"/>
                        </w:tcBorders>
                        <w:vAlign w:val="center"/>
                        <w:hideMark/>
                      </w:tcPr>
                      <w:p w14:paraId="6594227D" w14:textId="77777777">
                        <w:pPr>
                          <w:overflowPunct w:val="0"/>
                          <w:jc w:val="both"/>
                          <w:textAlignment w:val="baseline"/>
                          <w:rPr>
                            <w:sz w:val="22"/>
                            <w:szCs w:val="22"/>
                          </w:rPr>
                        </w:pPr>
                      </w:p>
                    </w:tc>
                    <w:tc>
                      <w:tcPr>
                        <w:tcW w:w="3694" w:type="pct"/>
                        <w:gridSpan w:val="3"/>
                        <w:tcBorders>
                          <w:top w:val="single" w:sz="4" w:space="0" w:color="auto"/>
                          <w:left w:val="single" w:sz="4" w:space="0" w:color="auto"/>
                          <w:bottom w:val="single" w:sz="4" w:space="0" w:color="auto"/>
                          <w:right w:val="single" w:sz="4" w:space="0" w:color="auto"/>
                        </w:tcBorders>
                        <w:hideMark/>
                      </w:tcPr>
                      <w:p w14:paraId="7EFC1443" w14:textId="77777777">
                        <w:pPr>
                          <w:overflowPunct w:val="0"/>
                          <w:spacing w:line="252" w:lineRule="atLeast"/>
                          <w:ind w:left="136" w:right="165"/>
                          <w:jc w:val="both"/>
                          <w:textAlignment w:val="baseline"/>
                          <w:rPr>
                            <w:sz w:val="22"/>
                            <w:szCs w:val="22"/>
                          </w:rPr>
                        </w:pPr>
                        <w:r>
                          <w:rPr>
                            <w:sz w:val="22"/>
                            <w:szCs w:val="22"/>
                          </w:rPr>
                          <w:t xml:space="preserve">Mano įmonė per pastaruosius trejus finansinius metus susijungė su kita įmone, arba mano įmonė įsigijo kitą įmonę, arba kita įmonė įsigijo mano įmonę </w:t>
                        </w:r>
                      </w:p>
                      <w:p w14:paraId="27A23C09" w14:textId="77777777">
                        <w:pPr>
                          <w:widowControl w:val="0"/>
                          <w:overflowPunct w:val="0"/>
                          <w:ind w:left="136" w:right="140"/>
                          <w:jc w:val="both"/>
                          <w:textAlignment w:val="baseline"/>
                          <w:rPr>
                            <w:rFonts w:eastAsia="MS Mincho"/>
                            <w:sz w:val="22"/>
                            <w:szCs w:val="22"/>
                          </w:rPr>
                        </w:pPr>
                        <w:r>
                          <w:rPr>
                            <w:i/>
                            <w:iCs/>
                            <w:sz w:val="22"/>
                            <w:szCs w:val="22"/>
                          </w:rPr>
                          <w:t>Jeigu pažymima „Taip“, toliau esančioje eilutėje nurodomi susijusių įmonių pavadinimai / vardai ir pavardės, įmonių / asmens kodai</w:t>
                        </w:r>
                      </w:p>
                    </w:tc>
                    <w:tc>
                      <w:tcPr>
                        <w:tcW w:w="729" w:type="pct"/>
                        <w:tcBorders>
                          <w:top w:val="single" w:sz="4" w:space="0" w:color="auto"/>
                          <w:left w:val="single" w:sz="4" w:space="0" w:color="auto"/>
                          <w:bottom w:val="single" w:sz="4" w:space="0" w:color="auto"/>
                          <w:right w:val="single" w:sz="4" w:space="0" w:color="auto"/>
                        </w:tcBorders>
                        <w:hideMark/>
                      </w:tcPr>
                      <w:p w14:paraId="15E5FC1D" w14:textId="77777777">
                        <w:pPr>
                          <w:widowControl w:val="0"/>
                          <w:tabs>
                            <w:tab w:val="left" w:pos="854"/>
                          </w:tabs>
                          <w:overflowPunct w:val="0"/>
                          <w:ind w:right="-145" w:firstLine="56"/>
                          <w:jc w:val="both"/>
                          <w:textAlignment w:val="baseline"/>
                          <w:rPr>
                            <w:rFonts w:eastAsia="MS Mincho"/>
                            <w:sz w:val="4"/>
                            <w:szCs w:val="4"/>
                          </w:rPr>
                        </w:pPr>
                        <w:r>
                          <w:rPr>
                            <w:rFonts w:eastAsia="MS Mincho"/>
                            <w:sz w:val="22"/>
                            <w:szCs w:val="22"/>
                          </w:rPr>
                          <w:t>Taip</w:t>
                        </w:r>
                        <w:r>
                          <w:rPr>
                            <w:rFonts w:eastAsia="MS Mincho"/>
                            <w:szCs w:val="24"/>
                          </w:rPr>
                          <w:t xml:space="preserve"> </w:t>
                        </w:r>
                        <w:r>
                          <w:rPr>
                            <w:rFonts w:ascii="MS Gothic" w:eastAsia="MS Gothic" w:hAnsi="MS Gothic"/>
                            <w:szCs w:val="24"/>
                          </w:rPr>
                          <w:t>☐</w:t>
                        </w:r>
                      </w:p>
                      <w:p w14:paraId="3305AC05" w14:textId="77777777">
                        <w:pPr>
                          <w:widowControl w:val="0"/>
                          <w:tabs>
                            <w:tab w:val="left" w:pos="854"/>
                          </w:tabs>
                          <w:overflowPunct w:val="0"/>
                          <w:ind w:right="-145" w:firstLine="57"/>
                          <w:jc w:val="both"/>
                          <w:textAlignment w:val="baseline"/>
                          <w:rPr>
                            <w:rFonts w:eastAsia="MS Mincho"/>
                            <w:szCs w:val="24"/>
                          </w:rPr>
                        </w:pPr>
                        <w:r>
                          <w:rPr>
                            <w:rFonts w:eastAsia="MS Mincho"/>
                            <w:sz w:val="22"/>
                            <w:szCs w:val="22"/>
                          </w:rPr>
                          <w:t xml:space="preserve">Ne    </w:t>
                        </w:r>
                        <w:r>
                          <w:rPr>
                            <w:rFonts w:ascii="MS Gothic" w:eastAsia="MS Gothic" w:hAnsi="MS Gothic"/>
                            <w:szCs w:val="24"/>
                          </w:rPr>
                          <w:t>☐</w:t>
                        </w:r>
                      </w:p>
                    </w:tc>
                  </w:tr>
                  <w:tr w14:paraId="72873213" w14:textId="77777777">
                    <w:trPr>
                      <w:cantSplit/>
                      <w:trHeight w:val="897"/>
                    </w:trPr>
                    <w:tc>
                      <w:tcPr>
                        <w:tcW w:w="578" w:type="pct"/>
                        <w:vMerge/>
                        <w:tcBorders>
                          <w:top w:val="single" w:sz="4" w:space="0" w:color="auto"/>
                          <w:left w:val="single" w:sz="4" w:space="0" w:color="auto"/>
                          <w:bottom w:val="single" w:sz="4" w:space="0" w:color="auto"/>
                          <w:right w:val="single" w:sz="4" w:space="0" w:color="auto"/>
                        </w:tcBorders>
                        <w:vAlign w:val="center"/>
                        <w:hideMark/>
                      </w:tcPr>
                      <w:p w14:paraId="03208F0A" w14:textId="77777777">
                        <w:pPr>
                          <w:overflowPunct w:val="0"/>
                          <w:jc w:val="both"/>
                          <w:textAlignment w:val="baseline"/>
                          <w:rPr>
                            <w:sz w:val="22"/>
                            <w:szCs w:val="22"/>
                          </w:rPr>
                        </w:pPr>
                      </w:p>
                    </w:tc>
                    <w:tc>
                      <w:tcPr>
                        <w:tcW w:w="4422" w:type="pct"/>
                        <w:gridSpan w:val="4"/>
                        <w:tcBorders>
                          <w:top w:val="single" w:sz="4" w:space="0" w:color="auto"/>
                          <w:left w:val="single" w:sz="4" w:space="0" w:color="auto"/>
                          <w:bottom w:val="single" w:sz="4" w:space="0" w:color="auto"/>
                          <w:right w:val="single" w:sz="4" w:space="0" w:color="auto"/>
                        </w:tcBorders>
                        <w:hideMark/>
                      </w:tcPr>
                      <w:p w14:paraId="131C31CD" w14:textId="77777777">
                        <w:pPr>
                          <w:overflowPunct w:val="0"/>
                          <w:ind w:left="104" w:right="165"/>
                          <w:jc w:val="both"/>
                          <w:textAlignment w:val="baseline"/>
                          <w:rPr>
                            <w:sz w:val="22"/>
                            <w:szCs w:val="22"/>
                          </w:rPr>
                        </w:pPr>
                        <w:r>
                          <w:rPr>
                            <w:sz w:val="22"/>
                            <w:szCs w:val="22"/>
                          </w:rPr>
                          <w:t>1.</w:t>
                        </w:r>
                      </w:p>
                      <w:p w14:paraId="3BAF3DAC" w14:textId="77777777">
                        <w:pPr>
                          <w:overflowPunct w:val="0"/>
                          <w:ind w:left="104" w:right="165"/>
                          <w:jc w:val="both"/>
                          <w:textAlignment w:val="baseline"/>
                          <w:rPr>
                            <w:sz w:val="22"/>
                            <w:szCs w:val="22"/>
                          </w:rPr>
                        </w:pPr>
                        <w:r>
                          <w:rPr>
                            <w:sz w:val="22"/>
                            <w:szCs w:val="22"/>
                          </w:rPr>
                          <w:t>2.</w:t>
                        </w:r>
                      </w:p>
                      <w:p w14:paraId="4CDDC2CE" w14:textId="77777777">
                        <w:pPr>
                          <w:widowControl w:val="0"/>
                          <w:tabs>
                            <w:tab w:val="left" w:pos="854"/>
                          </w:tabs>
                          <w:overflowPunct w:val="0"/>
                          <w:ind w:right="-145" w:firstLine="145"/>
                          <w:jc w:val="both"/>
                          <w:textAlignment w:val="baseline"/>
                          <w:rPr>
                            <w:rFonts w:eastAsia="MS Mincho"/>
                            <w:szCs w:val="24"/>
                          </w:rPr>
                        </w:pPr>
                        <w:r>
                          <w:rPr>
                            <w:sz w:val="22"/>
                            <w:szCs w:val="22"/>
                          </w:rPr>
                          <w:t>...</w:t>
                        </w:r>
                      </w:p>
                    </w:tc>
                  </w:tr>
                  <w:tr w14:paraId="18B31884" w14:textId="77777777">
                    <w:trPr>
                      <w:cantSplit/>
                      <w:trHeight w:val="897"/>
                    </w:trPr>
                    <w:tc>
                      <w:tcPr>
                        <w:tcW w:w="578" w:type="pct"/>
                        <w:vMerge/>
                        <w:tcBorders>
                          <w:top w:val="single" w:sz="4" w:space="0" w:color="auto"/>
                          <w:left w:val="single" w:sz="4" w:space="0" w:color="auto"/>
                          <w:bottom w:val="single" w:sz="4" w:space="0" w:color="auto"/>
                          <w:right w:val="single" w:sz="4" w:space="0" w:color="auto"/>
                        </w:tcBorders>
                        <w:vAlign w:val="center"/>
                        <w:hideMark/>
                      </w:tcPr>
                      <w:p w14:paraId="4798E98E" w14:textId="77777777">
                        <w:pPr>
                          <w:overflowPunct w:val="0"/>
                          <w:jc w:val="both"/>
                          <w:textAlignment w:val="baseline"/>
                          <w:rPr>
                            <w:sz w:val="22"/>
                            <w:szCs w:val="22"/>
                          </w:rPr>
                        </w:pPr>
                      </w:p>
                    </w:tc>
                    <w:tc>
                      <w:tcPr>
                        <w:tcW w:w="3694" w:type="pct"/>
                        <w:gridSpan w:val="3"/>
                        <w:tcBorders>
                          <w:top w:val="single" w:sz="4" w:space="0" w:color="auto"/>
                          <w:left w:val="single" w:sz="4" w:space="0" w:color="auto"/>
                          <w:bottom w:val="single" w:sz="4" w:space="0" w:color="auto"/>
                          <w:right w:val="single" w:sz="4" w:space="0" w:color="auto"/>
                        </w:tcBorders>
                        <w:hideMark/>
                      </w:tcPr>
                      <w:p w14:paraId="5044C0BB" w14:textId="77777777">
                        <w:pPr>
                          <w:overflowPunct w:val="0"/>
                          <w:spacing w:line="252" w:lineRule="atLeast"/>
                          <w:ind w:left="138" w:right="143"/>
                          <w:jc w:val="both"/>
                          <w:textAlignment w:val="baseline"/>
                          <w:rPr>
                            <w:sz w:val="22"/>
                            <w:szCs w:val="22"/>
                          </w:rPr>
                        </w:pPr>
                        <w:r>
                          <w:rPr>
                            <w:sz w:val="22"/>
                            <w:szCs w:val="22"/>
                          </w:rPr>
                          <w:t xml:space="preserve">Mano įmonė per pastaruosius trejus finansinius metus buvo įkurta suskaidžius kitą įmonę </w:t>
                        </w:r>
                      </w:p>
                      <w:p w14:paraId="78A29F18" w14:textId="77777777">
                        <w:pPr>
                          <w:overflowPunct w:val="0"/>
                          <w:spacing w:line="252" w:lineRule="atLeast"/>
                          <w:ind w:left="104" w:right="165"/>
                          <w:jc w:val="both"/>
                          <w:textAlignment w:val="baseline"/>
                          <w:rPr>
                            <w:sz w:val="22"/>
                            <w:szCs w:val="22"/>
                          </w:rPr>
                        </w:pPr>
                        <w:r>
                          <w:rPr>
                            <w:i/>
                            <w:iCs/>
                            <w:sz w:val="22"/>
                            <w:szCs w:val="22"/>
                          </w:rPr>
                          <w:t xml:space="preserve">(Jeigu pažymima „Taip“, žemiau esančioje eilutėje nurodoma suskaidymo data, suskaidytos įmonės pavadinimas, įmonės kodas, taip pat iki suskaidymo veikusiai įmonei suteiktos nereikšmingos (de minimis) pagalbos (jeigu tokia pagalba buvo suteikta) dydis pagal Reglamentus </w:t>
                        </w:r>
                        <w:fldSimple w:instr="HYPERLINK http://eur-lex.europa.eu/legal-content/LIT/TXT/?uri=CELEX:32013R1407&amp;locale=lt \t _blank">
                          <w:r>
                            <w:rPr>
                              <w:i/>
                              <w:iCs/>
                              <w:sz w:val="22"/>
                              <w:szCs w:val="22"/>
                              <w:u w:val="single"/>
                              <w:color w:val="0000FF" w:themeColor="hyperlink"/>
                            </w:rPr>
                            <w:t>(ES) Nr. 1407/2013</w:t>
                          </w:r>
                        </w:fldSimple>
                        <w:r>
                          <w:rPr>
                            <w:i/>
                            <w:iCs/>
                            <w:sz w:val="22"/>
                            <w:szCs w:val="22"/>
                          </w:rPr>
                          <w:t xml:space="preserve"> ir kokiai veiklai (jeigu vykdo kelias veiklas) ji buvo panaudota)</w:t>
                        </w:r>
                      </w:p>
                    </w:tc>
                    <w:tc>
                      <w:tcPr>
                        <w:tcW w:w="729" w:type="pct"/>
                        <w:tcBorders>
                          <w:top w:val="single" w:sz="4" w:space="0" w:color="auto"/>
                          <w:left w:val="single" w:sz="4" w:space="0" w:color="auto"/>
                          <w:bottom w:val="single" w:sz="4" w:space="0" w:color="auto"/>
                          <w:right w:val="single" w:sz="4" w:space="0" w:color="auto"/>
                        </w:tcBorders>
                        <w:hideMark/>
                      </w:tcPr>
                      <w:p w14:paraId="11BE61C5" w14:textId="77777777">
                        <w:pPr>
                          <w:widowControl w:val="0"/>
                          <w:tabs>
                            <w:tab w:val="left" w:pos="854"/>
                          </w:tabs>
                          <w:overflowPunct w:val="0"/>
                          <w:ind w:right="-145" w:firstLine="56"/>
                          <w:jc w:val="both"/>
                          <w:textAlignment w:val="baseline"/>
                          <w:rPr>
                            <w:rFonts w:eastAsia="MS Mincho"/>
                            <w:sz w:val="4"/>
                            <w:szCs w:val="4"/>
                          </w:rPr>
                        </w:pPr>
                        <w:r>
                          <w:rPr>
                            <w:rFonts w:eastAsia="MS Mincho"/>
                            <w:sz w:val="22"/>
                            <w:szCs w:val="22"/>
                          </w:rPr>
                          <w:t>Taip</w:t>
                        </w:r>
                        <w:r>
                          <w:rPr>
                            <w:rFonts w:eastAsia="MS Mincho"/>
                            <w:szCs w:val="24"/>
                          </w:rPr>
                          <w:t xml:space="preserve"> </w:t>
                        </w:r>
                        <w:r>
                          <w:rPr>
                            <w:rFonts w:ascii="MS Gothic" w:eastAsia="MS Gothic" w:hAnsi="MS Gothic"/>
                            <w:szCs w:val="24"/>
                          </w:rPr>
                          <w:t>☐</w:t>
                        </w:r>
                      </w:p>
                      <w:p w14:paraId="4FB97465" w14:textId="77777777">
                        <w:pPr>
                          <w:widowControl w:val="0"/>
                          <w:tabs>
                            <w:tab w:val="left" w:pos="854"/>
                          </w:tabs>
                          <w:overflowPunct w:val="0"/>
                          <w:ind w:right="-145" w:firstLine="57"/>
                          <w:jc w:val="both"/>
                          <w:textAlignment w:val="baseline"/>
                          <w:rPr>
                            <w:szCs w:val="24"/>
                          </w:rPr>
                        </w:pPr>
                        <w:r>
                          <w:rPr>
                            <w:rFonts w:eastAsia="MS Mincho"/>
                            <w:sz w:val="22"/>
                            <w:szCs w:val="22"/>
                          </w:rPr>
                          <w:t xml:space="preserve">Ne    </w:t>
                        </w:r>
                        <w:r>
                          <w:rPr>
                            <w:rFonts w:ascii="MS Gothic" w:eastAsia="MS Gothic" w:hAnsi="MS Gothic"/>
                            <w:szCs w:val="24"/>
                          </w:rPr>
                          <w:t>☐</w:t>
                        </w:r>
                      </w:p>
                    </w:tc>
                  </w:tr>
                  <w:tr w14:paraId="12499890" w14:textId="77777777">
                    <w:trPr>
                      <w:cantSplit/>
                      <w:trHeight w:val="482"/>
                    </w:trPr>
                    <w:tc>
                      <w:tcPr>
                        <w:tcW w:w="578" w:type="pct"/>
                        <w:vMerge/>
                        <w:tcBorders>
                          <w:top w:val="single" w:sz="4" w:space="0" w:color="auto"/>
                          <w:left w:val="single" w:sz="4" w:space="0" w:color="auto"/>
                          <w:bottom w:val="single" w:sz="4" w:space="0" w:color="auto"/>
                          <w:right w:val="single" w:sz="4" w:space="0" w:color="auto"/>
                        </w:tcBorders>
                        <w:vAlign w:val="center"/>
                        <w:hideMark/>
                      </w:tcPr>
                      <w:p w14:paraId="29C040EB" w14:textId="77777777">
                        <w:pPr>
                          <w:overflowPunct w:val="0"/>
                          <w:jc w:val="both"/>
                          <w:textAlignment w:val="baseline"/>
                          <w:rPr>
                            <w:sz w:val="22"/>
                            <w:szCs w:val="22"/>
                          </w:rPr>
                        </w:pPr>
                      </w:p>
                    </w:tc>
                    <w:tc>
                      <w:tcPr>
                        <w:tcW w:w="4422" w:type="pct"/>
                        <w:gridSpan w:val="4"/>
                        <w:tcBorders>
                          <w:top w:val="single" w:sz="4" w:space="0" w:color="auto"/>
                          <w:left w:val="single" w:sz="4" w:space="0" w:color="auto"/>
                          <w:bottom w:val="single" w:sz="4" w:space="0" w:color="auto"/>
                          <w:right w:val="single" w:sz="4" w:space="0" w:color="auto"/>
                        </w:tcBorders>
                      </w:tcPr>
                      <w:p w14:paraId="4F873D5A" w14:textId="77777777">
                        <w:pPr>
                          <w:widowControl w:val="0"/>
                          <w:tabs>
                            <w:tab w:val="left" w:pos="854"/>
                          </w:tabs>
                          <w:overflowPunct w:val="0"/>
                          <w:ind w:right="-145" w:hanging="1"/>
                          <w:jc w:val="both"/>
                          <w:textAlignment w:val="baseline"/>
                          <w:rPr>
                            <w:rFonts w:eastAsia="MS Mincho"/>
                            <w:sz w:val="22"/>
                            <w:szCs w:val="22"/>
                          </w:rPr>
                        </w:pPr>
                      </w:p>
                    </w:tc>
                  </w:tr>
                  <w:tr w14:paraId="2FE26016" w14:textId="77777777">
                    <w:trPr>
                      <w:cantSplit/>
                      <w:trHeight w:val="897"/>
                    </w:trPr>
                    <w:tc>
                      <w:tcPr>
                        <w:tcW w:w="578" w:type="pct"/>
                        <w:vMerge/>
                        <w:tcBorders>
                          <w:top w:val="single" w:sz="4" w:space="0" w:color="auto"/>
                          <w:left w:val="single" w:sz="4" w:space="0" w:color="auto"/>
                          <w:bottom w:val="single" w:sz="4" w:space="0" w:color="auto"/>
                          <w:right w:val="single" w:sz="4" w:space="0" w:color="auto"/>
                        </w:tcBorders>
                        <w:vAlign w:val="center"/>
                        <w:hideMark/>
                      </w:tcPr>
                      <w:p w14:paraId="2C6E9140" w14:textId="77777777">
                        <w:pPr>
                          <w:overflowPunct w:val="0"/>
                          <w:jc w:val="both"/>
                          <w:textAlignment w:val="baseline"/>
                          <w:rPr>
                            <w:sz w:val="22"/>
                            <w:szCs w:val="22"/>
                          </w:rPr>
                        </w:pPr>
                      </w:p>
                    </w:tc>
                    <w:tc>
                      <w:tcPr>
                        <w:tcW w:w="3694" w:type="pct"/>
                        <w:gridSpan w:val="3"/>
                        <w:tcBorders>
                          <w:top w:val="single" w:sz="4" w:space="0" w:color="auto"/>
                          <w:left w:val="single" w:sz="4" w:space="0" w:color="auto"/>
                          <w:bottom w:val="single" w:sz="4" w:space="0" w:color="auto"/>
                          <w:right w:val="single" w:sz="4" w:space="0" w:color="auto"/>
                        </w:tcBorders>
                        <w:hideMark/>
                      </w:tcPr>
                      <w:p w14:paraId="28C6FBEC" w14:textId="77777777">
                        <w:pPr>
                          <w:overflowPunct w:val="0"/>
                          <w:spacing w:line="252" w:lineRule="atLeast"/>
                          <w:ind w:left="138" w:right="143"/>
                          <w:jc w:val="both"/>
                          <w:textAlignment w:val="baseline"/>
                          <w:rPr>
                            <w:color w:val="000000"/>
                            <w:szCs w:val="24"/>
                            <w:lang w:eastAsia="lt-LT"/>
                          </w:rPr>
                        </w:pPr>
                        <w:r>
                          <w:rPr>
                            <w:sz w:val="22"/>
                            <w:szCs w:val="22"/>
                          </w:rPr>
                          <w:t xml:space="preserve">Mano įmonė yra susijusi su kitais </w:t>
                        </w:r>
                        <w:r>
                          <w:rPr>
                            <w:color w:val="000000"/>
                            <w:szCs w:val="24"/>
                            <w:lang w:eastAsia="lt-LT"/>
                          </w:rPr>
                          <w:t xml:space="preserve">ūkio subjektais Reglamento </w:t>
                        </w:r>
                        <w:fldSimple w:instr="HYPERLINK http://eur-lex.europa.eu/legal-content/LIT/TXT/?uri=CELEX:32013R1407&amp;locale=lt \t _blank">
                          <w:r>
                            <w:rPr>
                              <w:color w:val="0000FF" w:themeColor="hyperlink"/>
                              <w:szCs w:val="24"/>
                              <w:lang w:eastAsia="lt-LT"/>
                              <w:u w:val="single"/>
                            </w:rPr>
                            <w:t>(ES) Nr. 1407/2013</w:t>
                          </w:r>
                        </w:fldSimple>
                        <w:r>
                          <w:rPr>
                            <w:color w:val="000000"/>
                            <w:szCs w:val="24"/>
                            <w:lang w:eastAsia="lt-LT"/>
                          </w:rPr>
                          <w:t xml:space="preserve"> 2 straipsnio 2 dalyje nurodytais ryšiais</w:t>
                        </w:r>
                      </w:p>
                      <w:p w14:paraId="74BB64FF" w14:textId="77777777">
                        <w:pPr>
                          <w:overflowPunct w:val="0"/>
                          <w:spacing w:line="252" w:lineRule="atLeast"/>
                          <w:ind w:left="138" w:right="143"/>
                          <w:jc w:val="both"/>
                          <w:textAlignment w:val="baseline"/>
                          <w:rPr>
                            <w:sz w:val="22"/>
                            <w:szCs w:val="22"/>
                          </w:rPr>
                        </w:pPr>
                        <w:r>
                          <w:rPr>
                            <w:i/>
                            <w:iCs/>
                          </w:rPr>
                          <w:t>(Jeigu pažymima „Taip“, žemiau esančioje eilutėje nurodomas teisinis pagrindas (sutartys ar kt.), įmonių pavadinimai / vardai ir pavardės, įmonių / asmens kodai)</w:t>
                        </w:r>
                      </w:p>
                    </w:tc>
                    <w:tc>
                      <w:tcPr>
                        <w:tcW w:w="729" w:type="pct"/>
                        <w:tcBorders>
                          <w:top w:val="single" w:sz="4" w:space="0" w:color="auto"/>
                          <w:left w:val="single" w:sz="4" w:space="0" w:color="auto"/>
                          <w:bottom w:val="single" w:sz="4" w:space="0" w:color="auto"/>
                          <w:right w:val="single" w:sz="4" w:space="0" w:color="auto"/>
                        </w:tcBorders>
                        <w:hideMark/>
                      </w:tcPr>
                      <w:p w14:paraId="541E89CA" w14:textId="77777777">
                        <w:pPr>
                          <w:widowControl w:val="0"/>
                          <w:tabs>
                            <w:tab w:val="left" w:pos="854"/>
                          </w:tabs>
                          <w:overflowPunct w:val="0"/>
                          <w:ind w:right="-145" w:firstLine="56"/>
                          <w:jc w:val="both"/>
                          <w:textAlignment w:val="baseline"/>
                          <w:rPr>
                            <w:rFonts w:eastAsia="MS Mincho"/>
                            <w:sz w:val="4"/>
                            <w:szCs w:val="4"/>
                          </w:rPr>
                        </w:pPr>
                        <w:r>
                          <w:rPr>
                            <w:rFonts w:eastAsia="MS Mincho"/>
                            <w:sz w:val="22"/>
                            <w:szCs w:val="22"/>
                          </w:rPr>
                          <w:t>Taip</w:t>
                        </w:r>
                        <w:r>
                          <w:rPr>
                            <w:rFonts w:eastAsia="MS Mincho"/>
                            <w:szCs w:val="24"/>
                          </w:rPr>
                          <w:t xml:space="preserve"> </w:t>
                        </w:r>
                        <w:r>
                          <w:rPr>
                            <w:rFonts w:ascii="MS Gothic" w:eastAsia="MS Gothic" w:hAnsi="MS Gothic"/>
                            <w:szCs w:val="24"/>
                          </w:rPr>
                          <w:t>☐</w:t>
                        </w:r>
                      </w:p>
                      <w:p w14:paraId="3298EDAA" w14:textId="77777777">
                        <w:pPr>
                          <w:widowControl w:val="0"/>
                          <w:tabs>
                            <w:tab w:val="left" w:pos="854"/>
                          </w:tabs>
                          <w:overflowPunct w:val="0"/>
                          <w:ind w:right="-145" w:firstLine="56"/>
                          <w:jc w:val="both"/>
                          <w:textAlignment w:val="baseline"/>
                          <w:rPr>
                            <w:rFonts w:eastAsia="MS Mincho"/>
                            <w:sz w:val="22"/>
                            <w:szCs w:val="22"/>
                          </w:rPr>
                        </w:pPr>
                        <w:r>
                          <w:rPr>
                            <w:rFonts w:eastAsia="MS Mincho"/>
                            <w:sz w:val="22"/>
                            <w:szCs w:val="22"/>
                          </w:rPr>
                          <w:t xml:space="preserve">Ne    </w:t>
                        </w:r>
                        <w:r>
                          <w:rPr>
                            <w:rFonts w:ascii="MS Gothic" w:eastAsia="MS Gothic" w:hAnsi="MS Gothic"/>
                            <w:szCs w:val="24"/>
                          </w:rPr>
                          <w:t>☐</w:t>
                        </w:r>
                      </w:p>
                    </w:tc>
                  </w:tr>
                  <w:tr w14:paraId="369407FD" w14:textId="77777777">
                    <w:trPr>
                      <w:cantSplit/>
                      <w:trHeight w:val="70"/>
                    </w:trPr>
                    <w:tc>
                      <w:tcPr>
                        <w:tcW w:w="578" w:type="pct"/>
                        <w:vMerge/>
                        <w:tcBorders>
                          <w:top w:val="single" w:sz="4" w:space="0" w:color="auto"/>
                          <w:left w:val="single" w:sz="4" w:space="0" w:color="auto"/>
                          <w:bottom w:val="single" w:sz="4" w:space="0" w:color="auto"/>
                          <w:right w:val="single" w:sz="4" w:space="0" w:color="auto"/>
                        </w:tcBorders>
                        <w:vAlign w:val="center"/>
                        <w:hideMark/>
                      </w:tcPr>
                      <w:p w14:paraId="1A8CF0DB" w14:textId="77777777">
                        <w:pPr>
                          <w:overflowPunct w:val="0"/>
                          <w:jc w:val="both"/>
                          <w:textAlignment w:val="baseline"/>
                          <w:rPr>
                            <w:sz w:val="22"/>
                            <w:szCs w:val="22"/>
                          </w:rPr>
                        </w:pPr>
                      </w:p>
                    </w:tc>
                    <w:tc>
                      <w:tcPr>
                        <w:tcW w:w="4422" w:type="pct"/>
                        <w:gridSpan w:val="4"/>
                        <w:tcBorders>
                          <w:top w:val="single" w:sz="4" w:space="0" w:color="auto"/>
                          <w:left w:val="single" w:sz="4" w:space="0" w:color="auto"/>
                          <w:bottom w:val="single" w:sz="12" w:space="0" w:color="auto"/>
                          <w:right w:val="single" w:sz="4" w:space="0" w:color="auto"/>
                        </w:tcBorders>
                        <w:vAlign w:val="center"/>
                      </w:tcPr>
                      <w:p w14:paraId="2C00B243" w14:textId="77777777">
                        <w:pPr>
                          <w:widowControl w:val="0"/>
                          <w:tabs>
                            <w:tab w:val="left" w:pos="854"/>
                          </w:tabs>
                          <w:overflowPunct w:val="0"/>
                          <w:ind w:right="-145" w:firstLine="145"/>
                          <w:jc w:val="both"/>
                          <w:textAlignment w:val="baseline"/>
                          <w:rPr>
                            <w:rFonts w:eastAsia="MS Mincho"/>
                            <w:szCs w:val="24"/>
                          </w:rPr>
                        </w:pPr>
                      </w:p>
                      <w:p w14:paraId="31C390BA" w14:textId="77777777">
                        <w:pPr>
                          <w:widowControl w:val="0"/>
                          <w:tabs>
                            <w:tab w:val="left" w:pos="854"/>
                          </w:tabs>
                          <w:overflowPunct w:val="0"/>
                          <w:ind w:right="-145" w:firstLine="145"/>
                          <w:jc w:val="both"/>
                          <w:textAlignment w:val="baseline"/>
                          <w:rPr>
                            <w:rFonts w:eastAsia="MS Mincho"/>
                            <w:szCs w:val="24"/>
                          </w:rPr>
                        </w:pPr>
                      </w:p>
                    </w:tc>
                  </w:tr>
                  <w:tr w14:paraId="7AA94068" w14:textId="77777777">
                    <w:trPr>
                      <w:cantSplit/>
                      <w:trHeight w:val="677"/>
                    </w:trPr>
                    <w:tc>
                      <w:tcPr>
                        <w:tcW w:w="578" w:type="pct"/>
                        <w:vMerge/>
                        <w:tcBorders>
                          <w:top w:val="single" w:sz="4" w:space="0" w:color="auto"/>
                          <w:left w:val="single" w:sz="4" w:space="0" w:color="auto"/>
                          <w:bottom w:val="single" w:sz="4" w:space="0" w:color="auto"/>
                          <w:right w:val="single" w:sz="4" w:space="0" w:color="auto"/>
                        </w:tcBorders>
                        <w:vAlign w:val="center"/>
                        <w:hideMark/>
                      </w:tcPr>
                      <w:p w14:paraId="68033545" w14:textId="77777777">
                        <w:pPr>
                          <w:overflowPunct w:val="0"/>
                          <w:jc w:val="both"/>
                          <w:textAlignment w:val="baseline"/>
                          <w:rPr>
                            <w:sz w:val="22"/>
                            <w:szCs w:val="22"/>
                          </w:rPr>
                        </w:pPr>
                      </w:p>
                    </w:tc>
                    <w:tc>
                      <w:tcPr>
                        <w:tcW w:w="3694" w:type="pct"/>
                        <w:gridSpan w:val="3"/>
                        <w:tcBorders>
                          <w:top w:val="single" w:sz="12" w:space="0" w:color="auto"/>
                          <w:left w:val="single" w:sz="4" w:space="0" w:color="auto"/>
                          <w:bottom w:val="single" w:sz="4" w:space="0" w:color="auto"/>
                          <w:right w:val="single" w:sz="4" w:space="0" w:color="auto"/>
                        </w:tcBorders>
                        <w:vAlign w:val="center"/>
                        <w:hideMark/>
                      </w:tcPr>
                      <w:p w14:paraId="5E1F9964" w14:textId="77777777">
                        <w:pPr>
                          <w:widowControl w:val="0"/>
                          <w:overflowPunct w:val="0"/>
                          <w:ind w:left="189"/>
                          <w:jc w:val="both"/>
                          <w:textAlignment w:val="baseline"/>
                          <w:rPr>
                            <w:szCs w:val="24"/>
                          </w:rPr>
                        </w:pPr>
                        <w:r>
                          <w:rPr>
                            <w:szCs w:val="24"/>
                          </w:rPr>
                          <w:t xml:space="preserve">Paraiška teikiama organizuoti </w:t>
                        </w:r>
                        <w:r>
                          <w:rPr>
                            <w:color w:val="000000"/>
                            <w:szCs w:val="24"/>
                          </w:rPr>
                          <w:t>sertifikuotą tradicinį renginį</w:t>
                        </w:r>
                      </w:p>
                    </w:tc>
                    <w:tc>
                      <w:tcPr>
                        <w:tcW w:w="729" w:type="pct"/>
                        <w:tcBorders>
                          <w:top w:val="single" w:sz="12" w:space="0" w:color="auto"/>
                          <w:left w:val="single" w:sz="4" w:space="0" w:color="auto"/>
                          <w:bottom w:val="single" w:sz="4" w:space="0" w:color="auto"/>
                          <w:right w:val="single" w:sz="4" w:space="0" w:color="auto"/>
                        </w:tcBorders>
                        <w:vAlign w:val="center"/>
                        <w:hideMark/>
                      </w:tcPr>
                      <w:p w14:paraId="7D4C7ECC" w14:textId="77777777">
                        <w:pPr>
                          <w:widowControl w:val="0"/>
                          <w:tabs>
                            <w:tab w:val="left" w:pos="996"/>
                          </w:tabs>
                          <w:overflowPunct w:val="0"/>
                          <w:ind w:right="-145" w:firstLine="62"/>
                          <w:textAlignment w:val="baseline"/>
                          <w:rPr>
                            <w:rFonts w:eastAsia="MS Mincho"/>
                            <w:szCs w:val="24"/>
                          </w:rPr>
                        </w:pPr>
                        <w:r>
                          <w:rPr>
                            <w:rFonts w:eastAsia="MS Mincho"/>
                            <w:szCs w:val="24"/>
                          </w:rPr>
                          <w:t xml:space="preserve">Taip </w:t>
                        </w:r>
                        <w:r>
                          <w:rPr>
                            <w:rFonts w:ascii="MS Gothic" w:eastAsia="MS Gothic" w:hAnsi="MS Gothic"/>
                            <w:szCs w:val="24"/>
                          </w:rPr>
                          <w:t>☐</w:t>
                        </w:r>
                      </w:p>
                    </w:tc>
                  </w:tr>
                  <w:tr w14:paraId="44F7A331" w14:textId="77777777">
                    <w:trPr>
                      <w:cantSplit/>
                      <w:trHeight w:val="809"/>
                    </w:trPr>
                    <w:tc>
                      <w:tcPr>
                        <w:tcW w:w="578" w:type="pct"/>
                        <w:vMerge/>
                        <w:tcBorders>
                          <w:top w:val="single" w:sz="4" w:space="0" w:color="auto"/>
                          <w:left w:val="single" w:sz="4" w:space="0" w:color="auto"/>
                          <w:bottom w:val="single" w:sz="4" w:space="0" w:color="auto"/>
                          <w:right w:val="single" w:sz="4" w:space="0" w:color="auto"/>
                        </w:tcBorders>
                        <w:vAlign w:val="center"/>
                        <w:hideMark/>
                      </w:tcPr>
                      <w:p w14:paraId="4A18CFFD" w14:textId="77777777">
                        <w:pPr>
                          <w:overflowPunct w:val="0"/>
                          <w:jc w:val="both"/>
                          <w:textAlignment w:val="baseline"/>
                          <w:rPr>
                            <w:sz w:val="22"/>
                            <w:szCs w:val="22"/>
                          </w:rPr>
                        </w:pPr>
                      </w:p>
                    </w:tc>
                    <w:tc>
                      <w:tcPr>
                        <w:tcW w:w="3694" w:type="pct"/>
                        <w:gridSpan w:val="3"/>
                        <w:tcBorders>
                          <w:top w:val="single" w:sz="4" w:space="0" w:color="auto"/>
                          <w:left w:val="single" w:sz="4" w:space="0" w:color="auto"/>
                          <w:bottom w:val="single" w:sz="4" w:space="0" w:color="auto"/>
                          <w:right w:val="single" w:sz="4" w:space="0" w:color="auto"/>
                        </w:tcBorders>
                        <w:vAlign w:val="center"/>
                        <w:hideMark/>
                      </w:tcPr>
                      <w:p w14:paraId="34F000A4" w14:textId="77777777">
                        <w:pPr>
                          <w:widowControl w:val="0"/>
                          <w:overflowPunct w:val="0"/>
                          <w:ind w:left="189" w:right="133"/>
                          <w:jc w:val="both"/>
                          <w:textAlignment w:val="baseline"/>
                          <w:rPr>
                            <w:szCs w:val="24"/>
                          </w:rPr>
                        </w:pPr>
                        <w:r>
                          <w:rPr>
                            <w:color w:val="000000"/>
                            <w:szCs w:val="24"/>
                            <w:lang w:eastAsia="lt-LT"/>
                          </w:rPr>
                          <w:t>Pareiškėjas nėra maitinimo paslaugas teikianti įmonė (</w:t>
                        </w:r>
                        <w:r>
                          <w:rPr>
                            <w:i/>
                            <w:iCs/>
                            <w:color w:val="000000"/>
                            <w:szCs w:val="24"/>
                            <w:lang w:eastAsia="lt-LT"/>
                          </w:rPr>
                          <w:t xml:space="preserve">jei </w:t>
                        </w:r>
                        <w:r>
                          <w:rPr>
                            <w:i/>
                            <w:iCs/>
                            <w:szCs w:val="24"/>
                          </w:rPr>
                          <w:t>pareiškėjas yra asociacija arba tradicinių amatų centras, nuostata galioja visiems pagalbos gavėjams)</w:t>
                        </w:r>
                      </w:p>
                    </w:tc>
                    <w:tc>
                      <w:tcPr>
                        <w:tcW w:w="729" w:type="pct"/>
                        <w:tcBorders>
                          <w:top w:val="single" w:sz="4" w:space="0" w:color="auto"/>
                          <w:left w:val="single" w:sz="4" w:space="0" w:color="auto"/>
                          <w:bottom w:val="single" w:sz="4" w:space="0" w:color="auto"/>
                          <w:right w:val="single" w:sz="4" w:space="0" w:color="auto"/>
                        </w:tcBorders>
                        <w:vAlign w:val="center"/>
                        <w:hideMark/>
                      </w:tcPr>
                      <w:p w14:paraId="76556459" w14:textId="77777777">
                        <w:pPr>
                          <w:widowControl w:val="0"/>
                          <w:tabs>
                            <w:tab w:val="left" w:pos="996"/>
                          </w:tabs>
                          <w:overflowPunct w:val="0"/>
                          <w:ind w:right="-145" w:firstLine="62"/>
                          <w:textAlignment w:val="baseline"/>
                          <w:rPr>
                            <w:rFonts w:eastAsia="MS Mincho"/>
                            <w:szCs w:val="24"/>
                          </w:rPr>
                        </w:pPr>
                        <w:r>
                          <w:rPr>
                            <w:rFonts w:eastAsia="MS Mincho"/>
                            <w:szCs w:val="24"/>
                          </w:rPr>
                          <w:t xml:space="preserve">Taip </w:t>
                        </w:r>
                        <w:r>
                          <w:rPr>
                            <w:rFonts w:ascii="MS Gothic" w:eastAsia="MS Gothic" w:hAnsi="MS Gothic"/>
                            <w:szCs w:val="24"/>
                          </w:rPr>
                          <w:t>☐</w:t>
                        </w:r>
                      </w:p>
                    </w:tc>
                  </w:tr>
                  <w:tr w14:paraId="0C17BB37" w14:textId="77777777">
                    <w:trPr>
                      <w:cantSplit/>
                      <w:trHeight w:val="983"/>
                    </w:trPr>
                    <w:tc>
                      <w:tcPr>
                        <w:tcW w:w="578" w:type="pct"/>
                        <w:vMerge/>
                        <w:tcBorders>
                          <w:top w:val="single" w:sz="4" w:space="0" w:color="auto"/>
                          <w:left w:val="single" w:sz="4" w:space="0" w:color="auto"/>
                          <w:bottom w:val="single" w:sz="4" w:space="0" w:color="auto"/>
                          <w:right w:val="single" w:sz="4" w:space="0" w:color="auto"/>
                        </w:tcBorders>
                        <w:vAlign w:val="center"/>
                        <w:hideMark/>
                      </w:tcPr>
                      <w:p w14:paraId="6B3C6830" w14:textId="77777777">
                        <w:pPr>
                          <w:overflowPunct w:val="0"/>
                          <w:jc w:val="both"/>
                          <w:textAlignment w:val="baseline"/>
                          <w:rPr>
                            <w:sz w:val="22"/>
                            <w:szCs w:val="22"/>
                          </w:rPr>
                        </w:pPr>
                      </w:p>
                    </w:tc>
                    <w:tc>
                      <w:tcPr>
                        <w:tcW w:w="3694" w:type="pct"/>
                        <w:gridSpan w:val="3"/>
                        <w:tcBorders>
                          <w:top w:val="single" w:sz="4" w:space="0" w:color="auto"/>
                          <w:left w:val="single" w:sz="4" w:space="0" w:color="auto"/>
                          <w:bottom w:val="single" w:sz="4" w:space="0" w:color="auto"/>
                          <w:right w:val="single" w:sz="4" w:space="0" w:color="auto"/>
                        </w:tcBorders>
                        <w:vAlign w:val="center"/>
                        <w:hideMark/>
                      </w:tcPr>
                      <w:p w14:paraId="0775EE08" w14:textId="77777777">
                        <w:pPr>
                          <w:widowControl w:val="0"/>
                          <w:overflowPunct w:val="0"/>
                          <w:ind w:left="189" w:right="133"/>
                          <w:jc w:val="both"/>
                          <w:textAlignment w:val="baseline"/>
                          <w:rPr>
                            <w:szCs w:val="24"/>
                          </w:rPr>
                        </w:pPr>
                        <w:r>
                          <w:rPr>
                            <w:szCs w:val="24"/>
                          </w:rPr>
                          <w:t xml:space="preserve">Paraiška teikiama dalyvauti ilgą tradiciją turinčiuose, Lietuvos Respublikos mastu rengiamuose renginiuose, nurodytuose  taisyklių 33.1 papunktyje </w:t>
                        </w:r>
                        <w:r>
                          <w:rPr>
                            <w:i/>
                            <w:iCs/>
                            <w:szCs w:val="24"/>
                          </w:rPr>
                          <w:t>(nurodyti renginių skaičių)</w:t>
                        </w:r>
                      </w:p>
                    </w:tc>
                    <w:tc>
                      <w:tcPr>
                        <w:tcW w:w="729" w:type="pct"/>
                        <w:tcBorders>
                          <w:top w:val="single" w:sz="4" w:space="0" w:color="auto"/>
                          <w:left w:val="single" w:sz="4" w:space="0" w:color="auto"/>
                          <w:bottom w:val="single" w:sz="4" w:space="0" w:color="auto"/>
                          <w:right w:val="single" w:sz="4" w:space="0" w:color="auto"/>
                        </w:tcBorders>
                        <w:vAlign w:val="center"/>
                        <w:hideMark/>
                      </w:tcPr>
                      <w:p w14:paraId="52394E4B" w14:textId="77777777">
                        <w:pPr>
                          <w:widowControl w:val="0"/>
                          <w:overflowPunct w:val="0"/>
                          <w:ind w:left="130" w:hanging="68"/>
                          <w:textAlignment w:val="baseline"/>
                          <w:rPr>
                            <w:rFonts w:eastAsia="MS Mincho"/>
                            <w:szCs w:val="24"/>
                          </w:rPr>
                        </w:pPr>
                        <w:r>
                          <w:rPr>
                            <w:rFonts w:eastAsia="MS Mincho"/>
                            <w:szCs w:val="24"/>
                          </w:rPr>
                          <w:t xml:space="preserve">Taip </w:t>
                        </w:r>
                        <w:r>
                          <w:rPr>
                            <w:rFonts w:ascii="MS Gothic" w:eastAsia="MS Gothic" w:hAnsi="MS Gothic"/>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80"/>
                        </w:tblGrid>
                        <w:tr w14:paraId="197AAC61" w14:textId="77777777">
                          <w:tc>
                            <w:tcPr>
                              <w:tcW w:w="1280" w:type="dxa"/>
                            </w:tcPr>
                            <w:p w14:paraId="7B7D8595" w14:textId="77777777">
                              <w:pPr>
                                <w:widowControl w:val="0"/>
                                <w:overflowPunct w:val="0"/>
                                <w:textAlignment w:val="baseline"/>
                                <w:rPr>
                                  <w:rFonts w:eastAsia="MS Mincho"/>
                                  <w:szCs w:val="24"/>
                                </w:rPr>
                              </w:pPr>
                              <w:r>
                                <w:rPr>
                                  <w:rFonts w:eastAsia="MS Mincho"/>
                                  <w:color w:val="808080"/>
                                  <w:sz w:val="16"/>
                                  <w:szCs w:val="16"/>
                                </w:rPr>
                                <w:t>Įrašykite skaičių</w:t>
                              </w:r>
                            </w:p>
                          </w:tc>
                        </w:tr>
                      </w:tbl>
                      <w:p w14:paraId="1233B379" w14:textId="77777777">
                        <w:pPr>
                          <w:widowControl w:val="0"/>
                          <w:overflowPunct w:val="0"/>
                          <w:ind w:left="130" w:hanging="68"/>
                          <w:textAlignment w:val="baseline"/>
                          <w:rPr>
                            <w:rFonts w:eastAsia="MS Mincho"/>
                            <w:szCs w:val="24"/>
                          </w:rPr>
                        </w:pPr>
                      </w:p>
                      <w:p w14:paraId="6478DF34" w14:textId="77777777">
                        <w:pPr>
                          <w:widowControl w:val="0"/>
                          <w:overflowPunct w:val="0"/>
                          <w:ind w:left="130" w:hanging="68"/>
                          <w:textAlignment w:val="baseline"/>
                          <w:rPr>
                            <w:rFonts w:eastAsia="MS Mincho"/>
                            <w:szCs w:val="24"/>
                          </w:rPr>
                        </w:pPr>
                      </w:p>
                    </w:tc>
                  </w:tr>
                  <w:tr w14:paraId="310F44D4" w14:textId="77777777">
                    <w:trPr>
                      <w:cantSplit/>
                      <w:trHeight w:val="695"/>
                    </w:trPr>
                    <w:tc>
                      <w:tcPr>
                        <w:tcW w:w="578" w:type="pct"/>
                        <w:vMerge/>
                        <w:tcBorders>
                          <w:top w:val="single" w:sz="4" w:space="0" w:color="auto"/>
                          <w:left w:val="single" w:sz="4" w:space="0" w:color="auto"/>
                          <w:bottom w:val="single" w:sz="4" w:space="0" w:color="auto"/>
                          <w:right w:val="single" w:sz="4" w:space="0" w:color="auto"/>
                        </w:tcBorders>
                        <w:vAlign w:val="center"/>
                        <w:hideMark/>
                      </w:tcPr>
                      <w:p w14:paraId="0575E0FC" w14:textId="77777777">
                        <w:pPr>
                          <w:overflowPunct w:val="0"/>
                          <w:jc w:val="both"/>
                          <w:textAlignment w:val="baseline"/>
                          <w:rPr>
                            <w:sz w:val="22"/>
                            <w:szCs w:val="22"/>
                          </w:rPr>
                        </w:pPr>
                      </w:p>
                    </w:tc>
                    <w:tc>
                      <w:tcPr>
                        <w:tcW w:w="3694" w:type="pct"/>
                        <w:gridSpan w:val="3"/>
                        <w:tcBorders>
                          <w:top w:val="single" w:sz="4" w:space="0" w:color="auto"/>
                          <w:left w:val="single" w:sz="4" w:space="0" w:color="auto"/>
                          <w:bottom w:val="single" w:sz="4" w:space="0" w:color="auto"/>
                          <w:right w:val="single" w:sz="4" w:space="0" w:color="auto"/>
                        </w:tcBorders>
                        <w:vAlign w:val="center"/>
                        <w:hideMark/>
                      </w:tcPr>
                      <w:p w14:paraId="1644D946" w14:textId="77777777">
                        <w:pPr>
                          <w:widowControl w:val="0"/>
                          <w:overflowPunct w:val="0"/>
                          <w:ind w:left="189" w:right="133"/>
                          <w:jc w:val="both"/>
                          <w:textAlignment w:val="baseline"/>
                          <w:rPr>
                            <w:szCs w:val="24"/>
                          </w:rPr>
                        </w:pPr>
                        <w:r>
                          <w:rPr>
                            <w:szCs w:val="24"/>
                          </w:rPr>
                          <w:t xml:space="preserve">Paraiška teikiama </w:t>
                        </w:r>
                        <w:r>
                          <w:rPr>
                            <w:color w:val="000000"/>
                            <w:szCs w:val="24"/>
                            <w:lang w:eastAsia="lt-LT"/>
                          </w:rPr>
                          <w:t>tradicinių amatų edukaciniams užsiėmimams organizuoti (</w:t>
                        </w:r>
                        <w:r>
                          <w:rPr>
                            <w:i/>
                            <w:iCs/>
                            <w:szCs w:val="24"/>
                          </w:rPr>
                          <w:t>nurodyti edukacinių užsiėmimų skaičių)</w:t>
                        </w:r>
                      </w:p>
                    </w:tc>
                    <w:tc>
                      <w:tcPr>
                        <w:tcW w:w="729" w:type="pct"/>
                        <w:tcBorders>
                          <w:top w:val="single" w:sz="4" w:space="0" w:color="auto"/>
                          <w:left w:val="single" w:sz="4" w:space="0" w:color="auto"/>
                          <w:bottom w:val="single" w:sz="4" w:space="0" w:color="auto"/>
                          <w:right w:val="single" w:sz="4" w:space="0" w:color="auto"/>
                        </w:tcBorders>
                        <w:vAlign w:val="center"/>
                        <w:hideMark/>
                      </w:tcPr>
                      <w:p w14:paraId="6A500EF8" w14:textId="77777777">
                        <w:pPr>
                          <w:widowControl w:val="0"/>
                          <w:overflowPunct w:val="0"/>
                          <w:ind w:left="130" w:hanging="68"/>
                          <w:textAlignment w:val="baseline"/>
                          <w:rPr>
                            <w:rFonts w:eastAsia="MS Mincho"/>
                            <w:szCs w:val="24"/>
                          </w:rPr>
                        </w:pPr>
                        <w:r>
                          <w:rPr>
                            <w:rFonts w:eastAsia="MS Mincho"/>
                            <w:szCs w:val="24"/>
                          </w:rPr>
                          <w:t xml:space="preserve">Taip </w:t>
                        </w:r>
                        <w:r>
                          <w:rPr>
                            <w:rFonts w:ascii="MS Gothic" w:eastAsia="MS Gothic" w:hAnsi="MS Gothic"/>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80"/>
                        </w:tblGrid>
                        <w:tr w14:paraId="726584CC" w14:textId="77777777">
                          <w:tc>
                            <w:tcPr>
                              <w:tcW w:w="1280" w:type="dxa"/>
                            </w:tcPr>
                            <w:p w14:paraId="1C5B374F" w14:textId="77777777">
                              <w:pPr>
                                <w:widowControl w:val="0"/>
                                <w:overflowPunct w:val="0"/>
                                <w:textAlignment w:val="baseline"/>
                                <w:rPr>
                                  <w:rFonts w:eastAsia="MS Mincho"/>
                                  <w:szCs w:val="24"/>
                                </w:rPr>
                              </w:pPr>
                              <w:r>
                                <w:rPr>
                                  <w:rFonts w:eastAsia="MS Mincho"/>
                                  <w:color w:val="808080"/>
                                  <w:sz w:val="16"/>
                                  <w:szCs w:val="16"/>
                                </w:rPr>
                                <w:t>Įrašykite skaičių</w:t>
                              </w:r>
                            </w:p>
                          </w:tc>
                        </w:tr>
                      </w:tbl>
                      <w:p w14:paraId="3BA481AB" w14:textId="77777777">
                        <w:pPr>
                          <w:widowControl w:val="0"/>
                          <w:overflowPunct w:val="0"/>
                          <w:ind w:left="130" w:right="-145" w:hanging="68"/>
                          <w:textAlignment w:val="baseline"/>
                          <w:rPr>
                            <w:rFonts w:eastAsia="MS Mincho"/>
                            <w:szCs w:val="24"/>
                          </w:rPr>
                        </w:pPr>
                      </w:p>
                    </w:tc>
                  </w:tr>
                  <w:tr w14:paraId="0836C233" w14:textId="77777777">
                    <w:trPr>
                      <w:cantSplit/>
                      <w:trHeight w:val="695"/>
                    </w:trPr>
                    <w:tc>
                      <w:tcPr>
                        <w:tcW w:w="578" w:type="pct"/>
                        <w:vMerge/>
                        <w:tcBorders>
                          <w:top w:val="single" w:sz="4" w:space="0" w:color="auto"/>
                          <w:left w:val="single" w:sz="4" w:space="0" w:color="auto"/>
                          <w:bottom w:val="single" w:sz="4" w:space="0" w:color="auto"/>
                          <w:right w:val="single" w:sz="4" w:space="0" w:color="auto"/>
                        </w:tcBorders>
                        <w:vAlign w:val="center"/>
                        <w:hideMark/>
                      </w:tcPr>
                      <w:p w14:paraId="31D04C56" w14:textId="77777777">
                        <w:pPr>
                          <w:overflowPunct w:val="0"/>
                          <w:jc w:val="both"/>
                          <w:textAlignment w:val="baseline"/>
                          <w:rPr>
                            <w:sz w:val="22"/>
                            <w:szCs w:val="22"/>
                          </w:rPr>
                        </w:pPr>
                      </w:p>
                    </w:tc>
                    <w:tc>
                      <w:tcPr>
                        <w:tcW w:w="3694" w:type="pct"/>
                        <w:gridSpan w:val="3"/>
                        <w:tcBorders>
                          <w:top w:val="single" w:sz="4" w:space="0" w:color="auto"/>
                          <w:left w:val="single" w:sz="4" w:space="0" w:color="auto"/>
                          <w:bottom w:val="single" w:sz="4" w:space="0" w:color="auto"/>
                          <w:right w:val="single" w:sz="4" w:space="0" w:color="auto"/>
                        </w:tcBorders>
                        <w:vAlign w:val="center"/>
                        <w:hideMark/>
                      </w:tcPr>
                      <w:p w14:paraId="1F0D587C" w14:textId="77777777">
                        <w:pPr>
                          <w:widowControl w:val="0"/>
                          <w:overflowPunct w:val="0"/>
                          <w:ind w:left="189" w:right="133"/>
                          <w:jc w:val="both"/>
                          <w:textAlignment w:val="baseline"/>
                          <w:rPr>
                            <w:szCs w:val="24"/>
                          </w:rPr>
                        </w:pPr>
                        <w:r>
                          <w:rPr>
                            <w:szCs w:val="24"/>
                          </w:rPr>
                          <w:t xml:space="preserve">Paraiška teikiama </w:t>
                        </w:r>
                        <w:r>
                          <w:rPr>
                            <w:color w:val="000000"/>
                            <w:szCs w:val="24"/>
                            <w:lang w:eastAsia="lt-LT"/>
                          </w:rPr>
                          <w:t>tradicinio amato demonstravimui renginio metu pagal taisyklių 11.2.6 papunktį (</w:t>
                        </w:r>
                        <w:r>
                          <w:rPr>
                            <w:i/>
                            <w:iCs/>
                            <w:szCs w:val="24"/>
                          </w:rPr>
                          <w:t>nurodyti renginių, kuriuose vyks amato demonstravimas, skaičių)</w:t>
                        </w:r>
                      </w:p>
                    </w:tc>
                    <w:tc>
                      <w:tcPr>
                        <w:tcW w:w="729" w:type="pct"/>
                        <w:tcBorders>
                          <w:top w:val="single" w:sz="4" w:space="0" w:color="auto"/>
                          <w:left w:val="single" w:sz="4" w:space="0" w:color="auto"/>
                          <w:bottom w:val="single" w:sz="4" w:space="0" w:color="auto"/>
                          <w:right w:val="single" w:sz="4" w:space="0" w:color="auto"/>
                        </w:tcBorders>
                        <w:vAlign w:val="center"/>
                        <w:hideMark/>
                      </w:tcPr>
                      <w:p w14:paraId="5E084D55" w14:textId="77777777">
                        <w:pPr>
                          <w:widowControl w:val="0"/>
                          <w:overflowPunct w:val="0"/>
                          <w:ind w:left="130" w:hanging="68"/>
                          <w:textAlignment w:val="baseline"/>
                          <w:rPr>
                            <w:rFonts w:eastAsia="MS Mincho"/>
                            <w:szCs w:val="24"/>
                          </w:rPr>
                        </w:pPr>
                        <w:r>
                          <w:rPr>
                            <w:rFonts w:eastAsia="MS Mincho"/>
                            <w:szCs w:val="24"/>
                          </w:rPr>
                          <w:t xml:space="preserve">Taip </w:t>
                        </w:r>
                        <w:r>
                          <w:rPr>
                            <w:rFonts w:ascii="MS Gothic" w:eastAsia="MS Gothic" w:hAnsi="MS Gothic"/>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80"/>
                        </w:tblGrid>
                        <w:tr w14:paraId="2CF4DF64" w14:textId="77777777">
                          <w:tc>
                            <w:tcPr>
                              <w:tcW w:w="1280" w:type="dxa"/>
                              <w:vAlign w:val="center"/>
                            </w:tcPr>
                            <w:p w14:paraId="7F8BB03C" w14:textId="77777777">
                              <w:pPr>
                                <w:widowControl w:val="0"/>
                                <w:overflowPunct w:val="0"/>
                                <w:textAlignment w:val="baseline"/>
                                <w:rPr>
                                  <w:rFonts w:eastAsia="MS Mincho"/>
                                  <w:szCs w:val="24"/>
                                </w:rPr>
                              </w:pPr>
                              <w:r>
                                <w:rPr>
                                  <w:rFonts w:eastAsia="MS Mincho"/>
                                  <w:color w:val="808080"/>
                                  <w:sz w:val="16"/>
                                  <w:szCs w:val="16"/>
                                </w:rPr>
                                <w:t>Įrašykite skaičių</w:t>
                              </w:r>
                            </w:p>
                          </w:tc>
                        </w:tr>
                      </w:tbl>
                      <w:p w14:paraId="492AC0E4" w14:textId="77777777">
                        <w:pPr>
                          <w:widowControl w:val="0"/>
                          <w:overflowPunct w:val="0"/>
                          <w:ind w:left="130" w:right="-145" w:hanging="68"/>
                          <w:textAlignment w:val="baseline"/>
                          <w:rPr>
                            <w:rFonts w:eastAsia="MS Mincho"/>
                            <w:szCs w:val="24"/>
                          </w:rPr>
                        </w:pPr>
                      </w:p>
                    </w:tc>
                  </w:tr>
                  <w:tr w14:paraId="764FE820" w14:textId="77777777">
                    <w:trPr>
                      <w:cantSplit/>
                      <w:trHeight w:val="695"/>
                    </w:trPr>
                    <w:tc>
                      <w:tcPr>
                        <w:tcW w:w="578" w:type="pct"/>
                        <w:vMerge/>
                        <w:tcBorders>
                          <w:top w:val="single" w:sz="4" w:space="0" w:color="auto"/>
                          <w:left w:val="single" w:sz="4" w:space="0" w:color="auto"/>
                          <w:bottom w:val="single" w:sz="4" w:space="0" w:color="auto"/>
                          <w:right w:val="single" w:sz="4" w:space="0" w:color="auto"/>
                        </w:tcBorders>
                        <w:vAlign w:val="center"/>
                      </w:tcPr>
                      <w:p w14:paraId="37C4CA10" w14:textId="77777777">
                        <w:pPr>
                          <w:overflowPunct w:val="0"/>
                          <w:jc w:val="both"/>
                          <w:textAlignment w:val="baseline"/>
                          <w:rPr>
                            <w:sz w:val="22"/>
                            <w:szCs w:val="22"/>
                          </w:rPr>
                        </w:pPr>
                      </w:p>
                    </w:tc>
                    <w:tc>
                      <w:tcPr>
                        <w:tcW w:w="3694" w:type="pct"/>
                        <w:gridSpan w:val="3"/>
                        <w:tcBorders>
                          <w:top w:val="single" w:sz="4" w:space="0" w:color="auto"/>
                          <w:left w:val="single" w:sz="4" w:space="0" w:color="auto"/>
                          <w:bottom w:val="single" w:sz="4" w:space="0" w:color="auto"/>
                          <w:right w:val="single" w:sz="4" w:space="0" w:color="auto"/>
                        </w:tcBorders>
                        <w:vAlign w:val="center"/>
                      </w:tcPr>
                      <w:p w14:paraId="13888FBF" w14:textId="77777777">
                        <w:pPr>
                          <w:widowControl w:val="0"/>
                          <w:overflowPunct w:val="0"/>
                          <w:ind w:left="189" w:right="140"/>
                          <w:jc w:val="both"/>
                          <w:textAlignment w:val="baseline"/>
                          <w:rPr>
                            <w:szCs w:val="24"/>
                          </w:rPr>
                        </w:pPr>
                        <w:r>
                          <w:rPr>
                            <w:color w:val="000000"/>
                            <w:szCs w:val="24"/>
                            <w:lang w:eastAsia="lt-LT"/>
                          </w:rPr>
                          <w:t>Paraiška teikiama tautinio paveldo produktų populiarinimo leidinių leidybai pagal taisyklių 11.3 papunktį</w:t>
                        </w:r>
                      </w:p>
                    </w:tc>
                    <w:tc>
                      <w:tcPr>
                        <w:tcW w:w="729" w:type="pct"/>
                        <w:tcBorders>
                          <w:top w:val="single" w:sz="4" w:space="0" w:color="auto"/>
                          <w:left w:val="single" w:sz="4" w:space="0" w:color="auto"/>
                          <w:bottom w:val="single" w:sz="4" w:space="0" w:color="auto"/>
                          <w:right w:val="single" w:sz="4" w:space="0" w:color="auto"/>
                        </w:tcBorders>
                        <w:vAlign w:val="center"/>
                      </w:tcPr>
                      <w:p w14:paraId="78FF543F" w14:textId="77777777">
                        <w:pPr>
                          <w:widowControl w:val="0"/>
                          <w:tabs>
                            <w:tab w:val="left" w:pos="996"/>
                          </w:tabs>
                          <w:overflowPunct w:val="0"/>
                          <w:ind w:right="-145" w:firstLine="62"/>
                          <w:textAlignment w:val="baseline"/>
                          <w:rPr>
                            <w:rFonts w:eastAsia="MS Mincho"/>
                            <w:szCs w:val="24"/>
                          </w:rPr>
                        </w:pPr>
                        <w:r>
                          <w:rPr>
                            <w:rFonts w:eastAsia="MS Mincho"/>
                            <w:szCs w:val="24"/>
                          </w:rPr>
                          <w:t xml:space="preserve">Taip </w:t>
                        </w:r>
                        <w:r>
                          <w:rPr>
                            <w:rFonts w:ascii="MS Gothic" w:eastAsia="MS Gothic" w:hAnsi="MS Gothic"/>
                            <w:szCs w:val="24"/>
                          </w:rPr>
                          <w:t>☐</w:t>
                        </w:r>
                      </w:p>
                    </w:tc>
                  </w:tr>
                  <w:tr w14:paraId="33C806CF" w14:textId="77777777">
                    <w:trPr>
                      <w:cantSplit/>
                      <w:trHeight w:val="695"/>
                    </w:trPr>
                    <w:tc>
                      <w:tcPr>
                        <w:tcW w:w="578" w:type="pct"/>
                        <w:vMerge/>
                        <w:tcBorders>
                          <w:top w:val="single" w:sz="4" w:space="0" w:color="auto"/>
                          <w:left w:val="single" w:sz="4" w:space="0" w:color="auto"/>
                          <w:bottom w:val="single" w:sz="4" w:space="0" w:color="auto"/>
                          <w:right w:val="single" w:sz="4" w:space="0" w:color="auto"/>
                        </w:tcBorders>
                        <w:vAlign w:val="center"/>
                        <w:hideMark/>
                      </w:tcPr>
                      <w:p w14:paraId="7288FB8C" w14:textId="77777777">
                        <w:pPr>
                          <w:overflowPunct w:val="0"/>
                          <w:jc w:val="both"/>
                          <w:textAlignment w:val="baseline"/>
                          <w:rPr>
                            <w:sz w:val="22"/>
                            <w:szCs w:val="22"/>
                          </w:rPr>
                        </w:pPr>
                      </w:p>
                    </w:tc>
                    <w:tc>
                      <w:tcPr>
                        <w:tcW w:w="3694" w:type="pct"/>
                        <w:gridSpan w:val="3"/>
                        <w:tcBorders>
                          <w:top w:val="single" w:sz="4" w:space="0" w:color="auto"/>
                          <w:left w:val="single" w:sz="4" w:space="0" w:color="auto"/>
                          <w:bottom w:val="single" w:sz="4" w:space="0" w:color="auto"/>
                          <w:right w:val="single" w:sz="4" w:space="0" w:color="auto"/>
                        </w:tcBorders>
                        <w:vAlign w:val="center"/>
                        <w:hideMark/>
                      </w:tcPr>
                      <w:p w14:paraId="0C2727AB" w14:textId="77777777">
                        <w:pPr>
                          <w:widowControl w:val="0"/>
                          <w:overflowPunct w:val="0"/>
                          <w:ind w:left="189" w:right="140"/>
                          <w:jc w:val="both"/>
                          <w:textAlignment w:val="baseline"/>
                          <w:rPr>
                            <w:szCs w:val="24"/>
                          </w:rPr>
                        </w:pPr>
                        <w:r>
                          <w:rPr>
                            <w:szCs w:val="24"/>
                          </w:rPr>
                          <w:t xml:space="preserve">Paraiška teikiama populiarinti ne maisto produktus ir gėrimus </w:t>
                        </w:r>
                        <w:r>
                          <w:rPr>
                            <w:color w:val="000000"/>
                            <w:szCs w:val="24"/>
                            <w:lang w:eastAsia="lt-LT"/>
                          </w:rPr>
                          <w:t>(</w:t>
                        </w:r>
                        <w:r>
                          <w:rPr>
                            <w:i/>
                            <w:iCs/>
                            <w:szCs w:val="24"/>
                          </w:rPr>
                          <w:t>jei pareiškėjas yra asociacija arba tradicinių amatų centras, nuostata galioja visiems pagalbos gavėjams)</w:t>
                        </w:r>
                      </w:p>
                    </w:tc>
                    <w:tc>
                      <w:tcPr>
                        <w:tcW w:w="729" w:type="pct"/>
                        <w:tcBorders>
                          <w:top w:val="single" w:sz="4" w:space="0" w:color="auto"/>
                          <w:left w:val="single" w:sz="4" w:space="0" w:color="auto"/>
                          <w:bottom w:val="single" w:sz="4" w:space="0" w:color="auto"/>
                          <w:right w:val="single" w:sz="4" w:space="0" w:color="auto"/>
                        </w:tcBorders>
                        <w:vAlign w:val="center"/>
                        <w:hideMark/>
                      </w:tcPr>
                      <w:p w14:paraId="55297DB2" w14:textId="77777777">
                        <w:pPr>
                          <w:widowControl w:val="0"/>
                          <w:tabs>
                            <w:tab w:val="left" w:pos="996"/>
                          </w:tabs>
                          <w:overflowPunct w:val="0"/>
                          <w:ind w:right="-145" w:firstLine="62"/>
                          <w:textAlignment w:val="baseline"/>
                          <w:rPr>
                            <w:rFonts w:eastAsia="MS Mincho"/>
                            <w:szCs w:val="24"/>
                          </w:rPr>
                        </w:pPr>
                        <w:r>
                          <w:rPr>
                            <w:rFonts w:eastAsia="MS Mincho"/>
                            <w:szCs w:val="24"/>
                          </w:rPr>
                          <w:t xml:space="preserve">Taip </w:t>
                        </w:r>
                        <w:r>
                          <w:rPr>
                            <w:rFonts w:ascii="MS Gothic" w:eastAsia="MS Gothic" w:hAnsi="MS Gothic"/>
                            <w:szCs w:val="24"/>
                          </w:rPr>
                          <w:t>☐</w:t>
                        </w:r>
                      </w:p>
                    </w:tc>
                  </w:tr>
                  <w:tr w14:paraId="6783F138" w14:textId="77777777">
                    <w:trPr>
                      <w:cantSplit/>
                      <w:trHeight w:val="635"/>
                    </w:trPr>
                    <w:tc>
                      <w:tcPr>
                        <w:tcW w:w="578" w:type="pct"/>
                        <w:vMerge/>
                        <w:tcBorders>
                          <w:top w:val="single" w:sz="4" w:space="0" w:color="auto"/>
                          <w:left w:val="single" w:sz="4" w:space="0" w:color="auto"/>
                          <w:bottom w:val="single" w:sz="4" w:space="0" w:color="auto"/>
                          <w:right w:val="single" w:sz="4" w:space="0" w:color="auto"/>
                        </w:tcBorders>
                        <w:vAlign w:val="center"/>
                        <w:hideMark/>
                      </w:tcPr>
                      <w:p w14:paraId="1BB9F151" w14:textId="77777777">
                        <w:pPr>
                          <w:overflowPunct w:val="0"/>
                          <w:jc w:val="both"/>
                          <w:textAlignment w:val="baseline"/>
                          <w:rPr>
                            <w:sz w:val="22"/>
                            <w:szCs w:val="22"/>
                          </w:rPr>
                        </w:pPr>
                      </w:p>
                    </w:tc>
                    <w:tc>
                      <w:tcPr>
                        <w:tcW w:w="3694" w:type="pct"/>
                        <w:gridSpan w:val="3"/>
                        <w:tcBorders>
                          <w:top w:val="single" w:sz="4" w:space="0" w:color="auto"/>
                          <w:left w:val="single" w:sz="4" w:space="0" w:color="auto"/>
                          <w:bottom w:val="single" w:sz="4" w:space="0" w:color="auto"/>
                          <w:right w:val="single" w:sz="4" w:space="0" w:color="auto"/>
                        </w:tcBorders>
                        <w:vAlign w:val="center"/>
                        <w:hideMark/>
                      </w:tcPr>
                      <w:p w14:paraId="476B7A28" w14:textId="77777777">
                        <w:pPr>
                          <w:widowControl w:val="0"/>
                          <w:overflowPunct w:val="0"/>
                          <w:ind w:left="189" w:right="133"/>
                          <w:jc w:val="both"/>
                          <w:textAlignment w:val="baseline"/>
                          <w:rPr>
                            <w:szCs w:val="24"/>
                          </w:rPr>
                        </w:pPr>
                        <w:r>
                          <w:rPr>
                            <w:szCs w:val="24"/>
                          </w:rPr>
                          <w:t>Daugiau prisidedama nuosavomis lėšomis, nei to reikalauja taisyklių nuostatos (</w:t>
                        </w:r>
                        <w:r>
                          <w:rPr>
                            <w:i/>
                            <w:iCs/>
                            <w:szCs w:val="24"/>
                          </w:rPr>
                          <w:t>nurodyti prašomos pagalbos dydį procentais</w:t>
                        </w:r>
                        <w:r>
                          <w:rPr>
                            <w:szCs w:val="24"/>
                          </w:rPr>
                          <w:t>)</w:t>
                        </w:r>
                      </w:p>
                    </w:tc>
                    <w:tc>
                      <w:tcPr>
                        <w:tcW w:w="729" w:type="pct"/>
                        <w:tcBorders>
                          <w:top w:val="single" w:sz="4" w:space="0" w:color="auto"/>
                          <w:left w:val="single" w:sz="4" w:space="0" w:color="auto"/>
                          <w:bottom w:val="single" w:sz="4" w:space="0" w:color="auto"/>
                          <w:right w:val="single" w:sz="4" w:space="0" w:color="auto"/>
                        </w:tcBorders>
                        <w:vAlign w:val="center"/>
                        <w:hideMark/>
                      </w:tcPr>
                      <w:p w14:paraId="013A202F" w14:textId="77777777">
                        <w:pPr>
                          <w:widowControl w:val="0"/>
                          <w:overflowPunct w:val="0"/>
                          <w:ind w:left="130" w:hanging="68"/>
                          <w:textAlignment w:val="baseline"/>
                          <w:rPr>
                            <w:rFonts w:eastAsia="MS Mincho"/>
                            <w:szCs w:val="24"/>
                          </w:rPr>
                        </w:pPr>
                        <w:r>
                          <w:rPr>
                            <w:rFonts w:eastAsia="MS Mincho"/>
                            <w:szCs w:val="24"/>
                          </w:rPr>
                          <w:t xml:space="preserve">Taip </w:t>
                        </w:r>
                        <w:r>
                          <w:rPr>
                            <w:rFonts w:ascii="MS Gothic" w:eastAsia="MS Gothic" w:hAnsi="MS Gothic"/>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80"/>
                        </w:tblGrid>
                        <w:tr w14:paraId="2040B356" w14:textId="77777777">
                          <w:tc>
                            <w:tcPr>
                              <w:tcW w:w="1280" w:type="dxa"/>
                              <w:vAlign w:val="center"/>
                            </w:tcPr>
                            <w:p w14:paraId="2DF161C6" w14:textId="77777777">
                              <w:pPr>
                                <w:widowControl w:val="0"/>
                                <w:overflowPunct w:val="0"/>
                                <w:textAlignment w:val="baseline"/>
                                <w:rPr>
                                  <w:rFonts w:eastAsia="MS Mincho"/>
                                  <w:szCs w:val="24"/>
                                </w:rPr>
                              </w:pPr>
                              <w:r>
                                <w:rPr>
                                  <w:rFonts w:eastAsia="MS Mincho"/>
                                  <w:color w:val="808080"/>
                                  <w:sz w:val="16"/>
                                  <w:szCs w:val="16"/>
                                </w:rPr>
                                <w:t>Įrašykite skaičių</w:t>
                              </w:r>
                            </w:p>
                          </w:tc>
                        </w:tr>
                      </w:tbl>
                      <w:p w14:paraId="6D2CB761" w14:textId="77777777">
                        <w:pPr>
                          <w:widowControl w:val="0"/>
                          <w:overflowPunct w:val="0"/>
                          <w:ind w:left="137" w:right="-145" w:hanging="75"/>
                          <w:textAlignment w:val="baseline"/>
                          <w:rPr>
                            <w:rFonts w:eastAsia="MS Mincho"/>
                            <w:szCs w:val="24"/>
                          </w:rPr>
                        </w:pPr>
                      </w:p>
                    </w:tc>
                  </w:tr>
                  <w:tr w14:paraId="4050141C" w14:textId="77777777">
                    <w:trPr>
                      <w:cantSplit/>
                      <w:trHeight w:val="697"/>
                    </w:trPr>
                    <w:tc>
                      <w:tcPr>
                        <w:tcW w:w="578" w:type="pct"/>
                        <w:vMerge/>
                        <w:tcBorders>
                          <w:top w:val="single" w:sz="4" w:space="0" w:color="auto"/>
                          <w:left w:val="single" w:sz="4" w:space="0" w:color="auto"/>
                          <w:bottom w:val="single" w:sz="4" w:space="0" w:color="auto"/>
                          <w:right w:val="single" w:sz="4" w:space="0" w:color="auto"/>
                        </w:tcBorders>
                        <w:vAlign w:val="center"/>
                        <w:hideMark/>
                      </w:tcPr>
                      <w:p w14:paraId="4BC9E602" w14:textId="77777777">
                        <w:pPr>
                          <w:overflowPunct w:val="0"/>
                          <w:jc w:val="both"/>
                          <w:textAlignment w:val="baseline"/>
                          <w:rPr>
                            <w:sz w:val="22"/>
                            <w:szCs w:val="22"/>
                          </w:rPr>
                        </w:pPr>
                      </w:p>
                    </w:tc>
                    <w:tc>
                      <w:tcPr>
                        <w:tcW w:w="3694" w:type="pct"/>
                        <w:gridSpan w:val="3"/>
                        <w:tcBorders>
                          <w:top w:val="single" w:sz="4" w:space="0" w:color="auto"/>
                          <w:left w:val="single" w:sz="4" w:space="0" w:color="auto"/>
                          <w:bottom w:val="single" w:sz="4" w:space="0" w:color="auto"/>
                          <w:right w:val="single" w:sz="4" w:space="0" w:color="auto"/>
                        </w:tcBorders>
                        <w:vAlign w:val="center"/>
                        <w:hideMark/>
                      </w:tcPr>
                      <w:p w14:paraId="1B89AD73" w14:textId="77777777">
                        <w:pPr>
                          <w:widowControl w:val="0"/>
                          <w:overflowPunct w:val="0"/>
                          <w:ind w:left="189" w:right="133"/>
                          <w:jc w:val="both"/>
                          <w:textAlignment w:val="baseline"/>
                          <w:rPr>
                            <w:szCs w:val="24"/>
                          </w:rPr>
                        </w:pPr>
                        <w:r>
                          <w:rPr>
                            <w:color w:val="000000"/>
                            <w:szCs w:val="24"/>
                            <w:lang w:eastAsia="lt-LT"/>
                          </w:rPr>
                          <w:t>Pagalba pagal šias taisykles būtų gaunama pirmą kartą (</w:t>
                        </w:r>
                        <w:r>
                          <w:rPr>
                            <w:i/>
                            <w:iCs/>
                            <w:color w:val="000000"/>
                            <w:szCs w:val="24"/>
                            <w:lang w:eastAsia="lt-LT"/>
                          </w:rPr>
                          <w:t>nepildoma, jei pareiškėjas yra asociacija arba tradicinių amatų centras</w:t>
                        </w:r>
                        <w:r>
                          <w:rPr>
                            <w:color w:val="000000"/>
                            <w:szCs w:val="24"/>
                            <w:lang w:eastAsia="lt-LT"/>
                          </w:rPr>
                          <w:t>)</w:t>
                        </w:r>
                      </w:p>
                    </w:tc>
                    <w:tc>
                      <w:tcPr>
                        <w:tcW w:w="729" w:type="pct"/>
                        <w:tcBorders>
                          <w:top w:val="single" w:sz="4" w:space="0" w:color="auto"/>
                          <w:left w:val="single" w:sz="4" w:space="0" w:color="auto"/>
                          <w:bottom w:val="single" w:sz="4" w:space="0" w:color="auto"/>
                          <w:right w:val="single" w:sz="4" w:space="0" w:color="auto"/>
                        </w:tcBorders>
                        <w:vAlign w:val="center"/>
                        <w:hideMark/>
                      </w:tcPr>
                      <w:p w14:paraId="0BCFDCA3" w14:textId="77777777">
                        <w:pPr>
                          <w:widowControl w:val="0"/>
                          <w:overflowPunct w:val="0"/>
                          <w:ind w:right="-145" w:firstLine="62"/>
                          <w:textAlignment w:val="baseline"/>
                          <w:rPr>
                            <w:rFonts w:eastAsia="MS Mincho"/>
                            <w:szCs w:val="24"/>
                          </w:rPr>
                        </w:pPr>
                        <w:r>
                          <w:rPr>
                            <w:rFonts w:eastAsia="MS Mincho"/>
                            <w:szCs w:val="24"/>
                          </w:rPr>
                          <w:t xml:space="preserve">Taip </w:t>
                        </w:r>
                        <w:r>
                          <w:rPr>
                            <w:rFonts w:ascii="MS Gothic" w:eastAsia="MS Gothic" w:hAnsi="MS Gothic"/>
                            <w:szCs w:val="24"/>
                          </w:rPr>
                          <w:t>☐</w:t>
                        </w:r>
                      </w:p>
                    </w:tc>
                  </w:tr>
                </w:tbl>
                <w:p w14:paraId="5B20472B" w14:textId="77777777">
                  <w:pPr>
                    <w:widowControl w:val="0"/>
                    <w:tabs>
                      <w:tab w:val="center" w:pos="4153"/>
                      <w:tab w:val="right" w:pos="8306"/>
                    </w:tabs>
                    <w:overflowPunct w:val="0"/>
                    <w:ind w:firstLine="62"/>
                    <w:jc w:val="both"/>
                    <w:textAlignment w:val="baseline"/>
                    <w:rPr>
                      <w:kern w:val="24"/>
                      <w:szCs w:val="24"/>
                    </w:rPr>
                  </w:pPr>
                </w:p>
              </w:sdtContent>
            </w:sdt>
            <w:sdt>
              <w:sdtPr>
                <w:alias w:val="1 pr. 2 p."/>
                <w:tag w:val="part_fc11d38c93844b8aa942a851b7eced02"/>
                <w:lock w:val="sdtLocked"/>
                <w:richText/>
              </w:sdtPr>
              <w:sdtContent>
                <w:p w14:paraId="00572407" w14:textId="77777777">
                  <w:pPr>
                    <w:widowControl w:val="0"/>
                    <w:overflowPunct w:val="0"/>
                    <w:ind w:firstLine="720"/>
                    <w:jc w:val="both"/>
                    <w:textAlignment w:val="baseline"/>
                    <w:rPr>
                      <w:b/>
                      <w:szCs w:val="24"/>
                    </w:rPr>
                  </w:pPr>
                  <w:sdt>
                    <w:sdtPr>
                      <w:alias w:val="Numeris"/>
                      <w:tag w:val="nr_fc11d38c93844b8aa942a851b7eced02"/>
                      <w:lock w:val="sdtLocked"/>
                      <w:richText/>
                    </w:sdtPr>
                    <w:sdtContent>
                      <w:r>
                        <w:rPr>
                          <w:b/>
                          <w:szCs w:val="24"/>
                        </w:rPr>
                        <w:t>2</w:t>
                      </w:r>
                    </w:sdtContent>
                  </w:sdt>
                  <w:r>
                    <w:rPr>
                      <w:b/>
                      <w:szCs w:val="24"/>
                    </w:rPr>
                    <w:t>. DUOMENYS APIE PROJEKTĄ</w:t>
                  </w:r>
                </w:p>
                <w:p w14:paraId="2A0DC722" w14:textId="77777777">
                  <w:pPr>
                    <w:widowControl w:val="0"/>
                    <w:overflowPunct w:val="0"/>
                    <w:ind w:firstLine="720"/>
                    <w:jc w:val="both"/>
                    <w:textAlignment w:val="baseline"/>
                    <w:rPr>
                      <w:bCs/>
                      <w:sz w:val="22"/>
                      <w:szCs w:val="22"/>
                    </w:rPr>
                  </w:pPr>
                </w:p>
                <w:sdt>
                  <w:sdtPr>
                    <w:alias w:val="1 pr. 2.1 pp."/>
                    <w:tag w:val="part_c57b1782d14b4197beae915bf8d650fd"/>
                    <w:lock w:val="sdtLocked"/>
                    <w:richText/>
                  </w:sdtPr>
                  <w:sdtContent>
                    <w:p w14:paraId="6D9D2BBB" w14:textId="77777777">
                      <w:pPr>
                        <w:widowControl w:val="0"/>
                        <w:overflowPunct w:val="0"/>
                        <w:ind w:firstLine="720"/>
                        <w:jc w:val="both"/>
                        <w:textAlignment w:val="baseline"/>
                        <w:rPr>
                          <w:i/>
                          <w:szCs w:val="24"/>
                        </w:rPr>
                      </w:pPr>
                      <w:sdt>
                        <w:sdtPr>
                          <w:alias w:val="Numeris"/>
                          <w:tag w:val="nr_c57b1782d14b4197beae915bf8d650fd"/>
                          <w:lock w:val="sdtLocked"/>
                          <w:richText/>
                        </w:sdtPr>
                        <w:sdtContent>
                          <w:r>
                            <w:rPr>
                              <w:szCs w:val="24"/>
                            </w:rPr>
                            <w:t>2.1</w:t>
                          </w:r>
                        </w:sdtContent>
                      </w:sdt>
                      <w:r>
                        <w:rPr>
                          <w:szCs w:val="24"/>
                        </w:rPr>
                        <w:t xml:space="preserve">. Projekto vykdytojo kuriamo ir (arba) gaminamo tautinio paveldo produkto pavadinimas, sritis, kategorija </w:t>
                      </w:r>
                      <w:r>
                        <w:rPr>
                          <w:i/>
                          <w:szCs w:val="24"/>
                        </w:rPr>
                        <w:t>(pagal prie paraiškos pridedamą tautinio paveldo produkto sertifikatą)</w:t>
                      </w:r>
                    </w:p>
                    <w:p w14:paraId="41A39EFE" w14:textId="77777777">
                      <w:pPr>
                        <w:widowControl w:val="0"/>
                        <w:overflowPunct w:val="0"/>
                        <w:ind w:firstLine="720"/>
                        <w:jc w:val="both"/>
                        <w:textAlignment w:val="baseline"/>
                        <w:rPr>
                          <w:sz w:val="12"/>
                          <w:szCs w:val="12"/>
                        </w:rPr>
                      </w:pPr>
                    </w:p>
                    <w:p w14:paraId="3D174C11" w14:textId="77777777">
                      <w:pPr>
                        <w:widowControl w:val="0"/>
                        <w:tabs>
                          <w:tab w:val="right" w:leader="underscore" w:pos="9638"/>
                        </w:tabs>
                        <w:overflowPunct w:val="0"/>
                        <w:spacing w:line="276" w:lineRule="auto"/>
                        <w:jc w:val="both"/>
                        <w:textAlignment w:val="baseline"/>
                        <w:rPr>
                          <w:szCs w:val="24"/>
                        </w:rPr>
                      </w:pPr>
                      <w:r>
                        <w:rPr>
                          <w:szCs w:val="24"/>
                        </w:rPr>
                        <w:tab/>
                      </w:r>
                    </w:p>
                    <w:p w14:paraId="41CE0131" w14:textId="77777777">
                      <w:pPr>
                        <w:widowControl w:val="0"/>
                        <w:tabs>
                          <w:tab w:val="right" w:leader="underscore" w:pos="9638"/>
                        </w:tabs>
                        <w:overflowPunct w:val="0"/>
                        <w:spacing w:line="276" w:lineRule="auto"/>
                        <w:jc w:val="both"/>
                        <w:textAlignment w:val="baseline"/>
                        <w:rPr>
                          <w:szCs w:val="24"/>
                        </w:rPr>
                      </w:pPr>
                      <w:r>
                        <w:rPr>
                          <w:szCs w:val="24"/>
                        </w:rPr>
                        <w:tab/>
                      </w:r>
                    </w:p>
                    <w:p w14:paraId="1710868D" w14:textId="77777777">
                      <w:pPr>
                        <w:widowControl w:val="0"/>
                        <w:overflowPunct w:val="0"/>
                        <w:spacing w:line="276" w:lineRule="auto"/>
                        <w:ind w:firstLine="720"/>
                        <w:jc w:val="both"/>
                        <w:textAlignment w:val="baseline"/>
                        <w:rPr>
                          <w:sz w:val="22"/>
                          <w:szCs w:val="22"/>
                        </w:rPr>
                      </w:pPr>
                    </w:p>
                  </w:sdtContent>
                </w:sdt>
                <w:sdt>
                  <w:sdtPr>
                    <w:alias w:val="1 pr. 2.2 pp."/>
                    <w:tag w:val="part_f27a06f4e36c449e9130d2af2c38f892"/>
                    <w:lock w:val="sdtLocked"/>
                    <w:richText/>
                  </w:sdtPr>
                  <w:sdtContent>
                    <w:p w14:paraId="70068937" w14:textId="77777777">
                      <w:pPr>
                        <w:widowControl w:val="0"/>
                        <w:tabs>
                          <w:tab w:val="right" w:leader="underscore" w:pos="9072"/>
                        </w:tabs>
                        <w:overflowPunct w:val="0"/>
                        <w:ind w:firstLine="720"/>
                        <w:jc w:val="both"/>
                        <w:textAlignment w:val="baseline"/>
                        <w:rPr>
                          <w:i/>
                          <w:szCs w:val="24"/>
                        </w:rPr>
                      </w:pPr>
                      <w:sdt>
                        <w:sdtPr>
                          <w:alias w:val="Numeris"/>
                          <w:tag w:val="nr_f27a06f4e36c449e9130d2af2c38f892"/>
                          <w:lock w:val="sdtLocked"/>
                          <w:richText/>
                        </w:sdtPr>
                        <w:sdtContent>
                          <w:r>
                            <w:rPr>
                              <w:szCs w:val="24"/>
                            </w:rPr>
                            <w:t>2.2</w:t>
                          </w:r>
                        </w:sdtContent>
                      </w:sdt>
                      <w:r>
                        <w:rPr>
                          <w:szCs w:val="24"/>
                        </w:rPr>
                        <w:t xml:space="preserve">. Projekto pavadinimas </w:t>
                      </w:r>
                      <w:r>
                        <w:rPr>
                          <w:i/>
                          <w:szCs w:val="24"/>
                        </w:rPr>
                        <w:t>(vienu sakiniu)</w:t>
                      </w:r>
                    </w:p>
                    <w:p w14:paraId="45CAF373" w14:textId="77777777">
                      <w:pPr>
                        <w:widowControl w:val="0"/>
                        <w:tabs>
                          <w:tab w:val="right" w:leader="underscore" w:pos="9072"/>
                        </w:tabs>
                        <w:overflowPunct w:val="0"/>
                        <w:ind w:firstLine="720"/>
                        <w:jc w:val="both"/>
                        <w:textAlignment w:val="baseline"/>
                        <w:rPr>
                          <w:sz w:val="12"/>
                          <w:szCs w:val="12"/>
                        </w:rPr>
                      </w:pPr>
                    </w:p>
                    <w:p w14:paraId="15EA4EFB" w14:textId="77777777">
                      <w:pPr>
                        <w:widowControl w:val="0"/>
                        <w:tabs>
                          <w:tab w:val="right" w:leader="underscore" w:pos="9638"/>
                        </w:tabs>
                        <w:overflowPunct w:val="0"/>
                        <w:spacing w:line="276" w:lineRule="auto"/>
                        <w:jc w:val="both"/>
                        <w:textAlignment w:val="baseline"/>
                        <w:rPr>
                          <w:szCs w:val="24"/>
                        </w:rPr>
                      </w:pPr>
                      <w:r>
                        <w:rPr>
                          <w:szCs w:val="24"/>
                        </w:rPr>
                        <w:tab/>
                      </w:r>
                    </w:p>
                    <w:p w14:paraId="58E4C29B" w14:textId="77777777">
                      <w:pPr>
                        <w:widowControl w:val="0"/>
                        <w:tabs>
                          <w:tab w:val="right" w:leader="underscore" w:pos="9638"/>
                        </w:tabs>
                        <w:overflowPunct w:val="0"/>
                        <w:spacing w:line="276" w:lineRule="auto"/>
                        <w:jc w:val="both"/>
                        <w:textAlignment w:val="baseline"/>
                        <w:rPr>
                          <w:szCs w:val="24"/>
                        </w:rPr>
                      </w:pPr>
                      <w:r>
                        <w:rPr>
                          <w:szCs w:val="24"/>
                        </w:rPr>
                        <w:tab/>
                      </w:r>
                    </w:p>
                    <w:p w14:paraId="5B0AA2D4" w14:textId="77777777">
                      <w:pPr>
                        <w:widowControl w:val="0"/>
                        <w:tabs>
                          <w:tab w:val="right" w:leader="underscore" w:pos="9638"/>
                        </w:tabs>
                        <w:overflowPunct w:val="0"/>
                        <w:spacing w:line="276" w:lineRule="auto"/>
                        <w:jc w:val="both"/>
                        <w:textAlignment w:val="baseline"/>
                        <w:rPr>
                          <w:szCs w:val="24"/>
                        </w:rPr>
                      </w:pPr>
                      <w:r>
                        <w:rPr>
                          <w:szCs w:val="24"/>
                        </w:rPr>
                        <w:tab/>
                      </w:r>
                    </w:p>
                    <w:p w14:paraId="421575C8" w14:textId="77777777">
                      <w:pPr>
                        <w:widowControl w:val="0"/>
                        <w:tabs>
                          <w:tab w:val="right" w:leader="underscore" w:pos="9072"/>
                        </w:tabs>
                        <w:overflowPunct w:val="0"/>
                        <w:spacing w:line="276" w:lineRule="auto"/>
                        <w:ind w:firstLine="720"/>
                        <w:jc w:val="both"/>
                        <w:textAlignment w:val="baseline"/>
                        <w:rPr>
                          <w:szCs w:val="24"/>
                        </w:rPr>
                      </w:pPr>
                    </w:p>
                  </w:sdtContent>
                </w:sdt>
                <w:sdt>
                  <w:sdtPr>
                    <w:alias w:val="1 pr. 2.3 pp."/>
                    <w:tag w:val="part_bbf330ad939d4d61ab86153dd122adf0"/>
                    <w:lock w:val="sdtLocked"/>
                    <w:richText/>
                  </w:sdtPr>
                  <w:sdtContent>
                    <w:p w14:paraId="4C546088" w14:textId="77777777">
                      <w:pPr>
                        <w:widowControl w:val="0"/>
                        <w:tabs>
                          <w:tab w:val="right" w:leader="underscore" w:pos="9072"/>
                        </w:tabs>
                        <w:overflowPunct w:val="0"/>
                        <w:ind w:firstLine="720"/>
                        <w:jc w:val="both"/>
                        <w:textAlignment w:val="baseline"/>
                        <w:rPr>
                          <w:szCs w:val="24"/>
                        </w:rPr>
                      </w:pPr>
                      <w:sdt>
                        <w:sdtPr>
                          <w:alias w:val="Numeris"/>
                          <w:tag w:val="nr_bbf330ad939d4d61ab86153dd122adf0"/>
                          <w:lock w:val="sdtLocked"/>
                          <w:richText/>
                        </w:sdtPr>
                        <w:sdtContent>
                          <w:r>
                            <w:rPr>
                              <w:szCs w:val="24"/>
                            </w:rPr>
                            <w:t>2.3</w:t>
                          </w:r>
                        </w:sdtContent>
                      </w:sdt>
                      <w:r>
                        <w:rPr>
                          <w:szCs w:val="24"/>
                        </w:rPr>
                        <w:t xml:space="preserve">. Trumpas projekto aprašymas, tikslai, uždaviniai, dalyviai, vieta ir numatomi rezultatai </w:t>
                      </w:r>
                    </w:p>
                    <w:p w14:paraId="5C082A4E" w14:textId="77777777">
                      <w:pPr>
                        <w:widowControl w:val="0"/>
                        <w:tabs>
                          <w:tab w:val="right" w:leader="underscore" w:pos="9638"/>
                        </w:tabs>
                        <w:overflowPunct w:val="0"/>
                        <w:spacing w:line="276" w:lineRule="auto"/>
                        <w:jc w:val="both"/>
                        <w:textAlignment w:val="baseline"/>
                        <w:rPr>
                          <w:szCs w:val="24"/>
                        </w:rPr>
                      </w:pPr>
                      <w:r>
                        <w:rPr>
                          <w:szCs w:val="24"/>
                        </w:rPr>
                        <w:tab/>
                      </w:r>
                    </w:p>
                    <w:p w14:paraId="404BD790" w14:textId="77777777">
                      <w:pPr>
                        <w:widowControl w:val="0"/>
                        <w:tabs>
                          <w:tab w:val="right" w:leader="underscore" w:pos="9638"/>
                        </w:tabs>
                        <w:overflowPunct w:val="0"/>
                        <w:spacing w:line="276" w:lineRule="auto"/>
                        <w:jc w:val="both"/>
                        <w:textAlignment w:val="baseline"/>
                        <w:rPr>
                          <w:szCs w:val="24"/>
                        </w:rPr>
                      </w:pPr>
                      <w:r>
                        <w:rPr>
                          <w:szCs w:val="24"/>
                        </w:rPr>
                        <w:tab/>
                      </w:r>
                    </w:p>
                    <w:p w14:paraId="3899985D" w14:textId="77777777">
                      <w:pPr>
                        <w:widowControl w:val="0"/>
                        <w:tabs>
                          <w:tab w:val="right" w:leader="underscore" w:pos="9638"/>
                        </w:tabs>
                        <w:overflowPunct w:val="0"/>
                        <w:spacing w:line="276" w:lineRule="auto"/>
                        <w:jc w:val="both"/>
                        <w:textAlignment w:val="baseline"/>
                        <w:rPr>
                          <w:szCs w:val="24"/>
                        </w:rPr>
                      </w:pPr>
                      <w:r>
                        <w:rPr>
                          <w:szCs w:val="24"/>
                        </w:rPr>
                        <w:tab/>
                      </w:r>
                    </w:p>
                    <w:p w14:paraId="7776F495" w14:textId="77777777">
                      <w:pPr>
                        <w:widowControl w:val="0"/>
                        <w:suppressAutoHyphens/>
                        <w:overflowPunct w:val="0"/>
                        <w:spacing w:line="276" w:lineRule="auto"/>
                        <w:jc w:val="both"/>
                        <w:textAlignment w:val="center"/>
                        <w:rPr>
                          <w:color w:val="000000"/>
                          <w:spacing w:val="-4"/>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1"/>
                        <w:gridCol w:w="4256"/>
                      </w:tblGrid>
                      <w:tr w14:paraId="0CD1A01F" w14:textId="77777777">
                        <w:trPr>
                          <w:cantSplit/>
                          <w:trHeight w:val="605"/>
                        </w:trPr>
                        <w:tc>
                          <w:tcPr>
                            <w:tcW w:w="279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991FF4D" w14:textId="77777777">
                            <w:pPr>
                              <w:widowControl w:val="0"/>
                              <w:overflowPunct w:val="0"/>
                              <w:ind w:left="142"/>
                              <w:jc w:val="both"/>
                              <w:textAlignment w:val="baseline"/>
                              <w:rPr>
                                <w:szCs w:val="24"/>
                              </w:rPr>
                            </w:pPr>
                            <w:r>
                              <w:rPr>
                                <w:szCs w:val="24"/>
                              </w:rPr>
                              <w:t xml:space="preserve">Bendra projekto vertė su PVM arba be PVM, Eur </w:t>
                            </w:r>
                          </w:p>
                          <w:p w14:paraId="60FBFA86" w14:textId="77777777">
                            <w:pPr>
                              <w:widowControl w:val="0"/>
                              <w:overflowPunct w:val="0"/>
                              <w:ind w:left="142"/>
                              <w:jc w:val="both"/>
                              <w:textAlignment w:val="baseline"/>
                              <w:rPr>
                                <w:szCs w:val="24"/>
                              </w:rPr>
                            </w:pPr>
                            <w:r>
                              <w:rPr>
                                <w:i/>
                                <w:szCs w:val="24"/>
                              </w:rPr>
                              <w:t>(kas reikalinga, pabraukti)</w:t>
                            </w:r>
                          </w:p>
                        </w:tc>
                        <w:tc>
                          <w:tcPr>
                            <w:tcW w:w="2208" w:type="pct"/>
                            <w:tcBorders>
                              <w:top w:val="single" w:sz="4" w:space="0" w:color="auto"/>
                              <w:left w:val="single" w:sz="4" w:space="0" w:color="auto"/>
                              <w:bottom w:val="single" w:sz="4" w:space="0" w:color="auto"/>
                              <w:right w:val="single" w:sz="4" w:space="0" w:color="auto"/>
                            </w:tcBorders>
                            <w:vAlign w:val="center"/>
                          </w:tcPr>
                          <w:p w14:paraId="3DC6C072" w14:textId="77777777">
                            <w:pPr>
                              <w:widowControl w:val="0"/>
                              <w:overflowPunct w:val="0"/>
                              <w:jc w:val="both"/>
                              <w:textAlignment w:val="baseline"/>
                              <w:rPr>
                                <w:i/>
                                <w:szCs w:val="24"/>
                              </w:rPr>
                            </w:pPr>
                          </w:p>
                        </w:tc>
                      </w:tr>
                      <w:tr w14:paraId="5ABD993A" w14:textId="77777777">
                        <w:trPr>
                          <w:cantSplit/>
                          <w:trHeight w:val="414"/>
                        </w:trPr>
                        <w:tc>
                          <w:tcPr>
                            <w:tcW w:w="2792" w:type="pct"/>
                            <w:tcBorders>
                              <w:top w:val="single" w:sz="4" w:space="0" w:color="auto"/>
                              <w:left w:val="single" w:sz="4" w:space="0" w:color="auto"/>
                              <w:bottom w:val="single" w:sz="4" w:space="0" w:color="auto"/>
                              <w:right w:val="single" w:sz="4" w:space="0" w:color="auto"/>
                            </w:tcBorders>
                            <w:shd w:val="clear" w:color="auto" w:fill="FFFFFF"/>
                            <w:hideMark/>
                          </w:tcPr>
                          <w:p w14:paraId="60F87C68" w14:textId="77777777">
                            <w:pPr>
                              <w:widowControl w:val="0"/>
                              <w:overflowPunct w:val="0"/>
                              <w:ind w:left="142"/>
                              <w:jc w:val="both"/>
                              <w:textAlignment w:val="baseline"/>
                              <w:rPr>
                                <w:i/>
                                <w:szCs w:val="24"/>
                              </w:rPr>
                            </w:pPr>
                            <w:r>
                              <w:rPr>
                                <w:szCs w:val="24"/>
                              </w:rPr>
                              <w:t xml:space="preserve">Bendra tinkamų finansuoti išlaidų suma su PVM arba be PVM, Eur </w:t>
                            </w:r>
                            <w:r>
                              <w:rPr>
                                <w:i/>
                                <w:szCs w:val="24"/>
                              </w:rPr>
                              <w:t>(kas reikalinga, pabraukti)</w:t>
                            </w:r>
                          </w:p>
                          <w:p w14:paraId="37C995FF" w14:textId="77777777">
                            <w:pPr>
                              <w:widowControl w:val="0"/>
                              <w:overflowPunct w:val="0"/>
                              <w:ind w:left="142"/>
                              <w:jc w:val="both"/>
                              <w:textAlignment w:val="baseline"/>
                              <w:rPr>
                                <w:i/>
                                <w:szCs w:val="24"/>
                              </w:rPr>
                            </w:pPr>
                            <w:r>
                              <w:rPr>
                                <w:i/>
                                <w:szCs w:val="24"/>
                              </w:rPr>
                              <w:t>(3.1 ir 3.2 lentelių (3) stulpelių bendra suma)</w:t>
                            </w:r>
                          </w:p>
                        </w:tc>
                        <w:tc>
                          <w:tcPr>
                            <w:tcW w:w="2208" w:type="pct"/>
                            <w:tcBorders>
                              <w:top w:val="single" w:sz="4" w:space="0" w:color="auto"/>
                              <w:left w:val="single" w:sz="4" w:space="0" w:color="auto"/>
                              <w:bottom w:val="single" w:sz="4" w:space="0" w:color="auto"/>
                              <w:right w:val="single" w:sz="4" w:space="0" w:color="auto"/>
                            </w:tcBorders>
                          </w:tcPr>
                          <w:p w14:paraId="4B8C26E9" w14:textId="77777777">
                            <w:pPr>
                              <w:widowControl w:val="0"/>
                              <w:overflowPunct w:val="0"/>
                              <w:jc w:val="both"/>
                              <w:textAlignment w:val="baseline"/>
                              <w:rPr>
                                <w:i/>
                                <w:szCs w:val="24"/>
                              </w:rPr>
                            </w:pPr>
                          </w:p>
                        </w:tc>
                      </w:tr>
                      <w:tr w14:paraId="16AB2775" w14:textId="77777777">
                        <w:trPr>
                          <w:cantSplit/>
                          <w:trHeight w:val="450"/>
                        </w:trPr>
                        <w:tc>
                          <w:tcPr>
                            <w:tcW w:w="2792" w:type="pct"/>
                            <w:tcBorders>
                              <w:top w:val="single" w:sz="4" w:space="0" w:color="auto"/>
                              <w:left w:val="single" w:sz="4" w:space="0" w:color="auto"/>
                              <w:bottom w:val="single" w:sz="4" w:space="0" w:color="auto"/>
                              <w:right w:val="single" w:sz="4" w:space="0" w:color="auto"/>
                            </w:tcBorders>
                            <w:shd w:val="clear" w:color="auto" w:fill="FFFFFF"/>
                            <w:hideMark/>
                          </w:tcPr>
                          <w:p w14:paraId="36AC2515" w14:textId="77777777">
                            <w:pPr>
                              <w:widowControl w:val="0"/>
                              <w:overflowPunct w:val="0"/>
                              <w:ind w:left="142"/>
                              <w:jc w:val="both"/>
                              <w:textAlignment w:val="baseline"/>
                              <w:rPr>
                                <w:szCs w:val="24"/>
                              </w:rPr>
                            </w:pPr>
                            <w:r>
                              <w:rPr>
                                <w:szCs w:val="24"/>
                              </w:rPr>
                              <w:t>Prašoma pagalbos suma, su PVM arba be PVM, Eur</w:t>
                            </w:r>
                          </w:p>
                          <w:p w14:paraId="05175666" w14:textId="77777777">
                            <w:pPr>
                              <w:widowControl w:val="0"/>
                              <w:overflowPunct w:val="0"/>
                              <w:ind w:left="142"/>
                              <w:jc w:val="both"/>
                              <w:textAlignment w:val="baseline"/>
                              <w:rPr>
                                <w:i/>
                                <w:szCs w:val="24"/>
                              </w:rPr>
                            </w:pPr>
                            <w:r>
                              <w:rPr>
                                <w:i/>
                                <w:szCs w:val="24"/>
                              </w:rPr>
                              <w:t>(kas reikalinga, pabraukti)</w:t>
                            </w:r>
                          </w:p>
                          <w:p w14:paraId="6B5A2A45" w14:textId="77777777">
                            <w:pPr>
                              <w:widowControl w:val="0"/>
                              <w:overflowPunct w:val="0"/>
                              <w:ind w:left="142"/>
                              <w:jc w:val="both"/>
                              <w:textAlignment w:val="baseline"/>
                              <w:rPr>
                                <w:i/>
                                <w:szCs w:val="24"/>
                              </w:rPr>
                            </w:pPr>
                            <w:r>
                              <w:rPr>
                                <w:i/>
                                <w:szCs w:val="24"/>
                              </w:rPr>
                              <w:t>(3.1 ir 3.2 lentelių (6) stulpelių bendra suma)</w:t>
                            </w:r>
                          </w:p>
                        </w:tc>
                        <w:tc>
                          <w:tcPr>
                            <w:tcW w:w="2208" w:type="pct"/>
                            <w:tcBorders>
                              <w:top w:val="single" w:sz="4" w:space="0" w:color="auto"/>
                              <w:left w:val="single" w:sz="4" w:space="0" w:color="auto"/>
                              <w:bottom w:val="single" w:sz="4" w:space="0" w:color="auto"/>
                              <w:right w:val="single" w:sz="4" w:space="0" w:color="auto"/>
                            </w:tcBorders>
                          </w:tcPr>
                          <w:p w14:paraId="7D148123" w14:textId="77777777">
                            <w:pPr>
                              <w:widowControl w:val="0"/>
                              <w:overflowPunct w:val="0"/>
                              <w:jc w:val="both"/>
                              <w:textAlignment w:val="baseline"/>
                              <w:rPr>
                                <w:szCs w:val="24"/>
                              </w:rPr>
                            </w:pPr>
                          </w:p>
                        </w:tc>
                      </w:tr>
                      <w:tr w14:paraId="6634084E" w14:textId="77777777">
                        <w:trPr>
                          <w:cantSplit/>
                          <w:trHeight w:val="453"/>
                        </w:trPr>
                        <w:tc>
                          <w:tcPr>
                            <w:tcW w:w="279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F158434" w14:textId="77777777">
                            <w:pPr>
                              <w:widowControl w:val="0"/>
                              <w:overflowPunct w:val="0"/>
                              <w:ind w:left="142"/>
                              <w:jc w:val="both"/>
                              <w:textAlignment w:val="baseline"/>
                              <w:rPr>
                                <w:szCs w:val="24"/>
                              </w:rPr>
                            </w:pPr>
                            <w:r>
                              <w:rPr>
                                <w:szCs w:val="24"/>
                              </w:rPr>
                              <w:t>Pagalbos dydis, proc.</w:t>
                            </w:r>
                          </w:p>
                        </w:tc>
                        <w:tc>
                          <w:tcPr>
                            <w:tcW w:w="2208" w:type="pct"/>
                            <w:tcBorders>
                              <w:top w:val="single" w:sz="4" w:space="0" w:color="auto"/>
                              <w:left w:val="single" w:sz="4" w:space="0" w:color="auto"/>
                              <w:bottom w:val="single" w:sz="4" w:space="0" w:color="auto"/>
                              <w:right w:val="single" w:sz="4" w:space="0" w:color="auto"/>
                            </w:tcBorders>
                            <w:vAlign w:val="center"/>
                          </w:tcPr>
                          <w:p w14:paraId="377D8A6B" w14:textId="77777777">
                            <w:pPr>
                              <w:widowControl w:val="0"/>
                              <w:overflowPunct w:val="0"/>
                              <w:jc w:val="both"/>
                              <w:textAlignment w:val="baseline"/>
                              <w:rPr>
                                <w:szCs w:val="24"/>
                              </w:rPr>
                            </w:pPr>
                          </w:p>
                        </w:tc>
                      </w:tr>
                      <w:tr w14:paraId="01308CF7" w14:textId="77777777">
                        <w:trPr>
                          <w:cantSplit/>
                          <w:trHeight w:val="417"/>
                        </w:trPr>
                        <w:tc>
                          <w:tcPr>
                            <w:tcW w:w="279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52F8594" w14:textId="77777777">
                            <w:pPr>
                              <w:widowControl w:val="0"/>
                              <w:overflowPunct w:val="0"/>
                              <w:ind w:left="142"/>
                              <w:jc w:val="both"/>
                              <w:textAlignment w:val="baseline"/>
                              <w:rPr>
                                <w:szCs w:val="24"/>
                              </w:rPr>
                            </w:pPr>
                            <w:r>
                              <w:rPr>
                                <w:szCs w:val="24"/>
                              </w:rPr>
                              <w:t>Planuojama projekto įgyvendinimo pradžia</w:t>
                            </w:r>
                          </w:p>
                        </w:tc>
                        <w:tc>
                          <w:tcPr>
                            <w:tcW w:w="2208" w:type="pct"/>
                            <w:tcBorders>
                              <w:top w:val="single" w:sz="4" w:space="0" w:color="auto"/>
                              <w:left w:val="single" w:sz="4" w:space="0" w:color="auto"/>
                              <w:bottom w:val="single" w:sz="4" w:space="0" w:color="auto"/>
                              <w:right w:val="single" w:sz="4" w:space="0" w:color="auto"/>
                            </w:tcBorders>
                            <w:vAlign w:val="center"/>
                            <w:hideMark/>
                          </w:tcPr>
                          <w:p w14:paraId="3B247886" w14:textId="77777777">
                            <w:pPr>
                              <w:widowControl w:val="0"/>
                              <w:overflowPunct w:val="0"/>
                              <w:jc w:val="center"/>
                              <w:textAlignment w:val="baseline"/>
                              <w:rPr>
                                <w:i/>
                                <w:szCs w:val="24"/>
                              </w:rPr>
                            </w:pPr>
                            <w:r>
                              <w:rPr>
                                <w:color w:val="808080"/>
                                <w:sz w:val="22"/>
                                <w:szCs w:val="22"/>
                              </w:rPr>
                              <w:t xml:space="preserve">Norėdami įvesti datą, spustelėkite  čia</w:t>
                            </w:r>
                          </w:p>
                        </w:tc>
                      </w:tr>
                      <w:tr w14:paraId="7C79C119" w14:textId="77777777">
                        <w:trPr>
                          <w:cantSplit/>
                          <w:trHeight w:val="397"/>
                        </w:trPr>
                        <w:tc>
                          <w:tcPr>
                            <w:tcW w:w="279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E9CA2DE" w14:textId="77777777">
                            <w:pPr>
                              <w:widowControl w:val="0"/>
                              <w:overflowPunct w:val="0"/>
                              <w:ind w:left="142"/>
                              <w:jc w:val="both"/>
                              <w:textAlignment w:val="baseline"/>
                              <w:rPr>
                                <w:szCs w:val="24"/>
                              </w:rPr>
                            </w:pPr>
                            <w:r>
                              <w:rPr>
                                <w:szCs w:val="24"/>
                              </w:rPr>
                              <w:t>Planuojama projekto įgyvendinimo pabaiga</w:t>
                            </w:r>
                          </w:p>
                        </w:tc>
                        <w:tc>
                          <w:tcPr>
                            <w:tcW w:w="2208" w:type="pct"/>
                            <w:tcBorders>
                              <w:top w:val="single" w:sz="4" w:space="0" w:color="auto"/>
                              <w:left w:val="single" w:sz="4" w:space="0" w:color="auto"/>
                              <w:bottom w:val="single" w:sz="4" w:space="0" w:color="auto"/>
                              <w:right w:val="single" w:sz="4" w:space="0" w:color="auto"/>
                            </w:tcBorders>
                            <w:vAlign w:val="center"/>
                            <w:hideMark/>
                          </w:tcPr>
                          <w:p w14:paraId="1A20EEE7" w14:textId="77777777">
                            <w:pPr>
                              <w:widowControl w:val="0"/>
                              <w:overflowPunct w:val="0"/>
                              <w:jc w:val="center"/>
                              <w:textAlignment w:val="baseline"/>
                              <w:rPr>
                                <w:i/>
                                <w:szCs w:val="24"/>
                              </w:rPr>
                            </w:pPr>
                            <w:r>
                              <w:rPr>
                                <w:color w:val="808080"/>
                                <w:sz w:val="22"/>
                                <w:szCs w:val="22"/>
                              </w:rPr>
                              <w:t xml:space="preserve">Norėdami įvesti datą, spustelėkite  čia</w:t>
                            </w:r>
                          </w:p>
                        </w:tc>
                      </w:tr>
                    </w:tbl>
                    <w:p w14:paraId="65F1CA3A" w14:textId="77777777">
                      <w:pPr>
                        <w:widowControl w:val="0"/>
                        <w:suppressAutoHyphens/>
                        <w:overflowPunct w:val="0"/>
                        <w:ind w:firstLine="142"/>
                        <w:jc w:val="both"/>
                        <w:textAlignment w:val="center"/>
                        <w:rPr>
                          <w:b/>
                          <w:i/>
                          <w:color w:val="000000"/>
                          <w:spacing w:val="-4"/>
                          <w:szCs w:val="24"/>
                        </w:rPr>
                      </w:pPr>
                    </w:p>
                    <w:p w14:paraId="07E7ED83" w14:textId="77777777">
                      <w:pPr>
                        <w:widowControl w:val="0"/>
                        <w:suppressAutoHyphens/>
                        <w:overflowPunct w:val="0"/>
                        <w:ind w:firstLine="142"/>
                        <w:jc w:val="both"/>
                        <w:textAlignment w:val="center"/>
                        <w:rPr>
                          <w:b/>
                          <w:i/>
                          <w:color w:val="000000"/>
                          <w:spacing w:val="-4"/>
                          <w:szCs w:val="24"/>
                        </w:rPr>
                      </w:pPr>
                    </w:p>
                  </w:sdtContent>
                </w:sdt>
              </w:sdtContent>
            </w:sdt>
            <w:sdt>
              <w:sdtPr>
                <w:alias w:val="1 pr. 3 p."/>
                <w:tag w:val="part_7fb767c446da440b9c3278fb6c0b7c24"/>
                <w:lock w:val="sdtLocked"/>
                <w:richText/>
              </w:sdtPr>
              <w:sdtContent>
                <w:p w14:paraId="678F7748" w14:textId="77777777">
                  <w:pPr>
                    <w:widowControl w:val="0"/>
                    <w:overflowPunct w:val="0"/>
                    <w:ind w:firstLine="720"/>
                    <w:jc w:val="both"/>
                    <w:textAlignment w:val="baseline"/>
                    <w:rPr>
                      <w:b/>
                      <w:szCs w:val="24"/>
                    </w:rPr>
                  </w:pPr>
                  <w:sdt>
                    <w:sdtPr>
                      <w:alias w:val="Numeris"/>
                      <w:tag w:val="nr_7fb767c446da440b9c3278fb6c0b7c24"/>
                      <w:lock w:val="sdtLocked"/>
                      <w:richText/>
                    </w:sdtPr>
                    <w:sdtContent>
                      <w:r>
                        <w:rPr>
                          <w:b/>
                          <w:szCs w:val="24"/>
                        </w:rPr>
                        <w:t>3</w:t>
                      </w:r>
                    </w:sdtContent>
                  </w:sdt>
                  <w:r>
                    <w:rPr>
                      <w:b/>
                      <w:szCs w:val="24"/>
                    </w:rPr>
                    <w:t xml:space="preserve">. DUOMENYS APIE PRAŠOMĄ PAGALBĄ </w:t>
                  </w:r>
                </w:p>
                <w:p w14:paraId="05DFE3F2" w14:textId="77777777">
                  <w:pPr>
                    <w:widowControl w:val="0"/>
                    <w:tabs>
                      <w:tab w:val="left" w:pos="1560"/>
                      <w:tab w:val="left" w:pos="1843"/>
                    </w:tabs>
                    <w:suppressAutoHyphens/>
                    <w:overflowPunct w:val="0"/>
                    <w:ind w:firstLine="720"/>
                    <w:jc w:val="both"/>
                    <w:textAlignment w:val="baseline"/>
                    <w:rPr>
                      <w:color w:val="000000"/>
                      <w:szCs w:val="24"/>
                    </w:rPr>
                  </w:pPr>
                </w:p>
                <w:sdt>
                  <w:sdtPr>
                    <w:alias w:val="1 pr. 3.1 pp."/>
                    <w:tag w:val="part_cc4a44f59884400f86f5cfc9cae2b38b"/>
                    <w:lock w:val="sdtLocked"/>
                    <w:richText/>
                  </w:sdtPr>
                  <w:sdtContent>
                    <w:p w14:paraId="793865C5" w14:textId="77777777">
                      <w:pPr>
                        <w:widowControl w:val="0"/>
                        <w:tabs>
                          <w:tab w:val="left" w:pos="1560"/>
                          <w:tab w:val="left" w:pos="1843"/>
                        </w:tabs>
                        <w:suppressAutoHyphens/>
                        <w:overflowPunct w:val="0"/>
                        <w:ind w:firstLine="720"/>
                        <w:jc w:val="both"/>
                        <w:textAlignment w:val="baseline"/>
                        <w:rPr>
                          <w:i/>
                          <w:color w:val="000000"/>
                          <w:szCs w:val="24"/>
                        </w:rPr>
                      </w:pPr>
                      <w:sdt>
                        <w:sdtPr>
                          <w:alias w:val="Numeris"/>
                          <w:tag w:val="nr_cc4a44f59884400f86f5cfc9cae2b38b"/>
                          <w:lock w:val="sdtLocked"/>
                          <w:richText/>
                        </w:sdtPr>
                        <w:sdtContent>
                          <w:r>
                            <w:rPr>
                              <w:color w:val="000000"/>
                              <w:szCs w:val="24"/>
                            </w:rPr>
                            <w:t>3.1</w:t>
                          </w:r>
                        </w:sdtContent>
                      </w:sdt>
                      <w:r>
                        <w:rPr>
                          <w:color w:val="000000"/>
                          <w:szCs w:val="24"/>
                        </w:rPr>
                        <w:t>. Išlaidos, planuojamos patirti</w:t>
                      </w:r>
                      <w:r>
                        <w:rPr>
                          <w:b/>
                          <w:color w:val="000000"/>
                          <w:szCs w:val="24"/>
                        </w:rPr>
                        <w:t xml:space="preserve"> iki einamųjų metų spalio 31 d. </w:t>
                      </w:r>
                    </w:p>
                    <w:p w14:paraId="03A532E0" w14:textId="77777777">
                      <w:pPr>
                        <w:widowControl w:val="0"/>
                        <w:tabs>
                          <w:tab w:val="left" w:pos="1560"/>
                          <w:tab w:val="left" w:pos="1843"/>
                        </w:tabs>
                        <w:suppressAutoHyphens/>
                        <w:overflowPunct w:val="0"/>
                        <w:jc w:val="both"/>
                        <w:textAlignment w:val="baseline"/>
                        <w:rPr>
                          <w:color w:val="000000"/>
                          <w:sz w:val="16"/>
                          <w:szCs w:val="16"/>
                        </w:rPr>
                      </w:pP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10"/>
                        <w:gridCol w:w="1712"/>
                        <w:gridCol w:w="2398"/>
                        <w:gridCol w:w="1413"/>
                        <w:gridCol w:w="733"/>
                        <w:gridCol w:w="1267"/>
                        <w:gridCol w:w="1706"/>
                      </w:tblGrid>
                      <w:tr w14:paraId="5CAF1553" w14:textId="77777777">
                        <w:trPr>
                          <w:trHeight w:val="21"/>
                          <w:jc w:val="center"/>
                        </w:trPr>
                        <w:tc>
                          <w:tcPr>
                            <w:tcW w:w="213" w:type="pct"/>
                            <w:tcBorders>
                              <w:top w:val="single" w:sz="4" w:space="0" w:color="auto"/>
                              <w:left w:val="single" w:sz="4" w:space="0" w:color="auto"/>
                              <w:bottom w:val="single" w:sz="4" w:space="0" w:color="auto"/>
                              <w:right w:val="single" w:sz="4" w:space="0" w:color="auto"/>
                            </w:tcBorders>
                            <w:vAlign w:val="center"/>
                            <w:hideMark/>
                          </w:tcPr>
                          <w:p w14:paraId="739D7C09" w14:textId="77777777">
                            <w:pPr>
                              <w:widowControl w:val="0"/>
                              <w:overflowPunct w:val="0"/>
                              <w:jc w:val="center"/>
                              <w:textAlignment w:val="baseline"/>
                              <w:rPr>
                                <w:kern w:val="24"/>
                                <w:sz w:val="20"/>
                              </w:rPr>
                            </w:pPr>
                            <w:r>
                              <w:rPr>
                                <w:kern w:val="24"/>
                                <w:sz w:val="20"/>
                              </w:rPr>
                              <w:t>Eil. Nr.</w:t>
                            </w:r>
                          </w:p>
                        </w:tc>
                        <w:tc>
                          <w:tcPr>
                            <w:tcW w:w="888" w:type="pct"/>
                            <w:tcBorders>
                              <w:top w:val="single" w:sz="4" w:space="0" w:color="auto"/>
                              <w:left w:val="single" w:sz="4" w:space="0" w:color="auto"/>
                              <w:bottom w:val="single" w:sz="4" w:space="0" w:color="auto"/>
                              <w:right w:val="single" w:sz="4" w:space="0" w:color="auto"/>
                            </w:tcBorders>
                            <w:vAlign w:val="center"/>
                            <w:hideMark/>
                          </w:tcPr>
                          <w:p w14:paraId="7BAC5C1A" w14:textId="77777777">
                            <w:pPr>
                              <w:widowControl w:val="0"/>
                              <w:overflowPunct w:val="0"/>
                              <w:jc w:val="center"/>
                              <w:textAlignment w:val="baseline"/>
                              <w:rPr>
                                <w:kern w:val="24"/>
                                <w:sz w:val="20"/>
                              </w:rPr>
                            </w:pPr>
                            <w:r>
                              <w:rPr>
                                <w:kern w:val="24"/>
                                <w:sz w:val="20"/>
                              </w:rPr>
                              <w:t>Renginio pavadinimas, data</w:t>
                            </w:r>
                          </w:p>
                        </w:tc>
                        <w:tc>
                          <w:tcPr>
                            <w:tcW w:w="1244" w:type="pct"/>
                            <w:tcBorders>
                              <w:top w:val="single" w:sz="4" w:space="0" w:color="auto"/>
                              <w:left w:val="single" w:sz="4" w:space="0" w:color="auto"/>
                              <w:bottom w:val="single" w:sz="4" w:space="0" w:color="auto"/>
                              <w:right w:val="single" w:sz="4" w:space="0" w:color="auto"/>
                            </w:tcBorders>
                            <w:vAlign w:val="center"/>
                          </w:tcPr>
                          <w:p w14:paraId="1E5654F2" w14:textId="77777777">
                            <w:pPr>
                              <w:widowControl w:val="0"/>
                              <w:overflowPunct w:val="0"/>
                              <w:jc w:val="center"/>
                              <w:textAlignment w:val="baseline"/>
                              <w:rPr>
                                <w:kern w:val="24"/>
                                <w:sz w:val="20"/>
                              </w:rPr>
                            </w:pPr>
                            <w:r>
                              <w:rPr>
                                <w:kern w:val="24"/>
                                <w:sz w:val="20"/>
                              </w:rPr>
                              <w:t xml:space="preserve">Išlaidų rūšių </w:t>
                            </w:r>
                          </w:p>
                          <w:p w14:paraId="7105995C" w14:textId="77777777">
                            <w:pPr>
                              <w:widowControl w:val="0"/>
                              <w:overflowPunct w:val="0"/>
                              <w:ind w:firstLine="159"/>
                              <w:jc w:val="center"/>
                              <w:textAlignment w:val="baseline"/>
                              <w:rPr>
                                <w:kern w:val="24"/>
                                <w:sz w:val="20"/>
                              </w:rPr>
                            </w:pPr>
                            <w:r>
                              <w:rPr>
                                <w:kern w:val="24"/>
                                <w:sz w:val="20"/>
                              </w:rPr>
                              <w:t>pavadinimai</w:t>
                            </w:r>
                            <w:r>
                              <w:rPr>
                                <w:kern w:val="24"/>
                                <w:sz w:val="22"/>
                                <w:szCs w:val="22"/>
                              </w:rPr>
                              <w:t>*</w:t>
                            </w:r>
                          </w:p>
                        </w:tc>
                        <w:tc>
                          <w:tcPr>
                            <w:tcW w:w="733" w:type="pct"/>
                            <w:tcBorders>
                              <w:top w:val="single" w:sz="4" w:space="0" w:color="auto"/>
                              <w:left w:val="single" w:sz="4" w:space="0" w:color="auto"/>
                              <w:bottom w:val="single" w:sz="4" w:space="0" w:color="auto"/>
                              <w:right w:val="single" w:sz="4" w:space="0" w:color="auto"/>
                            </w:tcBorders>
                            <w:vAlign w:val="center"/>
                            <w:hideMark/>
                          </w:tcPr>
                          <w:p w14:paraId="7ED94944" w14:textId="77777777">
                            <w:pPr>
                              <w:widowControl w:val="0"/>
                              <w:overflowPunct w:val="0"/>
                              <w:jc w:val="center"/>
                              <w:textAlignment w:val="baseline"/>
                              <w:rPr>
                                <w:sz w:val="20"/>
                              </w:rPr>
                            </w:pPr>
                            <w:r>
                              <w:rPr>
                                <w:kern w:val="24"/>
                                <w:sz w:val="20"/>
                              </w:rPr>
                              <w:t>Bendra tinkamų finansuoti išlaidų suma</w:t>
                            </w:r>
                            <w:r>
                              <w:rPr>
                                <w:sz w:val="20"/>
                              </w:rPr>
                              <w:t xml:space="preserve"> su PVM arba be PVM, Eur </w:t>
                            </w:r>
                            <w:r>
                              <w:rPr>
                                <w:i/>
                                <w:sz w:val="20"/>
                              </w:rPr>
                              <w:t>(pabraukti)</w:t>
                            </w:r>
                          </w:p>
                        </w:tc>
                        <w:tc>
                          <w:tcPr>
                            <w:tcW w:w="380" w:type="pct"/>
                            <w:tcBorders>
                              <w:top w:val="single" w:sz="4" w:space="0" w:color="auto"/>
                              <w:left w:val="single" w:sz="4" w:space="0" w:color="auto"/>
                              <w:bottom w:val="single" w:sz="4" w:space="0" w:color="auto"/>
                              <w:right w:val="single" w:sz="4" w:space="0" w:color="auto"/>
                            </w:tcBorders>
                            <w:vAlign w:val="center"/>
                            <w:hideMark/>
                          </w:tcPr>
                          <w:p w14:paraId="70DCB6CD" w14:textId="77777777">
                            <w:pPr>
                              <w:widowControl w:val="0"/>
                              <w:overflowPunct w:val="0"/>
                              <w:jc w:val="center"/>
                              <w:textAlignment w:val="baseline"/>
                              <w:rPr>
                                <w:kern w:val="24"/>
                                <w:sz w:val="20"/>
                              </w:rPr>
                            </w:pPr>
                            <w:r>
                              <w:rPr>
                                <w:kern w:val="24"/>
                                <w:sz w:val="20"/>
                              </w:rPr>
                              <w:t>Pagalbos dydis, proc.</w:t>
                            </w:r>
                          </w:p>
                        </w:tc>
                        <w:tc>
                          <w:tcPr>
                            <w:tcW w:w="657" w:type="pct"/>
                            <w:tcBorders>
                              <w:top w:val="single" w:sz="4" w:space="0" w:color="auto"/>
                              <w:left w:val="single" w:sz="4" w:space="0" w:color="auto"/>
                              <w:bottom w:val="single" w:sz="4" w:space="0" w:color="auto"/>
                              <w:right w:val="single" w:sz="4" w:space="0" w:color="auto"/>
                            </w:tcBorders>
                            <w:vAlign w:val="center"/>
                            <w:hideMark/>
                          </w:tcPr>
                          <w:p w14:paraId="5E5DD579" w14:textId="77777777">
                            <w:pPr>
                              <w:widowControl w:val="0"/>
                              <w:overflowPunct w:val="0"/>
                              <w:jc w:val="center"/>
                              <w:textAlignment w:val="baseline"/>
                              <w:rPr>
                                <w:kern w:val="24"/>
                                <w:sz w:val="20"/>
                              </w:rPr>
                            </w:pPr>
                            <w:r>
                              <w:rPr>
                                <w:kern w:val="24"/>
                                <w:sz w:val="20"/>
                              </w:rPr>
                              <w:t xml:space="preserve">Prašoma pagalbos suma </w:t>
                            </w:r>
                            <w:r>
                              <w:rPr>
                                <w:sz w:val="20"/>
                              </w:rPr>
                              <w:t>su PVM arba be PVM</w:t>
                            </w:r>
                            <w:r>
                              <w:rPr>
                                <w:kern w:val="24"/>
                                <w:sz w:val="20"/>
                              </w:rPr>
                              <w:t xml:space="preserve">, Eur </w:t>
                            </w:r>
                            <w:r>
                              <w:rPr>
                                <w:i/>
                                <w:kern w:val="24"/>
                                <w:sz w:val="20"/>
                              </w:rPr>
                              <w:t xml:space="preserve"> (pabraukti)</w:t>
                            </w:r>
                          </w:p>
                        </w:tc>
                        <w:tc>
                          <w:tcPr>
                            <w:tcW w:w="885" w:type="pct"/>
                            <w:tcBorders>
                              <w:top w:val="single" w:sz="4" w:space="0" w:color="auto"/>
                              <w:left w:val="single" w:sz="4" w:space="0" w:color="auto"/>
                              <w:bottom w:val="single" w:sz="4" w:space="0" w:color="auto"/>
                              <w:right w:val="single" w:sz="4" w:space="0" w:color="auto"/>
                            </w:tcBorders>
                            <w:vAlign w:val="center"/>
                            <w:hideMark/>
                          </w:tcPr>
                          <w:p w14:paraId="50D37EAA" w14:textId="77777777">
                            <w:pPr>
                              <w:widowControl w:val="0"/>
                              <w:overflowPunct w:val="0"/>
                              <w:jc w:val="center"/>
                              <w:textAlignment w:val="baseline"/>
                              <w:rPr>
                                <w:sz w:val="20"/>
                              </w:rPr>
                            </w:pPr>
                            <w:r>
                              <w:rPr>
                                <w:sz w:val="20"/>
                              </w:rPr>
                              <w:t>Išlaidų pagrindimas</w:t>
                            </w:r>
                            <w:r>
                              <w:rPr>
                                <w:kern w:val="24"/>
                                <w:sz w:val="22"/>
                                <w:szCs w:val="22"/>
                              </w:rPr>
                              <w:t>**</w:t>
                            </w:r>
                          </w:p>
                        </w:tc>
                      </w:tr>
                      <w:tr w14:paraId="7CDD6B93" w14:textId="77777777">
                        <w:trPr>
                          <w:trHeight w:val="21"/>
                          <w:jc w:val="center"/>
                        </w:trPr>
                        <w:tc>
                          <w:tcPr>
                            <w:tcW w:w="213" w:type="pct"/>
                            <w:tcBorders>
                              <w:top w:val="single" w:sz="4" w:space="0" w:color="auto"/>
                              <w:left w:val="single" w:sz="4" w:space="0" w:color="auto"/>
                              <w:bottom w:val="single" w:sz="4" w:space="0" w:color="auto"/>
                              <w:right w:val="single" w:sz="4" w:space="0" w:color="auto"/>
                            </w:tcBorders>
                            <w:hideMark/>
                          </w:tcPr>
                          <w:p w14:paraId="43D1FBA0" w14:textId="77777777">
                            <w:pPr>
                              <w:widowControl w:val="0"/>
                              <w:overflowPunct w:val="0"/>
                              <w:jc w:val="center"/>
                              <w:textAlignment w:val="baseline"/>
                              <w:rPr>
                                <w:kern w:val="24"/>
                                <w:sz w:val="20"/>
                              </w:rPr>
                            </w:pPr>
                            <w:r>
                              <w:rPr>
                                <w:kern w:val="24"/>
                                <w:sz w:val="20"/>
                              </w:rPr>
                              <w:t>(1)</w:t>
                            </w:r>
                          </w:p>
                        </w:tc>
                        <w:tc>
                          <w:tcPr>
                            <w:tcW w:w="888" w:type="pct"/>
                            <w:tcBorders>
                              <w:top w:val="single" w:sz="4" w:space="0" w:color="auto"/>
                              <w:left w:val="single" w:sz="4" w:space="0" w:color="auto"/>
                              <w:bottom w:val="single" w:sz="4" w:space="0" w:color="auto"/>
                              <w:right w:val="single" w:sz="4" w:space="0" w:color="auto"/>
                            </w:tcBorders>
                            <w:hideMark/>
                          </w:tcPr>
                          <w:p w14:paraId="69AF073C" w14:textId="77777777">
                            <w:pPr>
                              <w:widowControl w:val="0"/>
                              <w:overflowPunct w:val="0"/>
                              <w:jc w:val="center"/>
                              <w:textAlignment w:val="baseline"/>
                              <w:rPr>
                                <w:kern w:val="24"/>
                                <w:sz w:val="20"/>
                              </w:rPr>
                            </w:pPr>
                            <w:r>
                              <w:rPr>
                                <w:kern w:val="24"/>
                                <w:sz w:val="20"/>
                              </w:rPr>
                              <w:t>(2)</w:t>
                            </w:r>
                          </w:p>
                        </w:tc>
                        <w:tc>
                          <w:tcPr>
                            <w:tcW w:w="1244" w:type="pct"/>
                            <w:tcBorders>
                              <w:top w:val="single" w:sz="4" w:space="0" w:color="auto"/>
                              <w:left w:val="single" w:sz="4" w:space="0" w:color="auto"/>
                              <w:bottom w:val="single" w:sz="4" w:space="0" w:color="auto"/>
                              <w:right w:val="single" w:sz="4" w:space="0" w:color="auto"/>
                            </w:tcBorders>
                          </w:tcPr>
                          <w:p w14:paraId="7AB56807" w14:textId="77777777">
                            <w:pPr>
                              <w:widowControl w:val="0"/>
                              <w:overflowPunct w:val="0"/>
                              <w:jc w:val="center"/>
                              <w:textAlignment w:val="baseline"/>
                              <w:rPr>
                                <w:kern w:val="24"/>
                                <w:sz w:val="20"/>
                              </w:rPr>
                            </w:pPr>
                            <w:r>
                              <w:rPr>
                                <w:kern w:val="24"/>
                                <w:sz w:val="20"/>
                              </w:rPr>
                              <w:t>(3)</w:t>
                            </w:r>
                          </w:p>
                        </w:tc>
                        <w:tc>
                          <w:tcPr>
                            <w:tcW w:w="733" w:type="pct"/>
                            <w:tcBorders>
                              <w:top w:val="single" w:sz="4" w:space="0" w:color="auto"/>
                              <w:left w:val="single" w:sz="4" w:space="0" w:color="auto"/>
                              <w:bottom w:val="single" w:sz="4" w:space="0" w:color="auto"/>
                              <w:right w:val="single" w:sz="4" w:space="0" w:color="auto"/>
                            </w:tcBorders>
                            <w:hideMark/>
                          </w:tcPr>
                          <w:p w14:paraId="1C64CF94" w14:textId="77777777">
                            <w:pPr>
                              <w:widowControl w:val="0"/>
                              <w:overflowPunct w:val="0"/>
                              <w:jc w:val="center"/>
                              <w:textAlignment w:val="baseline"/>
                              <w:rPr>
                                <w:kern w:val="24"/>
                                <w:sz w:val="20"/>
                              </w:rPr>
                            </w:pPr>
                            <w:r>
                              <w:rPr>
                                <w:kern w:val="24"/>
                                <w:sz w:val="20"/>
                              </w:rPr>
                              <w:t>(4)</w:t>
                            </w:r>
                          </w:p>
                        </w:tc>
                        <w:tc>
                          <w:tcPr>
                            <w:tcW w:w="380" w:type="pct"/>
                            <w:tcBorders>
                              <w:top w:val="single" w:sz="4" w:space="0" w:color="auto"/>
                              <w:left w:val="single" w:sz="4" w:space="0" w:color="auto"/>
                              <w:bottom w:val="single" w:sz="4" w:space="0" w:color="auto"/>
                              <w:right w:val="single" w:sz="4" w:space="0" w:color="auto"/>
                            </w:tcBorders>
                            <w:hideMark/>
                          </w:tcPr>
                          <w:p w14:paraId="627C1E21" w14:textId="77777777">
                            <w:pPr>
                              <w:widowControl w:val="0"/>
                              <w:overflowPunct w:val="0"/>
                              <w:jc w:val="center"/>
                              <w:textAlignment w:val="baseline"/>
                              <w:rPr>
                                <w:kern w:val="24"/>
                                <w:sz w:val="20"/>
                              </w:rPr>
                            </w:pPr>
                            <w:r>
                              <w:rPr>
                                <w:kern w:val="24"/>
                                <w:sz w:val="20"/>
                              </w:rPr>
                              <w:t>(5)</w:t>
                            </w:r>
                          </w:p>
                        </w:tc>
                        <w:tc>
                          <w:tcPr>
                            <w:tcW w:w="657" w:type="pct"/>
                            <w:tcBorders>
                              <w:top w:val="single" w:sz="4" w:space="0" w:color="auto"/>
                              <w:left w:val="single" w:sz="4" w:space="0" w:color="auto"/>
                              <w:bottom w:val="single" w:sz="4" w:space="0" w:color="auto"/>
                              <w:right w:val="single" w:sz="4" w:space="0" w:color="auto"/>
                            </w:tcBorders>
                            <w:hideMark/>
                          </w:tcPr>
                          <w:p w14:paraId="4E9CCF20" w14:textId="77777777">
                            <w:pPr>
                              <w:widowControl w:val="0"/>
                              <w:overflowPunct w:val="0"/>
                              <w:jc w:val="center"/>
                              <w:textAlignment w:val="baseline"/>
                              <w:rPr>
                                <w:kern w:val="24"/>
                                <w:sz w:val="20"/>
                              </w:rPr>
                            </w:pPr>
                            <w:r>
                              <w:rPr>
                                <w:kern w:val="24"/>
                                <w:sz w:val="20"/>
                              </w:rPr>
                              <w:t>(6)</w:t>
                            </w:r>
                          </w:p>
                        </w:tc>
                        <w:tc>
                          <w:tcPr>
                            <w:tcW w:w="885" w:type="pct"/>
                            <w:tcBorders>
                              <w:top w:val="single" w:sz="4" w:space="0" w:color="auto"/>
                              <w:left w:val="single" w:sz="4" w:space="0" w:color="auto"/>
                              <w:bottom w:val="single" w:sz="4" w:space="0" w:color="auto"/>
                              <w:right w:val="single" w:sz="4" w:space="0" w:color="auto"/>
                            </w:tcBorders>
                            <w:hideMark/>
                          </w:tcPr>
                          <w:p w14:paraId="70C2D11E" w14:textId="77777777">
                            <w:pPr>
                              <w:widowControl w:val="0"/>
                              <w:overflowPunct w:val="0"/>
                              <w:jc w:val="center"/>
                              <w:textAlignment w:val="baseline"/>
                              <w:rPr>
                                <w:sz w:val="20"/>
                              </w:rPr>
                            </w:pPr>
                            <w:r>
                              <w:rPr>
                                <w:sz w:val="20"/>
                              </w:rPr>
                              <w:t>(7)</w:t>
                            </w:r>
                          </w:p>
                        </w:tc>
                      </w:tr>
                      <w:tr w14:paraId="08840027" w14:textId="77777777">
                        <w:trPr>
                          <w:trHeight w:val="21"/>
                          <w:jc w:val="center"/>
                        </w:trPr>
                        <w:tc>
                          <w:tcPr>
                            <w:tcW w:w="213" w:type="pct"/>
                            <w:tcBorders>
                              <w:top w:val="nil"/>
                              <w:left w:val="single" w:sz="4" w:space="0" w:color="auto"/>
                              <w:bottom w:val="single" w:sz="4" w:space="0" w:color="auto"/>
                              <w:right w:val="single" w:sz="4" w:space="0" w:color="auto"/>
                            </w:tcBorders>
                          </w:tcPr>
                          <w:p w14:paraId="5574D405" w14:textId="77777777">
                            <w:pPr>
                              <w:widowControl w:val="0"/>
                              <w:overflowPunct w:val="0"/>
                              <w:jc w:val="both"/>
                              <w:textAlignment w:val="baseline"/>
                              <w:rPr>
                                <w:b/>
                                <w:szCs w:val="24"/>
                              </w:rPr>
                            </w:pPr>
                          </w:p>
                        </w:tc>
                        <w:tc>
                          <w:tcPr>
                            <w:tcW w:w="888" w:type="pct"/>
                            <w:tcBorders>
                              <w:top w:val="nil"/>
                              <w:left w:val="single" w:sz="4" w:space="0" w:color="auto"/>
                              <w:bottom w:val="single" w:sz="4" w:space="0" w:color="auto"/>
                              <w:right w:val="single" w:sz="4" w:space="0" w:color="auto"/>
                            </w:tcBorders>
                          </w:tcPr>
                          <w:p w14:paraId="7DF6BA20" w14:textId="77777777">
                            <w:pPr>
                              <w:widowControl w:val="0"/>
                              <w:overflowPunct w:val="0"/>
                              <w:jc w:val="both"/>
                              <w:textAlignment w:val="baseline"/>
                              <w:rPr>
                                <w:b/>
                                <w:sz w:val="22"/>
                                <w:szCs w:val="22"/>
                              </w:rPr>
                            </w:pPr>
                          </w:p>
                          <w:p w14:paraId="7D4F568E" w14:textId="77777777">
                            <w:pPr>
                              <w:widowControl w:val="0"/>
                              <w:overflowPunct w:val="0"/>
                              <w:jc w:val="both"/>
                              <w:textAlignment w:val="baseline"/>
                              <w:rPr>
                                <w:b/>
                                <w:sz w:val="22"/>
                                <w:szCs w:val="22"/>
                              </w:rPr>
                            </w:pPr>
                          </w:p>
                        </w:tc>
                        <w:tc>
                          <w:tcPr>
                            <w:tcW w:w="1244" w:type="pct"/>
                            <w:tcBorders>
                              <w:top w:val="nil"/>
                              <w:left w:val="single" w:sz="4" w:space="0" w:color="auto"/>
                              <w:bottom w:val="single" w:sz="4" w:space="0" w:color="auto"/>
                              <w:right w:val="single" w:sz="4" w:space="0" w:color="auto"/>
                            </w:tcBorders>
                          </w:tcPr>
                          <w:p w14:paraId="67B88C61" w14:textId="77777777">
                            <w:pPr>
                              <w:widowControl w:val="0"/>
                              <w:overflowPunct w:val="0"/>
                              <w:jc w:val="both"/>
                              <w:textAlignment w:val="baseline"/>
                              <w:rPr>
                                <w:b/>
                                <w:sz w:val="22"/>
                                <w:szCs w:val="22"/>
                              </w:rPr>
                            </w:pPr>
                          </w:p>
                        </w:tc>
                        <w:tc>
                          <w:tcPr>
                            <w:tcW w:w="733" w:type="pct"/>
                            <w:tcBorders>
                              <w:top w:val="nil"/>
                              <w:left w:val="single" w:sz="4" w:space="0" w:color="auto"/>
                              <w:bottom w:val="single" w:sz="4" w:space="0" w:color="auto"/>
                              <w:right w:val="single" w:sz="4" w:space="0" w:color="auto"/>
                            </w:tcBorders>
                          </w:tcPr>
                          <w:p w14:paraId="2DEE5CC0" w14:textId="77777777">
                            <w:pPr>
                              <w:widowControl w:val="0"/>
                              <w:overflowPunct w:val="0"/>
                              <w:jc w:val="both"/>
                              <w:textAlignment w:val="baseline"/>
                              <w:rPr>
                                <w:b/>
                                <w:sz w:val="22"/>
                                <w:szCs w:val="22"/>
                              </w:rPr>
                            </w:pPr>
                          </w:p>
                        </w:tc>
                        <w:tc>
                          <w:tcPr>
                            <w:tcW w:w="380" w:type="pct"/>
                            <w:tcBorders>
                              <w:top w:val="nil"/>
                              <w:left w:val="single" w:sz="4" w:space="0" w:color="auto"/>
                              <w:bottom w:val="single" w:sz="4" w:space="0" w:color="auto"/>
                              <w:right w:val="single" w:sz="4" w:space="0" w:color="auto"/>
                            </w:tcBorders>
                          </w:tcPr>
                          <w:p w14:paraId="2C6900BA" w14:textId="77777777">
                            <w:pPr>
                              <w:widowControl w:val="0"/>
                              <w:overflowPunct w:val="0"/>
                              <w:jc w:val="both"/>
                              <w:textAlignment w:val="baseline"/>
                              <w:rPr>
                                <w:kern w:val="24"/>
                                <w:sz w:val="22"/>
                                <w:szCs w:val="22"/>
                              </w:rPr>
                            </w:pPr>
                          </w:p>
                        </w:tc>
                        <w:tc>
                          <w:tcPr>
                            <w:tcW w:w="657" w:type="pct"/>
                            <w:tcBorders>
                              <w:top w:val="nil"/>
                              <w:left w:val="single" w:sz="4" w:space="0" w:color="auto"/>
                              <w:bottom w:val="single" w:sz="4" w:space="0" w:color="auto"/>
                              <w:right w:val="single" w:sz="4" w:space="0" w:color="auto"/>
                            </w:tcBorders>
                          </w:tcPr>
                          <w:p w14:paraId="534DA447" w14:textId="77777777">
                            <w:pPr>
                              <w:widowControl w:val="0"/>
                              <w:overflowPunct w:val="0"/>
                              <w:jc w:val="both"/>
                              <w:textAlignment w:val="baseline"/>
                              <w:rPr>
                                <w:kern w:val="24"/>
                                <w:sz w:val="22"/>
                                <w:szCs w:val="22"/>
                              </w:rPr>
                            </w:pPr>
                          </w:p>
                        </w:tc>
                        <w:tc>
                          <w:tcPr>
                            <w:tcW w:w="885" w:type="pct"/>
                            <w:tcBorders>
                              <w:top w:val="nil"/>
                              <w:left w:val="single" w:sz="4" w:space="0" w:color="auto"/>
                              <w:bottom w:val="single" w:sz="4" w:space="0" w:color="auto"/>
                              <w:right w:val="single" w:sz="4" w:space="0" w:color="auto"/>
                            </w:tcBorders>
                          </w:tcPr>
                          <w:p w14:paraId="64A42749" w14:textId="77777777">
                            <w:pPr>
                              <w:widowControl w:val="0"/>
                              <w:overflowPunct w:val="0"/>
                              <w:jc w:val="both"/>
                              <w:textAlignment w:val="baseline"/>
                              <w:rPr>
                                <w:b/>
                                <w:sz w:val="22"/>
                                <w:szCs w:val="22"/>
                              </w:rPr>
                            </w:pPr>
                          </w:p>
                        </w:tc>
                      </w:tr>
                      <w:tr w14:paraId="71E616B8" w14:textId="77777777">
                        <w:trPr>
                          <w:trHeight w:val="21"/>
                          <w:jc w:val="center"/>
                        </w:trPr>
                        <w:tc>
                          <w:tcPr>
                            <w:tcW w:w="213" w:type="pct"/>
                            <w:tcBorders>
                              <w:top w:val="single" w:sz="4" w:space="0" w:color="auto"/>
                              <w:left w:val="single" w:sz="4" w:space="0" w:color="auto"/>
                              <w:bottom w:val="single" w:sz="4" w:space="0" w:color="auto"/>
                              <w:right w:val="single" w:sz="4" w:space="0" w:color="auto"/>
                            </w:tcBorders>
                          </w:tcPr>
                          <w:p w14:paraId="4B068978" w14:textId="77777777">
                            <w:pPr>
                              <w:widowControl w:val="0"/>
                              <w:overflowPunct w:val="0"/>
                              <w:jc w:val="both"/>
                              <w:textAlignment w:val="baseline"/>
                              <w:rPr>
                                <w:b/>
                                <w:szCs w:val="24"/>
                              </w:rPr>
                            </w:pPr>
                          </w:p>
                        </w:tc>
                        <w:tc>
                          <w:tcPr>
                            <w:tcW w:w="888" w:type="pct"/>
                            <w:tcBorders>
                              <w:top w:val="single" w:sz="4" w:space="0" w:color="auto"/>
                              <w:left w:val="single" w:sz="4" w:space="0" w:color="auto"/>
                              <w:bottom w:val="single" w:sz="4" w:space="0" w:color="auto"/>
                              <w:right w:val="single" w:sz="4" w:space="0" w:color="auto"/>
                            </w:tcBorders>
                          </w:tcPr>
                          <w:p w14:paraId="54D4AE5D" w14:textId="77777777">
                            <w:pPr>
                              <w:widowControl w:val="0"/>
                              <w:overflowPunct w:val="0"/>
                              <w:jc w:val="both"/>
                              <w:textAlignment w:val="baseline"/>
                              <w:rPr>
                                <w:b/>
                                <w:sz w:val="22"/>
                                <w:szCs w:val="22"/>
                              </w:rPr>
                            </w:pPr>
                          </w:p>
                          <w:p w14:paraId="7E320398" w14:textId="77777777">
                            <w:pPr>
                              <w:widowControl w:val="0"/>
                              <w:overflowPunct w:val="0"/>
                              <w:jc w:val="both"/>
                              <w:textAlignment w:val="baseline"/>
                              <w:rPr>
                                <w:b/>
                                <w:sz w:val="22"/>
                                <w:szCs w:val="22"/>
                              </w:rPr>
                            </w:pPr>
                          </w:p>
                        </w:tc>
                        <w:tc>
                          <w:tcPr>
                            <w:tcW w:w="1244" w:type="pct"/>
                            <w:tcBorders>
                              <w:top w:val="single" w:sz="4" w:space="0" w:color="auto"/>
                              <w:left w:val="single" w:sz="4" w:space="0" w:color="auto"/>
                              <w:bottom w:val="single" w:sz="4" w:space="0" w:color="auto"/>
                              <w:right w:val="single" w:sz="4" w:space="0" w:color="auto"/>
                            </w:tcBorders>
                          </w:tcPr>
                          <w:p w14:paraId="5FC0C7F1" w14:textId="77777777">
                            <w:pPr>
                              <w:widowControl w:val="0"/>
                              <w:overflowPunct w:val="0"/>
                              <w:jc w:val="both"/>
                              <w:textAlignment w:val="baseline"/>
                              <w:rPr>
                                <w:b/>
                                <w:sz w:val="22"/>
                                <w:szCs w:val="22"/>
                              </w:rPr>
                            </w:pPr>
                          </w:p>
                        </w:tc>
                        <w:tc>
                          <w:tcPr>
                            <w:tcW w:w="733" w:type="pct"/>
                            <w:tcBorders>
                              <w:top w:val="single" w:sz="4" w:space="0" w:color="auto"/>
                              <w:left w:val="single" w:sz="4" w:space="0" w:color="auto"/>
                              <w:bottom w:val="single" w:sz="4" w:space="0" w:color="auto"/>
                              <w:right w:val="single" w:sz="4" w:space="0" w:color="auto"/>
                            </w:tcBorders>
                          </w:tcPr>
                          <w:p w14:paraId="01C34DC8" w14:textId="77777777">
                            <w:pPr>
                              <w:widowControl w:val="0"/>
                              <w:overflowPunct w:val="0"/>
                              <w:jc w:val="both"/>
                              <w:textAlignment w:val="baseline"/>
                              <w:rPr>
                                <w:b/>
                                <w:sz w:val="22"/>
                                <w:szCs w:val="22"/>
                              </w:rPr>
                            </w:pPr>
                          </w:p>
                        </w:tc>
                        <w:tc>
                          <w:tcPr>
                            <w:tcW w:w="380" w:type="pct"/>
                            <w:tcBorders>
                              <w:top w:val="single" w:sz="4" w:space="0" w:color="auto"/>
                              <w:left w:val="single" w:sz="4" w:space="0" w:color="auto"/>
                              <w:bottom w:val="single" w:sz="4" w:space="0" w:color="auto"/>
                              <w:right w:val="single" w:sz="4" w:space="0" w:color="auto"/>
                            </w:tcBorders>
                          </w:tcPr>
                          <w:p w14:paraId="3C8BB458" w14:textId="77777777">
                            <w:pPr>
                              <w:widowControl w:val="0"/>
                              <w:overflowPunct w:val="0"/>
                              <w:jc w:val="both"/>
                              <w:textAlignment w:val="baseline"/>
                              <w:rPr>
                                <w:kern w:val="24"/>
                                <w:sz w:val="22"/>
                                <w:szCs w:val="22"/>
                              </w:rPr>
                            </w:pPr>
                          </w:p>
                        </w:tc>
                        <w:tc>
                          <w:tcPr>
                            <w:tcW w:w="657" w:type="pct"/>
                            <w:tcBorders>
                              <w:top w:val="single" w:sz="4" w:space="0" w:color="auto"/>
                              <w:left w:val="single" w:sz="4" w:space="0" w:color="auto"/>
                              <w:bottom w:val="single" w:sz="4" w:space="0" w:color="auto"/>
                              <w:right w:val="single" w:sz="4" w:space="0" w:color="auto"/>
                            </w:tcBorders>
                          </w:tcPr>
                          <w:p w14:paraId="569260C6" w14:textId="77777777">
                            <w:pPr>
                              <w:widowControl w:val="0"/>
                              <w:overflowPunct w:val="0"/>
                              <w:jc w:val="both"/>
                              <w:textAlignment w:val="baseline"/>
                              <w:rPr>
                                <w:kern w:val="24"/>
                                <w:sz w:val="22"/>
                                <w:szCs w:val="22"/>
                              </w:rPr>
                            </w:pPr>
                          </w:p>
                        </w:tc>
                        <w:tc>
                          <w:tcPr>
                            <w:tcW w:w="885" w:type="pct"/>
                            <w:tcBorders>
                              <w:top w:val="single" w:sz="4" w:space="0" w:color="auto"/>
                              <w:left w:val="single" w:sz="4" w:space="0" w:color="auto"/>
                              <w:bottom w:val="single" w:sz="4" w:space="0" w:color="auto"/>
                              <w:right w:val="single" w:sz="4" w:space="0" w:color="auto"/>
                            </w:tcBorders>
                          </w:tcPr>
                          <w:p w14:paraId="48975D60" w14:textId="77777777">
                            <w:pPr>
                              <w:widowControl w:val="0"/>
                              <w:overflowPunct w:val="0"/>
                              <w:jc w:val="both"/>
                              <w:textAlignment w:val="baseline"/>
                              <w:rPr>
                                <w:b/>
                                <w:sz w:val="22"/>
                                <w:szCs w:val="22"/>
                              </w:rPr>
                            </w:pPr>
                          </w:p>
                        </w:tc>
                      </w:tr>
                      <w:tr w14:paraId="43879B3E" w14:textId="77777777">
                        <w:trPr>
                          <w:trHeight w:val="21"/>
                          <w:jc w:val="center"/>
                        </w:trPr>
                        <w:tc>
                          <w:tcPr>
                            <w:tcW w:w="213" w:type="pct"/>
                            <w:tcBorders>
                              <w:top w:val="nil"/>
                              <w:left w:val="single" w:sz="4" w:space="0" w:color="auto"/>
                              <w:bottom w:val="single" w:sz="4" w:space="0" w:color="auto"/>
                              <w:right w:val="single" w:sz="4" w:space="0" w:color="auto"/>
                            </w:tcBorders>
                          </w:tcPr>
                          <w:p w14:paraId="230291CC" w14:textId="77777777">
                            <w:pPr>
                              <w:widowControl w:val="0"/>
                              <w:overflowPunct w:val="0"/>
                              <w:jc w:val="both"/>
                              <w:textAlignment w:val="baseline"/>
                              <w:rPr>
                                <w:b/>
                                <w:szCs w:val="24"/>
                              </w:rPr>
                            </w:pPr>
                          </w:p>
                        </w:tc>
                        <w:tc>
                          <w:tcPr>
                            <w:tcW w:w="888" w:type="pct"/>
                            <w:tcBorders>
                              <w:top w:val="nil"/>
                              <w:left w:val="single" w:sz="4" w:space="0" w:color="auto"/>
                              <w:bottom w:val="single" w:sz="4" w:space="0" w:color="auto"/>
                              <w:right w:val="single" w:sz="4" w:space="0" w:color="auto"/>
                            </w:tcBorders>
                          </w:tcPr>
                          <w:p w14:paraId="34A009D0" w14:textId="77777777">
                            <w:pPr>
                              <w:widowControl w:val="0"/>
                              <w:overflowPunct w:val="0"/>
                              <w:jc w:val="both"/>
                              <w:textAlignment w:val="baseline"/>
                              <w:rPr>
                                <w:b/>
                                <w:sz w:val="22"/>
                                <w:szCs w:val="22"/>
                              </w:rPr>
                            </w:pPr>
                          </w:p>
                          <w:p w14:paraId="7AA54E12" w14:textId="77777777">
                            <w:pPr>
                              <w:widowControl w:val="0"/>
                              <w:overflowPunct w:val="0"/>
                              <w:jc w:val="both"/>
                              <w:textAlignment w:val="baseline"/>
                              <w:rPr>
                                <w:b/>
                                <w:sz w:val="22"/>
                                <w:szCs w:val="22"/>
                              </w:rPr>
                            </w:pPr>
                          </w:p>
                        </w:tc>
                        <w:tc>
                          <w:tcPr>
                            <w:tcW w:w="1244" w:type="pct"/>
                            <w:tcBorders>
                              <w:top w:val="nil"/>
                              <w:left w:val="single" w:sz="4" w:space="0" w:color="auto"/>
                              <w:bottom w:val="single" w:sz="4" w:space="0" w:color="auto"/>
                              <w:right w:val="single" w:sz="4" w:space="0" w:color="auto"/>
                            </w:tcBorders>
                          </w:tcPr>
                          <w:p w14:paraId="32B0FCC1" w14:textId="77777777">
                            <w:pPr>
                              <w:widowControl w:val="0"/>
                              <w:overflowPunct w:val="0"/>
                              <w:jc w:val="both"/>
                              <w:textAlignment w:val="baseline"/>
                              <w:rPr>
                                <w:b/>
                                <w:sz w:val="22"/>
                                <w:szCs w:val="22"/>
                              </w:rPr>
                            </w:pPr>
                          </w:p>
                        </w:tc>
                        <w:tc>
                          <w:tcPr>
                            <w:tcW w:w="733" w:type="pct"/>
                            <w:tcBorders>
                              <w:top w:val="nil"/>
                              <w:left w:val="single" w:sz="4" w:space="0" w:color="auto"/>
                              <w:bottom w:val="single" w:sz="4" w:space="0" w:color="auto"/>
                              <w:right w:val="single" w:sz="4" w:space="0" w:color="auto"/>
                            </w:tcBorders>
                          </w:tcPr>
                          <w:p w14:paraId="4ADD4776" w14:textId="77777777">
                            <w:pPr>
                              <w:widowControl w:val="0"/>
                              <w:overflowPunct w:val="0"/>
                              <w:jc w:val="both"/>
                              <w:textAlignment w:val="baseline"/>
                              <w:rPr>
                                <w:b/>
                                <w:sz w:val="22"/>
                                <w:szCs w:val="22"/>
                              </w:rPr>
                            </w:pPr>
                          </w:p>
                        </w:tc>
                        <w:tc>
                          <w:tcPr>
                            <w:tcW w:w="380" w:type="pct"/>
                            <w:tcBorders>
                              <w:top w:val="nil"/>
                              <w:left w:val="single" w:sz="4" w:space="0" w:color="auto"/>
                              <w:bottom w:val="single" w:sz="4" w:space="0" w:color="auto"/>
                              <w:right w:val="single" w:sz="4" w:space="0" w:color="auto"/>
                            </w:tcBorders>
                          </w:tcPr>
                          <w:p w14:paraId="260B616C" w14:textId="77777777">
                            <w:pPr>
                              <w:widowControl w:val="0"/>
                              <w:overflowPunct w:val="0"/>
                              <w:jc w:val="both"/>
                              <w:textAlignment w:val="baseline"/>
                              <w:rPr>
                                <w:kern w:val="24"/>
                                <w:sz w:val="22"/>
                                <w:szCs w:val="22"/>
                              </w:rPr>
                            </w:pPr>
                          </w:p>
                        </w:tc>
                        <w:tc>
                          <w:tcPr>
                            <w:tcW w:w="657" w:type="pct"/>
                            <w:tcBorders>
                              <w:top w:val="nil"/>
                              <w:left w:val="single" w:sz="4" w:space="0" w:color="auto"/>
                              <w:bottom w:val="single" w:sz="4" w:space="0" w:color="auto"/>
                              <w:right w:val="single" w:sz="4" w:space="0" w:color="auto"/>
                            </w:tcBorders>
                          </w:tcPr>
                          <w:p w14:paraId="1DA520C3" w14:textId="77777777">
                            <w:pPr>
                              <w:widowControl w:val="0"/>
                              <w:overflowPunct w:val="0"/>
                              <w:jc w:val="both"/>
                              <w:textAlignment w:val="baseline"/>
                              <w:rPr>
                                <w:kern w:val="24"/>
                                <w:sz w:val="22"/>
                                <w:szCs w:val="22"/>
                              </w:rPr>
                            </w:pPr>
                          </w:p>
                        </w:tc>
                        <w:tc>
                          <w:tcPr>
                            <w:tcW w:w="885" w:type="pct"/>
                            <w:tcBorders>
                              <w:top w:val="nil"/>
                              <w:left w:val="single" w:sz="4" w:space="0" w:color="auto"/>
                              <w:bottom w:val="single" w:sz="4" w:space="0" w:color="auto"/>
                              <w:right w:val="single" w:sz="4" w:space="0" w:color="auto"/>
                            </w:tcBorders>
                          </w:tcPr>
                          <w:p w14:paraId="62E698FA" w14:textId="77777777">
                            <w:pPr>
                              <w:widowControl w:val="0"/>
                              <w:overflowPunct w:val="0"/>
                              <w:jc w:val="both"/>
                              <w:textAlignment w:val="baseline"/>
                              <w:rPr>
                                <w:b/>
                                <w:sz w:val="22"/>
                                <w:szCs w:val="22"/>
                              </w:rPr>
                            </w:pPr>
                          </w:p>
                        </w:tc>
                      </w:tr>
                      <w:tr w14:paraId="52901395" w14:textId="77777777">
                        <w:trPr>
                          <w:trHeight w:val="21"/>
                          <w:jc w:val="center"/>
                        </w:trPr>
                        <w:tc>
                          <w:tcPr>
                            <w:tcW w:w="213" w:type="pct"/>
                            <w:tcBorders>
                              <w:top w:val="single" w:sz="4" w:space="0" w:color="auto"/>
                              <w:left w:val="single" w:sz="4" w:space="0" w:color="auto"/>
                              <w:bottom w:val="single" w:sz="4" w:space="0" w:color="auto"/>
                              <w:right w:val="single" w:sz="4" w:space="0" w:color="auto"/>
                            </w:tcBorders>
                          </w:tcPr>
                          <w:p w14:paraId="445B6CFE" w14:textId="77777777">
                            <w:pPr>
                              <w:widowControl w:val="0"/>
                              <w:overflowPunct w:val="0"/>
                              <w:jc w:val="both"/>
                              <w:textAlignment w:val="baseline"/>
                              <w:rPr>
                                <w:b/>
                                <w:szCs w:val="24"/>
                              </w:rPr>
                            </w:pPr>
                          </w:p>
                        </w:tc>
                        <w:tc>
                          <w:tcPr>
                            <w:tcW w:w="888" w:type="pct"/>
                            <w:tcBorders>
                              <w:top w:val="single" w:sz="4" w:space="0" w:color="auto"/>
                              <w:left w:val="single" w:sz="4" w:space="0" w:color="auto"/>
                              <w:bottom w:val="single" w:sz="4" w:space="0" w:color="auto"/>
                              <w:right w:val="single" w:sz="4" w:space="0" w:color="auto"/>
                            </w:tcBorders>
                          </w:tcPr>
                          <w:p w14:paraId="02713374" w14:textId="77777777">
                            <w:pPr>
                              <w:widowControl w:val="0"/>
                              <w:overflowPunct w:val="0"/>
                              <w:jc w:val="both"/>
                              <w:textAlignment w:val="baseline"/>
                              <w:rPr>
                                <w:b/>
                                <w:sz w:val="22"/>
                                <w:szCs w:val="22"/>
                              </w:rPr>
                            </w:pPr>
                          </w:p>
                          <w:p w14:paraId="4BCFA130" w14:textId="77777777">
                            <w:pPr>
                              <w:widowControl w:val="0"/>
                              <w:overflowPunct w:val="0"/>
                              <w:jc w:val="both"/>
                              <w:textAlignment w:val="baseline"/>
                              <w:rPr>
                                <w:b/>
                                <w:sz w:val="22"/>
                                <w:szCs w:val="22"/>
                              </w:rPr>
                            </w:pPr>
                          </w:p>
                        </w:tc>
                        <w:tc>
                          <w:tcPr>
                            <w:tcW w:w="1244" w:type="pct"/>
                            <w:tcBorders>
                              <w:top w:val="single" w:sz="4" w:space="0" w:color="auto"/>
                              <w:left w:val="single" w:sz="4" w:space="0" w:color="auto"/>
                              <w:bottom w:val="single" w:sz="4" w:space="0" w:color="auto"/>
                              <w:right w:val="single" w:sz="4" w:space="0" w:color="auto"/>
                            </w:tcBorders>
                          </w:tcPr>
                          <w:p w14:paraId="7767832E" w14:textId="77777777">
                            <w:pPr>
                              <w:widowControl w:val="0"/>
                              <w:overflowPunct w:val="0"/>
                              <w:jc w:val="both"/>
                              <w:textAlignment w:val="baseline"/>
                              <w:rPr>
                                <w:b/>
                                <w:sz w:val="22"/>
                                <w:szCs w:val="22"/>
                              </w:rPr>
                            </w:pPr>
                          </w:p>
                        </w:tc>
                        <w:tc>
                          <w:tcPr>
                            <w:tcW w:w="733" w:type="pct"/>
                            <w:tcBorders>
                              <w:top w:val="single" w:sz="4" w:space="0" w:color="auto"/>
                              <w:left w:val="single" w:sz="4" w:space="0" w:color="auto"/>
                              <w:bottom w:val="single" w:sz="4" w:space="0" w:color="auto"/>
                              <w:right w:val="single" w:sz="4" w:space="0" w:color="auto"/>
                            </w:tcBorders>
                          </w:tcPr>
                          <w:p w14:paraId="59207D43" w14:textId="77777777">
                            <w:pPr>
                              <w:widowControl w:val="0"/>
                              <w:overflowPunct w:val="0"/>
                              <w:jc w:val="both"/>
                              <w:textAlignment w:val="baseline"/>
                              <w:rPr>
                                <w:b/>
                                <w:sz w:val="22"/>
                                <w:szCs w:val="22"/>
                              </w:rPr>
                            </w:pPr>
                          </w:p>
                        </w:tc>
                        <w:tc>
                          <w:tcPr>
                            <w:tcW w:w="380" w:type="pct"/>
                            <w:tcBorders>
                              <w:top w:val="single" w:sz="4" w:space="0" w:color="auto"/>
                              <w:left w:val="single" w:sz="4" w:space="0" w:color="auto"/>
                              <w:bottom w:val="single" w:sz="4" w:space="0" w:color="auto"/>
                              <w:right w:val="single" w:sz="4" w:space="0" w:color="auto"/>
                            </w:tcBorders>
                          </w:tcPr>
                          <w:p w14:paraId="4E724F6D" w14:textId="77777777">
                            <w:pPr>
                              <w:widowControl w:val="0"/>
                              <w:overflowPunct w:val="0"/>
                              <w:jc w:val="both"/>
                              <w:textAlignment w:val="baseline"/>
                              <w:rPr>
                                <w:kern w:val="24"/>
                                <w:sz w:val="22"/>
                                <w:szCs w:val="22"/>
                              </w:rPr>
                            </w:pPr>
                          </w:p>
                        </w:tc>
                        <w:tc>
                          <w:tcPr>
                            <w:tcW w:w="657" w:type="pct"/>
                            <w:tcBorders>
                              <w:top w:val="single" w:sz="4" w:space="0" w:color="auto"/>
                              <w:left w:val="single" w:sz="4" w:space="0" w:color="auto"/>
                              <w:bottom w:val="single" w:sz="4" w:space="0" w:color="auto"/>
                              <w:right w:val="single" w:sz="4" w:space="0" w:color="auto"/>
                            </w:tcBorders>
                          </w:tcPr>
                          <w:p w14:paraId="125DEB82" w14:textId="77777777">
                            <w:pPr>
                              <w:widowControl w:val="0"/>
                              <w:overflowPunct w:val="0"/>
                              <w:jc w:val="both"/>
                              <w:textAlignment w:val="baseline"/>
                              <w:rPr>
                                <w:kern w:val="24"/>
                                <w:sz w:val="22"/>
                                <w:szCs w:val="22"/>
                              </w:rPr>
                            </w:pPr>
                          </w:p>
                        </w:tc>
                        <w:tc>
                          <w:tcPr>
                            <w:tcW w:w="885" w:type="pct"/>
                            <w:tcBorders>
                              <w:top w:val="single" w:sz="4" w:space="0" w:color="auto"/>
                              <w:left w:val="single" w:sz="4" w:space="0" w:color="auto"/>
                              <w:bottom w:val="single" w:sz="4" w:space="0" w:color="auto"/>
                              <w:right w:val="single" w:sz="4" w:space="0" w:color="auto"/>
                            </w:tcBorders>
                          </w:tcPr>
                          <w:p w14:paraId="382084B6" w14:textId="77777777">
                            <w:pPr>
                              <w:widowControl w:val="0"/>
                              <w:overflowPunct w:val="0"/>
                              <w:jc w:val="both"/>
                              <w:textAlignment w:val="baseline"/>
                              <w:rPr>
                                <w:b/>
                                <w:sz w:val="22"/>
                                <w:szCs w:val="22"/>
                              </w:rPr>
                            </w:pPr>
                          </w:p>
                        </w:tc>
                      </w:tr>
                      <w:tr w14:paraId="37506CCD" w14:textId="77777777">
                        <w:trPr>
                          <w:trHeight w:val="21"/>
                          <w:jc w:val="center"/>
                        </w:trPr>
                        <w:tc>
                          <w:tcPr>
                            <w:tcW w:w="213" w:type="pct"/>
                            <w:tcBorders>
                              <w:top w:val="nil"/>
                              <w:left w:val="single" w:sz="4" w:space="0" w:color="auto"/>
                              <w:bottom w:val="single" w:sz="4" w:space="0" w:color="auto"/>
                              <w:right w:val="single" w:sz="4" w:space="0" w:color="auto"/>
                            </w:tcBorders>
                          </w:tcPr>
                          <w:p w14:paraId="7C4C1052" w14:textId="77777777">
                            <w:pPr>
                              <w:widowControl w:val="0"/>
                              <w:overflowPunct w:val="0"/>
                              <w:jc w:val="both"/>
                              <w:textAlignment w:val="baseline"/>
                              <w:rPr>
                                <w:b/>
                                <w:szCs w:val="24"/>
                              </w:rPr>
                            </w:pPr>
                          </w:p>
                        </w:tc>
                        <w:tc>
                          <w:tcPr>
                            <w:tcW w:w="888" w:type="pct"/>
                            <w:tcBorders>
                              <w:top w:val="nil"/>
                              <w:left w:val="single" w:sz="4" w:space="0" w:color="auto"/>
                              <w:bottom w:val="single" w:sz="4" w:space="0" w:color="auto"/>
                              <w:right w:val="single" w:sz="4" w:space="0" w:color="auto"/>
                            </w:tcBorders>
                          </w:tcPr>
                          <w:p w14:paraId="0D1B07CA" w14:textId="77777777">
                            <w:pPr>
                              <w:widowControl w:val="0"/>
                              <w:overflowPunct w:val="0"/>
                              <w:jc w:val="both"/>
                              <w:textAlignment w:val="baseline"/>
                              <w:rPr>
                                <w:b/>
                                <w:sz w:val="22"/>
                                <w:szCs w:val="22"/>
                              </w:rPr>
                            </w:pPr>
                          </w:p>
                          <w:p w14:paraId="6106765F" w14:textId="77777777">
                            <w:pPr>
                              <w:widowControl w:val="0"/>
                              <w:overflowPunct w:val="0"/>
                              <w:jc w:val="both"/>
                              <w:textAlignment w:val="baseline"/>
                              <w:rPr>
                                <w:b/>
                                <w:sz w:val="22"/>
                                <w:szCs w:val="22"/>
                              </w:rPr>
                            </w:pPr>
                          </w:p>
                        </w:tc>
                        <w:tc>
                          <w:tcPr>
                            <w:tcW w:w="1244" w:type="pct"/>
                            <w:tcBorders>
                              <w:top w:val="nil"/>
                              <w:left w:val="single" w:sz="4" w:space="0" w:color="auto"/>
                              <w:bottom w:val="single" w:sz="4" w:space="0" w:color="auto"/>
                              <w:right w:val="single" w:sz="4" w:space="0" w:color="auto"/>
                            </w:tcBorders>
                          </w:tcPr>
                          <w:p w14:paraId="4FF7F7DF" w14:textId="77777777">
                            <w:pPr>
                              <w:widowControl w:val="0"/>
                              <w:overflowPunct w:val="0"/>
                              <w:jc w:val="both"/>
                              <w:textAlignment w:val="baseline"/>
                              <w:rPr>
                                <w:b/>
                                <w:sz w:val="22"/>
                                <w:szCs w:val="22"/>
                              </w:rPr>
                            </w:pPr>
                          </w:p>
                        </w:tc>
                        <w:tc>
                          <w:tcPr>
                            <w:tcW w:w="733" w:type="pct"/>
                            <w:tcBorders>
                              <w:top w:val="nil"/>
                              <w:left w:val="single" w:sz="4" w:space="0" w:color="auto"/>
                              <w:bottom w:val="single" w:sz="4" w:space="0" w:color="auto"/>
                              <w:right w:val="single" w:sz="4" w:space="0" w:color="auto"/>
                            </w:tcBorders>
                          </w:tcPr>
                          <w:p w14:paraId="76ED0C49" w14:textId="77777777">
                            <w:pPr>
                              <w:widowControl w:val="0"/>
                              <w:overflowPunct w:val="0"/>
                              <w:jc w:val="both"/>
                              <w:textAlignment w:val="baseline"/>
                              <w:rPr>
                                <w:b/>
                                <w:sz w:val="22"/>
                                <w:szCs w:val="22"/>
                              </w:rPr>
                            </w:pPr>
                          </w:p>
                        </w:tc>
                        <w:tc>
                          <w:tcPr>
                            <w:tcW w:w="380" w:type="pct"/>
                            <w:tcBorders>
                              <w:top w:val="nil"/>
                              <w:left w:val="single" w:sz="4" w:space="0" w:color="auto"/>
                              <w:bottom w:val="single" w:sz="4" w:space="0" w:color="auto"/>
                              <w:right w:val="single" w:sz="4" w:space="0" w:color="auto"/>
                            </w:tcBorders>
                          </w:tcPr>
                          <w:p w14:paraId="7EFD4A65" w14:textId="77777777">
                            <w:pPr>
                              <w:widowControl w:val="0"/>
                              <w:overflowPunct w:val="0"/>
                              <w:jc w:val="both"/>
                              <w:textAlignment w:val="baseline"/>
                              <w:rPr>
                                <w:kern w:val="24"/>
                                <w:sz w:val="22"/>
                                <w:szCs w:val="22"/>
                              </w:rPr>
                            </w:pPr>
                          </w:p>
                        </w:tc>
                        <w:tc>
                          <w:tcPr>
                            <w:tcW w:w="657" w:type="pct"/>
                            <w:tcBorders>
                              <w:top w:val="nil"/>
                              <w:left w:val="single" w:sz="4" w:space="0" w:color="auto"/>
                              <w:bottom w:val="single" w:sz="4" w:space="0" w:color="auto"/>
                              <w:right w:val="single" w:sz="4" w:space="0" w:color="auto"/>
                            </w:tcBorders>
                          </w:tcPr>
                          <w:p w14:paraId="561C0AE3" w14:textId="77777777">
                            <w:pPr>
                              <w:widowControl w:val="0"/>
                              <w:overflowPunct w:val="0"/>
                              <w:jc w:val="both"/>
                              <w:textAlignment w:val="baseline"/>
                              <w:rPr>
                                <w:kern w:val="24"/>
                                <w:sz w:val="22"/>
                                <w:szCs w:val="22"/>
                              </w:rPr>
                            </w:pPr>
                          </w:p>
                        </w:tc>
                        <w:tc>
                          <w:tcPr>
                            <w:tcW w:w="885" w:type="pct"/>
                            <w:tcBorders>
                              <w:top w:val="nil"/>
                              <w:left w:val="single" w:sz="4" w:space="0" w:color="auto"/>
                              <w:bottom w:val="single" w:sz="4" w:space="0" w:color="auto"/>
                              <w:right w:val="single" w:sz="4" w:space="0" w:color="auto"/>
                            </w:tcBorders>
                          </w:tcPr>
                          <w:p w14:paraId="0CDA8C98" w14:textId="77777777">
                            <w:pPr>
                              <w:widowControl w:val="0"/>
                              <w:overflowPunct w:val="0"/>
                              <w:jc w:val="both"/>
                              <w:textAlignment w:val="baseline"/>
                              <w:rPr>
                                <w:b/>
                                <w:sz w:val="22"/>
                                <w:szCs w:val="22"/>
                              </w:rPr>
                            </w:pPr>
                          </w:p>
                        </w:tc>
                      </w:tr>
                      <w:tr w14:paraId="57CC1FEE" w14:textId="77777777">
                        <w:trPr>
                          <w:trHeight w:val="21"/>
                          <w:jc w:val="center"/>
                        </w:trPr>
                        <w:tc>
                          <w:tcPr>
                            <w:tcW w:w="213" w:type="pct"/>
                            <w:tcBorders>
                              <w:top w:val="nil"/>
                              <w:left w:val="single" w:sz="4" w:space="0" w:color="auto"/>
                              <w:bottom w:val="single" w:sz="4" w:space="0" w:color="auto"/>
                              <w:right w:val="single" w:sz="4" w:space="0" w:color="auto"/>
                            </w:tcBorders>
                          </w:tcPr>
                          <w:p w14:paraId="32BD60A8" w14:textId="77777777">
                            <w:pPr>
                              <w:widowControl w:val="0"/>
                              <w:overflowPunct w:val="0"/>
                              <w:jc w:val="both"/>
                              <w:textAlignment w:val="baseline"/>
                              <w:rPr>
                                <w:b/>
                                <w:szCs w:val="24"/>
                              </w:rPr>
                            </w:pPr>
                          </w:p>
                        </w:tc>
                        <w:tc>
                          <w:tcPr>
                            <w:tcW w:w="888" w:type="pct"/>
                            <w:tcBorders>
                              <w:top w:val="nil"/>
                              <w:left w:val="single" w:sz="4" w:space="0" w:color="auto"/>
                              <w:bottom w:val="single" w:sz="4" w:space="0" w:color="auto"/>
                              <w:right w:val="single" w:sz="4" w:space="0" w:color="auto"/>
                            </w:tcBorders>
                          </w:tcPr>
                          <w:p w14:paraId="2631E5AC" w14:textId="77777777">
                            <w:pPr>
                              <w:widowControl w:val="0"/>
                              <w:overflowPunct w:val="0"/>
                              <w:jc w:val="both"/>
                              <w:textAlignment w:val="baseline"/>
                              <w:rPr>
                                <w:b/>
                                <w:sz w:val="22"/>
                                <w:szCs w:val="22"/>
                              </w:rPr>
                            </w:pPr>
                          </w:p>
                          <w:p w14:paraId="6344CCC0" w14:textId="77777777">
                            <w:pPr>
                              <w:widowControl w:val="0"/>
                              <w:overflowPunct w:val="0"/>
                              <w:jc w:val="both"/>
                              <w:textAlignment w:val="baseline"/>
                              <w:rPr>
                                <w:b/>
                                <w:sz w:val="22"/>
                                <w:szCs w:val="22"/>
                              </w:rPr>
                            </w:pPr>
                          </w:p>
                        </w:tc>
                        <w:tc>
                          <w:tcPr>
                            <w:tcW w:w="1244" w:type="pct"/>
                            <w:tcBorders>
                              <w:top w:val="nil"/>
                              <w:left w:val="single" w:sz="4" w:space="0" w:color="auto"/>
                              <w:bottom w:val="single" w:sz="4" w:space="0" w:color="auto"/>
                              <w:right w:val="single" w:sz="4" w:space="0" w:color="auto"/>
                            </w:tcBorders>
                          </w:tcPr>
                          <w:p w14:paraId="616FD6B6" w14:textId="77777777">
                            <w:pPr>
                              <w:widowControl w:val="0"/>
                              <w:overflowPunct w:val="0"/>
                              <w:jc w:val="both"/>
                              <w:textAlignment w:val="baseline"/>
                              <w:rPr>
                                <w:b/>
                                <w:sz w:val="22"/>
                                <w:szCs w:val="22"/>
                              </w:rPr>
                            </w:pPr>
                          </w:p>
                        </w:tc>
                        <w:tc>
                          <w:tcPr>
                            <w:tcW w:w="733" w:type="pct"/>
                            <w:tcBorders>
                              <w:top w:val="nil"/>
                              <w:left w:val="single" w:sz="4" w:space="0" w:color="auto"/>
                              <w:bottom w:val="single" w:sz="4" w:space="0" w:color="auto"/>
                              <w:right w:val="single" w:sz="4" w:space="0" w:color="auto"/>
                            </w:tcBorders>
                          </w:tcPr>
                          <w:p w14:paraId="1A8CF2B7" w14:textId="77777777">
                            <w:pPr>
                              <w:widowControl w:val="0"/>
                              <w:overflowPunct w:val="0"/>
                              <w:jc w:val="both"/>
                              <w:textAlignment w:val="baseline"/>
                              <w:rPr>
                                <w:b/>
                                <w:sz w:val="22"/>
                                <w:szCs w:val="22"/>
                              </w:rPr>
                            </w:pPr>
                          </w:p>
                        </w:tc>
                        <w:tc>
                          <w:tcPr>
                            <w:tcW w:w="380" w:type="pct"/>
                            <w:tcBorders>
                              <w:top w:val="nil"/>
                              <w:left w:val="single" w:sz="4" w:space="0" w:color="auto"/>
                              <w:bottom w:val="single" w:sz="4" w:space="0" w:color="auto"/>
                              <w:right w:val="single" w:sz="4" w:space="0" w:color="auto"/>
                            </w:tcBorders>
                          </w:tcPr>
                          <w:p w14:paraId="2C480DDB" w14:textId="77777777">
                            <w:pPr>
                              <w:widowControl w:val="0"/>
                              <w:overflowPunct w:val="0"/>
                              <w:jc w:val="both"/>
                              <w:textAlignment w:val="baseline"/>
                              <w:rPr>
                                <w:kern w:val="24"/>
                                <w:sz w:val="22"/>
                                <w:szCs w:val="22"/>
                              </w:rPr>
                            </w:pPr>
                          </w:p>
                        </w:tc>
                        <w:tc>
                          <w:tcPr>
                            <w:tcW w:w="657" w:type="pct"/>
                            <w:tcBorders>
                              <w:top w:val="nil"/>
                              <w:left w:val="single" w:sz="4" w:space="0" w:color="auto"/>
                              <w:bottom w:val="single" w:sz="4" w:space="0" w:color="auto"/>
                              <w:right w:val="single" w:sz="4" w:space="0" w:color="auto"/>
                            </w:tcBorders>
                          </w:tcPr>
                          <w:p w14:paraId="634846F3" w14:textId="77777777">
                            <w:pPr>
                              <w:widowControl w:val="0"/>
                              <w:overflowPunct w:val="0"/>
                              <w:jc w:val="both"/>
                              <w:textAlignment w:val="baseline"/>
                              <w:rPr>
                                <w:kern w:val="24"/>
                                <w:sz w:val="22"/>
                                <w:szCs w:val="22"/>
                              </w:rPr>
                            </w:pPr>
                          </w:p>
                        </w:tc>
                        <w:tc>
                          <w:tcPr>
                            <w:tcW w:w="885" w:type="pct"/>
                            <w:tcBorders>
                              <w:top w:val="nil"/>
                              <w:left w:val="single" w:sz="4" w:space="0" w:color="auto"/>
                              <w:bottom w:val="single" w:sz="4" w:space="0" w:color="auto"/>
                              <w:right w:val="single" w:sz="4" w:space="0" w:color="auto"/>
                            </w:tcBorders>
                          </w:tcPr>
                          <w:p w14:paraId="66D6C18D" w14:textId="77777777">
                            <w:pPr>
                              <w:widowControl w:val="0"/>
                              <w:overflowPunct w:val="0"/>
                              <w:jc w:val="both"/>
                              <w:textAlignment w:val="baseline"/>
                              <w:rPr>
                                <w:b/>
                                <w:sz w:val="22"/>
                                <w:szCs w:val="22"/>
                              </w:rPr>
                            </w:pPr>
                          </w:p>
                        </w:tc>
                      </w:tr>
                      <w:tr w14:paraId="2F4ACED5" w14:textId="77777777">
                        <w:trPr>
                          <w:trHeight w:val="513"/>
                          <w:jc w:val="center"/>
                        </w:trPr>
                        <w:tc>
                          <w:tcPr>
                            <w:tcW w:w="213" w:type="pct"/>
                            <w:tcBorders>
                              <w:top w:val="single" w:sz="4" w:space="0" w:color="auto"/>
                              <w:left w:val="single" w:sz="4" w:space="0" w:color="auto"/>
                              <w:bottom w:val="single" w:sz="4" w:space="0" w:color="auto"/>
                              <w:right w:val="nil"/>
                            </w:tcBorders>
                          </w:tcPr>
                          <w:p w14:paraId="4CF1C1E8" w14:textId="77777777">
                            <w:pPr>
                              <w:widowControl w:val="0"/>
                              <w:overflowPunct w:val="0"/>
                              <w:jc w:val="both"/>
                              <w:textAlignment w:val="baseline"/>
                              <w:rPr>
                                <w:b/>
                                <w:szCs w:val="24"/>
                              </w:rPr>
                            </w:pPr>
                          </w:p>
                        </w:tc>
                        <w:tc>
                          <w:tcPr>
                            <w:tcW w:w="888" w:type="pct"/>
                            <w:tcBorders>
                              <w:top w:val="single" w:sz="4" w:space="0" w:color="auto"/>
                              <w:left w:val="nil"/>
                              <w:bottom w:val="single" w:sz="4" w:space="0" w:color="auto"/>
                              <w:right w:val="single" w:sz="4" w:space="0" w:color="auto"/>
                            </w:tcBorders>
                            <w:vAlign w:val="center"/>
                            <w:hideMark/>
                          </w:tcPr>
                          <w:p w14:paraId="71A8AFF4" w14:textId="77777777">
                            <w:pPr>
                              <w:widowControl w:val="0"/>
                              <w:overflowPunct w:val="0"/>
                              <w:jc w:val="center"/>
                              <w:textAlignment w:val="baseline"/>
                              <w:rPr>
                                <w:b/>
                                <w:szCs w:val="24"/>
                              </w:rPr>
                            </w:pPr>
                            <w:r>
                              <w:rPr>
                                <w:b/>
                                <w:szCs w:val="24"/>
                              </w:rPr>
                              <w:t>Iš viso:</w:t>
                            </w:r>
                          </w:p>
                        </w:tc>
                        <w:tc>
                          <w:tcPr>
                            <w:tcW w:w="1244" w:type="pct"/>
                            <w:tcBorders>
                              <w:top w:val="single" w:sz="4" w:space="0" w:color="auto"/>
                              <w:left w:val="single" w:sz="4" w:space="0" w:color="auto"/>
                              <w:bottom w:val="single" w:sz="4" w:space="0" w:color="auto"/>
                              <w:right w:val="single" w:sz="4" w:space="0" w:color="auto"/>
                            </w:tcBorders>
                          </w:tcPr>
                          <w:p w14:paraId="6F731933" w14:textId="77777777">
                            <w:pPr>
                              <w:widowControl w:val="0"/>
                              <w:overflowPunct w:val="0"/>
                              <w:jc w:val="both"/>
                              <w:textAlignment w:val="baseline"/>
                              <w:rPr>
                                <w:b/>
                                <w:szCs w:val="24"/>
                              </w:rPr>
                            </w:pPr>
                          </w:p>
                        </w:tc>
                        <w:tc>
                          <w:tcPr>
                            <w:tcW w:w="733" w:type="pct"/>
                            <w:tcBorders>
                              <w:top w:val="single" w:sz="4" w:space="0" w:color="auto"/>
                              <w:left w:val="single" w:sz="4" w:space="0" w:color="auto"/>
                              <w:bottom w:val="single" w:sz="4" w:space="0" w:color="auto"/>
                              <w:right w:val="single" w:sz="4" w:space="0" w:color="auto"/>
                            </w:tcBorders>
                            <w:vAlign w:val="center"/>
                          </w:tcPr>
                          <w:p w14:paraId="2D9AB995" w14:textId="77777777">
                            <w:pPr>
                              <w:widowControl w:val="0"/>
                              <w:overflowPunct w:val="0"/>
                              <w:jc w:val="both"/>
                              <w:textAlignment w:val="baseline"/>
                              <w:rPr>
                                <w:b/>
                                <w:szCs w:val="24"/>
                              </w:rPr>
                            </w:pPr>
                          </w:p>
                        </w:tc>
                        <w:tc>
                          <w:tcPr>
                            <w:tcW w:w="380" w:type="pct"/>
                            <w:tcBorders>
                              <w:top w:val="single" w:sz="4" w:space="0" w:color="auto"/>
                              <w:left w:val="single" w:sz="4" w:space="0" w:color="auto"/>
                              <w:bottom w:val="single" w:sz="4" w:space="0" w:color="auto"/>
                              <w:right w:val="single" w:sz="4" w:space="0" w:color="auto"/>
                            </w:tcBorders>
                            <w:vAlign w:val="center"/>
                            <w:hideMark/>
                          </w:tcPr>
                          <w:p w14:paraId="23CE4CF1" w14:textId="77777777">
                            <w:pPr>
                              <w:widowControl w:val="0"/>
                              <w:overflowPunct w:val="0"/>
                              <w:jc w:val="center"/>
                              <w:textAlignment w:val="baseline"/>
                              <w:rPr>
                                <w:szCs w:val="24"/>
                              </w:rPr>
                            </w:pPr>
                            <w:r>
                              <w:rPr>
                                <w:szCs w:val="24"/>
                              </w:rPr>
                              <w:t>X</w:t>
                            </w:r>
                          </w:p>
                        </w:tc>
                        <w:tc>
                          <w:tcPr>
                            <w:tcW w:w="657" w:type="pct"/>
                            <w:tcBorders>
                              <w:top w:val="single" w:sz="4" w:space="0" w:color="auto"/>
                              <w:left w:val="single" w:sz="4" w:space="0" w:color="auto"/>
                              <w:bottom w:val="single" w:sz="4" w:space="0" w:color="auto"/>
                              <w:right w:val="single" w:sz="4" w:space="0" w:color="auto"/>
                            </w:tcBorders>
                            <w:vAlign w:val="center"/>
                          </w:tcPr>
                          <w:p w14:paraId="3C6A7BCA" w14:textId="77777777">
                            <w:pPr>
                              <w:widowControl w:val="0"/>
                              <w:overflowPunct w:val="0"/>
                              <w:jc w:val="center"/>
                              <w:textAlignment w:val="baseline"/>
                              <w:rPr>
                                <w:kern w:val="24"/>
                                <w:szCs w:val="24"/>
                              </w:rPr>
                            </w:pPr>
                          </w:p>
                        </w:tc>
                        <w:tc>
                          <w:tcPr>
                            <w:tcW w:w="885" w:type="pct"/>
                            <w:tcBorders>
                              <w:top w:val="single" w:sz="4" w:space="0" w:color="auto"/>
                              <w:left w:val="single" w:sz="4" w:space="0" w:color="auto"/>
                              <w:bottom w:val="single" w:sz="4" w:space="0" w:color="auto"/>
                              <w:right w:val="single" w:sz="4" w:space="0" w:color="auto"/>
                            </w:tcBorders>
                            <w:vAlign w:val="center"/>
                            <w:hideMark/>
                          </w:tcPr>
                          <w:p w14:paraId="5C1BBDBC" w14:textId="77777777">
                            <w:pPr>
                              <w:widowControl w:val="0"/>
                              <w:overflowPunct w:val="0"/>
                              <w:jc w:val="center"/>
                              <w:textAlignment w:val="baseline"/>
                              <w:rPr>
                                <w:szCs w:val="24"/>
                              </w:rPr>
                            </w:pPr>
                            <w:r>
                              <w:rPr>
                                <w:szCs w:val="24"/>
                              </w:rPr>
                              <w:t>X</w:t>
                            </w:r>
                          </w:p>
                        </w:tc>
                      </w:tr>
                    </w:tbl>
                    <w:p w14:paraId="63ED8CAE" w14:textId="77777777">
                      <w:pPr>
                        <w:rPr>
                          <w:sz w:val="16"/>
                          <w:szCs w:val="16"/>
                        </w:rPr>
                      </w:pPr>
                    </w:p>
                  </w:sdtContent>
                </w:sdt>
              </w:sdtContent>
            </w:sdt>
          </w:sdtContent>
        </w:sdt>
        <w:sdt>
          <w:sdtPr>
            <w:alias w:val="skirsnis"/>
            <w:tag w:val="part_59da89502ef6442c9030869735eb7604"/>
            <w:lock w:val="sdtLocked"/>
            <w:richText/>
          </w:sdtPr>
          <w:sdtContent>
            <w:p w14:paraId="2B3ADE1B" w14:textId="36D574C5">
              <w:pPr>
                <w:widowControl w:val="0"/>
                <w:overflowPunct w:val="0"/>
                <w:ind w:left="284" w:hanging="284"/>
                <w:jc w:val="both"/>
                <w:textAlignment w:val="baseline"/>
                <w:rPr>
                  <w:b/>
                  <w:i/>
                  <w:iCs/>
                  <w:color w:val="000000"/>
                  <w:kern w:val="24"/>
                  <w:sz w:val="20"/>
                </w:rPr>
              </w:pPr>
              <w:sdt>
                <w:sdtPr>
                  <w:alias w:val="Pavadinimas"/>
                  <w:tag w:val="title_59da89502ef6442c9030869735eb7604"/>
                  <w:lock w:val="sdtLocked"/>
                  <w:richText/>
                </w:sdtPr>
                <w:sdtContent>
                  <w:r>
                    <w:rPr>
                      <w:b/>
                      <w:i/>
                      <w:iCs/>
                      <w:color w:val="000000"/>
                      <w:kern w:val="24"/>
                      <w:sz w:val="22"/>
                      <w:szCs w:val="22"/>
                    </w:rPr>
                    <w:t xml:space="preserve">*  </w:t>
                  </w:r>
                  <w:r>
                    <w:rPr>
                      <w:b/>
                      <w:i/>
                      <w:iCs/>
                      <w:color w:val="000000"/>
                      <w:kern w:val="24"/>
                      <w:sz w:val="20"/>
                    </w:rPr>
                    <w:t>Išvardijama pagal kiekvieną Tautinio paveldo veiklos finansavimo taisyklių 11 punkte nurodytą finansuojamų išlaidų rūšį.</w:t>
                  </w:r>
                </w:sdtContent>
              </w:sdt>
            </w:p>
            <w:p w14:paraId="0C67850F" w14:textId="77777777">
              <w:pPr>
                <w:widowControl w:val="0"/>
                <w:overflowPunct w:val="0"/>
                <w:ind w:left="284" w:hanging="284"/>
                <w:jc w:val="both"/>
                <w:textAlignment w:val="baseline"/>
                <w:rPr>
                  <w:b/>
                  <w:i/>
                  <w:iCs/>
                  <w:color w:val="000000"/>
                  <w:kern w:val="24"/>
                  <w:sz w:val="20"/>
                </w:rPr>
              </w:pPr>
              <w:r>
                <w:rPr>
                  <w:b/>
                  <w:i/>
                  <w:iCs/>
                  <w:color w:val="000000"/>
                  <w:kern w:val="24"/>
                  <w:sz w:val="20"/>
                </w:rPr>
                <w:t xml:space="preserve">** Nurodomas planuojamų išlaidų skaičiavimo būdas (pvz., išlaidų degalams apskaičiavimas: kuro </w:t>
              </w:r>
              <w:r>
                <w:rPr>
                  <w:b/>
                  <w:bCs/>
                  <w:i/>
                  <w:iCs/>
                  <w:sz w:val="20"/>
                </w:rPr>
                <w:t>įkainio dydį (0,09 Eur/km (su PVM) arba 0,08 Eur/km (be PVM</w:t>
              </w:r>
              <w:r>
                <w:rPr>
                  <w:sz w:val="20"/>
                </w:rPr>
                <w:t>)</w:t>
              </w:r>
              <w:r>
                <w:rPr>
                  <w:b/>
                  <w:i/>
                  <w:iCs/>
                  <w:color w:val="000000"/>
                  <w:kern w:val="24"/>
                  <w:sz w:val="20"/>
                </w:rPr>
                <w:t xml:space="preserve"> padauginus iš dvigubo trumpiausio atstumo (km)  nuo gyvenamosios vietos iki renginio vietos),  ankstesnių metų dalyvio mokestis (jeigu einamųjų metų kaina dar nežinoma) arba einamųjų metų sąskaita faktūra, mokėjimo kvitas, skelbimas / kvietimas į renginį su nurodytu dalyvio mokesčiu, vidutinė nakvynės rinkos kaina (nurodant interneto adresus) ir pan.</w:t>
              </w:r>
            </w:p>
            <w:p w14:paraId="7A683C5B" w14:textId="77777777">
              <w:pPr>
                <w:widowControl w:val="0"/>
                <w:overflowPunct w:val="0"/>
                <w:ind w:left="284" w:hanging="284"/>
                <w:jc w:val="both"/>
                <w:textAlignment w:val="baseline"/>
                <w:rPr>
                  <w:b/>
                  <w:i/>
                  <w:iCs/>
                  <w:color w:val="000000"/>
                  <w:kern w:val="24"/>
                  <w:sz w:val="20"/>
                </w:rPr>
              </w:pPr>
            </w:p>
            <w:sdt>
              <w:sdtPr>
                <w:alias w:val="1 pr. 3.2 pp."/>
                <w:tag w:val="part_d48d8fd2008141a6bf6ef01cecdfcf6e"/>
                <w:lock w:val="sdtLocked"/>
                <w:richText/>
              </w:sdtPr>
              <w:sdtContent>
                <w:p w14:paraId="0BE059D6" w14:textId="77777777">
                  <w:pPr>
                    <w:widowControl w:val="0"/>
                    <w:tabs>
                      <w:tab w:val="left" w:pos="1560"/>
                      <w:tab w:val="left" w:pos="1843"/>
                    </w:tabs>
                    <w:suppressAutoHyphens/>
                    <w:overflowPunct w:val="0"/>
                    <w:ind w:firstLine="720"/>
                    <w:jc w:val="both"/>
                    <w:textAlignment w:val="baseline"/>
                    <w:rPr>
                      <w:b/>
                      <w:color w:val="000000"/>
                      <w:szCs w:val="24"/>
                    </w:rPr>
                  </w:pPr>
                  <w:sdt>
                    <w:sdtPr>
                      <w:alias w:val="Numeris"/>
                      <w:tag w:val="nr_d48d8fd2008141a6bf6ef01cecdfcf6e"/>
                      <w:lock w:val="sdtLocked"/>
                      <w:richText/>
                    </w:sdtPr>
                    <w:sdtContent>
                      <w:r>
                        <w:rPr>
                          <w:color w:val="000000"/>
                          <w:szCs w:val="24"/>
                        </w:rPr>
                        <w:t>3.2</w:t>
                      </w:r>
                    </w:sdtContent>
                  </w:sdt>
                  <w:r>
                    <w:rPr>
                      <w:color w:val="000000"/>
                      <w:szCs w:val="24"/>
                    </w:rPr>
                    <w:t>. Išlaidos, planuojamos patirti</w:t>
                  </w:r>
                  <w:r>
                    <w:rPr>
                      <w:b/>
                      <w:color w:val="000000"/>
                      <w:szCs w:val="24"/>
                    </w:rPr>
                    <w:t xml:space="preserve"> nuo einamųjų metų lapkričio 1 d.</w:t>
                  </w:r>
                </w:p>
                <w:p w14:paraId="38E31413" w14:textId="77777777">
                  <w:pPr>
                    <w:widowControl w:val="0"/>
                    <w:tabs>
                      <w:tab w:val="left" w:pos="1560"/>
                      <w:tab w:val="left" w:pos="1843"/>
                    </w:tabs>
                    <w:suppressAutoHyphens/>
                    <w:overflowPunct w:val="0"/>
                    <w:jc w:val="both"/>
                    <w:textAlignment w:val="baseline"/>
                    <w:rPr>
                      <w:color w:val="000000"/>
                      <w:sz w:val="16"/>
                      <w:szCs w:val="16"/>
                    </w:rPr>
                  </w:pP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07"/>
                    <w:gridCol w:w="1706"/>
                    <w:gridCol w:w="2123"/>
                    <w:gridCol w:w="1413"/>
                    <w:gridCol w:w="733"/>
                    <w:gridCol w:w="1268"/>
                    <w:gridCol w:w="1989"/>
                  </w:tblGrid>
                  <w:tr w14:paraId="5CA79D81" w14:textId="77777777">
                    <w:trPr>
                      <w:trHeight w:val="21"/>
                      <w:jc w:val="center"/>
                    </w:trPr>
                    <w:tc>
                      <w:tcPr>
                        <w:tcW w:w="211" w:type="pct"/>
                        <w:tcBorders>
                          <w:top w:val="single" w:sz="4" w:space="0" w:color="auto"/>
                          <w:left w:val="single" w:sz="4" w:space="0" w:color="auto"/>
                          <w:bottom w:val="single" w:sz="4" w:space="0" w:color="auto"/>
                          <w:right w:val="single" w:sz="4" w:space="0" w:color="auto"/>
                        </w:tcBorders>
                        <w:vAlign w:val="center"/>
                        <w:hideMark/>
                      </w:tcPr>
                      <w:p w14:paraId="7A85F29E" w14:textId="77777777">
                        <w:pPr>
                          <w:widowControl w:val="0"/>
                          <w:overflowPunct w:val="0"/>
                          <w:jc w:val="center"/>
                          <w:textAlignment w:val="baseline"/>
                          <w:rPr>
                            <w:kern w:val="24"/>
                            <w:sz w:val="20"/>
                          </w:rPr>
                        </w:pPr>
                        <w:r>
                          <w:rPr>
                            <w:kern w:val="24"/>
                            <w:sz w:val="20"/>
                          </w:rPr>
                          <w:t>Eil. Nr.</w:t>
                        </w:r>
                      </w:p>
                    </w:tc>
                    <w:tc>
                      <w:tcPr>
                        <w:tcW w:w="885" w:type="pct"/>
                        <w:tcBorders>
                          <w:top w:val="single" w:sz="4" w:space="0" w:color="auto"/>
                          <w:left w:val="single" w:sz="4" w:space="0" w:color="auto"/>
                          <w:bottom w:val="single" w:sz="4" w:space="0" w:color="auto"/>
                          <w:right w:val="single" w:sz="4" w:space="0" w:color="auto"/>
                        </w:tcBorders>
                        <w:vAlign w:val="center"/>
                        <w:hideMark/>
                      </w:tcPr>
                      <w:p w14:paraId="7FB98FCE" w14:textId="77777777">
                        <w:pPr>
                          <w:widowControl w:val="0"/>
                          <w:overflowPunct w:val="0"/>
                          <w:jc w:val="center"/>
                          <w:textAlignment w:val="baseline"/>
                          <w:rPr>
                            <w:kern w:val="24"/>
                            <w:sz w:val="20"/>
                          </w:rPr>
                        </w:pPr>
                        <w:r>
                          <w:rPr>
                            <w:kern w:val="24"/>
                            <w:sz w:val="20"/>
                          </w:rPr>
                          <w:t>Renginio pavadinimas, data</w:t>
                        </w:r>
                      </w:p>
                    </w:tc>
                    <w:tc>
                      <w:tcPr>
                        <w:tcW w:w="1101" w:type="pct"/>
                        <w:tcBorders>
                          <w:top w:val="single" w:sz="4" w:space="0" w:color="auto"/>
                          <w:left w:val="single" w:sz="4" w:space="0" w:color="auto"/>
                          <w:bottom w:val="single" w:sz="4" w:space="0" w:color="auto"/>
                          <w:right w:val="single" w:sz="4" w:space="0" w:color="auto"/>
                        </w:tcBorders>
                        <w:vAlign w:val="center"/>
                      </w:tcPr>
                      <w:p w14:paraId="0CCECE25" w14:textId="77777777">
                        <w:pPr>
                          <w:widowControl w:val="0"/>
                          <w:overflowPunct w:val="0"/>
                          <w:jc w:val="center"/>
                          <w:textAlignment w:val="baseline"/>
                          <w:rPr>
                            <w:kern w:val="24"/>
                            <w:sz w:val="20"/>
                          </w:rPr>
                        </w:pPr>
                        <w:r>
                          <w:rPr>
                            <w:kern w:val="24"/>
                            <w:sz w:val="20"/>
                          </w:rPr>
                          <w:t xml:space="preserve">Išlaidų rūšių </w:t>
                        </w:r>
                      </w:p>
                      <w:p w14:paraId="74C7221A" w14:textId="77777777">
                        <w:pPr>
                          <w:widowControl w:val="0"/>
                          <w:overflowPunct w:val="0"/>
                          <w:ind w:firstLine="159"/>
                          <w:jc w:val="center"/>
                          <w:textAlignment w:val="baseline"/>
                          <w:rPr>
                            <w:kern w:val="24"/>
                            <w:sz w:val="20"/>
                          </w:rPr>
                        </w:pPr>
                        <w:r>
                          <w:rPr>
                            <w:kern w:val="24"/>
                            <w:sz w:val="20"/>
                          </w:rPr>
                          <w:t>pavadinimai</w:t>
                        </w:r>
                        <w:r>
                          <w:rPr>
                            <w:kern w:val="24"/>
                            <w:sz w:val="22"/>
                            <w:szCs w:val="22"/>
                          </w:rPr>
                          <w:t>*</w:t>
                        </w:r>
                      </w:p>
                    </w:tc>
                    <w:tc>
                      <w:tcPr>
                        <w:tcW w:w="733" w:type="pct"/>
                        <w:tcBorders>
                          <w:top w:val="single" w:sz="4" w:space="0" w:color="auto"/>
                          <w:left w:val="single" w:sz="4" w:space="0" w:color="auto"/>
                          <w:bottom w:val="single" w:sz="4" w:space="0" w:color="auto"/>
                          <w:right w:val="single" w:sz="4" w:space="0" w:color="auto"/>
                        </w:tcBorders>
                        <w:vAlign w:val="center"/>
                        <w:hideMark/>
                      </w:tcPr>
                      <w:p w14:paraId="16743649" w14:textId="77777777">
                        <w:pPr>
                          <w:widowControl w:val="0"/>
                          <w:overflowPunct w:val="0"/>
                          <w:jc w:val="center"/>
                          <w:textAlignment w:val="baseline"/>
                          <w:rPr>
                            <w:sz w:val="20"/>
                          </w:rPr>
                        </w:pPr>
                        <w:r>
                          <w:rPr>
                            <w:kern w:val="24"/>
                            <w:sz w:val="20"/>
                          </w:rPr>
                          <w:t>Bendra tinkamų finansuoti išlaidų suma</w:t>
                        </w:r>
                        <w:r>
                          <w:rPr>
                            <w:sz w:val="20"/>
                          </w:rPr>
                          <w:t xml:space="preserve"> su PVM arba be PVM, Eur </w:t>
                        </w:r>
                        <w:r>
                          <w:rPr>
                            <w:i/>
                            <w:sz w:val="20"/>
                          </w:rPr>
                          <w:t>(kas reikalinga, pabraukti)</w:t>
                        </w:r>
                      </w:p>
                    </w:tc>
                    <w:tc>
                      <w:tcPr>
                        <w:tcW w:w="380" w:type="pct"/>
                        <w:tcBorders>
                          <w:top w:val="single" w:sz="4" w:space="0" w:color="auto"/>
                          <w:left w:val="single" w:sz="4" w:space="0" w:color="auto"/>
                          <w:bottom w:val="single" w:sz="4" w:space="0" w:color="auto"/>
                          <w:right w:val="single" w:sz="4" w:space="0" w:color="auto"/>
                        </w:tcBorders>
                        <w:vAlign w:val="center"/>
                        <w:hideMark/>
                      </w:tcPr>
                      <w:p w14:paraId="0353454C" w14:textId="77777777">
                        <w:pPr>
                          <w:widowControl w:val="0"/>
                          <w:overflowPunct w:val="0"/>
                          <w:jc w:val="center"/>
                          <w:textAlignment w:val="baseline"/>
                          <w:rPr>
                            <w:kern w:val="24"/>
                            <w:sz w:val="20"/>
                          </w:rPr>
                        </w:pPr>
                        <w:r>
                          <w:rPr>
                            <w:kern w:val="24"/>
                            <w:sz w:val="20"/>
                          </w:rPr>
                          <w:t>Pagalbos dydis, proc.</w:t>
                        </w:r>
                      </w:p>
                    </w:tc>
                    <w:tc>
                      <w:tcPr>
                        <w:tcW w:w="658" w:type="pct"/>
                        <w:tcBorders>
                          <w:top w:val="single" w:sz="4" w:space="0" w:color="auto"/>
                          <w:left w:val="single" w:sz="4" w:space="0" w:color="auto"/>
                          <w:bottom w:val="single" w:sz="4" w:space="0" w:color="auto"/>
                          <w:right w:val="single" w:sz="4" w:space="0" w:color="auto"/>
                        </w:tcBorders>
                        <w:vAlign w:val="center"/>
                        <w:hideMark/>
                      </w:tcPr>
                      <w:p w14:paraId="2C961F9F" w14:textId="77777777">
                        <w:pPr>
                          <w:widowControl w:val="0"/>
                          <w:overflowPunct w:val="0"/>
                          <w:jc w:val="center"/>
                          <w:textAlignment w:val="baseline"/>
                          <w:rPr>
                            <w:kern w:val="24"/>
                            <w:sz w:val="20"/>
                          </w:rPr>
                        </w:pPr>
                        <w:r>
                          <w:rPr>
                            <w:kern w:val="24"/>
                            <w:sz w:val="20"/>
                          </w:rPr>
                          <w:t xml:space="preserve">Prašoma pagalbos suma </w:t>
                        </w:r>
                        <w:r>
                          <w:rPr>
                            <w:sz w:val="20"/>
                          </w:rPr>
                          <w:t>su PVM arba be PVM</w:t>
                        </w:r>
                        <w:r>
                          <w:rPr>
                            <w:kern w:val="24"/>
                            <w:sz w:val="20"/>
                          </w:rPr>
                          <w:t xml:space="preserve">, Eur </w:t>
                        </w:r>
                        <w:r>
                          <w:rPr>
                            <w:i/>
                            <w:kern w:val="24"/>
                            <w:sz w:val="20"/>
                          </w:rPr>
                          <w:t xml:space="preserve"> (kas reikalinga, pabraukti)</w:t>
                        </w:r>
                      </w:p>
                    </w:tc>
                    <w:tc>
                      <w:tcPr>
                        <w:tcW w:w="1032" w:type="pct"/>
                        <w:tcBorders>
                          <w:top w:val="single" w:sz="4" w:space="0" w:color="auto"/>
                          <w:left w:val="single" w:sz="4" w:space="0" w:color="auto"/>
                          <w:bottom w:val="single" w:sz="4" w:space="0" w:color="auto"/>
                          <w:right w:val="single" w:sz="4" w:space="0" w:color="auto"/>
                        </w:tcBorders>
                        <w:vAlign w:val="center"/>
                        <w:hideMark/>
                      </w:tcPr>
                      <w:p w14:paraId="1647D448" w14:textId="77777777">
                        <w:pPr>
                          <w:widowControl w:val="0"/>
                          <w:overflowPunct w:val="0"/>
                          <w:jc w:val="center"/>
                          <w:textAlignment w:val="baseline"/>
                          <w:rPr>
                            <w:sz w:val="20"/>
                          </w:rPr>
                        </w:pPr>
                        <w:r>
                          <w:rPr>
                            <w:sz w:val="20"/>
                          </w:rPr>
                          <w:t>Išlaidų pagrindimas</w:t>
                        </w:r>
                        <w:r>
                          <w:rPr>
                            <w:kern w:val="24"/>
                            <w:sz w:val="22"/>
                            <w:szCs w:val="22"/>
                          </w:rPr>
                          <w:t>**</w:t>
                        </w:r>
                      </w:p>
                    </w:tc>
                  </w:tr>
                  <w:tr w14:paraId="20CD2440" w14:textId="77777777">
                    <w:trPr>
                      <w:trHeight w:val="21"/>
                      <w:jc w:val="center"/>
                    </w:trPr>
                    <w:tc>
                      <w:tcPr>
                        <w:tcW w:w="211" w:type="pct"/>
                        <w:tcBorders>
                          <w:top w:val="single" w:sz="4" w:space="0" w:color="auto"/>
                          <w:left w:val="single" w:sz="4" w:space="0" w:color="auto"/>
                          <w:bottom w:val="single" w:sz="4" w:space="0" w:color="auto"/>
                          <w:right w:val="single" w:sz="4" w:space="0" w:color="auto"/>
                        </w:tcBorders>
                        <w:hideMark/>
                      </w:tcPr>
                      <w:p w14:paraId="2552456B" w14:textId="77777777">
                        <w:pPr>
                          <w:widowControl w:val="0"/>
                          <w:overflowPunct w:val="0"/>
                          <w:jc w:val="center"/>
                          <w:textAlignment w:val="baseline"/>
                          <w:rPr>
                            <w:kern w:val="24"/>
                            <w:sz w:val="20"/>
                          </w:rPr>
                        </w:pPr>
                        <w:r>
                          <w:rPr>
                            <w:kern w:val="24"/>
                            <w:sz w:val="20"/>
                          </w:rPr>
                          <w:t>(1)</w:t>
                        </w:r>
                      </w:p>
                    </w:tc>
                    <w:tc>
                      <w:tcPr>
                        <w:tcW w:w="885" w:type="pct"/>
                        <w:tcBorders>
                          <w:top w:val="single" w:sz="4" w:space="0" w:color="auto"/>
                          <w:left w:val="single" w:sz="4" w:space="0" w:color="auto"/>
                          <w:bottom w:val="single" w:sz="4" w:space="0" w:color="auto"/>
                          <w:right w:val="single" w:sz="4" w:space="0" w:color="auto"/>
                        </w:tcBorders>
                        <w:hideMark/>
                      </w:tcPr>
                      <w:p w14:paraId="603DCE65" w14:textId="77777777">
                        <w:pPr>
                          <w:widowControl w:val="0"/>
                          <w:overflowPunct w:val="0"/>
                          <w:jc w:val="center"/>
                          <w:textAlignment w:val="baseline"/>
                          <w:rPr>
                            <w:kern w:val="24"/>
                            <w:sz w:val="20"/>
                          </w:rPr>
                        </w:pPr>
                        <w:r>
                          <w:rPr>
                            <w:kern w:val="24"/>
                            <w:sz w:val="20"/>
                          </w:rPr>
                          <w:t>(2)</w:t>
                        </w:r>
                      </w:p>
                    </w:tc>
                    <w:tc>
                      <w:tcPr>
                        <w:tcW w:w="1101" w:type="pct"/>
                        <w:tcBorders>
                          <w:top w:val="single" w:sz="4" w:space="0" w:color="auto"/>
                          <w:left w:val="single" w:sz="4" w:space="0" w:color="auto"/>
                          <w:bottom w:val="single" w:sz="4" w:space="0" w:color="auto"/>
                          <w:right w:val="single" w:sz="4" w:space="0" w:color="auto"/>
                        </w:tcBorders>
                      </w:tcPr>
                      <w:p w14:paraId="3E23DF32" w14:textId="77777777">
                        <w:pPr>
                          <w:widowControl w:val="0"/>
                          <w:overflowPunct w:val="0"/>
                          <w:jc w:val="center"/>
                          <w:textAlignment w:val="baseline"/>
                          <w:rPr>
                            <w:kern w:val="24"/>
                            <w:sz w:val="20"/>
                          </w:rPr>
                        </w:pPr>
                        <w:r>
                          <w:rPr>
                            <w:kern w:val="24"/>
                            <w:sz w:val="20"/>
                          </w:rPr>
                          <w:t>(3)</w:t>
                        </w:r>
                      </w:p>
                    </w:tc>
                    <w:tc>
                      <w:tcPr>
                        <w:tcW w:w="733" w:type="pct"/>
                        <w:tcBorders>
                          <w:top w:val="single" w:sz="4" w:space="0" w:color="auto"/>
                          <w:left w:val="single" w:sz="4" w:space="0" w:color="auto"/>
                          <w:bottom w:val="single" w:sz="4" w:space="0" w:color="auto"/>
                          <w:right w:val="single" w:sz="4" w:space="0" w:color="auto"/>
                        </w:tcBorders>
                        <w:hideMark/>
                      </w:tcPr>
                      <w:p w14:paraId="0136473A" w14:textId="77777777">
                        <w:pPr>
                          <w:widowControl w:val="0"/>
                          <w:overflowPunct w:val="0"/>
                          <w:jc w:val="center"/>
                          <w:textAlignment w:val="baseline"/>
                          <w:rPr>
                            <w:kern w:val="24"/>
                            <w:sz w:val="20"/>
                          </w:rPr>
                        </w:pPr>
                        <w:r>
                          <w:rPr>
                            <w:kern w:val="24"/>
                            <w:sz w:val="20"/>
                          </w:rPr>
                          <w:t>(4)</w:t>
                        </w:r>
                      </w:p>
                    </w:tc>
                    <w:tc>
                      <w:tcPr>
                        <w:tcW w:w="380" w:type="pct"/>
                        <w:tcBorders>
                          <w:top w:val="single" w:sz="4" w:space="0" w:color="auto"/>
                          <w:left w:val="single" w:sz="4" w:space="0" w:color="auto"/>
                          <w:bottom w:val="single" w:sz="4" w:space="0" w:color="auto"/>
                          <w:right w:val="single" w:sz="4" w:space="0" w:color="auto"/>
                        </w:tcBorders>
                        <w:hideMark/>
                      </w:tcPr>
                      <w:p w14:paraId="1A57292E" w14:textId="77777777">
                        <w:pPr>
                          <w:widowControl w:val="0"/>
                          <w:overflowPunct w:val="0"/>
                          <w:jc w:val="center"/>
                          <w:textAlignment w:val="baseline"/>
                          <w:rPr>
                            <w:kern w:val="24"/>
                            <w:sz w:val="20"/>
                          </w:rPr>
                        </w:pPr>
                        <w:r>
                          <w:rPr>
                            <w:kern w:val="24"/>
                            <w:sz w:val="20"/>
                          </w:rPr>
                          <w:t>(5)</w:t>
                        </w:r>
                      </w:p>
                    </w:tc>
                    <w:tc>
                      <w:tcPr>
                        <w:tcW w:w="658" w:type="pct"/>
                        <w:tcBorders>
                          <w:top w:val="single" w:sz="4" w:space="0" w:color="auto"/>
                          <w:left w:val="single" w:sz="4" w:space="0" w:color="auto"/>
                          <w:bottom w:val="single" w:sz="4" w:space="0" w:color="auto"/>
                          <w:right w:val="single" w:sz="4" w:space="0" w:color="auto"/>
                        </w:tcBorders>
                        <w:hideMark/>
                      </w:tcPr>
                      <w:p w14:paraId="1CD38A87" w14:textId="77777777">
                        <w:pPr>
                          <w:widowControl w:val="0"/>
                          <w:overflowPunct w:val="0"/>
                          <w:jc w:val="center"/>
                          <w:textAlignment w:val="baseline"/>
                          <w:rPr>
                            <w:kern w:val="24"/>
                            <w:sz w:val="20"/>
                          </w:rPr>
                        </w:pPr>
                        <w:r>
                          <w:rPr>
                            <w:kern w:val="24"/>
                            <w:sz w:val="20"/>
                          </w:rPr>
                          <w:t>(6)</w:t>
                        </w:r>
                      </w:p>
                    </w:tc>
                    <w:tc>
                      <w:tcPr>
                        <w:tcW w:w="1032" w:type="pct"/>
                        <w:tcBorders>
                          <w:top w:val="single" w:sz="4" w:space="0" w:color="auto"/>
                          <w:left w:val="single" w:sz="4" w:space="0" w:color="auto"/>
                          <w:bottom w:val="single" w:sz="4" w:space="0" w:color="auto"/>
                          <w:right w:val="single" w:sz="4" w:space="0" w:color="auto"/>
                        </w:tcBorders>
                        <w:hideMark/>
                      </w:tcPr>
                      <w:p w14:paraId="7A762096" w14:textId="77777777">
                        <w:pPr>
                          <w:widowControl w:val="0"/>
                          <w:overflowPunct w:val="0"/>
                          <w:jc w:val="center"/>
                          <w:textAlignment w:val="baseline"/>
                          <w:rPr>
                            <w:sz w:val="20"/>
                          </w:rPr>
                        </w:pPr>
                        <w:r>
                          <w:rPr>
                            <w:sz w:val="20"/>
                          </w:rPr>
                          <w:t>(7)</w:t>
                        </w:r>
                      </w:p>
                    </w:tc>
                  </w:tr>
                  <w:tr w14:paraId="07CA9CC7" w14:textId="77777777">
                    <w:trPr>
                      <w:trHeight w:val="21"/>
                      <w:jc w:val="center"/>
                    </w:trPr>
                    <w:tc>
                      <w:tcPr>
                        <w:tcW w:w="211" w:type="pct"/>
                        <w:tcBorders>
                          <w:top w:val="nil"/>
                          <w:left w:val="single" w:sz="4" w:space="0" w:color="auto"/>
                          <w:bottom w:val="single" w:sz="4" w:space="0" w:color="auto"/>
                          <w:right w:val="single" w:sz="4" w:space="0" w:color="auto"/>
                        </w:tcBorders>
                      </w:tcPr>
                      <w:p w14:paraId="78F46FF5" w14:textId="77777777">
                        <w:pPr>
                          <w:widowControl w:val="0"/>
                          <w:overflowPunct w:val="0"/>
                          <w:jc w:val="both"/>
                          <w:textAlignment w:val="baseline"/>
                          <w:rPr>
                            <w:b/>
                            <w:szCs w:val="24"/>
                          </w:rPr>
                        </w:pPr>
                      </w:p>
                    </w:tc>
                    <w:tc>
                      <w:tcPr>
                        <w:tcW w:w="885" w:type="pct"/>
                        <w:tcBorders>
                          <w:top w:val="nil"/>
                          <w:left w:val="single" w:sz="4" w:space="0" w:color="auto"/>
                          <w:bottom w:val="single" w:sz="4" w:space="0" w:color="auto"/>
                          <w:right w:val="single" w:sz="4" w:space="0" w:color="auto"/>
                        </w:tcBorders>
                      </w:tcPr>
                      <w:p w14:paraId="5477F97F" w14:textId="77777777">
                        <w:pPr>
                          <w:widowControl w:val="0"/>
                          <w:overflowPunct w:val="0"/>
                          <w:jc w:val="both"/>
                          <w:textAlignment w:val="baseline"/>
                          <w:rPr>
                            <w:b/>
                            <w:szCs w:val="24"/>
                          </w:rPr>
                        </w:pPr>
                      </w:p>
                      <w:p w14:paraId="19AB61C5" w14:textId="77777777">
                        <w:pPr>
                          <w:widowControl w:val="0"/>
                          <w:overflowPunct w:val="0"/>
                          <w:jc w:val="both"/>
                          <w:textAlignment w:val="baseline"/>
                          <w:rPr>
                            <w:b/>
                            <w:szCs w:val="24"/>
                          </w:rPr>
                        </w:pPr>
                      </w:p>
                    </w:tc>
                    <w:tc>
                      <w:tcPr>
                        <w:tcW w:w="1101" w:type="pct"/>
                        <w:tcBorders>
                          <w:top w:val="nil"/>
                          <w:left w:val="single" w:sz="4" w:space="0" w:color="auto"/>
                          <w:bottom w:val="single" w:sz="4" w:space="0" w:color="auto"/>
                          <w:right w:val="single" w:sz="4" w:space="0" w:color="auto"/>
                        </w:tcBorders>
                      </w:tcPr>
                      <w:p w14:paraId="5ED273DE" w14:textId="77777777">
                        <w:pPr>
                          <w:widowControl w:val="0"/>
                          <w:overflowPunct w:val="0"/>
                          <w:jc w:val="both"/>
                          <w:textAlignment w:val="baseline"/>
                          <w:rPr>
                            <w:b/>
                            <w:szCs w:val="24"/>
                          </w:rPr>
                        </w:pPr>
                      </w:p>
                    </w:tc>
                    <w:tc>
                      <w:tcPr>
                        <w:tcW w:w="733" w:type="pct"/>
                        <w:tcBorders>
                          <w:top w:val="nil"/>
                          <w:left w:val="single" w:sz="4" w:space="0" w:color="auto"/>
                          <w:bottom w:val="single" w:sz="4" w:space="0" w:color="auto"/>
                          <w:right w:val="single" w:sz="4" w:space="0" w:color="auto"/>
                        </w:tcBorders>
                      </w:tcPr>
                      <w:p w14:paraId="4AB3F96B" w14:textId="77777777">
                        <w:pPr>
                          <w:widowControl w:val="0"/>
                          <w:overflowPunct w:val="0"/>
                          <w:jc w:val="both"/>
                          <w:textAlignment w:val="baseline"/>
                          <w:rPr>
                            <w:b/>
                            <w:szCs w:val="24"/>
                          </w:rPr>
                        </w:pPr>
                      </w:p>
                    </w:tc>
                    <w:tc>
                      <w:tcPr>
                        <w:tcW w:w="380" w:type="pct"/>
                        <w:tcBorders>
                          <w:top w:val="nil"/>
                          <w:left w:val="single" w:sz="4" w:space="0" w:color="auto"/>
                          <w:bottom w:val="single" w:sz="4" w:space="0" w:color="auto"/>
                          <w:right w:val="single" w:sz="4" w:space="0" w:color="auto"/>
                        </w:tcBorders>
                      </w:tcPr>
                      <w:p w14:paraId="75745BAE" w14:textId="77777777">
                        <w:pPr>
                          <w:widowControl w:val="0"/>
                          <w:overflowPunct w:val="0"/>
                          <w:jc w:val="both"/>
                          <w:textAlignment w:val="baseline"/>
                          <w:rPr>
                            <w:kern w:val="24"/>
                            <w:szCs w:val="24"/>
                          </w:rPr>
                        </w:pPr>
                      </w:p>
                    </w:tc>
                    <w:tc>
                      <w:tcPr>
                        <w:tcW w:w="658" w:type="pct"/>
                        <w:tcBorders>
                          <w:top w:val="nil"/>
                          <w:left w:val="single" w:sz="4" w:space="0" w:color="auto"/>
                          <w:bottom w:val="single" w:sz="4" w:space="0" w:color="auto"/>
                          <w:right w:val="single" w:sz="4" w:space="0" w:color="auto"/>
                        </w:tcBorders>
                      </w:tcPr>
                      <w:p w14:paraId="0BEE0BF0" w14:textId="77777777">
                        <w:pPr>
                          <w:widowControl w:val="0"/>
                          <w:overflowPunct w:val="0"/>
                          <w:jc w:val="both"/>
                          <w:textAlignment w:val="baseline"/>
                          <w:rPr>
                            <w:kern w:val="24"/>
                            <w:szCs w:val="24"/>
                          </w:rPr>
                        </w:pPr>
                      </w:p>
                    </w:tc>
                    <w:tc>
                      <w:tcPr>
                        <w:tcW w:w="1032" w:type="pct"/>
                        <w:tcBorders>
                          <w:top w:val="nil"/>
                          <w:left w:val="single" w:sz="4" w:space="0" w:color="auto"/>
                          <w:bottom w:val="single" w:sz="4" w:space="0" w:color="auto"/>
                          <w:right w:val="single" w:sz="4" w:space="0" w:color="auto"/>
                        </w:tcBorders>
                      </w:tcPr>
                      <w:p w14:paraId="464CB50D" w14:textId="77777777">
                        <w:pPr>
                          <w:widowControl w:val="0"/>
                          <w:overflowPunct w:val="0"/>
                          <w:jc w:val="both"/>
                          <w:textAlignment w:val="baseline"/>
                          <w:rPr>
                            <w:b/>
                            <w:szCs w:val="24"/>
                          </w:rPr>
                        </w:pPr>
                      </w:p>
                    </w:tc>
                  </w:tr>
                  <w:tr w14:paraId="533054C6" w14:textId="77777777">
                    <w:trPr>
                      <w:trHeight w:val="21"/>
                      <w:jc w:val="center"/>
                    </w:trPr>
                    <w:tc>
                      <w:tcPr>
                        <w:tcW w:w="211" w:type="pct"/>
                        <w:tcBorders>
                          <w:top w:val="single" w:sz="4" w:space="0" w:color="auto"/>
                          <w:left w:val="single" w:sz="4" w:space="0" w:color="auto"/>
                          <w:bottom w:val="single" w:sz="4" w:space="0" w:color="auto"/>
                          <w:right w:val="single" w:sz="4" w:space="0" w:color="auto"/>
                        </w:tcBorders>
                      </w:tcPr>
                      <w:p w14:paraId="02ED24BC" w14:textId="77777777">
                        <w:pPr>
                          <w:widowControl w:val="0"/>
                          <w:overflowPunct w:val="0"/>
                          <w:jc w:val="both"/>
                          <w:textAlignment w:val="baseline"/>
                          <w:rPr>
                            <w:b/>
                            <w:szCs w:val="24"/>
                          </w:rPr>
                        </w:pPr>
                      </w:p>
                    </w:tc>
                    <w:tc>
                      <w:tcPr>
                        <w:tcW w:w="885" w:type="pct"/>
                        <w:tcBorders>
                          <w:top w:val="single" w:sz="4" w:space="0" w:color="auto"/>
                          <w:left w:val="single" w:sz="4" w:space="0" w:color="auto"/>
                          <w:bottom w:val="single" w:sz="4" w:space="0" w:color="auto"/>
                          <w:right w:val="single" w:sz="4" w:space="0" w:color="auto"/>
                        </w:tcBorders>
                      </w:tcPr>
                      <w:p w14:paraId="5EA6FABD" w14:textId="77777777">
                        <w:pPr>
                          <w:widowControl w:val="0"/>
                          <w:overflowPunct w:val="0"/>
                          <w:jc w:val="both"/>
                          <w:textAlignment w:val="baseline"/>
                          <w:rPr>
                            <w:b/>
                            <w:szCs w:val="24"/>
                          </w:rPr>
                        </w:pPr>
                      </w:p>
                      <w:p w14:paraId="46EE1894" w14:textId="77777777">
                        <w:pPr>
                          <w:widowControl w:val="0"/>
                          <w:overflowPunct w:val="0"/>
                          <w:jc w:val="both"/>
                          <w:textAlignment w:val="baseline"/>
                          <w:rPr>
                            <w:b/>
                            <w:szCs w:val="24"/>
                          </w:rPr>
                        </w:pPr>
                      </w:p>
                    </w:tc>
                    <w:tc>
                      <w:tcPr>
                        <w:tcW w:w="1101" w:type="pct"/>
                        <w:tcBorders>
                          <w:top w:val="single" w:sz="4" w:space="0" w:color="auto"/>
                          <w:left w:val="single" w:sz="4" w:space="0" w:color="auto"/>
                          <w:bottom w:val="single" w:sz="4" w:space="0" w:color="auto"/>
                          <w:right w:val="single" w:sz="4" w:space="0" w:color="auto"/>
                        </w:tcBorders>
                      </w:tcPr>
                      <w:p w14:paraId="3731B02C" w14:textId="77777777">
                        <w:pPr>
                          <w:widowControl w:val="0"/>
                          <w:overflowPunct w:val="0"/>
                          <w:jc w:val="both"/>
                          <w:textAlignment w:val="baseline"/>
                          <w:rPr>
                            <w:b/>
                            <w:szCs w:val="24"/>
                          </w:rPr>
                        </w:pPr>
                      </w:p>
                    </w:tc>
                    <w:tc>
                      <w:tcPr>
                        <w:tcW w:w="733" w:type="pct"/>
                        <w:tcBorders>
                          <w:top w:val="single" w:sz="4" w:space="0" w:color="auto"/>
                          <w:left w:val="single" w:sz="4" w:space="0" w:color="auto"/>
                          <w:bottom w:val="single" w:sz="4" w:space="0" w:color="auto"/>
                          <w:right w:val="single" w:sz="4" w:space="0" w:color="auto"/>
                        </w:tcBorders>
                      </w:tcPr>
                      <w:p w14:paraId="084049A0" w14:textId="77777777">
                        <w:pPr>
                          <w:widowControl w:val="0"/>
                          <w:overflowPunct w:val="0"/>
                          <w:jc w:val="both"/>
                          <w:textAlignment w:val="baseline"/>
                          <w:rPr>
                            <w:b/>
                            <w:szCs w:val="24"/>
                          </w:rPr>
                        </w:pPr>
                      </w:p>
                    </w:tc>
                    <w:tc>
                      <w:tcPr>
                        <w:tcW w:w="380" w:type="pct"/>
                        <w:tcBorders>
                          <w:top w:val="single" w:sz="4" w:space="0" w:color="auto"/>
                          <w:left w:val="single" w:sz="4" w:space="0" w:color="auto"/>
                          <w:bottom w:val="single" w:sz="4" w:space="0" w:color="auto"/>
                          <w:right w:val="single" w:sz="4" w:space="0" w:color="auto"/>
                        </w:tcBorders>
                      </w:tcPr>
                      <w:p w14:paraId="25553719" w14:textId="77777777">
                        <w:pPr>
                          <w:widowControl w:val="0"/>
                          <w:overflowPunct w:val="0"/>
                          <w:jc w:val="both"/>
                          <w:textAlignment w:val="baseline"/>
                          <w:rPr>
                            <w:kern w:val="24"/>
                            <w:szCs w:val="24"/>
                          </w:rPr>
                        </w:pPr>
                      </w:p>
                    </w:tc>
                    <w:tc>
                      <w:tcPr>
                        <w:tcW w:w="658" w:type="pct"/>
                        <w:tcBorders>
                          <w:top w:val="single" w:sz="4" w:space="0" w:color="auto"/>
                          <w:left w:val="single" w:sz="4" w:space="0" w:color="auto"/>
                          <w:bottom w:val="single" w:sz="4" w:space="0" w:color="auto"/>
                          <w:right w:val="single" w:sz="4" w:space="0" w:color="auto"/>
                        </w:tcBorders>
                      </w:tcPr>
                      <w:p w14:paraId="512F87DB" w14:textId="77777777">
                        <w:pPr>
                          <w:widowControl w:val="0"/>
                          <w:overflowPunct w:val="0"/>
                          <w:jc w:val="both"/>
                          <w:textAlignment w:val="baseline"/>
                          <w:rPr>
                            <w:kern w:val="24"/>
                            <w:szCs w:val="24"/>
                          </w:rPr>
                        </w:pPr>
                      </w:p>
                    </w:tc>
                    <w:tc>
                      <w:tcPr>
                        <w:tcW w:w="1032" w:type="pct"/>
                        <w:tcBorders>
                          <w:top w:val="single" w:sz="4" w:space="0" w:color="auto"/>
                          <w:left w:val="single" w:sz="4" w:space="0" w:color="auto"/>
                          <w:bottom w:val="single" w:sz="4" w:space="0" w:color="auto"/>
                          <w:right w:val="single" w:sz="4" w:space="0" w:color="auto"/>
                        </w:tcBorders>
                      </w:tcPr>
                      <w:p w14:paraId="277BCB3B" w14:textId="77777777">
                        <w:pPr>
                          <w:widowControl w:val="0"/>
                          <w:overflowPunct w:val="0"/>
                          <w:jc w:val="both"/>
                          <w:textAlignment w:val="baseline"/>
                          <w:rPr>
                            <w:b/>
                            <w:szCs w:val="24"/>
                          </w:rPr>
                        </w:pPr>
                      </w:p>
                    </w:tc>
                  </w:tr>
                  <w:tr w14:paraId="59F4C510" w14:textId="77777777">
                    <w:trPr>
                      <w:trHeight w:val="21"/>
                      <w:jc w:val="center"/>
                    </w:trPr>
                    <w:tc>
                      <w:tcPr>
                        <w:tcW w:w="211" w:type="pct"/>
                        <w:tcBorders>
                          <w:top w:val="nil"/>
                          <w:left w:val="single" w:sz="4" w:space="0" w:color="auto"/>
                          <w:bottom w:val="single" w:sz="4" w:space="0" w:color="auto"/>
                          <w:right w:val="single" w:sz="4" w:space="0" w:color="auto"/>
                        </w:tcBorders>
                      </w:tcPr>
                      <w:p w14:paraId="00310E91" w14:textId="77777777">
                        <w:pPr>
                          <w:widowControl w:val="0"/>
                          <w:overflowPunct w:val="0"/>
                          <w:jc w:val="both"/>
                          <w:textAlignment w:val="baseline"/>
                          <w:rPr>
                            <w:b/>
                            <w:szCs w:val="24"/>
                          </w:rPr>
                        </w:pPr>
                      </w:p>
                    </w:tc>
                    <w:tc>
                      <w:tcPr>
                        <w:tcW w:w="885" w:type="pct"/>
                        <w:tcBorders>
                          <w:top w:val="nil"/>
                          <w:left w:val="single" w:sz="4" w:space="0" w:color="auto"/>
                          <w:bottom w:val="single" w:sz="4" w:space="0" w:color="auto"/>
                          <w:right w:val="single" w:sz="4" w:space="0" w:color="auto"/>
                        </w:tcBorders>
                      </w:tcPr>
                      <w:p w14:paraId="750893F5" w14:textId="77777777">
                        <w:pPr>
                          <w:widowControl w:val="0"/>
                          <w:overflowPunct w:val="0"/>
                          <w:jc w:val="both"/>
                          <w:textAlignment w:val="baseline"/>
                          <w:rPr>
                            <w:b/>
                            <w:szCs w:val="24"/>
                          </w:rPr>
                        </w:pPr>
                      </w:p>
                      <w:p w14:paraId="6521228D" w14:textId="77777777">
                        <w:pPr>
                          <w:widowControl w:val="0"/>
                          <w:overflowPunct w:val="0"/>
                          <w:jc w:val="both"/>
                          <w:textAlignment w:val="baseline"/>
                          <w:rPr>
                            <w:b/>
                            <w:szCs w:val="24"/>
                          </w:rPr>
                        </w:pPr>
                      </w:p>
                    </w:tc>
                    <w:tc>
                      <w:tcPr>
                        <w:tcW w:w="1101" w:type="pct"/>
                        <w:tcBorders>
                          <w:top w:val="nil"/>
                          <w:left w:val="single" w:sz="4" w:space="0" w:color="auto"/>
                          <w:bottom w:val="single" w:sz="4" w:space="0" w:color="auto"/>
                          <w:right w:val="single" w:sz="4" w:space="0" w:color="auto"/>
                        </w:tcBorders>
                      </w:tcPr>
                      <w:p w14:paraId="43376FE3" w14:textId="77777777">
                        <w:pPr>
                          <w:widowControl w:val="0"/>
                          <w:overflowPunct w:val="0"/>
                          <w:jc w:val="both"/>
                          <w:textAlignment w:val="baseline"/>
                          <w:rPr>
                            <w:b/>
                            <w:szCs w:val="24"/>
                          </w:rPr>
                        </w:pPr>
                      </w:p>
                    </w:tc>
                    <w:tc>
                      <w:tcPr>
                        <w:tcW w:w="733" w:type="pct"/>
                        <w:tcBorders>
                          <w:top w:val="nil"/>
                          <w:left w:val="single" w:sz="4" w:space="0" w:color="auto"/>
                          <w:bottom w:val="single" w:sz="4" w:space="0" w:color="auto"/>
                          <w:right w:val="single" w:sz="4" w:space="0" w:color="auto"/>
                        </w:tcBorders>
                      </w:tcPr>
                      <w:p w14:paraId="40CC2A30" w14:textId="77777777">
                        <w:pPr>
                          <w:widowControl w:val="0"/>
                          <w:overflowPunct w:val="0"/>
                          <w:jc w:val="both"/>
                          <w:textAlignment w:val="baseline"/>
                          <w:rPr>
                            <w:b/>
                            <w:szCs w:val="24"/>
                          </w:rPr>
                        </w:pPr>
                      </w:p>
                    </w:tc>
                    <w:tc>
                      <w:tcPr>
                        <w:tcW w:w="380" w:type="pct"/>
                        <w:tcBorders>
                          <w:top w:val="nil"/>
                          <w:left w:val="single" w:sz="4" w:space="0" w:color="auto"/>
                          <w:bottom w:val="single" w:sz="4" w:space="0" w:color="auto"/>
                          <w:right w:val="single" w:sz="4" w:space="0" w:color="auto"/>
                        </w:tcBorders>
                      </w:tcPr>
                      <w:p w14:paraId="737B3B4A" w14:textId="77777777">
                        <w:pPr>
                          <w:widowControl w:val="0"/>
                          <w:overflowPunct w:val="0"/>
                          <w:jc w:val="both"/>
                          <w:textAlignment w:val="baseline"/>
                          <w:rPr>
                            <w:kern w:val="24"/>
                            <w:szCs w:val="24"/>
                          </w:rPr>
                        </w:pPr>
                      </w:p>
                    </w:tc>
                    <w:tc>
                      <w:tcPr>
                        <w:tcW w:w="658" w:type="pct"/>
                        <w:tcBorders>
                          <w:top w:val="nil"/>
                          <w:left w:val="single" w:sz="4" w:space="0" w:color="auto"/>
                          <w:bottom w:val="single" w:sz="4" w:space="0" w:color="auto"/>
                          <w:right w:val="single" w:sz="4" w:space="0" w:color="auto"/>
                        </w:tcBorders>
                      </w:tcPr>
                      <w:p w14:paraId="599E8D80" w14:textId="77777777">
                        <w:pPr>
                          <w:widowControl w:val="0"/>
                          <w:overflowPunct w:val="0"/>
                          <w:jc w:val="both"/>
                          <w:textAlignment w:val="baseline"/>
                          <w:rPr>
                            <w:kern w:val="24"/>
                            <w:szCs w:val="24"/>
                          </w:rPr>
                        </w:pPr>
                      </w:p>
                    </w:tc>
                    <w:tc>
                      <w:tcPr>
                        <w:tcW w:w="1032" w:type="pct"/>
                        <w:tcBorders>
                          <w:top w:val="nil"/>
                          <w:left w:val="single" w:sz="4" w:space="0" w:color="auto"/>
                          <w:bottom w:val="single" w:sz="4" w:space="0" w:color="auto"/>
                          <w:right w:val="single" w:sz="4" w:space="0" w:color="auto"/>
                        </w:tcBorders>
                      </w:tcPr>
                      <w:p w14:paraId="32A75F03" w14:textId="77777777">
                        <w:pPr>
                          <w:widowControl w:val="0"/>
                          <w:overflowPunct w:val="0"/>
                          <w:jc w:val="both"/>
                          <w:textAlignment w:val="baseline"/>
                          <w:rPr>
                            <w:b/>
                            <w:szCs w:val="24"/>
                          </w:rPr>
                        </w:pPr>
                      </w:p>
                    </w:tc>
                  </w:tr>
                  <w:tr w14:paraId="06585AF5" w14:textId="77777777">
                    <w:trPr>
                      <w:trHeight w:val="21"/>
                      <w:jc w:val="center"/>
                    </w:trPr>
                    <w:tc>
                      <w:tcPr>
                        <w:tcW w:w="211" w:type="pct"/>
                        <w:tcBorders>
                          <w:top w:val="single" w:sz="4" w:space="0" w:color="auto"/>
                          <w:left w:val="single" w:sz="4" w:space="0" w:color="auto"/>
                          <w:bottom w:val="single" w:sz="4" w:space="0" w:color="auto"/>
                          <w:right w:val="single" w:sz="4" w:space="0" w:color="auto"/>
                        </w:tcBorders>
                      </w:tcPr>
                      <w:p w14:paraId="1E38E1E3" w14:textId="77777777">
                        <w:pPr>
                          <w:widowControl w:val="0"/>
                          <w:overflowPunct w:val="0"/>
                          <w:jc w:val="both"/>
                          <w:textAlignment w:val="baseline"/>
                          <w:rPr>
                            <w:b/>
                            <w:szCs w:val="24"/>
                          </w:rPr>
                        </w:pPr>
                      </w:p>
                    </w:tc>
                    <w:tc>
                      <w:tcPr>
                        <w:tcW w:w="885" w:type="pct"/>
                        <w:tcBorders>
                          <w:top w:val="single" w:sz="4" w:space="0" w:color="auto"/>
                          <w:left w:val="single" w:sz="4" w:space="0" w:color="auto"/>
                          <w:bottom w:val="single" w:sz="4" w:space="0" w:color="auto"/>
                          <w:right w:val="single" w:sz="4" w:space="0" w:color="auto"/>
                        </w:tcBorders>
                      </w:tcPr>
                      <w:p w14:paraId="073E8A99" w14:textId="77777777">
                        <w:pPr>
                          <w:widowControl w:val="0"/>
                          <w:overflowPunct w:val="0"/>
                          <w:jc w:val="both"/>
                          <w:textAlignment w:val="baseline"/>
                          <w:rPr>
                            <w:b/>
                            <w:szCs w:val="24"/>
                          </w:rPr>
                        </w:pPr>
                      </w:p>
                      <w:p w14:paraId="0557CDDA" w14:textId="77777777">
                        <w:pPr>
                          <w:widowControl w:val="0"/>
                          <w:overflowPunct w:val="0"/>
                          <w:jc w:val="both"/>
                          <w:textAlignment w:val="baseline"/>
                          <w:rPr>
                            <w:b/>
                            <w:szCs w:val="24"/>
                          </w:rPr>
                        </w:pPr>
                      </w:p>
                    </w:tc>
                    <w:tc>
                      <w:tcPr>
                        <w:tcW w:w="1101" w:type="pct"/>
                        <w:tcBorders>
                          <w:top w:val="single" w:sz="4" w:space="0" w:color="auto"/>
                          <w:left w:val="single" w:sz="4" w:space="0" w:color="auto"/>
                          <w:bottom w:val="single" w:sz="4" w:space="0" w:color="auto"/>
                          <w:right w:val="single" w:sz="4" w:space="0" w:color="auto"/>
                        </w:tcBorders>
                      </w:tcPr>
                      <w:p w14:paraId="1480D580" w14:textId="77777777">
                        <w:pPr>
                          <w:widowControl w:val="0"/>
                          <w:overflowPunct w:val="0"/>
                          <w:jc w:val="both"/>
                          <w:textAlignment w:val="baseline"/>
                          <w:rPr>
                            <w:b/>
                            <w:szCs w:val="24"/>
                          </w:rPr>
                        </w:pPr>
                      </w:p>
                    </w:tc>
                    <w:tc>
                      <w:tcPr>
                        <w:tcW w:w="733" w:type="pct"/>
                        <w:tcBorders>
                          <w:top w:val="single" w:sz="4" w:space="0" w:color="auto"/>
                          <w:left w:val="single" w:sz="4" w:space="0" w:color="auto"/>
                          <w:bottom w:val="single" w:sz="4" w:space="0" w:color="auto"/>
                          <w:right w:val="single" w:sz="4" w:space="0" w:color="auto"/>
                        </w:tcBorders>
                      </w:tcPr>
                      <w:p w14:paraId="2D8B56E8" w14:textId="77777777">
                        <w:pPr>
                          <w:widowControl w:val="0"/>
                          <w:overflowPunct w:val="0"/>
                          <w:jc w:val="both"/>
                          <w:textAlignment w:val="baseline"/>
                          <w:rPr>
                            <w:b/>
                            <w:szCs w:val="24"/>
                          </w:rPr>
                        </w:pPr>
                      </w:p>
                    </w:tc>
                    <w:tc>
                      <w:tcPr>
                        <w:tcW w:w="380" w:type="pct"/>
                        <w:tcBorders>
                          <w:top w:val="single" w:sz="4" w:space="0" w:color="auto"/>
                          <w:left w:val="single" w:sz="4" w:space="0" w:color="auto"/>
                          <w:bottom w:val="single" w:sz="4" w:space="0" w:color="auto"/>
                          <w:right w:val="single" w:sz="4" w:space="0" w:color="auto"/>
                        </w:tcBorders>
                      </w:tcPr>
                      <w:p w14:paraId="5591E017" w14:textId="77777777">
                        <w:pPr>
                          <w:widowControl w:val="0"/>
                          <w:overflowPunct w:val="0"/>
                          <w:jc w:val="both"/>
                          <w:textAlignment w:val="baseline"/>
                          <w:rPr>
                            <w:kern w:val="24"/>
                            <w:szCs w:val="24"/>
                          </w:rPr>
                        </w:pPr>
                      </w:p>
                    </w:tc>
                    <w:tc>
                      <w:tcPr>
                        <w:tcW w:w="658" w:type="pct"/>
                        <w:tcBorders>
                          <w:top w:val="single" w:sz="4" w:space="0" w:color="auto"/>
                          <w:left w:val="single" w:sz="4" w:space="0" w:color="auto"/>
                          <w:bottom w:val="single" w:sz="4" w:space="0" w:color="auto"/>
                          <w:right w:val="single" w:sz="4" w:space="0" w:color="auto"/>
                        </w:tcBorders>
                      </w:tcPr>
                      <w:p w14:paraId="584EBC14" w14:textId="77777777">
                        <w:pPr>
                          <w:widowControl w:val="0"/>
                          <w:overflowPunct w:val="0"/>
                          <w:jc w:val="both"/>
                          <w:textAlignment w:val="baseline"/>
                          <w:rPr>
                            <w:kern w:val="24"/>
                            <w:szCs w:val="24"/>
                          </w:rPr>
                        </w:pPr>
                      </w:p>
                    </w:tc>
                    <w:tc>
                      <w:tcPr>
                        <w:tcW w:w="1032" w:type="pct"/>
                        <w:tcBorders>
                          <w:top w:val="single" w:sz="4" w:space="0" w:color="auto"/>
                          <w:left w:val="single" w:sz="4" w:space="0" w:color="auto"/>
                          <w:bottom w:val="single" w:sz="4" w:space="0" w:color="auto"/>
                          <w:right w:val="single" w:sz="4" w:space="0" w:color="auto"/>
                        </w:tcBorders>
                      </w:tcPr>
                      <w:p w14:paraId="5F92306B" w14:textId="77777777">
                        <w:pPr>
                          <w:widowControl w:val="0"/>
                          <w:overflowPunct w:val="0"/>
                          <w:jc w:val="both"/>
                          <w:textAlignment w:val="baseline"/>
                          <w:rPr>
                            <w:b/>
                            <w:szCs w:val="24"/>
                          </w:rPr>
                        </w:pPr>
                      </w:p>
                    </w:tc>
                  </w:tr>
                  <w:tr w14:paraId="3D246394" w14:textId="77777777">
                    <w:trPr>
                      <w:trHeight w:val="21"/>
                      <w:jc w:val="center"/>
                    </w:trPr>
                    <w:tc>
                      <w:tcPr>
                        <w:tcW w:w="211" w:type="pct"/>
                        <w:tcBorders>
                          <w:top w:val="nil"/>
                          <w:left w:val="single" w:sz="4" w:space="0" w:color="auto"/>
                          <w:bottom w:val="single" w:sz="4" w:space="0" w:color="auto"/>
                          <w:right w:val="single" w:sz="4" w:space="0" w:color="auto"/>
                        </w:tcBorders>
                      </w:tcPr>
                      <w:p w14:paraId="06A61391" w14:textId="77777777">
                        <w:pPr>
                          <w:widowControl w:val="0"/>
                          <w:overflowPunct w:val="0"/>
                          <w:jc w:val="both"/>
                          <w:textAlignment w:val="baseline"/>
                          <w:rPr>
                            <w:b/>
                            <w:szCs w:val="24"/>
                          </w:rPr>
                        </w:pPr>
                      </w:p>
                    </w:tc>
                    <w:tc>
                      <w:tcPr>
                        <w:tcW w:w="885" w:type="pct"/>
                        <w:tcBorders>
                          <w:top w:val="nil"/>
                          <w:left w:val="single" w:sz="4" w:space="0" w:color="auto"/>
                          <w:bottom w:val="single" w:sz="4" w:space="0" w:color="auto"/>
                          <w:right w:val="single" w:sz="4" w:space="0" w:color="auto"/>
                        </w:tcBorders>
                      </w:tcPr>
                      <w:p w14:paraId="2C495BBF" w14:textId="77777777">
                        <w:pPr>
                          <w:widowControl w:val="0"/>
                          <w:overflowPunct w:val="0"/>
                          <w:jc w:val="both"/>
                          <w:textAlignment w:val="baseline"/>
                          <w:rPr>
                            <w:b/>
                            <w:szCs w:val="24"/>
                          </w:rPr>
                        </w:pPr>
                      </w:p>
                      <w:p w14:paraId="15517F76" w14:textId="77777777">
                        <w:pPr>
                          <w:widowControl w:val="0"/>
                          <w:overflowPunct w:val="0"/>
                          <w:jc w:val="both"/>
                          <w:textAlignment w:val="baseline"/>
                          <w:rPr>
                            <w:b/>
                            <w:szCs w:val="24"/>
                          </w:rPr>
                        </w:pPr>
                      </w:p>
                    </w:tc>
                    <w:tc>
                      <w:tcPr>
                        <w:tcW w:w="1101" w:type="pct"/>
                        <w:tcBorders>
                          <w:top w:val="nil"/>
                          <w:left w:val="single" w:sz="4" w:space="0" w:color="auto"/>
                          <w:bottom w:val="single" w:sz="4" w:space="0" w:color="auto"/>
                          <w:right w:val="single" w:sz="4" w:space="0" w:color="auto"/>
                        </w:tcBorders>
                      </w:tcPr>
                      <w:p w14:paraId="729399DF" w14:textId="77777777">
                        <w:pPr>
                          <w:widowControl w:val="0"/>
                          <w:overflowPunct w:val="0"/>
                          <w:jc w:val="both"/>
                          <w:textAlignment w:val="baseline"/>
                          <w:rPr>
                            <w:b/>
                            <w:szCs w:val="24"/>
                          </w:rPr>
                        </w:pPr>
                      </w:p>
                    </w:tc>
                    <w:tc>
                      <w:tcPr>
                        <w:tcW w:w="733" w:type="pct"/>
                        <w:tcBorders>
                          <w:top w:val="nil"/>
                          <w:left w:val="single" w:sz="4" w:space="0" w:color="auto"/>
                          <w:bottom w:val="single" w:sz="4" w:space="0" w:color="auto"/>
                          <w:right w:val="single" w:sz="4" w:space="0" w:color="auto"/>
                        </w:tcBorders>
                      </w:tcPr>
                      <w:p w14:paraId="2382EF35" w14:textId="77777777">
                        <w:pPr>
                          <w:widowControl w:val="0"/>
                          <w:overflowPunct w:val="0"/>
                          <w:jc w:val="both"/>
                          <w:textAlignment w:val="baseline"/>
                          <w:rPr>
                            <w:b/>
                            <w:szCs w:val="24"/>
                          </w:rPr>
                        </w:pPr>
                      </w:p>
                    </w:tc>
                    <w:tc>
                      <w:tcPr>
                        <w:tcW w:w="380" w:type="pct"/>
                        <w:tcBorders>
                          <w:top w:val="nil"/>
                          <w:left w:val="single" w:sz="4" w:space="0" w:color="auto"/>
                          <w:bottom w:val="single" w:sz="4" w:space="0" w:color="auto"/>
                          <w:right w:val="single" w:sz="4" w:space="0" w:color="auto"/>
                        </w:tcBorders>
                      </w:tcPr>
                      <w:p w14:paraId="711F8D02" w14:textId="77777777">
                        <w:pPr>
                          <w:widowControl w:val="0"/>
                          <w:overflowPunct w:val="0"/>
                          <w:jc w:val="both"/>
                          <w:textAlignment w:val="baseline"/>
                          <w:rPr>
                            <w:kern w:val="24"/>
                            <w:szCs w:val="24"/>
                          </w:rPr>
                        </w:pPr>
                      </w:p>
                    </w:tc>
                    <w:tc>
                      <w:tcPr>
                        <w:tcW w:w="658" w:type="pct"/>
                        <w:tcBorders>
                          <w:top w:val="nil"/>
                          <w:left w:val="single" w:sz="4" w:space="0" w:color="auto"/>
                          <w:bottom w:val="single" w:sz="4" w:space="0" w:color="auto"/>
                          <w:right w:val="single" w:sz="4" w:space="0" w:color="auto"/>
                        </w:tcBorders>
                      </w:tcPr>
                      <w:p w14:paraId="62716DE0" w14:textId="77777777">
                        <w:pPr>
                          <w:widowControl w:val="0"/>
                          <w:overflowPunct w:val="0"/>
                          <w:jc w:val="both"/>
                          <w:textAlignment w:val="baseline"/>
                          <w:rPr>
                            <w:kern w:val="24"/>
                            <w:szCs w:val="24"/>
                          </w:rPr>
                        </w:pPr>
                      </w:p>
                    </w:tc>
                    <w:tc>
                      <w:tcPr>
                        <w:tcW w:w="1032" w:type="pct"/>
                        <w:tcBorders>
                          <w:top w:val="nil"/>
                          <w:left w:val="single" w:sz="4" w:space="0" w:color="auto"/>
                          <w:bottom w:val="single" w:sz="4" w:space="0" w:color="auto"/>
                          <w:right w:val="single" w:sz="4" w:space="0" w:color="auto"/>
                        </w:tcBorders>
                      </w:tcPr>
                      <w:p w14:paraId="349116CC" w14:textId="77777777">
                        <w:pPr>
                          <w:widowControl w:val="0"/>
                          <w:overflowPunct w:val="0"/>
                          <w:jc w:val="both"/>
                          <w:textAlignment w:val="baseline"/>
                          <w:rPr>
                            <w:b/>
                            <w:szCs w:val="24"/>
                          </w:rPr>
                        </w:pPr>
                      </w:p>
                    </w:tc>
                  </w:tr>
                  <w:tr w14:paraId="3D053DBE" w14:textId="77777777">
                    <w:trPr>
                      <w:trHeight w:val="21"/>
                      <w:jc w:val="center"/>
                    </w:trPr>
                    <w:tc>
                      <w:tcPr>
                        <w:tcW w:w="211" w:type="pct"/>
                        <w:tcBorders>
                          <w:top w:val="single" w:sz="4" w:space="0" w:color="auto"/>
                          <w:left w:val="single" w:sz="4" w:space="0" w:color="auto"/>
                          <w:bottom w:val="single" w:sz="4" w:space="0" w:color="auto"/>
                          <w:right w:val="single" w:sz="4" w:space="0" w:color="auto"/>
                        </w:tcBorders>
                      </w:tcPr>
                      <w:p w14:paraId="2100B25B" w14:textId="77777777">
                        <w:pPr>
                          <w:widowControl w:val="0"/>
                          <w:overflowPunct w:val="0"/>
                          <w:jc w:val="both"/>
                          <w:textAlignment w:val="baseline"/>
                          <w:rPr>
                            <w:b/>
                            <w:szCs w:val="24"/>
                          </w:rPr>
                        </w:pPr>
                      </w:p>
                    </w:tc>
                    <w:tc>
                      <w:tcPr>
                        <w:tcW w:w="885" w:type="pct"/>
                        <w:tcBorders>
                          <w:top w:val="single" w:sz="4" w:space="0" w:color="auto"/>
                          <w:left w:val="single" w:sz="4" w:space="0" w:color="auto"/>
                          <w:bottom w:val="single" w:sz="4" w:space="0" w:color="auto"/>
                          <w:right w:val="single" w:sz="4" w:space="0" w:color="auto"/>
                        </w:tcBorders>
                      </w:tcPr>
                      <w:p w14:paraId="32C6FF69" w14:textId="77777777">
                        <w:pPr>
                          <w:widowControl w:val="0"/>
                          <w:overflowPunct w:val="0"/>
                          <w:jc w:val="both"/>
                          <w:textAlignment w:val="baseline"/>
                          <w:rPr>
                            <w:b/>
                            <w:szCs w:val="24"/>
                          </w:rPr>
                        </w:pPr>
                      </w:p>
                      <w:p w14:paraId="17413B62" w14:textId="77777777">
                        <w:pPr>
                          <w:widowControl w:val="0"/>
                          <w:overflowPunct w:val="0"/>
                          <w:jc w:val="both"/>
                          <w:textAlignment w:val="baseline"/>
                          <w:rPr>
                            <w:b/>
                            <w:szCs w:val="24"/>
                          </w:rPr>
                        </w:pPr>
                      </w:p>
                    </w:tc>
                    <w:tc>
                      <w:tcPr>
                        <w:tcW w:w="1101" w:type="pct"/>
                        <w:tcBorders>
                          <w:top w:val="single" w:sz="4" w:space="0" w:color="auto"/>
                          <w:left w:val="single" w:sz="4" w:space="0" w:color="auto"/>
                          <w:bottom w:val="single" w:sz="4" w:space="0" w:color="auto"/>
                          <w:right w:val="single" w:sz="4" w:space="0" w:color="auto"/>
                        </w:tcBorders>
                      </w:tcPr>
                      <w:p w14:paraId="3C8FE915" w14:textId="77777777">
                        <w:pPr>
                          <w:widowControl w:val="0"/>
                          <w:overflowPunct w:val="0"/>
                          <w:jc w:val="both"/>
                          <w:textAlignment w:val="baseline"/>
                          <w:rPr>
                            <w:b/>
                            <w:szCs w:val="24"/>
                          </w:rPr>
                        </w:pPr>
                      </w:p>
                    </w:tc>
                    <w:tc>
                      <w:tcPr>
                        <w:tcW w:w="733" w:type="pct"/>
                        <w:tcBorders>
                          <w:top w:val="single" w:sz="4" w:space="0" w:color="auto"/>
                          <w:left w:val="single" w:sz="4" w:space="0" w:color="auto"/>
                          <w:bottom w:val="single" w:sz="4" w:space="0" w:color="auto"/>
                          <w:right w:val="single" w:sz="4" w:space="0" w:color="auto"/>
                        </w:tcBorders>
                      </w:tcPr>
                      <w:p w14:paraId="77ED933B" w14:textId="77777777">
                        <w:pPr>
                          <w:widowControl w:val="0"/>
                          <w:overflowPunct w:val="0"/>
                          <w:jc w:val="both"/>
                          <w:textAlignment w:val="baseline"/>
                          <w:rPr>
                            <w:b/>
                            <w:szCs w:val="24"/>
                          </w:rPr>
                        </w:pPr>
                      </w:p>
                    </w:tc>
                    <w:tc>
                      <w:tcPr>
                        <w:tcW w:w="380" w:type="pct"/>
                        <w:tcBorders>
                          <w:top w:val="single" w:sz="4" w:space="0" w:color="auto"/>
                          <w:left w:val="single" w:sz="4" w:space="0" w:color="auto"/>
                          <w:bottom w:val="single" w:sz="4" w:space="0" w:color="auto"/>
                          <w:right w:val="single" w:sz="4" w:space="0" w:color="auto"/>
                        </w:tcBorders>
                      </w:tcPr>
                      <w:p w14:paraId="70363F02" w14:textId="77777777">
                        <w:pPr>
                          <w:widowControl w:val="0"/>
                          <w:overflowPunct w:val="0"/>
                          <w:jc w:val="both"/>
                          <w:textAlignment w:val="baseline"/>
                          <w:rPr>
                            <w:kern w:val="24"/>
                            <w:szCs w:val="24"/>
                          </w:rPr>
                        </w:pPr>
                      </w:p>
                    </w:tc>
                    <w:tc>
                      <w:tcPr>
                        <w:tcW w:w="658" w:type="pct"/>
                        <w:tcBorders>
                          <w:top w:val="single" w:sz="4" w:space="0" w:color="auto"/>
                          <w:left w:val="single" w:sz="4" w:space="0" w:color="auto"/>
                          <w:bottom w:val="single" w:sz="4" w:space="0" w:color="auto"/>
                          <w:right w:val="single" w:sz="4" w:space="0" w:color="auto"/>
                        </w:tcBorders>
                      </w:tcPr>
                      <w:p w14:paraId="6C1C243D" w14:textId="77777777">
                        <w:pPr>
                          <w:widowControl w:val="0"/>
                          <w:overflowPunct w:val="0"/>
                          <w:jc w:val="both"/>
                          <w:textAlignment w:val="baseline"/>
                          <w:rPr>
                            <w:kern w:val="24"/>
                            <w:szCs w:val="24"/>
                          </w:rPr>
                        </w:pPr>
                      </w:p>
                    </w:tc>
                    <w:tc>
                      <w:tcPr>
                        <w:tcW w:w="1032" w:type="pct"/>
                        <w:tcBorders>
                          <w:top w:val="single" w:sz="4" w:space="0" w:color="auto"/>
                          <w:left w:val="single" w:sz="4" w:space="0" w:color="auto"/>
                          <w:bottom w:val="single" w:sz="4" w:space="0" w:color="auto"/>
                          <w:right w:val="single" w:sz="4" w:space="0" w:color="auto"/>
                        </w:tcBorders>
                      </w:tcPr>
                      <w:p w14:paraId="0EA72363" w14:textId="77777777">
                        <w:pPr>
                          <w:widowControl w:val="0"/>
                          <w:overflowPunct w:val="0"/>
                          <w:jc w:val="both"/>
                          <w:textAlignment w:val="baseline"/>
                          <w:rPr>
                            <w:b/>
                            <w:szCs w:val="24"/>
                          </w:rPr>
                        </w:pPr>
                      </w:p>
                    </w:tc>
                  </w:tr>
                  <w:tr w14:paraId="563CC324" w14:textId="77777777">
                    <w:trPr>
                      <w:trHeight w:val="21"/>
                      <w:jc w:val="center"/>
                    </w:trPr>
                    <w:tc>
                      <w:tcPr>
                        <w:tcW w:w="211" w:type="pct"/>
                        <w:tcBorders>
                          <w:top w:val="single" w:sz="4" w:space="0" w:color="auto"/>
                          <w:left w:val="single" w:sz="4" w:space="0" w:color="auto"/>
                          <w:bottom w:val="single" w:sz="4" w:space="0" w:color="auto"/>
                          <w:right w:val="single" w:sz="4" w:space="0" w:color="auto"/>
                        </w:tcBorders>
                      </w:tcPr>
                      <w:p w14:paraId="0D1E8562" w14:textId="77777777">
                        <w:pPr>
                          <w:widowControl w:val="0"/>
                          <w:overflowPunct w:val="0"/>
                          <w:jc w:val="both"/>
                          <w:textAlignment w:val="baseline"/>
                          <w:rPr>
                            <w:b/>
                            <w:szCs w:val="24"/>
                          </w:rPr>
                        </w:pPr>
                      </w:p>
                    </w:tc>
                    <w:tc>
                      <w:tcPr>
                        <w:tcW w:w="885" w:type="pct"/>
                        <w:tcBorders>
                          <w:top w:val="single" w:sz="4" w:space="0" w:color="auto"/>
                          <w:left w:val="single" w:sz="4" w:space="0" w:color="auto"/>
                          <w:bottom w:val="single" w:sz="4" w:space="0" w:color="auto"/>
                          <w:right w:val="single" w:sz="4" w:space="0" w:color="auto"/>
                        </w:tcBorders>
                      </w:tcPr>
                      <w:p w14:paraId="66EFAE88" w14:textId="77777777">
                        <w:pPr>
                          <w:widowControl w:val="0"/>
                          <w:overflowPunct w:val="0"/>
                          <w:jc w:val="both"/>
                          <w:textAlignment w:val="baseline"/>
                          <w:rPr>
                            <w:b/>
                            <w:szCs w:val="24"/>
                          </w:rPr>
                        </w:pPr>
                      </w:p>
                      <w:p w14:paraId="14077E83" w14:textId="77777777">
                        <w:pPr>
                          <w:widowControl w:val="0"/>
                          <w:overflowPunct w:val="0"/>
                          <w:jc w:val="both"/>
                          <w:textAlignment w:val="baseline"/>
                          <w:rPr>
                            <w:b/>
                            <w:szCs w:val="24"/>
                          </w:rPr>
                        </w:pPr>
                      </w:p>
                    </w:tc>
                    <w:tc>
                      <w:tcPr>
                        <w:tcW w:w="1101" w:type="pct"/>
                        <w:tcBorders>
                          <w:top w:val="single" w:sz="4" w:space="0" w:color="auto"/>
                          <w:left w:val="single" w:sz="4" w:space="0" w:color="auto"/>
                          <w:bottom w:val="single" w:sz="4" w:space="0" w:color="auto"/>
                          <w:right w:val="single" w:sz="4" w:space="0" w:color="auto"/>
                        </w:tcBorders>
                      </w:tcPr>
                      <w:p w14:paraId="7E8D18AA" w14:textId="77777777">
                        <w:pPr>
                          <w:widowControl w:val="0"/>
                          <w:overflowPunct w:val="0"/>
                          <w:jc w:val="both"/>
                          <w:textAlignment w:val="baseline"/>
                          <w:rPr>
                            <w:b/>
                            <w:szCs w:val="24"/>
                          </w:rPr>
                        </w:pPr>
                      </w:p>
                    </w:tc>
                    <w:tc>
                      <w:tcPr>
                        <w:tcW w:w="733" w:type="pct"/>
                        <w:tcBorders>
                          <w:top w:val="single" w:sz="4" w:space="0" w:color="auto"/>
                          <w:left w:val="single" w:sz="4" w:space="0" w:color="auto"/>
                          <w:bottom w:val="single" w:sz="4" w:space="0" w:color="auto"/>
                          <w:right w:val="single" w:sz="4" w:space="0" w:color="auto"/>
                        </w:tcBorders>
                      </w:tcPr>
                      <w:p w14:paraId="05F830FD" w14:textId="77777777">
                        <w:pPr>
                          <w:widowControl w:val="0"/>
                          <w:overflowPunct w:val="0"/>
                          <w:jc w:val="both"/>
                          <w:textAlignment w:val="baseline"/>
                          <w:rPr>
                            <w:b/>
                            <w:szCs w:val="24"/>
                          </w:rPr>
                        </w:pPr>
                      </w:p>
                    </w:tc>
                    <w:tc>
                      <w:tcPr>
                        <w:tcW w:w="380" w:type="pct"/>
                        <w:tcBorders>
                          <w:top w:val="single" w:sz="4" w:space="0" w:color="auto"/>
                          <w:left w:val="single" w:sz="4" w:space="0" w:color="auto"/>
                          <w:bottom w:val="single" w:sz="4" w:space="0" w:color="auto"/>
                          <w:right w:val="single" w:sz="4" w:space="0" w:color="auto"/>
                        </w:tcBorders>
                      </w:tcPr>
                      <w:p w14:paraId="1D7C1DDF" w14:textId="77777777">
                        <w:pPr>
                          <w:widowControl w:val="0"/>
                          <w:overflowPunct w:val="0"/>
                          <w:jc w:val="both"/>
                          <w:textAlignment w:val="baseline"/>
                          <w:rPr>
                            <w:kern w:val="24"/>
                            <w:szCs w:val="24"/>
                          </w:rPr>
                        </w:pPr>
                      </w:p>
                    </w:tc>
                    <w:tc>
                      <w:tcPr>
                        <w:tcW w:w="658" w:type="pct"/>
                        <w:tcBorders>
                          <w:top w:val="single" w:sz="4" w:space="0" w:color="auto"/>
                          <w:left w:val="single" w:sz="4" w:space="0" w:color="auto"/>
                          <w:bottom w:val="single" w:sz="4" w:space="0" w:color="auto"/>
                          <w:right w:val="single" w:sz="4" w:space="0" w:color="auto"/>
                        </w:tcBorders>
                      </w:tcPr>
                      <w:p w14:paraId="3D92C42F" w14:textId="77777777">
                        <w:pPr>
                          <w:widowControl w:val="0"/>
                          <w:overflowPunct w:val="0"/>
                          <w:jc w:val="both"/>
                          <w:textAlignment w:val="baseline"/>
                          <w:rPr>
                            <w:kern w:val="24"/>
                            <w:szCs w:val="24"/>
                          </w:rPr>
                        </w:pPr>
                      </w:p>
                    </w:tc>
                    <w:tc>
                      <w:tcPr>
                        <w:tcW w:w="1032" w:type="pct"/>
                        <w:tcBorders>
                          <w:top w:val="single" w:sz="4" w:space="0" w:color="auto"/>
                          <w:left w:val="single" w:sz="4" w:space="0" w:color="auto"/>
                          <w:bottom w:val="single" w:sz="4" w:space="0" w:color="auto"/>
                          <w:right w:val="single" w:sz="4" w:space="0" w:color="auto"/>
                        </w:tcBorders>
                      </w:tcPr>
                      <w:p w14:paraId="427D268D" w14:textId="77777777">
                        <w:pPr>
                          <w:widowControl w:val="0"/>
                          <w:overflowPunct w:val="0"/>
                          <w:jc w:val="both"/>
                          <w:textAlignment w:val="baseline"/>
                          <w:rPr>
                            <w:b/>
                            <w:szCs w:val="24"/>
                          </w:rPr>
                        </w:pPr>
                      </w:p>
                    </w:tc>
                  </w:tr>
                  <w:tr w14:paraId="5D34F3AD" w14:textId="77777777">
                    <w:trPr>
                      <w:trHeight w:val="513"/>
                      <w:jc w:val="center"/>
                    </w:trPr>
                    <w:tc>
                      <w:tcPr>
                        <w:tcW w:w="211" w:type="pct"/>
                        <w:tcBorders>
                          <w:top w:val="single" w:sz="4" w:space="0" w:color="auto"/>
                          <w:left w:val="single" w:sz="4" w:space="0" w:color="auto"/>
                          <w:bottom w:val="single" w:sz="4" w:space="0" w:color="auto"/>
                          <w:right w:val="nil"/>
                        </w:tcBorders>
                      </w:tcPr>
                      <w:p w14:paraId="741726B3" w14:textId="77777777">
                        <w:pPr>
                          <w:widowControl w:val="0"/>
                          <w:overflowPunct w:val="0"/>
                          <w:jc w:val="both"/>
                          <w:textAlignment w:val="baseline"/>
                          <w:rPr>
                            <w:b/>
                            <w:szCs w:val="24"/>
                          </w:rPr>
                        </w:pPr>
                      </w:p>
                    </w:tc>
                    <w:tc>
                      <w:tcPr>
                        <w:tcW w:w="885" w:type="pct"/>
                        <w:tcBorders>
                          <w:top w:val="single" w:sz="4" w:space="0" w:color="auto"/>
                          <w:left w:val="nil"/>
                          <w:bottom w:val="single" w:sz="4" w:space="0" w:color="auto"/>
                          <w:right w:val="single" w:sz="4" w:space="0" w:color="auto"/>
                        </w:tcBorders>
                        <w:vAlign w:val="center"/>
                        <w:hideMark/>
                      </w:tcPr>
                      <w:p w14:paraId="37348D13" w14:textId="77777777">
                        <w:pPr>
                          <w:widowControl w:val="0"/>
                          <w:overflowPunct w:val="0"/>
                          <w:jc w:val="center"/>
                          <w:textAlignment w:val="baseline"/>
                          <w:rPr>
                            <w:b/>
                            <w:szCs w:val="24"/>
                          </w:rPr>
                        </w:pPr>
                        <w:r>
                          <w:rPr>
                            <w:b/>
                            <w:szCs w:val="24"/>
                          </w:rPr>
                          <w:t>Iš viso:</w:t>
                        </w:r>
                      </w:p>
                    </w:tc>
                    <w:tc>
                      <w:tcPr>
                        <w:tcW w:w="1101" w:type="pct"/>
                        <w:tcBorders>
                          <w:top w:val="single" w:sz="4" w:space="0" w:color="auto"/>
                          <w:left w:val="single" w:sz="4" w:space="0" w:color="auto"/>
                          <w:bottom w:val="single" w:sz="4" w:space="0" w:color="auto"/>
                          <w:right w:val="single" w:sz="4" w:space="0" w:color="auto"/>
                        </w:tcBorders>
                      </w:tcPr>
                      <w:p w14:paraId="7614E90A" w14:textId="77777777">
                        <w:pPr>
                          <w:widowControl w:val="0"/>
                          <w:overflowPunct w:val="0"/>
                          <w:jc w:val="both"/>
                          <w:textAlignment w:val="baseline"/>
                          <w:rPr>
                            <w:b/>
                            <w:szCs w:val="24"/>
                          </w:rPr>
                        </w:pPr>
                      </w:p>
                    </w:tc>
                    <w:tc>
                      <w:tcPr>
                        <w:tcW w:w="733" w:type="pct"/>
                        <w:tcBorders>
                          <w:top w:val="single" w:sz="4" w:space="0" w:color="auto"/>
                          <w:left w:val="single" w:sz="4" w:space="0" w:color="auto"/>
                          <w:bottom w:val="single" w:sz="4" w:space="0" w:color="auto"/>
                          <w:right w:val="single" w:sz="4" w:space="0" w:color="auto"/>
                        </w:tcBorders>
                        <w:vAlign w:val="center"/>
                      </w:tcPr>
                      <w:p w14:paraId="1B3D2E5B" w14:textId="77777777">
                        <w:pPr>
                          <w:widowControl w:val="0"/>
                          <w:overflowPunct w:val="0"/>
                          <w:jc w:val="both"/>
                          <w:textAlignment w:val="baseline"/>
                          <w:rPr>
                            <w:b/>
                            <w:szCs w:val="24"/>
                          </w:rPr>
                        </w:pPr>
                      </w:p>
                    </w:tc>
                    <w:tc>
                      <w:tcPr>
                        <w:tcW w:w="380" w:type="pct"/>
                        <w:tcBorders>
                          <w:top w:val="single" w:sz="4" w:space="0" w:color="auto"/>
                          <w:left w:val="single" w:sz="4" w:space="0" w:color="auto"/>
                          <w:bottom w:val="single" w:sz="4" w:space="0" w:color="auto"/>
                          <w:right w:val="single" w:sz="4" w:space="0" w:color="auto"/>
                        </w:tcBorders>
                        <w:vAlign w:val="center"/>
                        <w:hideMark/>
                      </w:tcPr>
                      <w:p w14:paraId="15280724" w14:textId="77777777">
                        <w:pPr>
                          <w:widowControl w:val="0"/>
                          <w:overflowPunct w:val="0"/>
                          <w:jc w:val="center"/>
                          <w:textAlignment w:val="baseline"/>
                          <w:rPr>
                            <w:szCs w:val="24"/>
                          </w:rPr>
                        </w:pPr>
                        <w:r>
                          <w:rPr>
                            <w:szCs w:val="24"/>
                          </w:rPr>
                          <w:t>X</w:t>
                        </w:r>
                      </w:p>
                    </w:tc>
                    <w:tc>
                      <w:tcPr>
                        <w:tcW w:w="658" w:type="pct"/>
                        <w:tcBorders>
                          <w:top w:val="single" w:sz="4" w:space="0" w:color="auto"/>
                          <w:left w:val="single" w:sz="4" w:space="0" w:color="auto"/>
                          <w:bottom w:val="single" w:sz="4" w:space="0" w:color="auto"/>
                          <w:right w:val="single" w:sz="4" w:space="0" w:color="auto"/>
                        </w:tcBorders>
                        <w:vAlign w:val="center"/>
                      </w:tcPr>
                      <w:p w14:paraId="3BA6BEC1" w14:textId="77777777">
                        <w:pPr>
                          <w:widowControl w:val="0"/>
                          <w:overflowPunct w:val="0"/>
                          <w:jc w:val="center"/>
                          <w:textAlignment w:val="baseline"/>
                          <w:rPr>
                            <w:kern w:val="24"/>
                            <w:szCs w:val="24"/>
                          </w:rPr>
                        </w:pPr>
                      </w:p>
                    </w:tc>
                    <w:tc>
                      <w:tcPr>
                        <w:tcW w:w="1032" w:type="pct"/>
                        <w:tcBorders>
                          <w:top w:val="single" w:sz="4" w:space="0" w:color="auto"/>
                          <w:left w:val="single" w:sz="4" w:space="0" w:color="auto"/>
                          <w:bottom w:val="single" w:sz="4" w:space="0" w:color="auto"/>
                          <w:right w:val="single" w:sz="4" w:space="0" w:color="auto"/>
                        </w:tcBorders>
                        <w:vAlign w:val="center"/>
                        <w:hideMark/>
                      </w:tcPr>
                      <w:p w14:paraId="06F0C151" w14:textId="77777777">
                        <w:pPr>
                          <w:widowControl w:val="0"/>
                          <w:overflowPunct w:val="0"/>
                          <w:jc w:val="center"/>
                          <w:textAlignment w:val="baseline"/>
                          <w:rPr>
                            <w:szCs w:val="24"/>
                          </w:rPr>
                        </w:pPr>
                        <w:r>
                          <w:rPr>
                            <w:szCs w:val="24"/>
                          </w:rPr>
                          <w:t>X</w:t>
                        </w:r>
                      </w:p>
                    </w:tc>
                  </w:tr>
                </w:tbl>
                <w:p w14:paraId="537516FA" w14:textId="77777777">
                  <w:pPr>
                    <w:overflowPunct w:val="0"/>
                    <w:jc w:val="both"/>
                    <w:textAlignment w:val="baseline"/>
                    <w:rPr>
                      <w:sz w:val="16"/>
                      <w:szCs w:val="16"/>
                    </w:rPr>
                  </w:pPr>
                </w:p>
              </w:sdtContent>
            </w:sdt>
          </w:sdtContent>
        </w:sdt>
        <w:sdt>
          <w:sdtPr>
            <w:alias w:val="skirsnis"/>
            <w:tag w:val="part_30c3aec4ea3b483f9e475a25763a92a2"/>
            <w:lock w:val="sdtLocked"/>
            <w:richText/>
          </w:sdtPr>
          <w:sdtContent>
            <w:p w14:paraId="4DFF5A93" w14:textId="4B7683A0">
              <w:pPr>
                <w:widowControl w:val="0"/>
                <w:overflowPunct w:val="0"/>
                <w:ind w:left="284" w:hanging="284"/>
                <w:jc w:val="both"/>
                <w:textAlignment w:val="baseline"/>
                <w:rPr>
                  <w:b/>
                  <w:i/>
                  <w:iCs/>
                  <w:color w:val="000000"/>
                  <w:kern w:val="24"/>
                  <w:sz w:val="20"/>
                </w:rPr>
              </w:pPr>
              <w:sdt>
                <w:sdtPr>
                  <w:alias w:val="Pavadinimas"/>
                  <w:tag w:val="title_30c3aec4ea3b483f9e475a25763a92a2"/>
                  <w:lock w:val="sdtLocked"/>
                  <w:richText/>
                </w:sdtPr>
                <w:sdtContent>
                  <w:r>
                    <w:rPr>
                      <w:b/>
                      <w:i/>
                      <w:iCs/>
                      <w:color w:val="000000"/>
                      <w:kern w:val="24"/>
                      <w:sz w:val="22"/>
                      <w:szCs w:val="22"/>
                    </w:rPr>
                    <w:t xml:space="preserve">*  </w:t>
                  </w:r>
                  <w:r>
                    <w:rPr>
                      <w:b/>
                      <w:i/>
                      <w:iCs/>
                      <w:color w:val="000000"/>
                      <w:kern w:val="24"/>
                      <w:sz w:val="20"/>
                    </w:rPr>
                    <w:t>Išvardijama pagal kiekvieną Tautinio paveldo veiklos finansavimo taisyklių 11 punkte nurodytą finansuojamų išlaidų rūšį.</w:t>
                  </w:r>
                </w:sdtContent>
              </w:sdt>
            </w:p>
            <w:p w14:paraId="58428681" w14:textId="6FB9F19A">
              <w:pPr>
                <w:widowControl w:val="0"/>
                <w:overflowPunct w:val="0"/>
                <w:ind w:left="284" w:hanging="284"/>
                <w:jc w:val="both"/>
                <w:textAlignment w:val="baseline"/>
                <w:rPr>
                  <w:b/>
                  <w:i/>
                  <w:iCs/>
                  <w:color w:val="000000"/>
                  <w:kern w:val="24"/>
                  <w:sz w:val="20"/>
                </w:rPr>
              </w:pPr>
              <w:r>
                <w:rPr>
                  <w:b/>
                  <w:i/>
                  <w:iCs/>
                  <w:color w:val="000000"/>
                  <w:kern w:val="24"/>
                  <w:sz w:val="20"/>
                </w:rPr>
                <w:t xml:space="preserve">** Nurodomas planuojamų išlaidų skaičiavimo būdas (pvz., išlaidų degalams apskaičiavimas: kuro </w:t>
              </w:r>
              <w:r>
                <w:rPr>
                  <w:b/>
                  <w:bCs/>
                  <w:i/>
                  <w:iCs/>
                  <w:sz w:val="20"/>
                </w:rPr>
                <w:t>įkainio dydį (0,09 Eur/km (su PVM) arba 0,08 Eur/km (be PVM</w:t>
              </w:r>
              <w:r>
                <w:rPr>
                  <w:sz w:val="20"/>
                </w:rPr>
                <w:t>)</w:t>
              </w:r>
              <w:r>
                <w:rPr>
                  <w:b/>
                  <w:i/>
                  <w:iCs/>
                  <w:color w:val="000000"/>
                  <w:kern w:val="24"/>
                  <w:sz w:val="20"/>
                </w:rPr>
                <w:t xml:space="preserve"> padauginus iš dvigubo trumpiausio atstumo (km)  nuo gyvenamosios vietos iki renginio vietos), ankstesnių metų dalyvio mokestis (jeigu einamųjų metų kaina dar nežinoma) arba einamųjų metų sąskaita faktūra, mokėjimo kvitas, skelbimas / kvietimas į renginį su nurodytu dalyvio mokesčiu, vidutinė nakvynės rinkos kaina (nurodant interneto adresus) ir pan. </w:t>
              </w:r>
            </w:p>
            <w:p w14:paraId="78EBDEBD" w14:textId="77777777">
              <w:pPr>
                <w:widowControl w:val="0"/>
                <w:overflowPunct w:val="0"/>
                <w:ind w:left="284" w:hanging="284"/>
                <w:jc w:val="both"/>
                <w:textAlignment w:val="baseline"/>
                <w:rPr>
                  <w:b/>
                  <w:i/>
                  <w:kern w:val="24"/>
                  <w:szCs w:val="24"/>
                </w:rPr>
              </w:pPr>
            </w:p>
            <w:p w14:paraId="0B2ED92F" w14:textId="77777777">
              <w:pPr>
                <w:widowControl w:val="0"/>
                <w:overflowPunct w:val="0"/>
                <w:ind w:firstLine="709"/>
                <w:jc w:val="both"/>
                <w:textAlignment w:val="baseline"/>
                <w:rPr>
                  <w:kern w:val="24"/>
                  <w:szCs w:val="24"/>
                </w:rPr>
              </w:pPr>
              <w:r>
                <w:rPr>
                  <w:b/>
                  <w:kern w:val="24"/>
                  <w:szCs w:val="24"/>
                </w:rPr>
                <w:t>PRIDEDAMA</w:t>
              </w:r>
              <w:r>
                <w:rPr>
                  <w:kern w:val="24"/>
                  <w:szCs w:val="24"/>
                </w:rPr>
                <w:t>:</w:t>
              </w:r>
            </w:p>
            <w:sdt>
              <w:sdtPr>
                <w:alias w:val="1 pr. 1 p."/>
                <w:tag w:val="part_df79df35b1ab4417836d502859a27881"/>
                <w:lock w:val="sdtLocked"/>
                <w:richText/>
              </w:sdtPr>
              <w:sdtContent>
                <w:p w14:paraId="1F4E9D25" w14:textId="77777777">
                  <w:pPr>
                    <w:widowControl w:val="0"/>
                    <w:tabs>
                      <w:tab w:val="left" w:pos="450"/>
                      <w:tab w:val="left" w:pos="993"/>
                    </w:tabs>
                    <w:overflowPunct w:val="0"/>
                    <w:ind w:firstLine="720"/>
                    <w:jc w:val="both"/>
                    <w:textAlignment w:val="baseline"/>
                    <w:rPr>
                      <w:kern w:val="24"/>
                      <w:szCs w:val="24"/>
                    </w:rPr>
                  </w:pPr>
                  <w:sdt>
                    <w:sdtPr>
                      <w:alias w:val="Numeris"/>
                      <w:tag w:val="nr_df79df35b1ab4417836d502859a27881"/>
                      <w:lock w:val="sdtLocked"/>
                      <w:richText/>
                    </w:sdtPr>
                    <w:sdtContent>
                      <w:r>
                        <w:rPr>
                          <w:kern w:val="24"/>
                          <w:szCs w:val="24"/>
                        </w:rPr>
                        <w:t>1</w:t>
                      </w:r>
                    </w:sdtContent>
                  </w:sdt>
                  <w:r>
                    <w:rPr>
                      <w:kern w:val="24"/>
                      <w:szCs w:val="24"/>
                    </w:rPr>
                    <w:t>. Tautinio paveldo produkto (-ų) ir (arba) tradicinio renginio sertifikato (-ų) ir (arba) tradicinių amatų meistro pažymėjimo kopija (-os).</w:t>
                  </w:r>
                </w:p>
              </w:sdtContent>
            </w:sdt>
            <w:sdt>
              <w:sdtPr>
                <w:alias w:val="1 pr. 2 p."/>
                <w:tag w:val="part_149486fb529142fa9e363a179ce0b975"/>
                <w:lock w:val="sdtLocked"/>
                <w:richText/>
              </w:sdtPr>
              <w:sdtContent>
                <w:p w14:paraId="25EF4958" w14:textId="77777777">
                  <w:pPr>
                    <w:widowControl w:val="0"/>
                    <w:suppressAutoHyphens/>
                    <w:overflowPunct w:val="0"/>
                    <w:ind w:firstLine="720"/>
                    <w:jc w:val="both"/>
                    <w:textAlignment w:val="baseline"/>
                    <w:rPr>
                      <w:color w:val="000000"/>
                      <w:szCs w:val="24"/>
                      <w:lang w:eastAsia="lt-LT"/>
                    </w:rPr>
                  </w:pPr>
                  <w:sdt>
                    <w:sdtPr>
                      <w:alias w:val="Numeris"/>
                      <w:tag w:val="nr_149486fb529142fa9e363a179ce0b975"/>
                      <w:lock w:val="sdtLocked"/>
                      <w:richText/>
                    </w:sdtPr>
                    <w:sdtContent>
                      <w:r>
                        <w:rPr>
                          <w:kern w:val="24"/>
                          <w:szCs w:val="24"/>
                        </w:rPr>
                        <w:t>2</w:t>
                      </w:r>
                    </w:sdtContent>
                  </w:sdt>
                  <w:r>
                    <w:rPr>
                      <w:kern w:val="24"/>
                      <w:szCs w:val="24"/>
                    </w:rPr>
                    <w:t>. Kvietimas į renginį ir (arba) renginio programa, kurioje nurodoma renginio vieta ir laikas (jei vykstama į parodas, muges ir (arba) kitus viešuosius renginius užsienyje arba organizuojamas sertifikuotas tradicinis renginys).</w:t>
                  </w:r>
                </w:p>
              </w:sdtContent>
            </w:sdt>
            <w:sdt>
              <w:sdtPr>
                <w:alias w:val="1 pr. 3 p."/>
                <w:tag w:val="part_51fc8bde69aa48619da630096d3eca15"/>
                <w:lock w:val="sdtLocked"/>
                <w:richText/>
              </w:sdtPr>
              <w:sdtContent>
                <w:p w14:paraId="67DD7195" w14:textId="77777777">
                  <w:pPr>
                    <w:widowControl w:val="0"/>
                    <w:tabs>
                      <w:tab w:val="left" w:pos="360"/>
                      <w:tab w:val="left" w:pos="993"/>
                    </w:tabs>
                    <w:overflowPunct w:val="0"/>
                    <w:ind w:firstLine="720"/>
                    <w:jc w:val="both"/>
                    <w:textAlignment w:val="baseline"/>
                    <w:rPr>
                      <w:kern w:val="24"/>
                      <w:szCs w:val="24"/>
                    </w:rPr>
                  </w:pPr>
                  <w:sdt>
                    <w:sdtPr>
                      <w:alias w:val="Numeris"/>
                      <w:tag w:val="nr_51fc8bde69aa48619da630096d3eca15"/>
                      <w:lock w:val="sdtLocked"/>
                      <w:richText/>
                    </w:sdtPr>
                    <w:sdtContent>
                      <w:r>
                        <w:rPr>
                          <w:kern w:val="24"/>
                          <w:szCs w:val="24"/>
                        </w:rPr>
                        <w:t>3</w:t>
                      </w:r>
                    </w:sdtContent>
                  </w:sdt>
                  <w:r>
                    <w:rPr>
                      <w:kern w:val="24"/>
                      <w:szCs w:val="24"/>
                    </w:rPr>
                    <w:t xml:space="preserve">. </w:t>
                  </w:r>
                  <w:r>
                    <w:rPr>
                      <w:color w:val="000000"/>
                      <w:szCs w:val="24"/>
                      <w:lang w:eastAsia="lt-LT"/>
                    </w:rPr>
                    <w:t>Komercinis (-iai) pasiūlymas (-ai) ir (arba) viešai prekių ar paslaugų teikėjų, kuriems tai yra įprastinė komercinė veikla, pateikta atspausdinta informacija, jei išlaidos dar neatliktos, ir (arba) pirkimo / apmokėjimo dokumentų kopijos, jei išlaidos jau atliktos (jei perkama įranga, tautinio paveldo produkto ženklinimo prekės, žaliavos, reikalingos edukaciniam užsiėmimui, lėktuvo, traukinio, kelto ar autobuso bilietai, transportavimo, nakvynės, vietos įrengimo, leidinių leidybos ir sertifikuoto renginio organizavimui reikalingos paslaugos).</w:t>
                  </w:r>
                  <w:r>
                    <w:rPr>
                      <w:kern w:val="24"/>
                      <w:szCs w:val="24"/>
                    </w:rPr>
                    <w:t xml:space="preserve"> </w:t>
                  </w:r>
                </w:p>
              </w:sdtContent>
            </w:sdt>
            <w:sdt>
              <w:sdtPr>
                <w:alias w:val="1 pr. 4 p."/>
                <w:tag w:val="part_deae5d1985034857bc43a692c99cad8d"/>
                <w:lock w:val="sdtLocked"/>
                <w:richText/>
              </w:sdtPr>
              <w:sdtContent>
                <w:p w14:paraId="355B5F4F" w14:textId="77777777">
                  <w:pPr>
                    <w:widowControl w:val="0"/>
                    <w:tabs>
                      <w:tab w:val="left" w:pos="360"/>
                      <w:tab w:val="left" w:pos="993"/>
                    </w:tabs>
                    <w:overflowPunct w:val="0"/>
                    <w:ind w:firstLine="720"/>
                    <w:jc w:val="both"/>
                    <w:textAlignment w:val="baseline"/>
                    <w:rPr>
                      <w:kern w:val="24"/>
                      <w:szCs w:val="24"/>
                    </w:rPr>
                  </w:pPr>
                  <w:sdt>
                    <w:sdtPr>
                      <w:alias w:val="Numeris"/>
                      <w:tag w:val="nr_deae5d1985034857bc43a692c99cad8d"/>
                      <w:lock w:val="sdtLocked"/>
                      <w:richText/>
                    </w:sdtPr>
                    <w:sdtContent>
                      <w:r>
                        <w:rPr>
                          <w:kern w:val="24"/>
                          <w:szCs w:val="24"/>
                        </w:rPr>
                        <w:t>4</w:t>
                      </w:r>
                    </w:sdtContent>
                  </w:sdt>
                  <w:r>
                    <w:rPr>
                      <w:kern w:val="24"/>
                      <w:szCs w:val="24"/>
                    </w:rPr>
                    <w:t>. Tautinio paveldo produktus populiarinančio leidinio aprašymas, kuriame nurodomas turinys, tiražas, spaudos lankai, popieriaus rūšis (jei leidžiamas leidinys)</w:t>
                  </w:r>
                  <w:r>
                    <w:rPr>
                      <w:color w:val="000000"/>
                      <w:szCs w:val="24"/>
                      <w:lang w:eastAsia="lt-LT"/>
                    </w:rPr>
                    <w:t xml:space="preserve"> arba elektroninio leidinio ar vaizdo klipo aprašymas, skelbimo būdas, vieta</w:t>
                  </w:r>
                  <w:r>
                    <w:rPr>
                      <w:kern w:val="24"/>
                      <w:szCs w:val="24"/>
                    </w:rPr>
                    <w:t>.</w:t>
                  </w:r>
                </w:p>
              </w:sdtContent>
            </w:sdt>
            <w:sdt>
              <w:sdtPr>
                <w:alias w:val="1 pr. 5 p."/>
                <w:tag w:val="part_bb88b26db95f4ecd8fbe237b85823fae"/>
                <w:lock w:val="sdtLocked"/>
                <w:richText/>
              </w:sdtPr>
              <w:sdtContent>
                <w:p w14:paraId="0D642F0C" w14:textId="77777777">
                  <w:pPr>
                    <w:widowControl w:val="0"/>
                    <w:tabs>
                      <w:tab w:val="left" w:pos="360"/>
                      <w:tab w:val="left" w:pos="993"/>
                    </w:tabs>
                    <w:overflowPunct w:val="0"/>
                    <w:ind w:firstLine="720"/>
                    <w:jc w:val="both"/>
                    <w:textAlignment w:val="baseline"/>
                    <w:rPr>
                      <w:kern w:val="24"/>
                      <w:szCs w:val="24"/>
                    </w:rPr>
                  </w:pPr>
                  <w:sdt>
                    <w:sdtPr>
                      <w:alias w:val="Numeris"/>
                      <w:tag w:val="nr_bb88b26db95f4ecd8fbe237b85823fae"/>
                      <w:lock w:val="sdtLocked"/>
                      <w:richText/>
                    </w:sdtPr>
                    <w:sdtContent>
                      <w:r>
                        <w:rPr>
                          <w:kern w:val="24"/>
                          <w:szCs w:val="24"/>
                        </w:rPr>
                        <w:t>5</w:t>
                      </w:r>
                    </w:sdtContent>
                  </w:sdt>
                  <w:r>
                    <w:rPr>
                      <w:kern w:val="24"/>
                      <w:szCs w:val="24"/>
                    </w:rPr>
                    <w:t xml:space="preserve">. Galutinių pagalbos gavėjų sąrašas (jei pareiškėjas yra asociacija </w:t>
                  </w:r>
                  <w:r>
                    <w:rPr>
                      <w:color w:val="000000"/>
                      <w:szCs w:val="24"/>
                      <w:lang w:eastAsia="lt-LT"/>
                    </w:rPr>
                    <w:t>arba tradicinių amatų centras</w:t>
                  </w:r>
                  <w:r>
                    <w:rPr>
                      <w:kern w:val="24"/>
                      <w:szCs w:val="24"/>
                    </w:rPr>
                    <w:t xml:space="preserve">) bei jų prašymai su informacija, nurodyta </w:t>
                  </w:r>
                  <w:r>
                    <w:rPr>
                      <w:szCs w:val="24"/>
                    </w:rPr>
                    <w:t>Tautinio paveldo veiklos finansavimo taisyklių (toliau – taisyklės) 28.5 papunktyje</w:t>
                  </w:r>
                  <w:r>
                    <w:rPr>
                      <w:kern w:val="24"/>
                      <w:szCs w:val="24"/>
                    </w:rPr>
                    <w:t>.</w:t>
                  </w:r>
                </w:p>
                <w:p w14:paraId="576D8E90" w14:textId="77777777">
                  <w:pPr>
                    <w:widowControl w:val="0"/>
                    <w:overflowPunct w:val="0"/>
                    <w:jc w:val="both"/>
                    <w:textAlignment w:val="baseline"/>
                    <w:rPr>
                      <w:sz w:val="22"/>
                      <w:szCs w:val="22"/>
                    </w:rPr>
                  </w:pPr>
                </w:p>
              </w:sdtContent>
            </w:sdt>
          </w:sdtContent>
        </w:sdt>
        <w:sdt>
          <w:sdtPr>
            <w:alias w:val="skirsnis"/>
            <w:tag w:val="part_caecac94e0d44013b1d0d9b66236f1fc"/>
            <w:lock w:val="sdtLocked"/>
            <w:richText/>
          </w:sdtPr>
          <w:sdtContent>
            <w:p w14:paraId="210314CA" w14:textId="77777777">
              <w:pPr>
                <w:widowControl w:val="0"/>
                <w:overflowPunct w:val="0"/>
                <w:ind w:firstLine="709"/>
                <w:jc w:val="both"/>
                <w:textAlignment w:val="baseline"/>
                <w:rPr>
                  <w:b/>
                  <w:szCs w:val="24"/>
                </w:rPr>
              </w:pPr>
              <w:sdt>
                <w:sdtPr>
                  <w:alias w:val="Pavadinimas"/>
                  <w:tag w:val="title_caecac94e0d44013b1d0d9b66236f1fc"/>
                  <w:lock w:val="sdtLocked"/>
                  <w:richText/>
                </w:sdtPr>
                <w:sdtContent>
                  <w:r>
                    <w:rPr>
                      <w:b/>
                      <w:szCs w:val="24"/>
                    </w:rPr>
                    <w:t>PAREIŠKĖJO DEKLARACIJA</w:t>
                  </w:r>
                </w:sdtContent>
              </w:sdt>
            </w:p>
            <w:p w14:paraId="0E414122" w14:textId="77777777">
              <w:pPr>
                <w:widowControl w:val="0"/>
                <w:overflowPunct w:val="0"/>
                <w:jc w:val="both"/>
                <w:textAlignment w:val="baseline"/>
                <w:rPr>
                  <w:b/>
                  <w:sz w:val="20"/>
                </w:rPr>
              </w:pPr>
            </w:p>
            <w:p w14:paraId="786C6E38" w14:textId="77777777">
              <w:pPr>
                <w:widowControl w:val="0"/>
                <w:overflowPunct w:val="0"/>
                <w:ind w:firstLine="720"/>
                <w:jc w:val="both"/>
                <w:textAlignment w:val="baseline"/>
                <w:rPr>
                  <w:szCs w:val="24"/>
                </w:rPr>
              </w:pPr>
              <w:r>
                <w:rPr>
                  <w:szCs w:val="24"/>
                </w:rPr>
                <w:t>Aš, toliau pasirašęs, patvirtinu, kad:</w:t>
              </w:r>
            </w:p>
            <w:sdt>
              <w:sdtPr>
                <w:alias w:val="1 pr. 1 p."/>
                <w:tag w:val="part_dd9812c70bc449e5969d3a239a5f01e1"/>
                <w:lock w:val="sdtLocked"/>
                <w:richText/>
              </w:sdtPr>
              <w:sdtContent>
                <w:p w14:paraId="72CD5560" w14:textId="77777777">
                  <w:pPr>
                    <w:widowControl w:val="0"/>
                    <w:overflowPunct w:val="0"/>
                    <w:ind w:firstLine="720"/>
                    <w:jc w:val="both"/>
                    <w:textAlignment w:val="baseline"/>
                    <w:rPr>
                      <w:szCs w:val="24"/>
                    </w:rPr>
                  </w:pPr>
                  <w:sdt>
                    <w:sdtPr>
                      <w:alias w:val="Numeris"/>
                      <w:tag w:val="nr_dd9812c70bc449e5969d3a239a5f01e1"/>
                      <w:lock w:val="sdtLocked"/>
                      <w:richText/>
                    </w:sdtPr>
                    <w:sdtContent>
                      <w:r>
                        <w:rPr>
                          <w:szCs w:val="24"/>
                        </w:rPr>
                        <w:t>1</w:t>
                      </w:r>
                    </w:sdtContent>
                  </w:sdt>
                  <w:r>
                    <w:rPr>
                      <w:szCs w:val="24"/>
                    </w:rPr>
                    <w:t>. Šioje paraiškoje ir prie jos pridėtuose dokumentuose pateikta informacija yra teisinga.</w:t>
                  </w:r>
                </w:p>
              </w:sdtContent>
            </w:sdt>
            <w:sdt>
              <w:sdtPr>
                <w:alias w:val="1 pr. 2 p."/>
                <w:tag w:val="part_5a671664f46948c09a65cce38937d96f"/>
                <w:lock w:val="sdtLocked"/>
                <w:richText/>
              </w:sdtPr>
              <w:sdtContent>
                <w:p w14:paraId="4A51279B" w14:textId="77777777">
                  <w:pPr>
                    <w:widowControl w:val="0"/>
                    <w:overflowPunct w:val="0"/>
                    <w:ind w:firstLine="720"/>
                    <w:jc w:val="both"/>
                    <w:textAlignment w:val="baseline"/>
                    <w:rPr>
                      <w:szCs w:val="24"/>
                    </w:rPr>
                  </w:pPr>
                  <w:sdt>
                    <w:sdtPr>
                      <w:alias w:val="Numeris"/>
                      <w:tag w:val="nr_5a671664f46948c09a65cce38937d96f"/>
                      <w:lock w:val="sdtLocked"/>
                      <w:richText/>
                    </w:sdtPr>
                    <w:sdtContent>
                      <w:r>
                        <w:rPr>
                          <w:szCs w:val="24"/>
                        </w:rPr>
                        <w:t>2</w:t>
                      </w:r>
                    </w:sdtContent>
                  </w:sdt>
                  <w:r>
                    <w:rPr>
                      <w:szCs w:val="24"/>
                    </w:rPr>
                    <w:t xml:space="preserve">. </w:t>
                  </w:r>
                  <w:r>
                    <w:rPr>
                      <w:color w:val="000000"/>
                      <w:szCs w:val="24"/>
                    </w:rPr>
                    <w:t>Užtikrinu, kad esu tinkamas pareiškėjas (arba mano atstovaujami galutiniai pagalbos gavėjai yra tinkami) pagal taisyklių 7 punkto, V ir VI skyrių nuostatas ir neteikiu paraiškos toms pačioms išlaidoms finansuoti.</w:t>
                  </w:r>
                </w:p>
              </w:sdtContent>
            </w:sdt>
            <w:sdt>
              <w:sdtPr>
                <w:alias w:val="1 pr. 3 p."/>
                <w:tag w:val="part_80dbba59a1ad4d8cbec53b136b7d721e"/>
                <w:lock w:val="sdtLocked"/>
                <w:richText/>
              </w:sdtPr>
              <w:sdtContent>
                <w:p w14:paraId="26693628" w14:textId="77777777">
                  <w:pPr>
                    <w:widowControl w:val="0"/>
                    <w:overflowPunct w:val="0"/>
                    <w:ind w:firstLine="720"/>
                    <w:jc w:val="both"/>
                    <w:textAlignment w:val="baseline"/>
                    <w:rPr>
                      <w:color w:val="000000"/>
                      <w:szCs w:val="24"/>
                    </w:rPr>
                  </w:pPr>
                  <w:sdt>
                    <w:sdtPr>
                      <w:alias w:val="Numeris"/>
                      <w:tag w:val="nr_80dbba59a1ad4d8cbec53b136b7d721e"/>
                      <w:lock w:val="sdtLocked"/>
                      <w:richText/>
                    </w:sdtPr>
                    <w:sdtContent>
                      <w:r>
                        <w:rPr>
                          <w:color w:val="000000"/>
                          <w:szCs w:val="24"/>
                        </w:rPr>
                        <w:t>3</w:t>
                      </w:r>
                    </w:sdtContent>
                  </w:sdt>
                  <w:r>
                    <w:rPr>
                      <w:color w:val="000000"/>
                      <w:szCs w:val="24"/>
                    </w:rPr>
                    <w:t>. Nurodyta atsiskaitomoji sąskaita priklauso man ir prisiimu visą atsakomybę dėl nuostolių, kurie gali atsirasti klaidingai nurodžius sąskaitos numerį.</w:t>
                  </w:r>
                </w:p>
              </w:sdtContent>
            </w:sdt>
            <w:sdt>
              <w:sdtPr>
                <w:alias w:val="1 pr. 4 p."/>
                <w:tag w:val="part_d522cc27244746708449bb013b5959d3"/>
                <w:lock w:val="sdtLocked"/>
                <w:richText/>
              </w:sdtPr>
              <w:sdtContent>
                <w:p w14:paraId="2D4F75FF" w14:textId="77777777">
                  <w:pPr>
                    <w:widowControl w:val="0"/>
                    <w:overflowPunct w:val="0"/>
                    <w:ind w:firstLine="720"/>
                    <w:jc w:val="both"/>
                    <w:textAlignment w:val="baseline"/>
                    <w:rPr>
                      <w:szCs w:val="24"/>
                    </w:rPr>
                  </w:pPr>
                  <w:sdt>
                    <w:sdtPr>
                      <w:alias w:val="Numeris"/>
                      <w:tag w:val="nr_d522cc27244746708449bb013b5959d3"/>
                      <w:lock w:val="sdtLocked"/>
                      <w:richText/>
                    </w:sdtPr>
                    <w:sdtContent>
                      <w:r>
                        <w:rPr>
                          <w:szCs w:val="24"/>
                        </w:rPr>
                        <w:t>4</w:t>
                      </w:r>
                    </w:sdtContent>
                  </w:sdt>
                  <w:r>
                    <w:rPr>
                      <w:szCs w:val="24"/>
                    </w:rPr>
                    <w:t>. Esu susipažinęs su taisyklių reikalavimais ir įsipareigoju:</w:t>
                  </w:r>
                </w:p>
                <w:sdt>
                  <w:sdtPr>
                    <w:alias w:val="1 pr. 4.1 pp."/>
                    <w:tag w:val="part_7670fb1527b5460184ccbbfa9c9c6a7f"/>
                    <w:lock w:val="sdtLocked"/>
                    <w:richText/>
                  </w:sdtPr>
                  <w:sdtContent>
                    <w:p w14:paraId="5C6E8CD4" w14:textId="77777777">
                      <w:pPr>
                        <w:widowControl w:val="0"/>
                        <w:overflowPunct w:val="0"/>
                        <w:ind w:firstLine="720"/>
                        <w:jc w:val="both"/>
                        <w:textAlignment w:val="baseline"/>
                        <w:rPr>
                          <w:szCs w:val="24"/>
                        </w:rPr>
                      </w:pPr>
                      <w:sdt>
                        <w:sdtPr>
                          <w:alias w:val="Numeris"/>
                          <w:tag w:val="nr_7670fb1527b5460184ccbbfa9c9c6a7f"/>
                          <w:lock w:val="sdtLocked"/>
                          <w:richText/>
                        </w:sdtPr>
                        <w:sdtContent>
                          <w:r>
                            <w:rPr>
                              <w:szCs w:val="24"/>
                            </w:rPr>
                            <w:t>4.1</w:t>
                          </w:r>
                        </w:sdtContent>
                      </w:sdt>
                      <w:r>
                        <w:rPr>
                          <w:szCs w:val="24"/>
                        </w:rPr>
                        <w:t>. šių taisyklių sąlygas vykdysiu tiksliai, nepažeisdamas Lietuvos Respublikos įstatymų ir kitų teisės aktų;</w:t>
                      </w:r>
                    </w:p>
                  </w:sdtContent>
                </w:sdt>
                <w:sdt>
                  <w:sdtPr>
                    <w:alias w:val="1 pr. 4.2 pp."/>
                    <w:tag w:val="part_3bae953768bd4363a6e4276d1ed7fae8"/>
                    <w:lock w:val="sdtLocked"/>
                    <w:richText/>
                  </w:sdtPr>
                  <w:sdtContent>
                    <w:p w14:paraId="181D8F03" w14:textId="77777777">
                      <w:pPr>
                        <w:widowControl w:val="0"/>
                        <w:overflowPunct w:val="0"/>
                        <w:ind w:firstLine="720"/>
                        <w:jc w:val="both"/>
                        <w:textAlignment w:val="baseline"/>
                        <w:rPr>
                          <w:szCs w:val="24"/>
                        </w:rPr>
                      </w:pPr>
                      <w:sdt>
                        <w:sdtPr>
                          <w:alias w:val="Numeris"/>
                          <w:tag w:val="nr_3bae953768bd4363a6e4276d1ed7fae8"/>
                          <w:lock w:val="sdtLocked"/>
                          <w:richText/>
                        </w:sdtPr>
                        <w:sdtContent>
                          <w:r>
                            <w:rPr>
                              <w:szCs w:val="24"/>
                            </w:rPr>
                            <w:t>4.2</w:t>
                          </w:r>
                        </w:sdtContent>
                      </w:sdt>
                      <w:r>
                        <w:rPr>
                          <w:szCs w:val="24"/>
                        </w:rPr>
                        <w:t>. gavęs Nacionalinės mokėjimo agentūros prie Žemės ūkio ministerijos (toliau – Agentūra) reikalavimą (raštą, pranešimą) dėl pagalbos avanso (jo dalies) ar pagalbos (jos dalies) ir (arba) pagalbos permokėto avanso ar permokėtos pagalbos grąžinimo ir (ar) palūkanų sumokėjimo, per reikalavime nurodytą terminą grąžinsiu Agentūrai išmokėtą pagalbos avansą (jo dalį) arba pagalbą (jos dalį), ir (arba) permokėtą pagalbos avansą ar pagalbą ir (ar) sumokėsiu palūkanas;</w:t>
                      </w:r>
                    </w:p>
                  </w:sdtContent>
                </w:sdt>
                <w:sdt>
                  <w:sdtPr>
                    <w:alias w:val="1 pr. 4.3 pp."/>
                    <w:tag w:val="part_a44c8205207540e09a504aa822cee31d"/>
                    <w:lock w:val="sdtLocked"/>
                    <w:richText/>
                  </w:sdtPr>
                  <w:sdtContent>
                    <w:p w14:paraId="41043271" w14:textId="77777777">
                      <w:pPr>
                        <w:widowControl w:val="0"/>
                        <w:overflowPunct w:val="0"/>
                        <w:ind w:firstLine="720"/>
                        <w:jc w:val="both"/>
                        <w:textAlignment w:val="baseline"/>
                        <w:rPr>
                          <w:szCs w:val="24"/>
                        </w:rPr>
                      </w:pPr>
                      <w:sdt>
                        <w:sdtPr>
                          <w:alias w:val="Numeris"/>
                          <w:tag w:val="nr_a44c8205207540e09a504aa822cee31d"/>
                          <w:lock w:val="sdtLocked"/>
                          <w:richText/>
                        </w:sdtPr>
                        <w:sdtContent>
                          <w:r>
                            <w:rPr>
                              <w:szCs w:val="24"/>
                            </w:rPr>
                            <w:t>4.3</w:t>
                          </w:r>
                        </w:sdtContent>
                      </w:sdt>
                      <w:r>
                        <w:rPr>
                          <w:szCs w:val="24"/>
                        </w:rPr>
                        <w:t>. teiksiu teisingą ir tikslią informaciją ir (arba) dokumentus, žodinius ir (arba) rašytinius paaiškinimus, susijusius su taisyklių 10 punkte numatytų veiklų vykdymu, nustatytais terminais;</w:t>
                      </w:r>
                    </w:p>
                  </w:sdtContent>
                </w:sdt>
                <w:sdt>
                  <w:sdtPr>
                    <w:alias w:val="1 pr. 4.4 pp."/>
                    <w:tag w:val="part_08573f3a123348ada8bdc41d513c51f0"/>
                    <w:lock w:val="sdtLocked"/>
                    <w:richText/>
                  </w:sdtPr>
                  <w:sdtContent>
                    <w:p w14:paraId="590FF669" w14:textId="77777777">
                      <w:pPr>
                        <w:widowControl w:val="0"/>
                        <w:overflowPunct w:val="0"/>
                        <w:ind w:firstLine="720"/>
                        <w:jc w:val="both"/>
                        <w:textAlignment w:val="baseline"/>
                        <w:rPr>
                          <w:szCs w:val="24"/>
                        </w:rPr>
                      </w:pPr>
                      <w:sdt>
                        <w:sdtPr>
                          <w:alias w:val="Numeris"/>
                          <w:tag w:val="nr_08573f3a123348ada8bdc41d513c51f0"/>
                          <w:lock w:val="sdtLocked"/>
                          <w:richText/>
                        </w:sdtPr>
                        <w:sdtContent>
                          <w:r>
                            <w:rPr>
                              <w:szCs w:val="24"/>
                            </w:rPr>
                            <w:t>4.4</w:t>
                          </w:r>
                        </w:sdtContent>
                      </w:sdt>
                      <w:r>
                        <w:rPr>
                          <w:szCs w:val="24"/>
                        </w:rPr>
                        <w:t>. bendradarbiausiu su projekto įgyvendinimą kontroliuojančiais asmenimis, teiksiu jiems visą prašomą informaciją, leisiu atlikti patikras vietoje, sudarysiu sąlygas susipažinti su projekto įgyvendinimu susijusiais dokumentais;</w:t>
                      </w:r>
                    </w:p>
                  </w:sdtContent>
                </w:sdt>
                <w:sdt>
                  <w:sdtPr>
                    <w:alias w:val="1 pr. 4.5 pp."/>
                    <w:tag w:val="part_19975f9716674577859db57533af99a2"/>
                    <w:lock w:val="sdtLocked"/>
                    <w:richText/>
                  </w:sdtPr>
                  <w:sdtContent>
                    <w:p w14:paraId="546D006C" w14:textId="77777777">
                      <w:pPr>
                        <w:widowControl w:val="0"/>
                        <w:overflowPunct w:val="0"/>
                        <w:ind w:firstLine="720"/>
                        <w:jc w:val="both"/>
                        <w:textAlignment w:val="baseline"/>
                        <w:rPr>
                          <w:szCs w:val="24"/>
                        </w:rPr>
                      </w:pPr>
                      <w:sdt>
                        <w:sdtPr>
                          <w:alias w:val="Numeris"/>
                          <w:tag w:val="nr_19975f9716674577859db57533af99a2"/>
                          <w:lock w:val="sdtLocked"/>
                          <w:richText/>
                        </w:sdtPr>
                        <w:sdtContent>
                          <w:r>
                            <w:rPr>
                              <w:szCs w:val="24"/>
                            </w:rPr>
                            <w:t>4.5</w:t>
                          </w:r>
                        </w:sdtContent>
                      </w:sdt>
                      <w:r>
                        <w:rPr>
                          <w:szCs w:val="24"/>
                        </w:rPr>
                        <w:t>. nesu gavęs ir nesieksiu paramos ar pagalbos iš kitų nacionalinių ir ES programų išlaidoms, numatytoms paraiškoje, finansuoti;</w:t>
                      </w:r>
                    </w:p>
                  </w:sdtContent>
                </w:sdt>
                <w:sdt>
                  <w:sdtPr>
                    <w:alias w:val="1 pr. 4.6 pp."/>
                    <w:tag w:val="part_5703446c7cb9449cbedebe45da533907"/>
                    <w:lock w:val="sdtLocked"/>
                    <w:richText/>
                  </w:sdtPr>
                  <w:sdtContent>
                    <w:p w14:paraId="74B606BF" w14:textId="77777777">
                      <w:pPr>
                        <w:widowControl w:val="0"/>
                        <w:overflowPunct w:val="0"/>
                        <w:ind w:firstLine="720"/>
                        <w:jc w:val="both"/>
                        <w:textAlignment w:val="baseline"/>
                        <w:rPr>
                          <w:szCs w:val="24"/>
                        </w:rPr>
                      </w:pPr>
                      <w:sdt>
                        <w:sdtPr>
                          <w:alias w:val="Numeris"/>
                          <w:tag w:val="nr_5703446c7cb9449cbedebe45da533907"/>
                          <w:lock w:val="sdtLocked"/>
                          <w:richText/>
                        </w:sdtPr>
                        <w:sdtContent>
                          <w:r>
                            <w:rPr>
                              <w:szCs w:val="24"/>
                            </w:rPr>
                            <w:t>4.6</w:t>
                          </w:r>
                        </w:sdtContent>
                      </w:sdt>
                      <w:r>
                        <w:rPr>
                          <w:szCs w:val="24"/>
                        </w:rPr>
                        <w:t>. ne trumpiau kaip 5 metus nuo paraiškos pateikimo saugosiu visą su paraiška ir vykdomu projektu susijusią medžiagą ir dokumentus;</w:t>
                      </w:r>
                    </w:p>
                  </w:sdtContent>
                </w:sdt>
                <w:sdt>
                  <w:sdtPr>
                    <w:alias w:val="1 pr. 4.7 pp."/>
                    <w:tag w:val="part_49fb546ced6246f6aa1040651b5d7ef0"/>
                    <w:lock w:val="sdtLocked"/>
                    <w:richText/>
                  </w:sdtPr>
                  <w:sdtContent>
                    <w:p w14:paraId="062DD396" w14:textId="77777777">
                      <w:pPr>
                        <w:widowControl w:val="0"/>
                        <w:overflowPunct w:val="0"/>
                        <w:ind w:firstLine="720"/>
                        <w:jc w:val="both"/>
                        <w:textAlignment w:val="baseline"/>
                        <w:rPr>
                          <w:szCs w:val="24"/>
                        </w:rPr>
                      </w:pPr>
                      <w:sdt>
                        <w:sdtPr>
                          <w:alias w:val="Numeris"/>
                          <w:tag w:val="nr_49fb546ced6246f6aa1040651b5d7ef0"/>
                          <w:lock w:val="sdtLocked"/>
                          <w:richText/>
                        </w:sdtPr>
                        <w:sdtContent>
                          <w:r>
                            <w:rPr>
                              <w:szCs w:val="24"/>
                            </w:rPr>
                            <w:t>4.7</w:t>
                          </w:r>
                        </w:sdtContent>
                      </w:sdt>
                      <w:r>
                        <w:rPr>
                          <w:szCs w:val="24"/>
                        </w:rPr>
                        <w:t>. nesieksiu susigrąžinti PVM iš valstybės biudžeto, jei PVM pripažinta tinkama finansuoti išlaida;</w:t>
                      </w:r>
                    </w:p>
                  </w:sdtContent>
                </w:sdt>
                <w:sdt>
                  <w:sdtPr>
                    <w:alias w:val="1 pr. 4.8 pp."/>
                    <w:tag w:val="part_52191bcbe1734ec2998e1f80c293647b"/>
                    <w:lock w:val="sdtLocked"/>
                    <w:richText/>
                  </w:sdtPr>
                  <w:sdtContent>
                    <w:p w14:paraId="271AE142" w14:textId="77777777">
                      <w:pPr>
                        <w:widowControl w:val="0"/>
                        <w:overflowPunct w:val="0"/>
                        <w:ind w:firstLine="720"/>
                        <w:jc w:val="both"/>
                        <w:textAlignment w:val="baseline"/>
                        <w:rPr>
                          <w:szCs w:val="24"/>
                        </w:rPr>
                      </w:pPr>
                      <w:sdt>
                        <w:sdtPr>
                          <w:alias w:val="Numeris"/>
                          <w:tag w:val="nr_52191bcbe1734ec2998e1f80c293647b"/>
                          <w:lock w:val="sdtLocked"/>
                          <w:richText/>
                        </w:sdtPr>
                        <w:sdtContent>
                          <w:r>
                            <w:rPr>
                              <w:szCs w:val="24"/>
                            </w:rPr>
                            <w:t>4.8</w:t>
                          </w:r>
                        </w:sdtContent>
                      </w:sdt>
                      <w:r>
                        <w:rPr>
                          <w:szCs w:val="24"/>
                        </w:rPr>
                        <w:t xml:space="preserve">. per 3 metų laikotarpį nuo </w:t>
                      </w:r>
                      <w:r>
                        <w:rPr>
                          <w:color w:val="000000"/>
                          <w:szCs w:val="24"/>
                        </w:rPr>
                        <w:t>sprendimo dėl lėšų skyrimo įsigaliojimo dienos</w:t>
                      </w:r>
                      <w:r>
                        <w:rPr>
                          <w:szCs w:val="24"/>
                        </w:rPr>
                        <w:t xml:space="preserve"> už pagalbos lėšas įsigytos įrangos ar turto neparduosiu ar kitaip neperleisiu tretiesiems asmenims;</w:t>
                      </w:r>
                    </w:p>
                  </w:sdtContent>
                </w:sdt>
                <w:sdt>
                  <w:sdtPr>
                    <w:alias w:val="1 pr. 4.9 pp."/>
                    <w:tag w:val="part_8d979a7c699e49c7b5172b9b81e101f2"/>
                    <w:lock w:val="sdtLocked"/>
                    <w:richText/>
                  </w:sdtPr>
                  <w:sdtContent>
                    <w:p w14:paraId="4D406A8E" w14:textId="77777777">
                      <w:pPr>
                        <w:widowControl w:val="0"/>
                        <w:overflowPunct w:val="0"/>
                        <w:ind w:firstLine="720"/>
                        <w:jc w:val="both"/>
                        <w:textAlignment w:val="baseline"/>
                        <w:rPr>
                          <w:szCs w:val="24"/>
                        </w:rPr>
                      </w:pPr>
                      <w:sdt>
                        <w:sdtPr>
                          <w:alias w:val="Numeris"/>
                          <w:tag w:val="nr_8d979a7c699e49c7b5172b9b81e101f2"/>
                          <w:lock w:val="sdtLocked"/>
                          <w:richText/>
                        </w:sdtPr>
                        <w:sdtContent>
                          <w:r>
                            <w:rPr>
                              <w:szCs w:val="24"/>
                            </w:rPr>
                            <w:t>4.9</w:t>
                          </w:r>
                        </w:sdtContent>
                      </w:sdt>
                      <w:r>
                        <w:rPr>
                          <w:szCs w:val="24"/>
                        </w:rPr>
                        <w:t>.iki taisyklėse nurodytos datos ir taisyklėse nustatytomis sąlygomis įgyvendinsiu projektą ir pateiksiu Agentūrai išlaidų pagrindimo suvestinę ir pridedamus dokumentus.</w:t>
                      </w:r>
                    </w:p>
                  </w:sdtContent>
                </w:sdt>
              </w:sdtContent>
            </w:sdt>
            <w:sdt>
              <w:sdtPr>
                <w:alias w:val="1 pr. 5 p."/>
                <w:tag w:val="part_45fdc901ab4b476db43256d877785124"/>
                <w:lock w:val="sdtLocked"/>
                <w:richText/>
              </w:sdtPr>
              <w:sdtContent>
                <w:p w14:paraId="3B44B1A9" w14:textId="77777777">
                  <w:pPr>
                    <w:widowControl w:val="0"/>
                    <w:overflowPunct w:val="0"/>
                    <w:ind w:firstLine="720"/>
                    <w:jc w:val="both"/>
                    <w:textAlignment w:val="baseline"/>
                    <w:rPr>
                      <w:szCs w:val="24"/>
                    </w:rPr>
                  </w:pPr>
                  <w:sdt>
                    <w:sdtPr>
                      <w:alias w:val="Numeris"/>
                      <w:tag w:val="nr_45fdc901ab4b476db43256d877785124"/>
                      <w:lock w:val="sdtLocked"/>
                      <w:richText/>
                    </w:sdtPr>
                    <w:sdtContent>
                      <w:r>
                        <w:rPr>
                          <w:szCs w:val="24"/>
                        </w:rPr>
                        <w:t>5</w:t>
                      </w:r>
                    </w:sdtContent>
                  </w:sdt>
                  <w:r>
                    <w:rPr>
                      <w:szCs w:val="24"/>
                    </w:rPr>
                    <w:t>. Esu įvykdęs visus mokestinius įsipareigojimus pagal Lietuvos Respublikos teisės aktų nuostatas.</w:t>
                  </w:r>
                </w:p>
              </w:sdtContent>
            </w:sdt>
            <w:sdt>
              <w:sdtPr>
                <w:alias w:val="1 pr. 6 p."/>
                <w:tag w:val="part_5516b16afe3e45a9bb965d737419dd61"/>
                <w:lock w:val="sdtLocked"/>
                <w:richText/>
              </w:sdtPr>
              <w:sdtContent>
                <w:p w14:paraId="556085B2" w14:textId="77777777">
                  <w:pPr>
                    <w:widowControl w:val="0"/>
                    <w:overflowPunct w:val="0"/>
                    <w:ind w:firstLine="720"/>
                    <w:jc w:val="both"/>
                    <w:textAlignment w:val="baseline"/>
                    <w:rPr>
                      <w:szCs w:val="24"/>
                    </w:rPr>
                  </w:pPr>
                  <w:sdt>
                    <w:sdtPr>
                      <w:alias w:val="Numeris"/>
                      <w:tag w:val="nr_5516b16afe3e45a9bb965d737419dd61"/>
                      <w:lock w:val="sdtLocked"/>
                      <w:richText/>
                    </w:sdtPr>
                    <w:sdtContent>
                      <w:r>
                        <w:rPr>
                          <w:szCs w:val="24"/>
                        </w:rPr>
                        <w:t>6</w:t>
                      </w:r>
                    </w:sdtContent>
                  </w:sdt>
                  <w:r>
                    <w:rPr>
                      <w:szCs w:val="24"/>
                    </w:rPr>
                    <w:t>. Nesu skolingas Valstybiniam socialinio draudimo fondui.</w:t>
                  </w:r>
                </w:p>
              </w:sdtContent>
            </w:sdt>
            <w:sdt>
              <w:sdtPr>
                <w:alias w:val="1 pr. 7 p."/>
                <w:tag w:val="part_28971915f5f7430aadc52699a2ec0715"/>
                <w:lock w:val="sdtLocked"/>
                <w:richText/>
              </w:sdtPr>
              <w:sdtContent>
                <w:p w14:paraId="72F5EDAE" w14:textId="77777777">
                  <w:pPr>
                    <w:widowControl w:val="0"/>
                    <w:overflowPunct w:val="0"/>
                    <w:ind w:firstLine="720"/>
                    <w:jc w:val="both"/>
                    <w:textAlignment w:val="baseline"/>
                    <w:rPr>
                      <w:szCs w:val="24"/>
                    </w:rPr>
                  </w:pPr>
                  <w:sdt>
                    <w:sdtPr>
                      <w:alias w:val="Numeris"/>
                      <w:tag w:val="nr_28971915f5f7430aadc52699a2ec0715"/>
                      <w:lock w:val="sdtLocked"/>
                      <w:richText/>
                    </w:sdtPr>
                    <w:sdtContent>
                      <w:r>
                        <w:rPr>
                          <w:szCs w:val="24"/>
                        </w:rPr>
                        <w:t>7</w:t>
                      </w:r>
                    </w:sdtContent>
                  </w:sdt>
                  <w:r>
                    <w:rPr>
                      <w:szCs w:val="24"/>
                    </w:rPr>
                    <w:t>. Nėra iškeltos bylos dėl bankroto, nesu likviduojamas.</w:t>
                  </w:r>
                </w:p>
              </w:sdtContent>
            </w:sdt>
            <w:sdt>
              <w:sdtPr>
                <w:alias w:val="1 pr. 8 p."/>
                <w:tag w:val="part_146a2339c19d4262b21452a544f893a3"/>
                <w:lock w:val="sdtLocked"/>
                <w:richText/>
              </w:sdtPr>
              <w:sdtContent>
                <w:p w14:paraId="5FAC1B41" w14:textId="77777777">
                  <w:pPr>
                    <w:widowControl w:val="0"/>
                    <w:overflowPunct w:val="0"/>
                    <w:ind w:firstLine="720"/>
                    <w:jc w:val="both"/>
                    <w:textAlignment w:val="baseline"/>
                    <w:rPr>
                      <w:szCs w:val="24"/>
                    </w:rPr>
                  </w:pPr>
                  <w:sdt>
                    <w:sdtPr>
                      <w:alias w:val="Numeris"/>
                      <w:tag w:val="nr_146a2339c19d4262b21452a544f893a3"/>
                      <w:lock w:val="sdtLocked"/>
                      <w:richText/>
                    </w:sdtPr>
                    <w:sdtContent>
                      <w:r>
                        <w:rPr>
                          <w:szCs w:val="24"/>
                        </w:rPr>
                        <w:t>8</w:t>
                      </w:r>
                    </w:sdtContent>
                  </w:sdt>
                  <w:r>
                    <w:rPr>
                      <w:szCs w:val="24"/>
                    </w:rPr>
                    <w:t>. Žinau, kad paraiška gali būti atmesta, jeigu joje pateikti ne visi prašomi duomenys (įskaitant šią deklaraciją).</w:t>
                  </w:r>
                </w:p>
              </w:sdtContent>
            </w:sdt>
            <w:sdt>
              <w:sdtPr>
                <w:alias w:val="1 pr. 9 p."/>
                <w:tag w:val="part_d9876cc0ce0c4ec8860323aad8fd6e4a"/>
                <w:lock w:val="sdtLocked"/>
                <w:richText/>
              </w:sdtPr>
              <w:sdtContent>
                <w:p w14:paraId="689E6DF1" w14:textId="77777777">
                  <w:pPr>
                    <w:widowControl w:val="0"/>
                    <w:overflowPunct w:val="0"/>
                    <w:ind w:firstLine="720"/>
                    <w:jc w:val="both"/>
                    <w:textAlignment w:val="baseline"/>
                    <w:rPr>
                      <w:szCs w:val="24"/>
                    </w:rPr>
                  </w:pPr>
                  <w:sdt>
                    <w:sdtPr>
                      <w:alias w:val="Numeris"/>
                      <w:tag w:val="nr_d9876cc0ce0c4ec8860323aad8fd6e4a"/>
                      <w:lock w:val="sdtLocked"/>
                      <w:richText/>
                    </w:sdtPr>
                    <w:sdtContent>
                      <w:r>
                        <w:rPr>
                          <w:szCs w:val="24"/>
                        </w:rPr>
                        <w:t>9</w:t>
                      </w:r>
                    </w:sdtContent>
                  </w:sdt>
                  <w:r>
                    <w:rPr>
                      <w:szCs w:val="24"/>
                    </w:rPr>
                    <w:t>. Esu informuotas (-a), kad informacija apie mano pateiktą paraišką (pareiškėjo pavadinimas arba fizinio asmens vardas ir pavardė, projekto pavadinimas, paraiškos registracijos kodas, prašoma ir gauta pagalbos suma) būtų viešinama visuomenės informavimo tikslais, skelbiama Agentūros interneto svetainėje ir visa su šiuo projektu susijusi informacija būtų naudojama statistikos, vertinimo bei tyrimų tikslais, taip pat gali būti perduota audito ir tyrimų institucijoms siekiant apsaugoti ES ir Lietuvos Respublikos interesus.</w:t>
                  </w:r>
                </w:p>
              </w:sdtContent>
            </w:sdt>
            <w:sdt>
              <w:sdtPr>
                <w:alias w:val="1 pr. 10 p."/>
                <w:tag w:val="part_31cd071f81af48d1affee76d727c0121"/>
                <w:lock w:val="sdtLocked"/>
                <w:richText/>
              </w:sdtPr>
              <w:sdtContent>
                <w:p w14:paraId="20ECB4E2" w14:textId="77777777">
                  <w:pPr>
                    <w:widowControl w:val="0"/>
                    <w:suppressAutoHyphens/>
                    <w:overflowPunct w:val="0"/>
                    <w:ind w:firstLine="720"/>
                    <w:jc w:val="both"/>
                    <w:textAlignment w:val="center"/>
                    <w:rPr>
                      <w:color w:val="000000"/>
                      <w:szCs w:val="24"/>
                    </w:rPr>
                  </w:pPr>
                  <w:sdt>
                    <w:sdtPr>
                      <w:alias w:val="Numeris"/>
                      <w:tag w:val="nr_31cd071f81af48d1affee76d727c0121"/>
                      <w:lock w:val="sdtLocked"/>
                      <w:richText/>
                    </w:sdtPr>
                    <w:sdtContent>
                      <w:r>
                        <w:rPr>
                          <w:color w:val="000000"/>
                          <w:szCs w:val="24"/>
                        </w:rPr>
                        <w:t>10</w:t>
                      </w:r>
                    </w:sdtContent>
                  </w:sdt>
                  <w:r>
                    <w:rPr>
                      <w:color w:val="000000"/>
                      <w:szCs w:val="24"/>
                    </w:rPr>
                    <w:t>. Patvirtinu, kad ženklinu ir įsipareigoju ženklinti tautinio paveldo produktus tautinio paveldo produkto ženklu Tautinio paveldo produktų ženklų naudojimo tvarkos aprašo, patvirtinto Lietuvos Respublikos žemės ūkio ministro 2008 m. gruodžio 17 d. įsakymu Nr. 3D-691 „Dėl Tautinio paveldo produktų ženklų naudojimo tvarkos aprašo patvirtinimo“, nustatyta tvarka (taikoma tuo atveju, kai prašoma lėšų taisyklių 10.2 papunktyje nurodytai veiklai finansuoti).</w:t>
                  </w:r>
                </w:p>
              </w:sdtContent>
            </w:sdt>
            <w:sdt>
              <w:sdtPr>
                <w:alias w:val="1 pr. 11 p."/>
                <w:tag w:val="part_5b601a577e034ff7b5d1ee64cbeaf352"/>
                <w:lock w:val="sdtLocked"/>
                <w:richText/>
              </w:sdtPr>
              <w:sdtContent>
                <w:p w14:paraId="33E3FF05" w14:textId="77777777">
                  <w:pPr>
                    <w:widowControl w:val="0"/>
                    <w:suppressAutoHyphens/>
                    <w:overflowPunct w:val="0"/>
                    <w:ind w:firstLine="720"/>
                    <w:jc w:val="both"/>
                    <w:textAlignment w:val="center"/>
                    <w:rPr>
                      <w:color w:val="000000"/>
                      <w:szCs w:val="24"/>
                    </w:rPr>
                  </w:pPr>
                  <w:sdt>
                    <w:sdtPr>
                      <w:alias w:val="Numeris"/>
                      <w:tag w:val="nr_5b601a577e034ff7b5d1ee64cbeaf352"/>
                      <w:lock w:val="sdtLocked"/>
                      <w:richText/>
                    </w:sdtPr>
                    <w:sdtContent>
                      <w:r>
                        <w:rPr>
                          <w:color w:val="000000"/>
                          <w:szCs w:val="24"/>
                        </w:rPr>
                        <w:t>11</w:t>
                      </w:r>
                    </w:sdtContent>
                  </w:sdt>
                  <w:r>
                    <w:rPr>
                      <w:color w:val="000000"/>
                      <w:szCs w:val="24"/>
                    </w:rPr>
                    <w:t>. Įsipareigoju, kad tautinio paveldo produktai sudarytų ne mažesnę kaip dviejų trečdalių visų viešuosiuose renginiuose pristatomų, demonstruojamų ir (arba) realizuojamų ir (arba) realizavimo vietose realizuojamų produktų asortimento dalį (taikoma tuo atveju, kai pagalbos prašoma tautinio paveldo produktams pristatyti, realizuoti ir (arba) tradiciniams amatams demonstruoti parodose, mugėse ir (arba) kituose viešuosiuose renginiuose ir (arba) tautinio paveldo produktams realizuoti realizavimo vietose).</w:t>
                  </w:r>
                </w:p>
              </w:sdtContent>
            </w:sdt>
            <w:sdt>
              <w:sdtPr>
                <w:alias w:val="1 pr. 12 p."/>
                <w:tag w:val="part_e6b5d8dd83594965aae66c2bdaab3dbd"/>
                <w:lock w:val="sdtLocked"/>
                <w:richText/>
              </w:sdtPr>
              <w:sdtContent>
                <w:p w14:paraId="4CBB3024" w14:textId="77777777">
                  <w:pPr>
                    <w:widowControl w:val="0"/>
                    <w:suppressAutoHyphens/>
                    <w:overflowPunct w:val="0"/>
                    <w:ind w:firstLine="720"/>
                    <w:jc w:val="both"/>
                    <w:textAlignment w:val="center"/>
                    <w:rPr>
                      <w:color w:val="000000"/>
                      <w:szCs w:val="24"/>
                    </w:rPr>
                  </w:pPr>
                  <w:sdt>
                    <w:sdtPr>
                      <w:alias w:val="Numeris"/>
                      <w:tag w:val="nr_e6b5d8dd83594965aae66c2bdaab3dbd"/>
                      <w:lock w:val="sdtLocked"/>
                      <w:richText/>
                    </w:sdtPr>
                    <w:sdtContent>
                      <w:r>
                        <w:rPr>
                          <w:color w:val="000000"/>
                          <w:szCs w:val="24"/>
                        </w:rPr>
                        <w:t>12</w:t>
                      </w:r>
                    </w:sdtContent>
                  </w:sdt>
                  <w:r>
                    <w:rPr>
                      <w:color w:val="000000"/>
                      <w:szCs w:val="24"/>
                    </w:rPr>
                    <w:t>. Įsipareigoju, kad</w:t>
                  </w:r>
                  <w:r>
                    <w:rPr>
                      <w:szCs w:val="24"/>
                    </w:rPr>
                    <w:t xml:space="preserve"> </w:t>
                  </w:r>
                  <w:r>
                    <w:rPr>
                      <w:color w:val="000000"/>
                      <w:szCs w:val="24"/>
                    </w:rPr>
                    <w:t>vykdant taisyklių 10.4 papunktyje nurodytą veiklą, tradicinių amatų edukaciniai užsiėmimai dalyviams bus nemokami, o apie planuojamą edukacinį užsiėmimą pranešiu pagal taisyklių 22.2.1 papunkčio nuostatas.</w:t>
                  </w:r>
                </w:p>
              </w:sdtContent>
            </w:sdt>
            <w:sdt>
              <w:sdtPr>
                <w:alias w:val="1 pr. 13 p."/>
                <w:tag w:val="part_585767d497cb42c080c2d57a92444f55"/>
                <w:lock w:val="sdtLocked"/>
                <w:richText/>
              </w:sdtPr>
              <w:sdtContent>
                <w:p w14:paraId="4432C04D" w14:textId="77777777">
                  <w:pPr>
                    <w:widowControl w:val="0"/>
                    <w:suppressAutoHyphens/>
                    <w:overflowPunct w:val="0"/>
                    <w:ind w:firstLine="720"/>
                    <w:jc w:val="both"/>
                    <w:textAlignment w:val="center"/>
                    <w:rPr>
                      <w:color w:val="000000"/>
                      <w:szCs w:val="24"/>
                    </w:rPr>
                  </w:pPr>
                  <w:sdt>
                    <w:sdtPr>
                      <w:alias w:val="Numeris"/>
                      <w:tag w:val="nr_585767d497cb42c080c2d57a92444f55"/>
                      <w:lock w:val="sdtLocked"/>
                      <w:richText/>
                    </w:sdtPr>
                    <w:sdtContent>
                      <w:r>
                        <w:rPr>
                          <w:color w:val="000000"/>
                          <w:szCs w:val="24"/>
                        </w:rPr>
                        <w:t>13</w:t>
                      </w:r>
                    </w:sdtContent>
                  </w:sdt>
                  <w:r>
                    <w:rPr>
                      <w:color w:val="000000"/>
                      <w:szCs w:val="24"/>
                    </w:rPr>
                    <w:t xml:space="preserve">. Patvirtinu, kad paraišką įsigyti tos pačios rūšies įrangą tradiciniams amatams gyvai demonstruoti ir (ar) tautinio paveldo produktams demonstruoti ir (ar) realizuoti mugėse, parodose </w:t>
                  </w:r>
                  <w:r>
                    <w:rPr>
                      <w:color w:val="000000"/>
                    </w:rPr>
                    <w:t xml:space="preserve">, </w:t>
                  </w:r>
                  <w:r>
                    <w:rPr>
                      <w:color w:val="000000"/>
                      <w:szCs w:val="24"/>
                    </w:rPr>
                    <w:t>teikiu pirmą kartą arba ne anksčiau kaip po 5 metų nuo paskutinio paraiškos įrangai įsigyti teikimo.</w:t>
                  </w:r>
                </w:p>
              </w:sdtContent>
            </w:sdt>
            <w:sdt>
              <w:sdtPr>
                <w:alias w:val="1 pr. 14 p."/>
                <w:tag w:val="part_a6c33ced057d4112ad4c723d9fa8f735"/>
                <w:lock w:val="sdtLocked"/>
                <w:richText/>
              </w:sdtPr>
              <w:sdtContent>
                <w:p w14:paraId="6A082109" w14:textId="77777777">
                  <w:pPr>
                    <w:widowControl w:val="0"/>
                    <w:suppressAutoHyphens/>
                    <w:overflowPunct w:val="0"/>
                    <w:ind w:firstLine="720"/>
                    <w:jc w:val="both"/>
                    <w:textAlignment w:val="center"/>
                    <w:rPr>
                      <w:color w:val="000000"/>
                      <w:szCs w:val="24"/>
                    </w:rPr>
                  </w:pPr>
                  <w:sdt>
                    <w:sdtPr>
                      <w:alias w:val="Numeris"/>
                      <w:tag w:val="nr_a6c33ced057d4112ad4c723d9fa8f735"/>
                      <w:lock w:val="sdtLocked"/>
                      <w:richText/>
                    </w:sdtPr>
                    <w:sdtContent>
                      <w:r>
                        <w:rPr>
                          <w:color w:val="000000"/>
                          <w:szCs w:val="24"/>
                        </w:rPr>
                        <w:t>14</w:t>
                      </w:r>
                    </w:sdtContent>
                  </w:sdt>
                  <w:r>
                    <w:rPr>
                      <w:color w:val="000000"/>
                      <w:szCs w:val="24"/>
                    </w:rPr>
                    <w:t xml:space="preserve">. </w:t>
                  </w:r>
                  <w:r>
                    <w:rPr>
                      <w:szCs w:val="24"/>
                    </w:rPr>
                    <w:t>Esu informuotas (-a)</w:t>
                  </w:r>
                  <w:r>
                    <w:rPr>
                      <w:color w:val="000000"/>
                      <w:szCs w:val="24"/>
                    </w:rPr>
                    <w:t>, kad paraiškoje ir kituose Agentūrai teikiamuose dokumentuose esantys mano asmens ir kiti duomenys ir (arba) juridinio asmens, kuriam aš atstovauju, duomenys būtų apdorojami ir saugomi paramos priemonių administravimo</w:t>
                  </w:r>
                  <w:r>
                    <w:rPr>
                      <w:bCs/>
                      <w:color w:val="000000"/>
                      <w:szCs w:val="24"/>
                    </w:rPr>
                    <w:t xml:space="preserve"> </w:t>
                  </w:r>
                  <w:r>
                    <w:rPr>
                      <w:color w:val="000000"/>
                      <w:szCs w:val="24"/>
                    </w:rPr>
                    <w:t>informacinėse sistemose ir kad Agentūra gautų mano asmens ir kitus duomenis ir (arba) juridinio asmens, kuriam aš atstovauju, duomenis iš kitų juridinių asmenų, registrų ar duomenų bazių pagalbos administravimo klausimais.</w:t>
                  </w:r>
                </w:p>
              </w:sdtContent>
            </w:sdt>
            <w:sdt>
              <w:sdtPr>
                <w:alias w:val="1 pr. 15 p."/>
                <w:tag w:val="part_6ab2480cc6b84bf1ad682519e0d1cd15"/>
                <w:lock w:val="sdtLocked"/>
                <w:richText/>
              </w:sdtPr>
              <w:sdtContent>
                <w:p w14:paraId="54E85905" w14:textId="77777777">
                  <w:pPr>
                    <w:tabs>
                      <w:tab w:val="left" w:pos="1134"/>
                    </w:tabs>
                    <w:overflowPunct w:val="0"/>
                    <w:ind w:firstLine="709"/>
                    <w:jc w:val="both"/>
                    <w:textAlignment w:val="baseline"/>
                    <w:rPr>
                      <w:szCs w:val="24"/>
                    </w:rPr>
                  </w:pPr>
                  <w:sdt>
                    <w:sdtPr>
                      <w:alias w:val="Numeris"/>
                      <w:tag w:val="nr_6ab2480cc6b84bf1ad682519e0d1cd15"/>
                      <w:lock w:val="sdtLocked"/>
                      <w:richText/>
                    </w:sdtPr>
                    <w:sdtContent>
                      <w:r>
                        <w:rPr>
                          <w:szCs w:val="24"/>
                        </w:rPr>
                        <w:t>15</w:t>
                      </w:r>
                    </w:sdtContent>
                  </w:sdt>
                  <w:r>
                    <w:rPr>
                      <w:szCs w:val="24"/>
                    </w:rPr>
                    <w:t>. Esu informuotas (-a), kad Agentūra tikrins pateiktus duomenis kituose valstybės registruose ir duomenų bazėse. Esu informuotas (-a) ir sutinku, kad esu atsakingas (-a) už reikiamų dokumentų ir (arba) pažymų pateikimą Agentūrai laiku.</w:t>
                  </w:r>
                </w:p>
              </w:sdtContent>
            </w:sdt>
            <w:sdt>
              <w:sdtPr>
                <w:alias w:val="1 pr. 16 p."/>
                <w:tag w:val="part_53d5ce586b22435d8791f04f2cafbc13"/>
                <w:lock w:val="sdtLocked"/>
                <w:richText/>
              </w:sdtPr>
              <w:sdtContent>
                <w:p w14:paraId="70ABED3B" w14:textId="77777777">
                  <w:pPr>
                    <w:tabs>
                      <w:tab w:val="left" w:pos="1134"/>
                    </w:tabs>
                    <w:overflowPunct w:val="0"/>
                    <w:ind w:firstLine="709"/>
                    <w:jc w:val="both"/>
                    <w:textAlignment w:val="baseline"/>
                    <w:rPr>
                      <w:szCs w:val="24"/>
                    </w:rPr>
                  </w:pPr>
                  <w:sdt>
                    <w:sdtPr>
                      <w:alias w:val="Numeris"/>
                      <w:tag w:val="nr_53d5ce586b22435d8791f04f2cafbc13"/>
                      <w:lock w:val="sdtLocked"/>
                      <w:richText/>
                    </w:sdtPr>
                    <w:sdtContent>
                      <w:r>
                        <w:rPr>
                          <w:szCs w:val="24"/>
                        </w:rPr>
                        <w:t>16</w:t>
                      </w:r>
                    </w:sdtContent>
                  </w:sdt>
                  <w:r>
                    <w:rPr>
                      <w:szCs w:val="24"/>
                    </w:rPr>
                    <w:t>. Esu informuotas (-a), kad turiu teisę žinoti apie savo asmens duomenų tvarkymą, susipažinti su tvarkomais savo asmens duomenimis ir kaip jie yra tvarkomi, reikalauti ištaisyti, ištrinti savo asmens duomenis („teisė būti pamirštam“), apriboti savo asmens duomenų tvarkymą, kai duomenys tvarkomi nesilaikant Europos Sąjungos ir Lietuvos Respublikos teisės aktų nuostatų, taip pat nesutikti (teisiškai pagrindžiant), kad būtų tvarkomi mano asmens duomenys, bei teisę į duomenų perkeliamumą.</w:t>
                  </w:r>
                </w:p>
              </w:sdtContent>
            </w:sdt>
            <w:sdt>
              <w:sdtPr>
                <w:alias w:val="1 pr. 17 p."/>
                <w:tag w:val="part_7c7ebc1b5ef74fd4bd9a28d119bd42fd"/>
                <w:lock w:val="sdtLocked"/>
                <w:richText/>
              </w:sdtPr>
              <w:sdtContent>
                <w:p w14:paraId="0EB8D72A" w14:textId="77777777">
                  <w:pPr>
                    <w:tabs>
                      <w:tab w:val="left" w:pos="1134"/>
                    </w:tabs>
                    <w:overflowPunct w:val="0"/>
                    <w:ind w:firstLine="709"/>
                    <w:jc w:val="both"/>
                    <w:textAlignment w:val="baseline"/>
                    <w:rPr>
                      <w:szCs w:val="24"/>
                    </w:rPr>
                  </w:pPr>
                  <w:sdt>
                    <w:sdtPr>
                      <w:alias w:val="Numeris"/>
                      <w:tag w:val="nr_7c7ebc1b5ef74fd4bd9a28d119bd42fd"/>
                      <w:lock w:val="sdtLocked"/>
                      <w:richText/>
                    </w:sdtPr>
                    <w:sdtContent>
                      <w:r>
                        <w:rPr>
                          <w:szCs w:val="24"/>
                        </w:rPr>
                        <w:t>17</w:t>
                      </w:r>
                    </w:sdtContent>
                  </w:sdt>
                  <w:r>
                    <w:rPr>
                      <w:szCs w:val="24"/>
                    </w:rPr>
                    <w:t>. Esu informuotas (-a), kad duomenų valdytoja yra Agentūra.</w:t>
                  </w:r>
                </w:p>
              </w:sdtContent>
            </w:sdt>
            <w:sdt>
              <w:sdtPr>
                <w:alias w:val="1 pr. 18 p."/>
                <w:tag w:val="part_ec7bb039f29e4220b0df5051a9c5068c"/>
                <w:lock w:val="sdtLocked"/>
                <w:richText/>
              </w:sdtPr>
              <w:sdtContent>
                <w:p w14:paraId="64231AEE" w14:textId="77777777">
                  <w:pPr>
                    <w:tabs>
                      <w:tab w:val="left" w:pos="1134"/>
                    </w:tabs>
                    <w:overflowPunct w:val="0"/>
                    <w:ind w:firstLine="709"/>
                    <w:jc w:val="both"/>
                    <w:textAlignment w:val="baseline"/>
                    <w:rPr>
                      <w:szCs w:val="24"/>
                    </w:rPr>
                  </w:pPr>
                  <w:sdt>
                    <w:sdtPr>
                      <w:alias w:val="Numeris"/>
                      <w:tag w:val="nr_ec7bb039f29e4220b0df5051a9c5068c"/>
                      <w:lock w:val="sdtLocked"/>
                      <w:richText/>
                    </w:sdtPr>
                    <w:sdtContent>
                      <w:r>
                        <w:rPr>
                          <w:szCs w:val="24"/>
                        </w:rPr>
                        <w:t>18</w:t>
                      </w:r>
                    </w:sdtContent>
                  </w:sdt>
                  <w:r>
                    <w:rPr>
                      <w:szCs w:val="24"/>
                    </w:rPr>
                    <w:t xml:space="preserve">. Esu informuotas (-a), kad Agentūros tvarkomi mano asmens duomenys (kategorijos) bei detalesnė informacija apie mano asmens duomenų tvarkymą yra nurodyta </w:t>
                  </w:r>
                  <w:r>
                    <w:rPr>
                      <w:color w:val="0000FF"/>
                      <w:szCs w:val="24"/>
                      <w:u w:val="single"/>
                    </w:rPr>
                    <w:t>www.nma.lt</w:t>
                  </w:r>
                  <w:r>
                    <w:rPr>
                      <w:szCs w:val="24"/>
                    </w:rPr>
                    <w:t xml:space="preserve"> skiltyje „Asmens duomenų apsauga.</w:t>
                  </w:r>
                </w:p>
              </w:sdtContent>
            </w:sdt>
            <w:sdt>
              <w:sdtPr>
                <w:alias w:val="1 pr. 19 p."/>
                <w:tag w:val="part_b952173365a7469fa6746a11d29298e7"/>
                <w:lock w:val="sdtLocked"/>
                <w:richText/>
              </w:sdtPr>
              <w:sdtContent>
                <w:p w14:paraId="31CD10E7" w14:textId="77777777">
                  <w:pPr>
                    <w:tabs>
                      <w:tab w:val="left" w:pos="1134"/>
                    </w:tabs>
                    <w:overflowPunct w:val="0"/>
                    <w:ind w:firstLine="709"/>
                    <w:jc w:val="both"/>
                    <w:textAlignment w:val="baseline"/>
                    <w:rPr>
                      <w:szCs w:val="24"/>
                    </w:rPr>
                  </w:pPr>
                  <w:sdt>
                    <w:sdtPr>
                      <w:alias w:val="Numeris"/>
                      <w:tag w:val="nr_b952173365a7469fa6746a11d29298e7"/>
                      <w:lock w:val="sdtLocked"/>
                      <w:richText/>
                    </w:sdtPr>
                    <w:sdtContent>
                      <w:r>
                        <w:rPr>
                          <w:szCs w:val="24"/>
                        </w:rPr>
                        <w:t>19</w:t>
                      </w:r>
                    </w:sdtContent>
                  </w:sdt>
                  <w:r>
                    <w:rPr>
                      <w:szCs w:val="24"/>
                    </w:rPr>
                    <w:t>. Esu informuotas (-a), kad mano asmens duomenys yra saugomi iki išmokų mokėjimo, administravimo ir priežiūros laikotarpio pabaigos, vėliau šie duomenys archyvuojami bei perduodami valstybės archyvams.</w:t>
                  </w:r>
                </w:p>
              </w:sdtContent>
            </w:sdt>
            <w:sdt>
              <w:sdtPr>
                <w:alias w:val="1 pr. 20 p."/>
                <w:tag w:val="part_02d6b07347b24218858bc3f1558f3dd7"/>
                <w:lock w:val="sdtLocked"/>
                <w:richText/>
              </w:sdtPr>
              <w:sdtContent>
                <w:p w14:paraId="230E2BBC" w14:textId="77777777">
                  <w:pPr>
                    <w:tabs>
                      <w:tab w:val="left" w:pos="1134"/>
                    </w:tabs>
                    <w:overflowPunct w:val="0"/>
                    <w:ind w:firstLine="709"/>
                    <w:jc w:val="both"/>
                    <w:textAlignment w:val="baseline"/>
                    <w:rPr>
                      <w:szCs w:val="24"/>
                    </w:rPr>
                  </w:pPr>
                  <w:sdt>
                    <w:sdtPr>
                      <w:alias w:val="Numeris"/>
                      <w:tag w:val="nr_02d6b07347b24218858bc3f1558f3dd7"/>
                      <w:lock w:val="sdtLocked"/>
                      <w:richText/>
                    </w:sdtPr>
                    <w:sdtContent>
                      <w:r>
                        <w:rPr>
                          <w:szCs w:val="24"/>
                        </w:rPr>
                        <w:t>20</w:t>
                      </w:r>
                    </w:sdtContent>
                  </w:sdt>
                  <w:r>
                    <w:rPr>
                      <w:szCs w:val="24"/>
                    </w:rPr>
                    <w:t xml:space="preserve">. Esu informuotas (-a), kad mano asmens duomenys yra tvarkomi šiais asmens duomenų tvarkymo tikslais bei teisiniais pagrindais: asmens, teikiančio paramos ar pagalbos paraišką tapatybės nustatymo, paramos ar pagalbos administravimo, mokėjimo ir kontrolės, paramos ar pagalbos viešinimo tikslais įgyvendinant 2013 m. gruodžio 18 d. Komisijos reglamentą </w:t>
                  </w:r>
                  <w:fldSimple w:instr="HYPERLINK http://eur-lex.europa.eu/legal-content/LIT/TXT/?uri=CELEX:32013R1407&amp;locale=lt \t _blank">
                    <w:r>
                      <w:rPr>
                        <w:szCs w:val="24"/>
                        <w:u w:val="single"/>
                        <w:color w:val="0000FF" w:themeColor="hyperlink"/>
                      </w:rPr>
                      <w:t>(ES) Nr. 1407/2013</w:t>
                    </w:r>
                  </w:fldSimple>
                  <w:r>
                    <w:rPr>
                      <w:szCs w:val="24"/>
                    </w:rPr>
                    <w:t xml:space="preserve"> dėl Sutarties dėl Europos Sąjungos veikimo 107 ir 108 straipsnių taikymo </w:t>
                  </w:r>
                  <w:r>
                    <w:rPr>
                      <w:i/>
                      <w:szCs w:val="24"/>
                    </w:rPr>
                    <w:t>de minimis</w:t>
                  </w:r>
                  <w:r>
                    <w:rPr>
                      <w:szCs w:val="24"/>
                    </w:rPr>
                    <w:t xml:space="preserve"> pagalbai, Lietuvos Respublikos tautinio paveldo produktų įstatymą, Valstybės pagalbos žemės ūkiui, maisto ūkiui, žuvininkystei ir kaimo plėtrai ir kitų iš valstybės biudžeto lėšų finansuojamų priemonių bendrąsias administravimo taisykles, patvirtintas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priemonės įgyvendinimo taisyklėse nustatytus reikalavimus.</w:t>
                  </w:r>
                </w:p>
                <w:p w14:paraId="71B09F83" w14:textId="77777777">
                  <w:pPr>
                    <w:widowControl w:val="0"/>
                    <w:suppressAutoHyphens/>
                    <w:overflowPunct w:val="0"/>
                    <w:jc w:val="both"/>
                    <w:textAlignment w:val="center"/>
                    <w:rPr>
                      <w:color w:val="000000"/>
                      <w:szCs w:val="24"/>
                    </w:rPr>
                  </w:pPr>
                </w:p>
                <w:p w14:paraId="1FE46B17" w14:textId="77777777">
                  <w:pPr>
                    <w:widowControl w:val="0"/>
                    <w:suppressAutoHyphens/>
                    <w:overflowPunct w:val="0"/>
                    <w:jc w:val="both"/>
                    <w:textAlignment w:val="center"/>
                    <w:rPr>
                      <w:color w:val="000000"/>
                      <w:szCs w:val="24"/>
                    </w:rPr>
                  </w:pPr>
                </w:p>
                <w:tbl>
                  <w:tblPr>
                    <w:tblW w:w="9637" w:type="dxa"/>
                    <w:tblCellMar>
                      <w:left w:w="0" w:type="dxa"/>
                      <w:right w:w="0" w:type="dxa"/>
                    </w:tblCellMar>
                    <w:tblLook w:val="01E0" w:firstRow="1" w:lastRow="1" w:firstColumn="1" w:lastColumn="1" w:noHBand="0" w:noVBand="0"/>
                  </w:tblPr>
                  <w:tblGrid>
                    <w:gridCol w:w="4514"/>
                    <w:gridCol w:w="2683"/>
                    <w:gridCol w:w="2440"/>
                  </w:tblGrid>
                  <w:tr w14:paraId="778094E6" w14:textId="77777777">
                    <w:tc>
                      <w:tcPr>
                        <w:tcW w:w="2342" w:type="pct"/>
                        <w:hideMark/>
                      </w:tcPr>
                      <w:p w14:paraId="18ED06A2" w14:textId="77777777">
                        <w:pPr>
                          <w:widowControl w:val="0"/>
                          <w:overflowPunct w:val="0"/>
                          <w:jc w:val="center"/>
                          <w:textAlignment w:val="baseline"/>
                          <w:rPr>
                            <w:szCs w:val="24"/>
                          </w:rPr>
                        </w:pPr>
                        <w:r>
                          <w:rPr>
                            <w:szCs w:val="24"/>
                          </w:rPr>
                          <w:t>___________________________________</w:t>
                        </w:r>
                      </w:p>
                      <w:p w14:paraId="58242DF2" w14:textId="77777777">
                        <w:pPr>
                          <w:widowControl w:val="0"/>
                          <w:overflowPunct w:val="0"/>
                          <w:jc w:val="center"/>
                          <w:textAlignment w:val="baseline"/>
                          <w:rPr>
                            <w:szCs w:val="24"/>
                          </w:rPr>
                        </w:pPr>
                        <w:r>
                          <w:rPr>
                            <w:i/>
                            <w:iCs/>
                            <w:sz w:val="22"/>
                            <w:szCs w:val="22"/>
                          </w:rPr>
                          <w:t xml:space="preserve">(juridinio asmens pavadinimas,  vadovo ar įgalioto asmens pareigų pavadinimas)</w:t>
                        </w:r>
                      </w:p>
                    </w:tc>
                    <w:tc>
                      <w:tcPr>
                        <w:tcW w:w="1392" w:type="pct"/>
                        <w:hideMark/>
                      </w:tcPr>
                      <w:p w14:paraId="7F03867C" w14:textId="77777777">
                        <w:pPr>
                          <w:widowControl w:val="0"/>
                          <w:overflowPunct w:val="0"/>
                          <w:jc w:val="center"/>
                          <w:textAlignment w:val="baseline"/>
                          <w:rPr>
                            <w:szCs w:val="24"/>
                          </w:rPr>
                        </w:pPr>
                        <w:r>
                          <w:rPr>
                            <w:szCs w:val="24"/>
                          </w:rPr>
                          <w:t>____________</w:t>
                        </w:r>
                      </w:p>
                      <w:p w14:paraId="454B40A0" w14:textId="77777777">
                        <w:pPr>
                          <w:widowControl w:val="0"/>
                          <w:overflowPunct w:val="0"/>
                          <w:jc w:val="center"/>
                          <w:textAlignment w:val="baseline"/>
                          <w:rPr>
                            <w:szCs w:val="24"/>
                          </w:rPr>
                        </w:pPr>
                        <w:r>
                          <w:rPr>
                            <w:i/>
                            <w:iCs/>
                            <w:sz w:val="22"/>
                            <w:szCs w:val="22"/>
                          </w:rPr>
                          <w:t>(parašas)</w:t>
                        </w:r>
                      </w:p>
                    </w:tc>
                    <w:tc>
                      <w:tcPr>
                        <w:tcW w:w="1266" w:type="pct"/>
                        <w:hideMark/>
                      </w:tcPr>
                      <w:p w14:paraId="72FB2472" w14:textId="77777777">
                        <w:pPr>
                          <w:widowControl w:val="0"/>
                          <w:overflowPunct w:val="0"/>
                          <w:jc w:val="center"/>
                          <w:textAlignment w:val="baseline"/>
                          <w:rPr>
                            <w:szCs w:val="24"/>
                          </w:rPr>
                        </w:pPr>
                        <w:r>
                          <w:rPr>
                            <w:szCs w:val="24"/>
                          </w:rPr>
                          <w:t>__________________</w:t>
                        </w:r>
                      </w:p>
                      <w:p w14:paraId="27B21FF4" w14:textId="77777777">
                        <w:pPr>
                          <w:widowControl w:val="0"/>
                          <w:overflowPunct w:val="0"/>
                          <w:jc w:val="center"/>
                          <w:textAlignment w:val="baseline"/>
                          <w:rPr>
                            <w:szCs w:val="24"/>
                          </w:rPr>
                        </w:pPr>
                        <w:r>
                          <w:rPr>
                            <w:i/>
                            <w:iCs/>
                            <w:sz w:val="22"/>
                            <w:szCs w:val="22"/>
                          </w:rPr>
                          <w:t>(vardas ir pavardė)</w:t>
                        </w:r>
                      </w:p>
                    </w:tc>
                  </w:tr>
                </w:tbl>
                <w:p w14:paraId="357DE576" w14:textId="77777777"/>
                <w:p w14:paraId="39D8B43D" w14:textId="77777777">
                  <w:pPr>
                    <w:widowControl w:val="0"/>
                    <w:overflowPunct w:val="0"/>
                    <w:ind w:left="5387"/>
                    <w:textAlignment w:val="baseline"/>
                    <w:sectPr>
                      <w:pgSz w:w="11907" w:h="16840"/>
                      <w:pgMar w:top="1134" w:right="850" w:bottom="1134" w:left="1418" w:header="567" w:footer="567" w:gutter="0"/>
                      <w:pgNumType w:start="1"/>
                      <w:cols w:space="1296"/>
                      <w:titlePg/>
                      <w:docGrid w:linePitch="326"/>
                    </w:sectPr>
                  </w:pPr>
                </w:p>
              </w:sdtContent>
            </w:sdt>
          </w:sdtContent>
        </w:sdt>
      </w:sdtContent>
    </w:sdt>
    <w:sdt>
      <w:sdtPr>
        <w:alias w:val="2 pr."/>
        <w:tag w:val="part_ade731fcdce14c9ba77c7065e0f5f58b"/>
        <w:lock w:val="sdtLocked"/>
        <w:richText/>
      </w:sdtPr>
      <w:sdtContent>
        <w:p w14:paraId="49874FDE" w14:textId="77777777">
          <w:pPr>
            <w:widowControl w:val="0"/>
            <w:overflowPunct w:val="0"/>
            <w:ind w:left="5387"/>
            <w:textAlignment w:val="baseline"/>
            <w:rPr>
              <w:sz w:val="22"/>
              <w:szCs w:val="22"/>
              <w:lang w:eastAsia="lt-LT"/>
            </w:rPr>
          </w:pPr>
          <w:r>
            <w:rPr>
              <w:sz w:val="22"/>
              <w:szCs w:val="22"/>
              <w:lang w:eastAsia="lt-LT"/>
            </w:rPr>
            <w:t xml:space="preserve">Tautinio paveldo veiklos finansavimo taisyklių </w:t>
          </w:r>
        </w:p>
        <w:p w14:paraId="670FCAF7" w14:textId="77777777">
          <w:pPr>
            <w:widowControl w:val="0"/>
            <w:overflowPunct w:val="0"/>
            <w:ind w:left="5387"/>
            <w:textAlignment w:val="baseline"/>
            <w:rPr>
              <w:sz w:val="22"/>
              <w:szCs w:val="22"/>
              <w:lang w:eastAsia="lt-LT"/>
            </w:rPr>
          </w:pPr>
          <w:sdt>
            <w:sdtPr>
              <w:alias w:val="Numeris"/>
              <w:tag w:val="nr_ade731fcdce14c9ba77c7065e0f5f58b"/>
              <w:lock w:val="sdtLocked"/>
              <w:richText/>
            </w:sdtPr>
            <w:sdtContent>
              <w:r>
                <w:rPr>
                  <w:sz w:val="22"/>
                  <w:szCs w:val="22"/>
                  <w:lang w:eastAsia="lt-LT"/>
                </w:rPr>
                <w:t>2</w:t>
              </w:r>
            </w:sdtContent>
          </w:sdt>
          <w:r>
            <w:rPr>
              <w:sz w:val="22"/>
              <w:szCs w:val="22"/>
              <w:lang w:eastAsia="lt-LT"/>
            </w:rPr>
            <w:t xml:space="preserve"> priedas </w:t>
          </w:r>
        </w:p>
        <w:p w14:paraId="63EA6555" w14:textId="77777777">
          <w:pPr>
            <w:widowControl w:val="0"/>
            <w:overflowPunct w:val="0"/>
            <w:jc w:val="center"/>
            <w:textAlignment w:val="baseline"/>
            <w:rPr>
              <w:szCs w:val="24"/>
              <w:lang w:eastAsia="lt-LT"/>
            </w:rPr>
          </w:pPr>
        </w:p>
        <w:p w14:paraId="323E5488" w14:textId="77777777">
          <w:pPr>
            <w:widowControl w:val="0"/>
            <w:overflowPunct w:val="0"/>
            <w:jc w:val="center"/>
            <w:textAlignment w:val="baseline"/>
            <w:rPr>
              <w:bCs/>
              <w:szCs w:val="24"/>
              <w:lang w:eastAsia="lt-LT"/>
            </w:rPr>
          </w:pPr>
          <w:r>
            <w:rPr>
              <w:bCs/>
              <w:szCs w:val="24"/>
              <w:lang w:eastAsia="lt-LT"/>
            </w:rPr>
            <w:t xml:space="preserve">(Prašymo dėl A kategorijos tautinio paveldo produkto sertifikavimo išlaidų </w:t>
          </w:r>
        </w:p>
        <w:p w14:paraId="1C3DB967" w14:textId="77777777">
          <w:pPr>
            <w:widowControl w:val="0"/>
            <w:overflowPunct w:val="0"/>
            <w:jc w:val="center"/>
            <w:textAlignment w:val="baseline"/>
            <w:rPr>
              <w:bCs/>
              <w:szCs w:val="24"/>
              <w:lang w:eastAsia="lt-LT"/>
            </w:rPr>
          </w:pPr>
          <w:r>
            <w:rPr>
              <w:bCs/>
              <w:szCs w:val="24"/>
              <w:lang w:eastAsia="lt-LT"/>
            </w:rPr>
            <w:t>kompensavimo forma)</w:t>
          </w:r>
        </w:p>
        <w:p w14:paraId="06FE6FA6" w14:textId="77777777">
          <w:pPr>
            <w:widowControl w:val="0"/>
            <w:jc w:val="center"/>
            <w:rPr>
              <w:szCs w:val="24"/>
              <w:lang w:eastAsia="lt-LT"/>
            </w:rPr>
          </w:pPr>
        </w:p>
        <w:p w14:paraId="6A0DF4DD" w14:textId="77777777">
          <w:pPr>
            <w:widowControl w:val="0"/>
            <w:jc w:val="center"/>
            <w:rPr>
              <w:szCs w:val="24"/>
              <w:lang w:eastAsia="lt-LT"/>
            </w:rPr>
          </w:pPr>
        </w:p>
        <w:p w14:paraId="3477C004" w14:textId="77777777">
          <w:pPr>
            <w:widowControl w:val="0"/>
            <w:overflowPunct w:val="0"/>
            <w:jc w:val="center"/>
            <w:textAlignment w:val="baseline"/>
            <w:rPr>
              <w:bCs/>
              <w:szCs w:val="24"/>
              <w:lang w:eastAsia="lt-LT"/>
            </w:rPr>
          </w:pPr>
          <w:r>
            <w:rPr>
              <w:bCs/>
              <w:szCs w:val="24"/>
              <w:lang w:eastAsia="lt-LT"/>
            </w:rPr>
            <w:t>_________________________________________________________________</w:t>
          </w:r>
        </w:p>
        <w:p w14:paraId="710E2B59" w14:textId="77777777">
          <w:pPr>
            <w:widowControl w:val="0"/>
            <w:overflowPunct w:val="0"/>
            <w:jc w:val="center"/>
            <w:textAlignment w:val="baseline"/>
            <w:rPr>
              <w:b/>
              <w:bCs/>
              <w:i/>
              <w:iCs/>
              <w:sz w:val="20"/>
              <w:lang w:eastAsia="lt-LT"/>
            </w:rPr>
          </w:pPr>
          <w:r>
            <w:rPr>
              <w:i/>
              <w:iCs/>
              <w:sz w:val="20"/>
              <w:lang w:eastAsia="lt-LT"/>
            </w:rPr>
            <w:t>(pareiškėjas)</w:t>
          </w:r>
        </w:p>
        <w:p w14:paraId="47A1E3A0" w14:textId="77777777">
          <w:pPr>
            <w:rPr>
              <w:sz w:val="20"/>
            </w:rPr>
          </w:pPr>
        </w:p>
        <w:p w14:paraId="28A6595A" w14:textId="77777777">
          <w:pPr>
            <w:widowControl w:val="0"/>
            <w:tabs>
              <w:tab w:val="left" w:leader="underscore" w:pos="8901"/>
            </w:tabs>
            <w:overflowPunct w:val="0"/>
            <w:jc w:val="center"/>
            <w:textAlignment w:val="baseline"/>
            <w:rPr>
              <w:szCs w:val="24"/>
              <w:lang w:eastAsia="lt-LT"/>
            </w:rPr>
          </w:pPr>
          <w:r>
            <w:rPr>
              <w:szCs w:val="24"/>
              <w:lang w:eastAsia="lt-LT"/>
            </w:rPr>
            <w:t>________________________________________________________________________________</w:t>
          </w:r>
        </w:p>
        <w:p w14:paraId="10BE9E93" w14:textId="77777777">
          <w:pPr>
            <w:widowControl w:val="0"/>
            <w:overflowPunct w:val="0"/>
            <w:jc w:val="center"/>
            <w:textAlignment w:val="baseline"/>
            <w:rPr>
              <w:i/>
              <w:iCs/>
              <w:sz w:val="20"/>
              <w:lang w:eastAsia="lt-LT"/>
            </w:rPr>
          </w:pPr>
          <w:r>
            <w:rPr>
              <w:i/>
              <w:iCs/>
              <w:sz w:val="20"/>
              <w:lang w:eastAsia="lt-LT"/>
            </w:rPr>
            <w:t>(pareiškėjo kodas, adresas)</w:t>
          </w:r>
        </w:p>
        <w:p w14:paraId="7BD62ED0" w14:textId="77777777">
          <w:pPr>
            <w:widowControl w:val="0"/>
            <w:tabs>
              <w:tab w:val="left" w:leader="underscore" w:pos="8901"/>
            </w:tabs>
            <w:overflowPunct w:val="0"/>
            <w:jc w:val="center"/>
            <w:textAlignment w:val="baseline"/>
            <w:rPr>
              <w:szCs w:val="24"/>
              <w:lang w:eastAsia="lt-LT"/>
            </w:rPr>
          </w:pPr>
        </w:p>
        <w:p w14:paraId="62CED15B" w14:textId="77777777">
          <w:pPr>
            <w:widowControl w:val="0"/>
            <w:tabs>
              <w:tab w:val="left" w:leader="underscore" w:pos="8901"/>
            </w:tabs>
            <w:overflowPunct w:val="0"/>
            <w:jc w:val="center"/>
            <w:textAlignment w:val="baseline"/>
            <w:rPr>
              <w:szCs w:val="24"/>
              <w:lang w:eastAsia="lt-LT"/>
            </w:rPr>
          </w:pPr>
          <w:r>
            <w:rPr>
              <w:szCs w:val="24"/>
              <w:lang w:eastAsia="lt-LT"/>
            </w:rPr>
            <w:t>________________________________________________________________________________</w:t>
          </w:r>
        </w:p>
        <w:p w14:paraId="33426A33" w14:textId="77777777">
          <w:pPr>
            <w:widowControl w:val="0"/>
            <w:overflowPunct w:val="0"/>
            <w:jc w:val="center"/>
            <w:textAlignment w:val="baseline"/>
            <w:rPr>
              <w:i/>
              <w:iCs/>
              <w:sz w:val="20"/>
              <w:lang w:eastAsia="lt-LT"/>
            </w:rPr>
          </w:pPr>
          <w:r>
            <w:rPr>
              <w:i/>
              <w:iCs/>
              <w:sz w:val="20"/>
              <w:lang w:eastAsia="lt-LT"/>
            </w:rPr>
            <w:t>(pareiškėjo tel., el. paštas)</w:t>
          </w:r>
        </w:p>
        <w:p w14:paraId="15F0EDB6" w14:textId="77777777">
          <w:pPr>
            <w:widowControl w:val="0"/>
            <w:overflowPunct w:val="0"/>
            <w:jc w:val="center"/>
            <w:textAlignment w:val="baseline"/>
            <w:rPr>
              <w:sz w:val="20"/>
              <w:lang w:eastAsia="lt-LT"/>
            </w:rPr>
          </w:pPr>
        </w:p>
        <w:p w14:paraId="56DC2805" w14:textId="77777777">
          <w:pPr>
            <w:widowControl w:val="0"/>
            <w:tabs>
              <w:tab w:val="left" w:leader="underscore" w:pos="8901"/>
            </w:tabs>
            <w:overflowPunct w:val="0"/>
            <w:jc w:val="center"/>
            <w:textAlignment w:val="baseline"/>
            <w:rPr>
              <w:szCs w:val="24"/>
              <w:lang w:eastAsia="lt-LT"/>
            </w:rPr>
          </w:pPr>
          <w:r>
            <w:rPr>
              <w:szCs w:val="24"/>
              <w:lang w:eastAsia="lt-LT"/>
            </w:rPr>
            <w:t>________________________________________________________________________________</w:t>
          </w:r>
        </w:p>
        <w:p w14:paraId="56F83DE7" w14:textId="77777777">
          <w:pPr>
            <w:widowControl w:val="0"/>
            <w:jc w:val="center"/>
            <w:rPr>
              <w:i/>
              <w:iCs/>
              <w:sz w:val="20"/>
              <w:lang w:eastAsia="lt-LT"/>
            </w:rPr>
          </w:pPr>
          <w:r>
            <w:rPr>
              <w:i/>
              <w:iCs/>
              <w:sz w:val="20"/>
              <w:lang w:eastAsia="lt-LT"/>
            </w:rPr>
            <w:t>(sertifikato numeris, išdavimo data)</w:t>
          </w:r>
        </w:p>
        <w:p w14:paraId="0C6BAAF3" w14:textId="77777777">
          <w:pPr>
            <w:widowControl w:val="0"/>
            <w:overflowPunct w:val="0"/>
            <w:jc w:val="both"/>
            <w:textAlignment w:val="baseline"/>
            <w:rPr>
              <w:szCs w:val="24"/>
              <w:lang w:eastAsia="lt-LT"/>
            </w:rPr>
          </w:pPr>
        </w:p>
        <w:p w14:paraId="1989F290" w14:textId="77777777">
          <w:pPr>
            <w:widowControl w:val="0"/>
            <w:overflowPunct w:val="0"/>
            <w:jc w:val="both"/>
            <w:textAlignment w:val="baseline"/>
            <w:rPr>
              <w:szCs w:val="24"/>
              <w:lang w:eastAsia="lt-LT"/>
            </w:rPr>
          </w:pPr>
          <w:r>
            <w:rPr>
              <w:szCs w:val="24"/>
              <w:lang w:eastAsia="lt-LT"/>
            </w:rPr>
            <w:t>Lietuvos Respublikos</w:t>
          </w:r>
        </w:p>
        <w:p w14:paraId="5C2B4053" w14:textId="77777777">
          <w:pPr>
            <w:widowControl w:val="0"/>
            <w:overflowPunct w:val="0"/>
            <w:jc w:val="both"/>
            <w:textAlignment w:val="baseline"/>
            <w:rPr>
              <w:szCs w:val="24"/>
              <w:lang w:eastAsia="lt-LT"/>
            </w:rPr>
          </w:pPr>
          <w:r>
            <w:rPr>
              <w:szCs w:val="24"/>
              <w:lang w:eastAsia="lt-LT"/>
            </w:rPr>
            <w:t>žemės ūkio ministerijai</w:t>
          </w:r>
        </w:p>
        <w:p w14:paraId="024F8AF8" w14:textId="77777777">
          <w:pPr>
            <w:widowControl w:val="0"/>
            <w:ind w:firstLine="720"/>
            <w:rPr>
              <w:szCs w:val="24"/>
              <w:lang w:eastAsia="lt-LT"/>
            </w:rPr>
          </w:pPr>
        </w:p>
        <w:sdt>
          <w:sdtPr>
            <w:alias w:val="skirsnis"/>
            <w:tag w:val="part_a29824284f02408990410e6b11bb0443"/>
            <w:lock w:val="sdtLocked"/>
            <w:richText/>
          </w:sdtPr>
          <w:sdtContent>
            <w:sdt>
              <w:sdtPr>
                <w:alias w:val="Pavadinimas"/>
                <w:tag w:val="title_a29824284f02408990410e6b11bb0443"/>
                <w:lock w:val="sdtLocked"/>
                <w:richText/>
              </w:sdtPr>
              <w:sdtContent>
                <w:p w14:paraId="40930544" w14:textId="77777777">
                  <w:pPr>
                    <w:jc w:val="center"/>
                    <w:rPr>
                      <w:b/>
                      <w:szCs w:val="24"/>
                      <w:lang w:eastAsia="lt-LT"/>
                    </w:rPr>
                  </w:pPr>
                  <w:r>
                    <w:rPr>
                      <w:b/>
                      <w:szCs w:val="24"/>
                      <w:lang w:eastAsia="lt-LT"/>
                    </w:rPr>
                    <w:t>PRAŠYMAS</w:t>
                  </w:r>
                </w:p>
                <w:p w14:paraId="633DCBE2" w14:textId="77777777">
                  <w:pPr>
                    <w:jc w:val="center"/>
                    <w:rPr>
                      <w:b/>
                      <w:szCs w:val="24"/>
                      <w:lang w:eastAsia="lt-LT"/>
                    </w:rPr>
                  </w:pPr>
                  <w:r>
                    <w:rPr>
                      <w:b/>
                      <w:szCs w:val="24"/>
                      <w:lang w:eastAsia="lt-LT"/>
                    </w:rPr>
                    <w:t>DĖL A KATEGORIJOS TAUTINIO PAVELDO PRODUKTO SERTIFIKAVIMO IŠLAIDŲ KOMPENSAVIMO</w:t>
                  </w:r>
                </w:p>
              </w:sdtContent>
            </w:sdt>
            <w:p w14:paraId="54C38733" w14:textId="77777777">
              <w:pPr>
                <w:widowControl w:val="0"/>
                <w:overflowPunct w:val="0"/>
                <w:ind w:firstLine="720"/>
                <w:jc w:val="both"/>
                <w:textAlignment w:val="baseline"/>
                <w:rPr>
                  <w:bCs/>
                  <w:szCs w:val="24"/>
                  <w:lang w:eastAsia="lt-LT"/>
                </w:rPr>
              </w:pPr>
            </w:p>
            <w:p w14:paraId="6C269128" w14:textId="77777777">
              <w:pPr>
                <w:widowControl w:val="0"/>
                <w:overflowPunct w:val="0"/>
                <w:jc w:val="center"/>
                <w:textAlignment w:val="baseline"/>
                <w:rPr>
                  <w:szCs w:val="24"/>
                  <w:lang w:eastAsia="lt-LT"/>
                </w:rPr>
              </w:pPr>
              <w:r>
                <w:rPr>
                  <w:szCs w:val="24"/>
                  <w:lang w:eastAsia="lt-LT"/>
                </w:rPr>
                <w:t>______________________________</w:t>
              </w:r>
            </w:p>
            <w:p w14:paraId="1E9B9F5F" w14:textId="77777777">
              <w:pPr>
                <w:widowControl w:val="0"/>
                <w:overflowPunct w:val="0"/>
                <w:jc w:val="center"/>
                <w:textAlignment w:val="baseline"/>
                <w:rPr>
                  <w:i/>
                  <w:iCs/>
                  <w:sz w:val="20"/>
                  <w:lang w:eastAsia="lt-LT"/>
                </w:rPr>
              </w:pPr>
              <w:r>
                <w:rPr>
                  <w:i/>
                  <w:iCs/>
                  <w:sz w:val="20"/>
                  <w:lang w:eastAsia="lt-LT"/>
                </w:rPr>
                <w:t>(data)</w:t>
              </w:r>
            </w:p>
            <w:p w14:paraId="533DD275" w14:textId="77777777">
              <w:pPr>
                <w:widowControl w:val="0"/>
                <w:ind w:firstLine="720"/>
                <w:rPr>
                  <w:szCs w:val="24"/>
                  <w:lang w:eastAsia="lt-LT"/>
                </w:rPr>
              </w:pPr>
            </w:p>
            <w:p w14:paraId="05BFAF45" w14:textId="77777777">
              <w:pPr>
                <w:widowControl w:val="0"/>
                <w:tabs>
                  <w:tab w:val="right" w:leader="underscore" w:pos="9638"/>
                </w:tabs>
                <w:overflowPunct w:val="0"/>
                <w:spacing w:line="360" w:lineRule="auto"/>
                <w:ind w:firstLine="720"/>
                <w:jc w:val="both"/>
                <w:textAlignment w:val="baseline"/>
                <w:rPr>
                  <w:i/>
                  <w:iCs/>
                  <w:szCs w:val="24"/>
                  <w:lang w:eastAsia="lt-LT"/>
                </w:rPr>
              </w:pPr>
              <w:r>
                <w:rPr>
                  <w:szCs w:val="24"/>
                  <w:lang w:eastAsia="lt-LT"/>
                </w:rPr>
                <w:t xml:space="preserve">Prašau kompensuoti A kategorijos tautinio paveldo produkto sertifikavimo išlaidas </w:t>
                <w:tab/>
                <w:t xml:space="preserve">______________________________________________________ Eur, pervedant į sąskaitą Nr. /L/T/__/__/__/__/__/__/__/__/__/__/__/__/__/__/__/__/__/__/ </w:t>
              </w:r>
              <w:r>
                <w:rPr>
                  <w:i/>
                  <w:iCs/>
                  <w:szCs w:val="24"/>
                  <w:lang w:eastAsia="lt-LT"/>
                </w:rPr>
                <w:t>________________________ banke.</w:t>
              </w:r>
            </w:p>
            <w:p w14:paraId="25B39899" w14:textId="77777777">
              <w:pPr>
                <w:widowControl w:val="0"/>
                <w:tabs>
                  <w:tab w:val="right" w:leader="underscore" w:pos="9638"/>
                </w:tabs>
                <w:overflowPunct w:val="0"/>
                <w:ind w:firstLine="6662"/>
                <w:jc w:val="both"/>
                <w:textAlignment w:val="baseline"/>
                <w:rPr>
                  <w:i/>
                  <w:iCs/>
                  <w:sz w:val="20"/>
                  <w:lang w:eastAsia="lt-LT"/>
                </w:rPr>
              </w:pPr>
              <w:r>
                <w:rPr>
                  <w:i/>
                  <w:iCs/>
                  <w:sz w:val="20"/>
                  <w:lang w:eastAsia="lt-LT"/>
                </w:rPr>
                <w:t xml:space="preserve">(banko pavadinimas) </w:t>
              </w:r>
            </w:p>
            <w:p w14:paraId="75F1F7B3" w14:textId="77777777">
              <w:pPr>
                <w:widowControl w:val="0"/>
                <w:ind w:firstLine="720"/>
                <w:rPr>
                  <w:i/>
                  <w:iCs/>
                  <w:szCs w:val="24"/>
                  <w:lang w:eastAsia="lt-LT"/>
                </w:rPr>
              </w:pPr>
            </w:p>
            <w:p w14:paraId="5EB8913A" w14:textId="77777777">
              <w:pPr>
                <w:widowControl w:val="0"/>
                <w:overflowPunct w:val="0"/>
                <w:spacing w:line="276" w:lineRule="auto"/>
                <w:ind w:firstLine="720"/>
                <w:jc w:val="both"/>
                <w:textAlignment w:val="baseline"/>
                <w:rPr>
                  <w:szCs w:val="24"/>
                  <w:lang w:eastAsia="lt-LT"/>
                </w:rPr>
              </w:pPr>
              <w:r>
                <w:rPr>
                  <w:szCs w:val="24"/>
                  <w:lang w:eastAsia="lt-LT"/>
                </w:rPr>
                <w:t>Patvirtinu, kad:</w:t>
              </w:r>
            </w:p>
            <w:sdt>
              <w:sdtPr>
                <w:alias w:val="2 pr. 1 p."/>
                <w:tag w:val="part_5bbf9b9704f1424baf214040e2e6d3af"/>
                <w:lock w:val="sdtLocked"/>
                <w:richText/>
              </w:sdtPr>
              <w:sdtContent>
                <w:p w14:paraId="69A83A01" w14:textId="77777777">
                  <w:pPr>
                    <w:widowControl w:val="0"/>
                    <w:tabs>
                      <w:tab w:val="left" w:pos="993"/>
                    </w:tabs>
                    <w:overflowPunct w:val="0"/>
                    <w:spacing w:line="276" w:lineRule="auto"/>
                    <w:ind w:firstLine="720"/>
                    <w:jc w:val="both"/>
                    <w:textAlignment w:val="baseline"/>
                    <w:rPr>
                      <w:szCs w:val="24"/>
                      <w:lang w:eastAsia="lt-LT"/>
                    </w:rPr>
                  </w:pPr>
                  <w:sdt>
                    <w:sdtPr>
                      <w:alias w:val="Numeris"/>
                      <w:tag w:val="nr_5bbf9b9704f1424baf214040e2e6d3af"/>
                      <w:lock w:val="sdtLocked"/>
                      <w:richText/>
                    </w:sdtPr>
                    <w:sdtContent>
                      <w:r>
                        <w:rPr>
                          <w:szCs w:val="24"/>
                          <w:lang w:eastAsia="lt-LT"/>
                        </w:rPr>
                        <w:t>1</w:t>
                      </w:r>
                    </w:sdtContent>
                  </w:sdt>
                  <w:r>
                    <w:rPr>
                      <w:szCs w:val="24"/>
                      <w:lang w:eastAsia="lt-LT"/>
                    </w:rPr>
                    <w:t>. esu laikomas tinkamu pareiškėju pagal Tautinio paveldo veiklos subjektų finansavimo taisyklių V skyrių;</w:t>
                  </w:r>
                </w:p>
              </w:sdtContent>
            </w:sdt>
            <w:sdt>
              <w:sdtPr>
                <w:alias w:val="2 pr. 2 p."/>
                <w:tag w:val="part_da74ab977c824393ad4f7a09545a2e66"/>
                <w:lock w:val="sdtLocked"/>
                <w:richText/>
              </w:sdtPr>
              <w:sdtContent>
                <w:p w14:paraId="75C633B1" w14:textId="77777777">
                  <w:pPr>
                    <w:widowControl w:val="0"/>
                    <w:overflowPunct w:val="0"/>
                    <w:spacing w:line="276" w:lineRule="auto"/>
                    <w:ind w:firstLine="720"/>
                    <w:jc w:val="both"/>
                    <w:textAlignment w:val="baseline"/>
                    <w:rPr>
                      <w:color w:val="000000"/>
                      <w:szCs w:val="24"/>
                      <w:lang w:eastAsia="lt-LT"/>
                    </w:rPr>
                  </w:pPr>
                  <w:sdt>
                    <w:sdtPr>
                      <w:alias w:val="Numeris"/>
                      <w:tag w:val="nr_da74ab977c824393ad4f7a09545a2e66"/>
                      <w:lock w:val="sdtLocked"/>
                      <w:richText/>
                    </w:sdtPr>
                    <w:sdtContent>
                      <w:r>
                        <w:rPr>
                          <w:szCs w:val="24"/>
                          <w:lang w:eastAsia="lt-LT"/>
                        </w:rPr>
                        <w:t>2</w:t>
                      </w:r>
                    </w:sdtContent>
                  </w:sdt>
                  <w:r>
                    <w:rPr>
                      <w:szCs w:val="24"/>
                      <w:lang w:eastAsia="lt-LT"/>
                    </w:rPr>
                    <w:t xml:space="preserve">. </w:t>
                  </w:r>
                  <w:r>
                    <w:rPr>
                      <w:color w:val="000000"/>
                      <w:szCs w:val="24"/>
                      <w:lang w:eastAsia="lt-LT"/>
                    </w:rPr>
                    <w:t>nurodyta atsiskaitomoji sąskaita priklauso man ir prisiimu visą atsakomybę dėl nuostolių, kurie gali atsirasti klaidingai nurodžius sąskaitos numerį.</w:t>
                  </w:r>
                </w:p>
                <w:p w14:paraId="4FBA0CC1" w14:textId="77777777">
                  <w:pPr>
                    <w:widowControl w:val="0"/>
                    <w:spacing w:line="276" w:lineRule="auto"/>
                    <w:ind w:firstLine="720"/>
                    <w:rPr>
                      <w:szCs w:val="24"/>
                      <w:lang w:eastAsia="lt-LT"/>
                    </w:rPr>
                  </w:pPr>
                </w:p>
                <w:p w14:paraId="2F8820E8" w14:textId="77777777">
                  <w:pPr>
                    <w:widowControl w:val="0"/>
                    <w:spacing w:line="276" w:lineRule="auto"/>
                    <w:ind w:firstLine="720"/>
                    <w:rPr>
                      <w:szCs w:val="24"/>
                      <w:lang w:eastAsia="lt-LT"/>
                    </w:rPr>
                  </w:pPr>
                </w:p>
                <w:p w14:paraId="14632120" w14:textId="77777777">
                  <w:pPr>
                    <w:widowControl w:val="0"/>
                    <w:overflowPunct w:val="0"/>
                    <w:spacing w:line="276" w:lineRule="auto"/>
                    <w:ind w:firstLine="720"/>
                    <w:jc w:val="both"/>
                    <w:textAlignment w:val="baseline"/>
                    <w:rPr>
                      <w:szCs w:val="24"/>
                      <w:lang w:eastAsia="lt-LT"/>
                    </w:rPr>
                  </w:pPr>
                  <w:r>
                    <w:rPr>
                      <w:szCs w:val="24"/>
                      <w:lang w:eastAsia="lt-LT"/>
                    </w:rPr>
                    <w:t xml:space="preserve">PRIDEDAMA </w:t>
                  </w:r>
                  <w:r>
                    <w:rPr>
                      <w:i/>
                      <w:sz w:val="22"/>
                      <w:szCs w:val="22"/>
                      <w:lang w:eastAsia="lt-LT"/>
                    </w:rPr>
                    <w:t>(pridedamus pažymėti ženklu „X“)</w:t>
                  </w:r>
                  <w:r>
                    <w:rPr>
                      <w:szCs w:val="24"/>
                      <w:lang w:eastAsia="lt-LT"/>
                    </w:rPr>
                    <w:t>:</w:t>
                  </w:r>
                </w:p>
                <w:p w14:paraId="39FA8EFC" w14:textId="77777777">
                  <w:pPr>
                    <w:widowControl w:val="0"/>
                    <w:overflowPunct w:val="0"/>
                    <w:spacing w:line="276" w:lineRule="auto"/>
                    <w:ind w:firstLine="720"/>
                    <w:jc w:val="both"/>
                    <w:textAlignment w:val="baseline"/>
                    <w:rPr>
                      <w:szCs w:val="24"/>
                      <w:lang w:eastAsia="lt-LT"/>
                    </w:rPr>
                  </w:pPr>
                  <w:r>
                    <w:rPr>
                      <w:rFonts w:eastAsia="MS Mincho"/>
                      <w:szCs w:val="24"/>
                      <w:lang w:eastAsia="lt-LT"/>
                    </w:rPr>
                    <w:t>□</w:t>
                  </w:r>
                  <w:r>
                    <w:rPr>
                      <w:szCs w:val="24"/>
                      <w:lang w:eastAsia="lt-LT"/>
                    </w:rPr>
                    <w:t xml:space="preserve"> A kategorijos tautinio paveldo produkto sertifikato (-ų) kopija (-os). </w:t>
                  </w:r>
                </w:p>
                <w:p w14:paraId="5C4C2287" w14:textId="77777777">
                  <w:pPr>
                    <w:widowControl w:val="0"/>
                    <w:overflowPunct w:val="0"/>
                    <w:spacing w:line="276" w:lineRule="auto"/>
                    <w:ind w:firstLine="720"/>
                    <w:jc w:val="both"/>
                    <w:textAlignment w:val="baseline"/>
                    <w:rPr>
                      <w:szCs w:val="24"/>
                      <w:lang w:eastAsia="lt-LT"/>
                    </w:rPr>
                  </w:pPr>
                  <w:r>
                    <w:rPr>
                      <w:rFonts w:eastAsia="MS Mincho"/>
                      <w:szCs w:val="24"/>
                      <w:lang w:eastAsia="lt-LT"/>
                    </w:rPr>
                    <w:t>□</w:t>
                  </w:r>
                  <w:r>
                    <w:rPr>
                      <w:szCs w:val="24"/>
                      <w:lang w:eastAsia="lt-LT"/>
                    </w:rPr>
                    <w:t xml:space="preserve"> Išlaidų apmokėjimo įrodymo dokumentas.</w:t>
                  </w:r>
                </w:p>
                <w:p w14:paraId="6FD56BBB" w14:textId="77777777">
                  <w:pPr>
                    <w:widowControl w:val="0"/>
                    <w:spacing w:line="276" w:lineRule="auto"/>
                    <w:ind w:firstLine="720"/>
                    <w:rPr>
                      <w:szCs w:val="24"/>
                      <w:lang w:eastAsia="lt-LT"/>
                    </w:rPr>
                  </w:pPr>
                </w:p>
                <w:tbl>
                  <w:tblPr>
                    <w:tblW w:w="5000" w:type="pct"/>
                    <w:tblCellMar>
                      <w:left w:w="0" w:type="dxa"/>
                      <w:right w:w="0" w:type="dxa"/>
                    </w:tblCellMar>
                    <w:tblLook w:val="01E0" w:firstRow="1" w:lastRow="1" w:firstColumn="1" w:lastColumn="1" w:noHBand="0" w:noVBand="0"/>
                  </w:tblPr>
                  <w:tblGrid>
                    <w:gridCol w:w="3491"/>
                    <w:gridCol w:w="6147"/>
                  </w:tblGrid>
                  <w:tr w14:paraId="340D6DB5" w14:textId="77777777">
                    <w:trPr>
                      <w:trHeight w:val="705"/>
                    </w:trPr>
                    <w:tc>
                      <w:tcPr>
                        <w:tcW w:w="1811" w:type="pct"/>
                        <w:hideMark/>
                      </w:tcPr>
                      <w:p w14:paraId="6992EB34" w14:textId="77777777">
                        <w:pPr>
                          <w:widowControl w:val="0"/>
                          <w:overflowPunct w:val="0"/>
                          <w:spacing w:line="276" w:lineRule="auto"/>
                          <w:ind w:right="846" w:firstLine="851"/>
                          <w:textAlignment w:val="baseline"/>
                          <w:rPr>
                            <w:szCs w:val="24"/>
                            <w:lang w:eastAsia="lt-LT"/>
                          </w:rPr>
                        </w:pPr>
                        <w:r>
                          <w:rPr>
                            <w:szCs w:val="24"/>
                            <w:lang w:eastAsia="lt-LT"/>
                          </w:rPr>
                          <w:t>______________</w:t>
                        </w:r>
                      </w:p>
                      <w:p w14:paraId="445616E9" w14:textId="77777777">
                        <w:pPr>
                          <w:widowControl w:val="0"/>
                          <w:overflowPunct w:val="0"/>
                          <w:spacing w:line="276" w:lineRule="auto"/>
                          <w:ind w:firstLine="1276"/>
                          <w:textAlignment w:val="baseline"/>
                          <w:rPr>
                            <w:i/>
                            <w:sz w:val="20"/>
                            <w:lang w:eastAsia="lt-LT"/>
                          </w:rPr>
                        </w:pPr>
                        <w:r>
                          <w:rPr>
                            <w:i/>
                            <w:sz w:val="20"/>
                            <w:lang w:eastAsia="lt-LT"/>
                          </w:rPr>
                          <w:t>(parašas)</w:t>
                        </w:r>
                      </w:p>
                    </w:tc>
                    <w:tc>
                      <w:tcPr>
                        <w:tcW w:w="3189" w:type="pct"/>
                        <w:hideMark/>
                      </w:tcPr>
                      <w:p w14:paraId="35B9CD80" w14:textId="77777777">
                        <w:pPr>
                          <w:widowControl w:val="0"/>
                          <w:overflowPunct w:val="0"/>
                          <w:spacing w:line="276" w:lineRule="auto"/>
                          <w:ind w:firstLine="4"/>
                          <w:jc w:val="center"/>
                          <w:textAlignment w:val="baseline"/>
                          <w:rPr>
                            <w:i/>
                            <w:sz w:val="22"/>
                            <w:szCs w:val="22"/>
                            <w:lang w:eastAsia="lt-LT"/>
                          </w:rPr>
                        </w:pPr>
                        <w:r>
                          <w:rPr>
                            <w:szCs w:val="24"/>
                            <w:lang w:eastAsia="lt-LT"/>
                          </w:rPr>
                          <w:t>___________________________________________________</w:t>
                        </w:r>
                        <w:r>
                          <w:rPr>
                            <w:i/>
                            <w:sz w:val="20"/>
                            <w:lang w:eastAsia="lt-LT"/>
                          </w:rPr>
                          <w:t xml:space="preserve">                               pareiškėjo vardas ir pavardė</w:t>
                        </w:r>
                      </w:p>
                    </w:tc>
                  </w:tr>
                </w:tbl>
                <w:p w14:paraId="02369A2A" w14:textId="77777777">
                  <w:pPr>
                    <w:overflowPunct w:val="0"/>
                    <w:spacing w:line="360" w:lineRule="auto"/>
                    <w:jc w:val="both"/>
                    <w:textAlignment w:val="baseline"/>
                  </w:pPr>
                </w:p>
              </w:sdtContent>
            </w:sdt>
          </w:sdtContent>
        </w:sdt>
      </w:sdtContent>
    </w:sdt>
    <w:sdt>
      <w:sdtPr>
        <w:alias w:val="3 pr."/>
        <w:tag w:val="part_c75c1eb752504a07b6dad847410a69b0"/>
        <w:lock w:val="sdtLocked"/>
        <w:richText/>
      </w:sdtPr>
      <w:sdtContent>
        <w:p w14:paraId="5A345062" w14:textId="77777777">
          <w:pPr>
            <w:widowControl w:val="0"/>
            <w:overflowPunct w:val="0"/>
            <w:ind w:left="5102"/>
            <w:jc w:val="both"/>
            <w:textAlignment w:val="baseline"/>
            <w:rPr>
              <w:sz w:val="22"/>
              <w:szCs w:val="22"/>
            </w:rPr>
          </w:pPr>
          <w:r>
            <w:rPr>
              <w:sz w:val="22"/>
              <w:szCs w:val="22"/>
            </w:rPr>
            <w:t>Tautinio paveldo veiklos finansavimo taisyklių</w:t>
          </w:r>
        </w:p>
        <w:p w14:paraId="23FCADF9" w14:textId="77777777">
          <w:pPr>
            <w:widowControl w:val="0"/>
            <w:overflowPunct w:val="0"/>
            <w:ind w:left="5102"/>
            <w:jc w:val="both"/>
            <w:textAlignment w:val="baseline"/>
            <w:rPr>
              <w:sz w:val="22"/>
              <w:szCs w:val="22"/>
            </w:rPr>
          </w:pPr>
          <w:sdt>
            <w:sdtPr>
              <w:alias w:val="Numeris"/>
              <w:tag w:val="nr_c75c1eb752504a07b6dad847410a69b0"/>
              <w:lock w:val="sdtLocked"/>
              <w:richText/>
            </w:sdtPr>
            <w:sdtContent>
              <w:r>
                <w:rPr>
                  <w:sz w:val="22"/>
                  <w:szCs w:val="22"/>
                </w:rPr>
                <w:t>3</w:t>
              </w:r>
            </w:sdtContent>
          </w:sdt>
          <w:r>
            <w:rPr>
              <w:sz w:val="22"/>
              <w:szCs w:val="22"/>
            </w:rPr>
            <w:t xml:space="preserve"> priedas</w:t>
          </w:r>
        </w:p>
        <w:p w14:paraId="2FAAF24A" w14:textId="77777777">
          <w:pPr>
            <w:widowControl w:val="0"/>
            <w:overflowPunct w:val="0"/>
            <w:jc w:val="center"/>
            <w:textAlignment w:val="baseline"/>
            <w:rPr>
              <w:sz w:val="22"/>
              <w:szCs w:val="22"/>
            </w:rPr>
          </w:pPr>
        </w:p>
        <w:p w14:paraId="4C1DC9A3" w14:textId="77777777">
          <w:pPr>
            <w:widowControl w:val="0"/>
            <w:overflowPunct w:val="0"/>
            <w:jc w:val="center"/>
            <w:textAlignment w:val="baseline"/>
            <w:rPr>
              <w:bCs/>
              <w:szCs w:val="24"/>
            </w:rPr>
          </w:pPr>
          <w:r>
            <w:rPr>
              <w:bCs/>
              <w:szCs w:val="24"/>
            </w:rPr>
            <w:t xml:space="preserve">(Ataskaitos </w:t>
          </w:r>
          <w:r>
            <w:rPr>
              <w:bCs/>
              <w:color w:val="000000"/>
              <w:szCs w:val="24"/>
              <w:lang w:eastAsia="lt-LT"/>
            </w:rPr>
            <w:t xml:space="preserve">apie projekto, finansuoto </w:t>
          </w:r>
          <w:r>
            <w:rPr>
              <w:bCs/>
              <w:szCs w:val="24"/>
            </w:rPr>
            <w:t>pagal Tautinio paveldo veiklos finansavimo taisykles,</w:t>
          </w:r>
          <w:r>
            <w:rPr>
              <w:bCs/>
              <w:color w:val="000000"/>
              <w:szCs w:val="24"/>
              <w:lang w:eastAsia="lt-LT"/>
            </w:rPr>
            <w:t xml:space="preserve"> įvykdymo rezultatus </w:t>
          </w:r>
          <w:r>
            <w:rPr>
              <w:bCs/>
              <w:szCs w:val="24"/>
            </w:rPr>
            <w:t>forma)</w:t>
          </w:r>
        </w:p>
        <w:p w14:paraId="2DCD5A5E" w14:textId="77777777">
          <w:pPr>
            <w:widowControl w:val="0"/>
            <w:overflowPunct w:val="0"/>
            <w:jc w:val="center"/>
            <w:textAlignment w:val="baseline"/>
            <w:rPr>
              <w:szCs w:val="24"/>
            </w:rPr>
          </w:pPr>
        </w:p>
        <w:p w14:paraId="3A108E0F" w14:textId="77777777">
          <w:pPr>
            <w:widowControl w:val="0"/>
            <w:overflowPunct w:val="0"/>
            <w:jc w:val="center"/>
            <w:textAlignment w:val="baseline"/>
            <w:rPr>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14:paraId="6949B79A" w14:textId="77777777">
            <w:tc>
              <w:tcPr>
                <w:tcW w:w="9629" w:type="dxa"/>
              </w:tcPr>
              <w:p w14:paraId="28269AFC" w14:textId="77777777">
                <w:pPr>
                  <w:widowControl w:val="0"/>
                  <w:overflowPunct w:val="0"/>
                  <w:jc w:val="center"/>
                  <w:textAlignment w:val="baseline"/>
                  <w:rPr>
                    <w:bCs/>
                    <w:szCs w:val="24"/>
                  </w:rPr>
                </w:pPr>
                <w:r>
                  <w:rPr>
                    <w:color w:val="808080"/>
                  </w:rPr>
                  <w:t>Norėdami įrašyti vardą ir pavardę, spustelėkite arba bakstelėkite čia</w:t>
                </w:r>
              </w:p>
              <w:p w14:paraId="6C147E99" w14:textId="77777777">
                <w:pPr>
                  <w:widowControl w:val="0"/>
                  <w:overflowPunct w:val="0"/>
                  <w:jc w:val="center"/>
                  <w:textAlignment w:val="baseline"/>
                  <w:rPr>
                    <w:i/>
                    <w:iCs/>
                    <w:sz w:val="20"/>
                  </w:rPr>
                </w:pPr>
              </w:p>
            </w:tc>
          </w:tr>
        </w:tbl>
        <w:p w14:paraId="4C15913F" w14:textId="77777777">
          <w:pPr>
            <w:widowControl w:val="0"/>
            <w:overflowPunct w:val="0"/>
            <w:jc w:val="center"/>
            <w:textAlignment w:val="baseline"/>
            <w:rPr>
              <w:i/>
              <w:iCs/>
              <w:sz w:val="20"/>
            </w:rPr>
          </w:pPr>
          <w:r>
            <w:rPr>
              <w:i/>
              <w:iCs/>
              <w:sz w:val="20"/>
            </w:rPr>
            <w:t>(projekto vykdytojas)</w:t>
          </w:r>
        </w:p>
        <w:p w14:paraId="7271F2DA" w14:textId="77777777">
          <w:pPr>
            <w:widowControl w:val="0"/>
            <w:overflowPunct w:val="0"/>
            <w:jc w:val="both"/>
            <w:textAlignment w:val="baseline"/>
            <w:rPr>
              <w:szCs w:val="24"/>
            </w:rPr>
          </w:pPr>
        </w:p>
        <w:p w14:paraId="187E94A7" w14:textId="77777777">
          <w:pPr>
            <w:widowControl w:val="0"/>
            <w:overflowPunct w:val="0"/>
            <w:jc w:val="both"/>
            <w:textAlignment w:val="baseline"/>
            <w:rPr>
              <w:szCs w:val="24"/>
            </w:rPr>
          </w:pPr>
          <w:r>
            <w:rPr>
              <w:szCs w:val="24"/>
            </w:rPr>
            <w:t>Nacionalinei mokėjimo agentūrai prie Žemės ūkio ministerijos</w:t>
          </w:r>
        </w:p>
        <w:p w14:paraId="4B197D18" w14:textId="77777777">
          <w:pPr>
            <w:widowControl w:val="0"/>
            <w:overflowPunct w:val="0"/>
            <w:jc w:val="both"/>
            <w:textAlignment w:val="baseline"/>
            <w:rPr>
              <w:szCs w:val="24"/>
            </w:rPr>
          </w:pPr>
        </w:p>
        <w:sdt>
          <w:sdtPr>
            <w:alias w:val="skirsnis"/>
            <w:tag w:val="part_b253fde40c504e70a2d564de068c0cf6"/>
            <w:lock w:val="sdtLocked"/>
            <w:richText/>
          </w:sdtPr>
          <w:sdtContent>
            <w:sdt>
              <w:sdtPr>
                <w:alias w:val="Pavadinimas"/>
                <w:tag w:val="title_b253fde40c504e70a2d564de068c0cf6"/>
                <w:lock w:val="sdtLocked"/>
                <w:richText/>
              </w:sdtPr>
              <w:sdtContent>
                <w:p w14:paraId="2BE0E4ED" w14:textId="77777777">
                  <w:pPr>
                    <w:overflowPunct w:val="0"/>
                    <w:jc w:val="center"/>
                    <w:textAlignment w:val="baseline"/>
                    <w:rPr>
                      <w:b/>
                      <w:szCs w:val="24"/>
                    </w:rPr>
                  </w:pPr>
                  <w:r>
                    <w:rPr>
                      <w:b/>
                      <w:szCs w:val="24"/>
                    </w:rPr>
                    <w:t xml:space="preserve">ATASKAITA </w:t>
                  </w:r>
                </w:p>
                <w:p w14:paraId="6DBB1E74" w14:textId="77777777">
                  <w:pPr>
                    <w:overflowPunct w:val="0"/>
                    <w:jc w:val="center"/>
                    <w:textAlignment w:val="baseline"/>
                    <w:rPr>
                      <w:b/>
                      <w:szCs w:val="24"/>
                    </w:rPr>
                  </w:pPr>
                  <w:r>
                    <w:rPr>
                      <w:b/>
                      <w:szCs w:val="24"/>
                    </w:rPr>
                    <w:t xml:space="preserve">APIE </w:t>
                  </w:r>
                  <w:r>
                    <w:rPr>
                      <w:b/>
                      <w:color w:val="000000"/>
                      <w:szCs w:val="24"/>
                      <w:lang w:eastAsia="lt-LT"/>
                    </w:rPr>
                    <w:t>PROJEKTO ĮVYKDYMO REZULTATUS</w:t>
                  </w:r>
                </w:p>
              </w:sdtContent>
            </w:sdt>
            <w:p w14:paraId="3E8C377C" w14:textId="77777777">
              <w:pPr>
                <w:widowControl w:val="0"/>
                <w:overflowPunct w:val="0"/>
                <w:jc w:val="both"/>
                <w:textAlignment w:val="baseline"/>
                <w:rPr>
                  <w:szCs w:val="24"/>
                </w:rPr>
              </w:pPr>
            </w:p>
            <w:p w14:paraId="243966E4" w14:textId="77777777">
              <w:pPr>
                <w:overflowPunct w:val="0"/>
                <w:jc w:val="center"/>
                <w:textAlignment w:val="baseline"/>
                <w:rPr>
                  <w:b/>
                  <w:szCs w:val="24"/>
                </w:rPr>
              </w:pPr>
              <w:r>
                <w:rPr>
                  <w:bCs/>
                  <w:szCs w:val="24"/>
                </w:rPr>
                <w:t>Ataskaitos pildymo data:</w:t>
              </w:r>
              <w:r>
                <w:rPr>
                  <w:b/>
                  <w:szCs w:val="24"/>
                </w:rPr>
                <w:t xml:space="preserve">  </w:t>
              </w:r>
              <w:r>
                <w:rPr>
                  <w:color w:val="808080"/>
                </w:rPr>
                <w:t>Norėdami įvesti datą, spustelėkite čia</w:t>
              </w:r>
            </w:p>
            <w:p w14:paraId="492D004F" w14:textId="77777777">
              <w:pPr>
                <w:overflowPunct w:val="0"/>
                <w:jc w:val="both"/>
                <w:textAlignment w:val="baseline"/>
                <w:rPr>
                  <w:b/>
                  <w:szCs w:val="24"/>
                </w:rPr>
              </w:pPr>
            </w:p>
            <w:sdt>
              <w:sdtPr>
                <w:alias w:val="3 pr. 1 p."/>
                <w:tag w:val="part_67fb9c02c6784b93b2a565d7512b14bb"/>
                <w:lock w:val="sdtLocked"/>
                <w:richText/>
              </w:sdtPr>
              <w:sdtContent>
                <w:p w14:paraId="5E71BB7A" w14:textId="77777777">
                  <w:pPr>
                    <w:overflowPunct w:val="0"/>
                    <w:ind w:firstLine="720"/>
                    <w:jc w:val="both"/>
                    <w:textAlignment w:val="baseline"/>
                    <w:rPr>
                      <w:b/>
                      <w:szCs w:val="24"/>
                    </w:rPr>
                  </w:pPr>
                  <w:sdt>
                    <w:sdtPr>
                      <w:alias w:val="Numeris"/>
                      <w:tag w:val="nr_67fb9c02c6784b93b2a565d7512b14bb"/>
                      <w:lock w:val="sdtLocked"/>
                      <w:richText/>
                    </w:sdtPr>
                    <w:sdtContent>
                      <w:r>
                        <w:rPr>
                          <w:b/>
                          <w:szCs w:val="24"/>
                        </w:rPr>
                        <w:t>1</w:t>
                      </w:r>
                    </w:sdtContent>
                  </w:sdt>
                  <w:r>
                    <w:rPr>
                      <w:b/>
                      <w:szCs w:val="24"/>
                    </w:rPr>
                    <w:t>. Projekto vykdytojo duomenys</w:t>
                  </w:r>
                </w:p>
                <w:p w14:paraId="4C321CEC" w14:textId="77777777">
                  <w:pPr>
                    <w:overflowPunct w:val="0"/>
                    <w:jc w:val="both"/>
                    <w:textAlignment w:val="baseline"/>
                    <w:rPr>
                      <w:b/>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547"/>
                    <w:gridCol w:w="2694"/>
                    <w:gridCol w:w="4393"/>
                  </w:tblGrid>
                  <w:tr w14:paraId="0727C93D" w14:textId="77777777">
                    <w:trPr>
                      <w:cantSplit/>
                      <w:trHeight w:val="128"/>
                    </w:trPr>
                    <w:tc>
                      <w:tcPr>
                        <w:tcW w:w="1322" w:type="pct"/>
                        <w:tcBorders>
                          <w:top w:val="single" w:sz="4" w:space="0" w:color="auto"/>
                          <w:left w:val="single" w:sz="4" w:space="0" w:color="auto"/>
                          <w:bottom w:val="single" w:sz="4" w:space="0" w:color="auto"/>
                          <w:right w:val="single" w:sz="4" w:space="0" w:color="auto"/>
                        </w:tcBorders>
                        <w:vAlign w:val="center"/>
                        <w:hideMark/>
                      </w:tcPr>
                      <w:p w14:paraId="398C6F43" w14:textId="77777777">
                        <w:pPr>
                          <w:widowControl w:val="0"/>
                          <w:overflowPunct w:val="0"/>
                          <w:ind w:left="47" w:right="140"/>
                          <w:jc w:val="both"/>
                          <w:textAlignment w:val="baseline"/>
                          <w:rPr>
                            <w:sz w:val="22"/>
                            <w:szCs w:val="22"/>
                          </w:rPr>
                        </w:pPr>
                        <w:r>
                          <w:rPr>
                            <w:sz w:val="22"/>
                            <w:szCs w:val="22"/>
                          </w:rPr>
                          <w:t xml:space="preserve">Vardas, pavardė arba pavadinimas </w:t>
                        </w:r>
                      </w:p>
                    </w:tc>
                    <w:tc>
                      <w:tcPr>
                        <w:tcW w:w="3678" w:type="pct"/>
                        <w:gridSpan w:val="2"/>
                        <w:tcBorders>
                          <w:top w:val="single" w:sz="4" w:space="0" w:color="auto"/>
                          <w:left w:val="single" w:sz="4" w:space="0" w:color="auto"/>
                          <w:bottom w:val="single" w:sz="4" w:space="0" w:color="auto"/>
                          <w:right w:val="single" w:sz="4" w:space="0" w:color="auto"/>
                        </w:tcBorders>
                        <w:vAlign w:val="center"/>
                      </w:tcPr>
                      <w:p w14:paraId="5B953BE6" w14:textId="77777777">
                        <w:pPr>
                          <w:widowControl w:val="0"/>
                          <w:overflowPunct w:val="0"/>
                          <w:jc w:val="both"/>
                          <w:textAlignment w:val="baseline"/>
                          <w:rPr>
                            <w:szCs w:val="24"/>
                          </w:rPr>
                        </w:pPr>
                      </w:p>
                    </w:tc>
                  </w:tr>
                  <w:tr w14:paraId="5CAEDD7F" w14:textId="77777777">
                    <w:trPr>
                      <w:cantSplit/>
                      <w:trHeight w:val="354"/>
                    </w:trPr>
                    <w:tc>
                      <w:tcPr>
                        <w:tcW w:w="1322" w:type="pct"/>
                        <w:tcBorders>
                          <w:top w:val="single" w:sz="4" w:space="0" w:color="auto"/>
                          <w:left w:val="single" w:sz="4" w:space="0" w:color="auto"/>
                          <w:bottom w:val="single" w:sz="4" w:space="0" w:color="auto"/>
                          <w:right w:val="single" w:sz="4" w:space="0" w:color="auto"/>
                        </w:tcBorders>
                        <w:vAlign w:val="center"/>
                        <w:hideMark/>
                      </w:tcPr>
                      <w:p w14:paraId="1C5FE51B" w14:textId="77777777">
                        <w:pPr>
                          <w:widowControl w:val="0"/>
                          <w:overflowPunct w:val="0"/>
                          <w:ind w:left="47"/>
                          <w:jc w:val="both"/>
                          <w:textAlignment w:val="baseline"/>
                          <w:rPr>
                            <w:sz w:val="22"/>
                            <w:szCs w:val="22"/>
                          </w:rPr>
                        </w:pPr>
                        <w:r>
                          <w:rPr>
                            <w:sz w:val="22"/>
                            <w:szCs w:val="22"/>
                          </w:rPr>
                          <w:t>Teisinė forma</w:t>
                        </w:r>
                      </w:p>
                    </w:tc>
                    <w:tc>
                      <w:tcPr>
                        <w:tcW w:w="3678" w:type="pct"/>
                        <w:gridSpan w:val="2"/>
                        <w:tcBorders>
                          <w:top w:val="single" w:sz="4" w:space="0" w:color="auto"/>
                          <w:left w:val="single" w:sz="4" w:space="0" w:color="auto"/>
                          <w:bottom w:val="single" w:sz="4" w:space="0" w:color="auto"/>
                          <w:right w:val="single" w:sz="4" w:space="0" w:color="auto"/>
                        </w:tcBorders>
                        <w:vAlign w:val="center"/>
                      </w:tcPr>
                      <w:p w14:paraId="25E4FC46" w14:textId="77777777">
                        <w:pPr>
                          <w:widowControl w:val="0"/>
                          <w:overflowPunct w:val="0"/>
                          <w:jc w:val="both"/>
                          <w:textAlignment w:val="baseline"/>
                          <w:rPr>
                            <w:szCs w:val="24"/>
                          </w:rPr>
                        </w:pPr>
                      </w:p>
                    </w:tc>
                  </w:tr>
                  <w:tr w14:paraId="57107455" w14:textId="77777777">
                    <w:trPr>
                      <w:cantSplit/>
                      <w:trHeight w:val="401"/>
                    </w:trPr>
                    <w:tc>
                      <w:tcPr>
                        <w:tcW w:w="1322" w:type="pct"/>
                        <w:tcBorders>
                          <w:top w:val="single" w:sz="4" w:space="0" w:color="auto"/>
                          <w:left w:val="single" w:sz="4" w:space="0" w:color="auto"/>
                          <w:bottom w:val="single" w:sz="4" w:space="0" w:color="auto"/>
                          <w:right w:val="single" w:sz="4" w:space="0" w:color="auto"/>
                        </w:tcBorders>
                        <w:vAlign w:val="center"/>
                        <w:hideMark/>
                      </w:tcPr>
                      <w:p w14:paraId="3B7449B2" w14:textId="77777777">
                        <w:pPr>
                          <w:widowControl w:val="0"/>
                          <w:overflowPunct w:val="0"/>
                          <w:ind w:left="47"/>
                          <w:jc w:val="both"/>
                          <w:textAlignment w:val="baseline"/>
                          <w:rPr>
                            <w:sz w:val="22"/>
                            <w:szCs w:val="22"/>
                          </w:rPr>
                        </w:pPr>
                        <w:r>
                          <w:rPr>
                            <w:sz w:val="22"/>
                            <w:szCs w:val="22"/>
                          </w:rPr>
                          <w:t>Įmonės</w:t>
                        </w:r>
                        <w:r>
                          <w:rPr>
                            <w:b/>
                            <w:sz w:val="22"/>
                            <w:szCs w:val="22"/>
                          </w:rPr>
                          <w:t xml:space="preserve"> </w:t>
                        </w:r>
                        <w:r>
                          <w:rPr>
                            <w:sz w:val="22"/>
                            <w:szCs w:val="22"/>
                          </w:rPr>
                          <w:t>ar asmens kodas</w:t>
                        </w:r>
                      </w:p>
                    </w:tc>
                    <w:tc>
                      <w:tcPr>
                        <w:tcW w:w="3678" w:type="pct"/>
                        <w:gridSpan w:val="2"/>
                        <w:tcBorders>
                          <w:top w:val="single" w:sz="4" w:space="0" w:color="auto"/>
                          <w:left w:val="single" w:sz="4" w:space="0" w:color="auto"/>
                          <w:bottom w:val="single" w:sz="4" w:space="0" w:color="auto"/>
                          <w:right w:val="single" w:sz="4" w:space="0" w:color="auto"/>
                        </w:tcBorders>
                        <w:vAlign w:val="center"/>
                      </w:tcPr>
                      <w:p w14:paraId="773C1577" w14:textId="77777777">
                        <w:pPr>
                          <w:widowControl w:val="0"/>
                          <w:overflowPunct w:val="0"/>
                          <w:jc w:val="both"/>
                          <w:textAlignment w:val="baseline"/>
                          <w:rPr>
                            <w:szCs w:val="24"/>
                          </w:rPr>
                        </w:pPr>
                      </w:p>
                    </w:tc>
                  </w:tr>
                  <w:tr w14:paraId="4970E7FB" w14:textId="77777777">
                    <w:trPr>
                      <w:cantSplit/>
                      <w:trHeight w:val="401"/>
                    </w:trPr>
                    <w:tc>
                      <w:tcPr>
                        <w:tcW w:w="1322" w:type="pct"/>
                        <w:tcBorders>
                          <w:top w:val="single" w:sz="4" w:space="0" w:color="auto"/>
                          <w:left w:val="single" w:sz="4" w:space="0" w:color="auto"/>
                          <w:bottom w:val="single" w:sz="4" w:space="0" w:color="auto"/>
                          <w:right w:val="single" w:sz="4" w:space="0" w:color="auto"/>
                        </w:tcBorders>
                        <w:vAlign w:val="center"/>
                        <w:hideMark/>
                      </w:tcPr>
                      <w:p w14:paraId="2D4BD5B2" w14:textId="77777777">
                        <w:pPr>
                          <w:widowControl w:val="0"/>
                          <w:overflowPunct w:val="0"/>
                          <w:ind w:left="47" w:right="140"/>
                          <w:jc w:val="both"/>
                          <w:textAlignment w:val="baseline"/>
                          <w:rPr>
                            <w:sz w:val="22"/>
                            <w:szCs w:val="22"/>
                          </w:rPr>
                        </w:pPr>
                        <w:r>
                          <w:rPr>
                            <w:sz w:val="22"/>
                            <w:szCs w:val="22"/>
                          </w:rPr>
                          <w:t>Vadovo vardas, pavardė, telefono Nr.</w:t>
                        </w:r>
                      </w:p>
                    </w:tc>
                    <w:tc>
                      <w:tcPr>
                        <w:tcW w:w="3678" w:type="pct"/>
                        <w:gridSpan w:val="2"/>
                        <w:tcBorders>
                          <w:top w:val="single" w:sz="4" w:space="0" w:color="auto"/>
                          <w:left w:val="single" w:sz="4" w:space="0" w:color="auto"/>
                          <w:bottom w:val="single" w:sz="4" w:space="0" w:color="auto"/>
                          <w:right w:val="single" w:sz="4" w:space="0" w:color="auto"/>
                        </w:tcBorders>
                        <w:vAlign w:val="center"/>
                      </w:tcPr>
                      <w:p w14:paraId="5151C7F5" w14:textId="77777777">
                        <w:pPr>
                          <w:widowControl w:val="0"/>
                          <w:overflowPunct w:val="0"/>
                          <w:jc w:val="both"/>
                          <w:textAlignment w:val="baseline"/>
                          <w:rPr>
                            <w:szCs w:val="24"/>
                          </w:rPr>
                        </w:pPr>
                      </w:p>
                    </w:tc>
                  </w:tr>
                  <w:tr w14:paraId="5A7507AA" w14:textId="77777777">
                    <w:trPr>
                      <w:cantSplit/>
                      <w:trHeight w:val="437"/>
                    </w:trPr>
                    <w:tc>
                      <w:tcPr>
                        <w:tcW w:w="1322" w:type="pct"/>
                        <w:tcBorders>
                          <w:top w:val="single" w:sz="4" w:space="0" w:color="auto"/>
                          <w:left w:val="single" w:sz="4" w:space="0" w:color="auto"/>
                          <w:bottom w:val="single" w:sz="4" w:space="0" w:color="auto"/>
                          <w:right w:val="single" w:sz="4" w:space="0" w:color="auto"/>
                        </w:tcBorders>
                        <w:vAlign w:val="center"/>
                        <w:hideMark/>
                      </w:tcPr>
                      <w:p w14:paraId="0B806A31" w14:textId="77777777">
                        <w:pPr>
                          <w:widowControl w:val="0"/>
                          <w:overflowPunct w:val="0"/>
                          <w:ind w:left="47" w:right="140"/>
                          <w:jc w:val="both"/>
                          <w:textAlignment w:val="baseline"/>
                          <w:rPr>
                            <w:sz w:val="22"/>
                            <w:szCs w:val="22"/>
                          </w:rPr>
                        </w:pPr>
                        <w:r>
                          <w:rPr>
                            <w:sz w:val="22"/>
                            <w:szCs w:val="22"/>
                          </w:rPr>
                          <w:t>Finansininko vardas, pavardė, telefono Nr.</w:t>
                        </w:r>
                      </w:p>
                    </w:tc>
                    <w:tc>
                      <w:tcPr>
                        <w:tcW w:w="3678" w:type="pct"/>
                        <w:gridSpan w:val="2"/>
                        <w:tcBorders>
                          <w:top w:val="single" w:sz="4" w:space="0" w:color="auto"/>
                          <w:left w:val="single" w:sz="4" w:space="0" w:color="auto"/>
                          <w:bottom w:val="single" w:sz="4" w:space="0" w:color="auto"/>
                          <w:right w:val="single" w:sz="4" w:space="0" w:color="auto"/>
                        </w:tcBorders>
                        <w:vAlign w:val="center"/>
                      </w:tcPr>
                      <w:p w14:paraId="5876A3C1" w14:textId="77777777">
                        <w:pPr>
                          <w:widowControl w:val="0"/>
                          <w:overflowPunct w:val="0"/>
                          <w:jc w:val="both"/>
                          <w:textAlignment w:val="baseline"/>
                          <w:rPr>
                            <w:szCs w:val="24"/>
                          </w:rPr>
                        </w:pPr>
                      </w:p>
                    </w:tc>
                  </w:tr>
                  <w:tr w14:paraId="37F54BAB" w14:textId="77777777">
                    <w:trPr>
                      <w:cantSplit/>
                      <w:trHeight w:val="255"/>
                    </w:trPr>
                    <w:tc>
                      <w:tcPr>
                        <w:tcW w:w="1322" w:type="pct"/>
                        <w:vMerge w:val="restart"/>
                        <w:tcBorders>
                          <w:top w:val="single" w:sz="4" w:space="0" w:color="auto"/>
                          <w:left w:val="single" w:sz="4" w:space="0" w:color="auto"/>
                          <w:bottom w:val="single" w:sz="4" w:space="0" w:color="auto"/>
                          <w:right w:val="single" w:sz="4" w:space="0" w:color="auto"/>
                        </w:tcBorders>
                        <w:vAlign w:val="center"/>
                        <w:hideMark/>
                      </w:tcPr>
                      <w:p w14:paraId="56B3FBD1" w14:textId="77777777">
                        <w:pPr>
                          <w:widowControl w:val="0"/>
                          <w:overflowPunct w:val="0"/>
                          <w:ind w:left="47"/>
                          <w:jc w:val="both"/>
                          <w:textAlignment w:val="baseline"/>
                          <w:rPr>
                            <w:sz w:val="22"/>
                            <w:szCs w:val="22"/>
                          </w:rPr>
                        </w:pPr>
                        <w:r>
                          <w:rPr>
                            <w:sz w:val="22"/>
                            <w:szCs w:val="22"/>
                          </w:rPr>
                          <w:t>Adresas: gatvė, namo Nr., pašto indeksas, vietovė, savivaldybė</w:t>
                        </w:r>
                      </w:p>
                    </w:tc>
                    <w:tc>
                      <w:tcPr>
                        <w:tcW w:w="1398" w:type="pct"/>
                        <w:tcBorders>
                          <w:top w:val="single" w:sz="4" w:space="0" w:color="auto"/>
                          <w:left w:val="single" w:sz="4" w:space="0" w:color="auto"/>
                          <w:bottom w:val="single" w:sz="4" w:space="0" w:color="auto"/>
                          <w:right w:val="single" w:sz="4" w:space="0" w:color="auto"/>
                        </w:tcBorders>
                        <w:vAlign w:val="center"/>
                        <w:hideMark/>
                      </w:tcPr>
                      <w:p w14:paraId="51D072D1" w14:textId="77777777">
                        <w:pPr>
                          <w:widowControl w:val="0"/>
                          <w:overflowPunct w:val="0"/>
                          <w:ind w:left="47" w:right="137"/>
                          <w:jc w:val="both"/>
                          <w:textAlignment w:val="baseline"/>
                          <w:rPr>
                            <w:i/>
                            <w:szCs w:val="24"/>
                          </w:rPr>
                        </w:pPr>
                        <w:r>
                          <w:rPr>
                            <w:sz w:val="22"/>
                            <w:szCs w:val="22"/>
                          </w:rPr>
                          <w:t>Buveinės (juridinio asmens) arba gyvenamosios vietos (fizinio asmens)</w:t>
                        </w:r>
                      </w:p>
                    </w:tc>
                    <w:tc>
                      <w:tcPr>
                        <w:tcW w:w="2280" w:type="pct"/>
                        <w:tcBorders>
                          <w:top w:val="single" w:sz="4" w:space="0" w:color="auto"/>
                          <w:left w:val="single" w:sz="4" w:space="0" w:color="auto"/>
                          <w:bottom w:val="single" w:sz="4" w:space="0" w:color="auto"/>
                          <w:right w:val="single" w:sz="4" w:space="0" w:color="auto"/>
                        </w:tcBorders>
                        <w:vAlign w:val="center"/>
                      </w:tcPr>
                      <w:p w14:paraId="44D1995D" w14:textId="77777777">
                        <w:pPr>
                          <w:widowControl w:val="0"/>
                          <w:overflowPunct w:val="0"/>
                          <w:jc w:val="both"/>
                          <w:textAlignment w:val="baseline"/>
                          <w:rPr>
                            <w:i/>
                            <w:szCs w:val="24"/>
                          </w:rPr>
                        </w:pPr>
                      </w:p>
                    </w:tc>
                  </w:tr>
                  <w:tr w14:paraId="1FC416F8" w14:textId="77777777">
                    <w:trPr>
                      <w:cantSplit/>
                      <w:trHeight w:val="583"/>
                    </w:trPr>
                    <w:tc>
                      <w:tcPr>
                        <w:tcW w:w="1322" w:type="pct"/>
                        <w:vMerge/>
                        <w:tcBorders>
                          <w:top w:val="single" w:sz="4" w:space="0" w:color="auto"/>
                          <w:left w:val="single" w:sz="4" w:space="0" w:color="auto"/>
                          <w:bottom w:val="single" w:sz="4" w:space="0" w:color="auto"/>
                          <w:right w:val="single" w:sz="4" w:space="0" w:color="auto"/>
                        </w:tcBorders>
                        <w:vAlign w:val="center"/>
                        <w:hideMark/>
                      </w:tcPr>
                      <w:p w14:paraId="5864B284" w14:textId="77777777">
                        <w:pPr>
                          <w:overflowPunct w:val="0"/>
                          <w:jc w:val="both"/>
                          <w:textAlignment w:val="baseline"/>
                          <w:rPr>
                            <w:sz w:val="22"/>
                            <w:szCs w:val="22"/>
                          </w:rPr>
                        </w:pPr>
                      </w:p>
                    </w:tc>
                    <w:tc>
                      <w:tcPr>
                        <w:tcW w:w="1398" w:type="pct"/>
                        <w:tcBorders>
                          <w:top w:val="single" w:sz="4" w:space="0" w:color="auto"/>
                          <w:left w:val="single" w:sz="4" w:space="0" w:color="auto"/>
                          <w:bottom w:val="single" w:sz="4" w:space="0" w:color="auto"/>
                          <w:right w:val="single" w:sz="4" w:space="0" w:color="auto"/>
                        </w:tcBorders>
                        <w:vAlign w:val="center"/>
                        <w:hideMark/>
                      </w:tcPr>
                      <w:p w14:paraId="2A21522A" w14:textId="77777777">
                        <w:pPr>
                          <w:widowControl w:val="0"/>
                          <w:overflowPunct w:val="0"/>
                          <w:ind w:left="47"/>
                          <w:jc w:val="both"/>
                          <w:textAlignment w:val="baseline"/>
                          <w:rPr>
                            <w:i/>
                            <w:szCs w:val="24"/>
                          </w:rPr>
                        </w:pPr>
                        <w:r>
                          <w:rPr>
                            <w:sz w:val="22"/>
                            <w:szCs w:val="22"/>
                          </w:rPr>
                          <w:t>Korespondencijos</w:t>
                        </w:r>
                      </w:p>
                    </w:tc>
                    <w:tc>
                      <w:tcPr>
                        <w:tcW w:w="2280" w:type="pct"/>
                        <w:tcBorders>
                          <w:top w:val="single" w:sz="4" w:space="0" w:color="auto"/>
                          <w:left w:val="single" w:sz="4" w:space="0" w:color="auto"/>
                          <w:bottom w:val="single" w:sz="4" w:space="0" w:color="auto"/>
                          <w:right w:val="single" w:sz="4" w:space="0" w:color="auto"/>
                        </w:tcBorders>
                        <w:vAlign w:val="center"/>
                      </w:tcPr>
                      <w:p w14:paraId="5B59D16D" w14:textId="77777777">
                        <w:pPr>
                          <w:widowControl w:val="0"/>
                          <w:overflowPunct w:val="0"/>
                          <w:jc w:val="both"/>
                          <w:textAlignment w:val="baseline"/>
                          <w:rPr>
                            <w:i/>
                            <w:szCs w:val="24"/>
                          </w:rPr>
                        </w:pPr>
                      </w:p>
                    </w:tc>
                  </w:tr>
                  <w:tr w14:paraId="6AC66AFC" w14:textId="77777777">
                    <w:trPr>
                      <w:cantSplit/>
                      <w:trHeight w:val="390"/>
                    </w:trPr>
                    <w:tc>
                      <w:tcPr>
                        <w:tcW w:w="1322" w:type="pct"/>
                        <w:tcBorders>
                          <w:top w:val="single" w:sz="4" w:space="0" w:color="auto"/>
                          <w:left w:val="single" w:sz="4" w:space="0" w:color="auto"/>
                          <w:bottom w:val="single" w:sz="4" w:space="0" w:color="auto"/>
                          <w:right w:val="single" w:sz="4" w:space="0" w:color="auto"/>
                        </w:tcBorders>
                        <w:vAlign w:val="center"/>
                        <w:hideMark/>
                      </w:tcPr>
                      <w:p w14:paraId="40B1EFCD" w14:textId="77777777">
                        <w:pPr>
                          <w:widowControl w:val="0"/>
                          <w:overflowPunct w:val="0"/>
                          <w:ind w:left="47"/>
                          <w:jc w:val="both"/>
                          <w:textAlignment w:val="baseline"/>
                          <w:rPr>
                            <w:sz w:val="22"/>
                            <w:szCs w:val="22"/>
                          </w:rPr>
                        </w:pPr>
                        <w:r>
                          <w:rPr>
                            <w:sz w:val="22"/>
                            <w:szCs w:val="22"/>
                          </w:rPr>
                          <w:t>Telefono Nr.</w:t>
                        </w:r>
                      </w:p>
                    </w:tc>
                    <w:tc>
                      <w:tcPr>
                        <w:tcW w:w="3678" w:type="pct"/>
                        <w:gridSpan w:val="2"/>
                        <w:tcBorders>
                          <w:top w:val="single" w:sz="4" w:space="0" w:color="auto"/>
                          <w:left w:val="single" w:sz="4" w:space="0" w:color="auto"/>
                          <w:bottom w:val="single" w:sz="4" w:space="0" w:color="auto"/>
                          <w:right w:val="single" w:sz="4" w:space="0" w:color="auto"/>
                        </w:tcBorders>
                        <w:vAlign w:val="center"/>
                      </w:tcPr>
                      <w:p w14:paraId="05495ECC" w14:textId="77777777">
                        <w:pPr>
                          <w:widowControl w:val="0"/>
                          <w:overflowPunct w:val="0"/>
                          <w:jc w:val="both"/>
                          <w:textAlignment w:val="baseline"/>
                          <w:rPr>
                            <w:szCs w:val="24"/>
                          </w:rPr>
                        </w:pPr>
                      </w:p>
                    </w:tc>
                  </w:tr>
                  <w:tr w14:paraId="0A5FC3A7" w14:textId="77777777">
                    <w:trPr>
                      <w:cantSplit/>
                      <w:trHeight w:val="423"/>
                    </w:trPr>
                    <w:tc>
                      <w:tcPr>
                        <w:tcW w:w="1322" w:type="pct"/>
                        <w:tcBorders>
                          <w:top w:val="single" w:sz="4" w:space="0" w:color="auto"/>
                          <w:left w:val="single" w:sz="4" w:space="0" w:color="auto"/>
                          <w:bottom w:val="single" w:sz="4" w:space="0" w:color="auto"/>
                          <w:right w:val="single" w:sz="4" w:space="0" w:color="auto"/>
                        </w:tcBorders>
                        <w:vAlign w:val="center"/>
                        <w:hideMark/>
                      </w:tcPr>
                      <w:p w14:paraId="59032C33" w14:textId="77777777">
                        <w:pPr>
                          <w:widowControl w:val="0"/>
                          <w:overflowPunct w:val="0"/>
                          <w:ind w:left="47"/>
                          <w:jc w:val="both"/>
                          <w:textAlignment w:val="baseline"/>
                          <w:rPr>
                            <w:sz w:val="22"/>
                            <w:szCs w:val="22"/>
                          </w:rPr>
                        </w:pPr>
                        <w:r>
                          <w:rPr>
                            <w:sz w:val="22"/>
                            <w:szCs w:val="22"/>
                          </w:rPr>
                          <w:t>El. p. adresas</w:t>
                        </w:r>
                      </w:p>
                    </w:tc>
                    <w:tc>
                      <w:tcPr>
                        <w:tcW w:w="3678" w:type="pct"/>
                        <w:gridSpan w:val="2"/>
                        <w:tcBorders>
                          <w:top w:val="single" w:sz="4" w:space="0" w:color="auto"/>
                          <w:left w:val="single" w:sz="4" w:space="0" w:color="auto"/>
                          <w:bottom w:val="single" w:sz="4" w:space="0" w:color="auto"/>
                          <w:right w:val="single" w:sz="4" w:space="0" w:color="auto"/>
                        </w:tcBorders>
                        <w:vAlign w:val="center"/>
                      </w:tcPr>
                      <w:p w14:paraId="69C374AB" w14:textId="77777777">
                        <w:pPr>
                          <w:widowControl w:val="0"/>
                          <w:overflowPunct w:val="0"/>
                          <w:jc w:val="both"/>
                          <w:textAlignment w:val="baseline"/>
                          <w:rPr>
                            <w:szCs w:val="24"/>
                          </w:rPr>
                        </w:pPr>
                      </w:p>
                    </w:tc>
                  </w:tr>
                </w:tbl>
                <w:p w14:paraId="16E196FE" w14:textId="77777777"/>
              </w:sdtContent>
            </w:sdt>
            <w:sdt>
              <w:sdtPr>
                <w:alias w:val="3 pr. 2 p."/>
                <w:tag w:val="part_9ffc59f1685645859da1df8f7edd8ac0"/>
                <w:lock w:val="sdtLocked"/>
                <w:richText/>
              </w:sdtPr>
              <w:sdtContent>
                <w:p w14:paraId="676A4006" w14:textId="77777777">
                  <w:pPr>
                    <w:widowControl w:val="0"/>
                    <w:overflowPunct w:val="0"/>
                    <w:ind w:firstLine="720"/>
                    <w:jc w:val="both"/>
                    <w:textAlignment w:val="baseline"/>
                    <w:rPr>
                      <w:b/>
                      <w:szCs w:val="24"/>
                    </w:rPr>
                  </w:pPr>
                  <w:sdt>
                    <w:sdtPr>
                      <w:alias w:val="Numeris"/>
                      <w:tag w:val="nr_9ffc59f1685645859da1df8f7edd8ac0"/>
                      <w:lock w:val="sdtLocked"/>
                      <w:richText/>
                    </w:sdtPr>
                    <w:sdtContent>
                      <w:r>
                        <w:rPr>
                          <w:b/>
                          <w:szCs w:val="24"/>
                        </w:rPr>
                        <w:t>2</w:t>
                      </w:r>
                    </w:sdtContent>
                  </w:sdt>
                  <w:r>
                    <w:rPr>
                      <w:b/>
                      <w:szCs w:val="24"/>
                    </w:rPr>
                    <w:t>. Informacija apie projektą</w:t>
                  </w:r>
                </w:p>
                <w:p w14:paraId="72271765" w14:textId="77777777">
                  <w:pPr>
                    <w:widowControl w:val="0"/>
                    <w:overflowPunct w:val="0"/>
                    <w:ind w:firstLine="720"/>
                    <w:jc w:val="both"/>
                    <w:textAlignment w:val="baseline"/>
                    <w:rPr>
                      <w:bCs/>
                      <w:sz w:val="22"/>
                      <w:szCs w:val="22"/>
                    </w:rPr>
                  </w:pPr>
                </w:p>
                <w:sdt>
                  <w:sdtPr>
                    <w:alias w:val="3 pr. 2.1 pp."/>
                    <w:tag w:val="part_b6d8e6ed35d2425ba1e955910fb33de4"/>
                    <w:lock w:val="sdtLocked"/>
                    <w:richText/>
                  </w:sdtPr>
                  <w:sdtContent>
                    <w:p w14:paraId="60B96923" w14:textId="77777777">
                      <w:pPr>
                        <w:widowControl w:val="0"/>
                        <w:overflowPunct w:val="0"/>
                        <w:ind w:firstLine="720"/>
                        <w:jc w:val="both"/>
                        <w:textAlignment w:val="baseline"/>
                        <w:rPr>
                          <w:sz w:val="22"/>
                          <w:szCs w:val="22"/>
                        </w:rPr>
                      </w:pPr>
                      <w:sdt>
                        <w:sdtPr>
                          <w:alias w:val="Numeris"/>
                          <w:tag w:val="nr_b6d8e6ed35d2425ba1e955910fb33de4"/>
                          <w:lock w:val="sdtLocked"/>
                          <w:richText/>
                        </w:sdtPr>
                        <w:sdtContent>
                          <w:r>
                            <w:rPr>
                              <w:sz w:val="22"/>
                              <w:szCs w:val="22"/>
                            </w:rPr>
                            <w:t>2.1</w:t>
                          </w:r>
                        </w:sdtContent>
                      </w:sdt>
                      <w:r>
                        <w:rPr>
                          <w:sz w:val="22"/>
                          <w:szCs w:val="22"/>
                        </w:rPr>
                        <w:t xml:space="preserve">. Projekto vykdytojo kuriamo ir (arba) gaminamo tautinio paveldo produkto pavadinimas, sritis, kategorija </w:t>
                      </w:r>
                      <w:r>
                        <w:rPr>
                          <w:i/>
                          <w:sz w:val="22"/>
                          <w:szCs w:val="22"/>
                        </w:rPr>
                        <w:t>(pagal prie paraiškos pridedamą tautinio paveldo produkto sertifikatą)</w:t>
                      </w:r>
                    </w:p>
                    <w:p w14:paraId="44034FD6" w14:textId="77777777">
                      <w:pPr>
                        <w:widowControl w:val="0"/>
                        <w:tabs>
                          <w:tab w:val="right" w:leader="underscore" w:pos="9638"/>
                        </w:tabs>
                        <w:overflowPunct w:val="0"/>
                        <w:spacing w:line="276" w:lineRule="auto"/>
                        <w:jc w:val="both"/>
                        <w:textAlignment w:val="baseline"/>
                        <w:rPr>
                          <w:sz w:val="22"/>
                          <w:szCs w:val="22"/>
                        </w:rPr>
                      </w:pPr>
                      <w:r>
                        <w:rPr>
                          <w:sz w:val="22"/>
                          <w:szCs w:val="22"/>
                        </w:rPr>
                        <w:tab/>
                      </w:r>
                    </w:p>
                    <w:p w14:paraId="4E1AA2B4" w14:textId="77777777">
                      <w:pPr>
                        <w:widowControl w:val="0"/>
                        <w:tabs>
                          <w:tab w:val="right" w:leader="underscore" w:pos="9638"/>
                        </w:tabs>
                        <w:overflowPunct w:val="0"/>
                        <w:spacing w:line="276" w:lineRule="auto"/>
                        <w:jc w:val="both"/>
                        <w:textAlignment w:val="baseline"/>
                        <w:rPr>
                          <w:sz w:val="22"/>
                          <w:szCs w:val="22"/>
                        </w:rPr>
                      </w:pPr>
                      <w:r>
                        <w:rPr>
                          <w:sz w:val="22"/>
                          <w:szCs w:val="22"/>
                        </w:rPr>
                        <w:tab/>
                      </w:r>
                    </w:p>
                    <w:p w14:paraId="6EE0A4AF" w14:textId="77777777">
                      <w:pPr>
                        <w:widowControl w:val="0"/>
                        <w:overflowPunct w:val="0"/>
                        <w:spacing w:line="276" w:lineRule="auto"/>
                        <w:ind w:firstLine="720"/>
                        <w:jc w:val="both"/>
                        <w:textAlignment w:val="baseline"/>
                        <w:rPr>
                          <w:sz w:val="22"/>
                          <w:szCs w:val="22"/>
                        </w:rPr>
                      </w:pPr>
                    </w:p>
                  </w:sdtContent>
                </w:sdt>
                <w:sdt>
                  <w:sdtPr>
                    <w:alias w:val="3 pr. 2.2 pp."/>
                    <w:tag w:val="part_70b521f79050438f81fa99ee3a9137d5"/>
                    <w:lock w:val="sdtLocked"/>
                    <w:richText/>
                  </w:sdtPr>
                  <w:sdtContent>
                    <w:p w14:paraId="3B1AD0D9" w14:textId="77777777">
                      <w:pPr>
                        <w:widowControl w:val="0"/>
                        <w:tabs>
                          <w:tab w:val="right" w:leader="underscore" w:pos="9072"/>
                        </w:tabs>
                        <w:overflowPunct w:val="0"/>
                        <w:ind w:firstLine="720"/>
                        <w:jc w:val="both"/>
                        <w:textAlignment w:val="baseline"/>
                        <w:rPr>
                          <w:i/>
                          <w:sz w:val="22"/>
                          <w:szCs w:val="22"/>
                        </w:rPr>
                      </w:pPr>
                      <w:sdt>
                        <w:sdtPr>
                          <w:alias w:val="Numeris"/>
                          <w:tag w:val="nr_70b521f79050438f81fa99ee3a9137d5"/>
                          <w:lock w:val="sdtLocked"/>
                          <w:richText/>
                        </w:sdtPr>
                        <w:sdtContent>
                          <w:r>
                            <w:rPr>
                              <w:sz w:val="22"/>
                              <w:szCs w:val="22"/>
                            </w:rPr>
                            <w:t>2.2</w:t>
                          </w:r>
                        </w:sdtContent>
                      </w:sdt>
                      <w:r>
                        <w:rPr>
                          <w:sz w:val="22"/>
                          <w:szCs w:val="22"/>
                        </w:rPr>
                        <w:t xml:space="preserve">. Projekto pavadinimas </w:t>
                      </w:r>
                      <w:r>
                        <w:rPr>
                          <w:i/>
                          <w:sz w:val="22"/>
                          <w:szCs w:val="22"/>
                        </w:rPr>
                        <w:t>(iš paraiškos)</w:t>
                      </w:r>
                    </w:p>
                    <w:p w14:paraId="0ECAF7AA" w14:textId="77777777">
                      <w:pPr>
                        <w:widowControl w:val="0"/>
                        <w:tabs>
                          <w:tab w:val="right" w:leader="underscore" w:pos="9072"/>
                        </w:tabs>
                        <w:overflowPunct w:val="0"/>
                        <w:ind w:firstLine="720"/>
                        <w:jc w:val="both"/>
                        <w:textAlignment w:val="baseline"/>
                        <w:rPr>
                          <w:sz w:val="22"/>
                          <w:szCs w:val="22"/>
                        </w:rPr>
                      </w:pPr>
                    </w:p>
                    <w:p w14:paraId="1B8BFEA4" w14:textId="77777777">
                      <w:pPr>
                        <w:widowControl w:val="0"/>
                        <w:tabs>
                          <w:tab w:val="right" w:leader="underscore" w:pos="9638"/>
                        </w:tabs>
                        <w:overflowPunct w:val="0"/>
                        <w:spacing w:line="276" w:lineRule="auto"/>
                        <w:jc w:val="both"/>
                        <w:textAlignment w:val="baseline"/>
                        <w:rPr>
                          <w:sz w:val="22"/>
                          <w:szCs w:val="22"/>
                        </w:rPr>
                      </w:pPr>
                      <w:r>
                        <w:rPr>
                          <w:sz w:val="22"/>
                          <w:szCs w:val="22"/>
                        </w:rPr>
                        <w:tab/>
                      </w:r>
                    </w:p>
                    <w:p w14:paraId="64B490CC" w14:textId="77777777">
                      <w:pPr>
                        <w:widowControl w:val="0"/>
                        <w:tabs>
                          <w:tab w:val="right" w:leader="underscore" w:pos="9638"/>
                        </w:tabs>
                        <w:overflowPunct w:val="0"/>
                        <w:spacing w:line="276" w:lineRule="auto"/>
                        <w:jc w:val="both"/>
                        <w:textAlignment w:val="baseline"/>
                        <w:rPr>
                          <w:sz w:val="22"/>
                          <w:szCs w:val="22"/>
                        </w:rPr>
                      </w:pPr>
                      <w:r>
                        <w:rPr>
                          <w:sz w:val="22"/>
                          <w:szCs w:val="22"/>
                        </w:rPr>
                        <w:tab/>
                      </w:r>
                    </w:p>
                    <w:p w14:paraId="7E23DD4A" w14:textId="77777777">
                      <w:pPr>
                        <w:widowControl w:val="0"/>
                        <w:tabs>
                          <w:tab w:val="right" w:leader="underscore" w:pos="9638"/>
                        </w:tabs>
                        <w:overflowPunct w:val="0"/>
                        <w:spacing w:line="276" w:lineRule="auto"/>
                        <w:jc w:val="both"/>
                        <w:textAlignment w:val="baseline"/>
                        <w:rPr>
                          <w:sz w:val="22"/>
                          <w:szCs w:val="22"/>
                        </w:rPr>
                      </w:pPr>
                      <w:r>
                        <w:rPr>
                          <w:sz w:val="22"/>
                          <w:szCs w:val="22"/>
                        </w:rPr>
                        <w:tab/>
                      </w:r>
                    </w:p>
                    <w:p w14:paraId="40ED5166" w14:textId="77777777">
                      <w:pPr>
                        <w:widowControl w:val="0"/>
                        <w:tabs>
                          <w:tab w:val="right" w:leader="underscore" w:pos="9638"/>
                        </w:tabs>
                        <w:overflowPunct w:val="0"/>
                        <w:spacing w:line="276" w:lineRule="auto"/>
                        <w:jc w:val="both"/>
                        <w:textAlignment w:val="baseline"/>
                        <w:rPr>
                          <w:szCs w:val="24"/>
                        </w:rPr>
                      </w:pPr>
                    </w:p>
                  </w:sdtContent>
                </w:sdt>
              </w:sdtContent>
            </w:sdt>
            <w:sdt>
              <w:sdtPr>
                <w:alias w:val="3 pr. 3 p."/>
                <w:tag w:val="part_6f4acb3dc27948e9927662386dff2d11"/>
                <w:lock w:val="sdtLocked"/>
                <w:richText/>
              </w:sdtPr>
              <w:sdtContent>
                <w:p w14:paraId="6B589716" w14:textId="77777777">
                  <w:pPr>
                    <w:suppressAutoHyphens/>
                    <w:ind w:firstLine="709"/>
                    <w:jc w:val="both"/>
                    <w:textAlignment w:val="baseline"/>
                    <w:rPr>
                      <w:bCs/>
                      <w:i/>
                      <w:iCs/>
                      <w:sz w:val="22"/>
                      <w:szCs w:val="22"/>
                      <w:lang w:eastAsia="lt-LT"/>
                    </w:rPr>
                  </w:pPr>
                  <w:sdt>
                    <w:sdtPr>
                      <w:alias w:val="Numeris"/>
                      <w:tag w:val="nr_6f4acb3dc27948e9927662386dff2d11"/>
                      <w:lock w:val="sdtLocked"/>
                      <w:richText/>
                    </w:sdtPr>
                    <w:sdtContent>
                      <w:r>
                        <w:rPr>
                          <w:b/>
                          <w:szCs w:val="24"/>
                        </w:rPr>
                        <w:t>3</w:t>
                      </w:r>
                    </w:sdtContent>
                  </w:sdt>
                  <w:r>
                    <w:rPr>
                      <w:b/>
                      <w:szCs w:val="24"/>
                    </w:rPr>
                    <w:t>. Informacija apie projekto pasiektus rezultatus, vykdant veiklą, nurodytą paraiškoje</w:t>
                  </w:r>
                </w:p>
                <w:p w14:paraId="40A90973" w14:textId="77777777">
                  <w:pPr>
                    <w:suppressAutoHyphens/>
                    <w:jc w:val="both"/>
                    <w:textAlignment w:val="baseline"/>
                    <w:rPr>
                      <w:b/>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65"/>
                    <w:gridCol w:w="3059"/>
                    <w:gridCol w:w="3510"/>
                  </w:tblGrid>
                  <w:tr w14:paraId="679D0F6E" w14:textId="77777777">
                    <w:tc>
                      <w:tcPr>
                        <w:tcW w:w="3065" w:type="dxa"/>
                      </w:tcPr>
                      <w:p w14:paraId="2FDC4E54" w14:textId="77777777">
                        <w:pPr>
                          <w:suppressAutoHyphens/>
                          <w:jc w:val="center"/>
                          <w:textAlignment w:val="baseline"/>
                          <w:rPr>
                            <w:b/>
                            <w:sz w:val="22"/>
                            <w:szCs w:val="22"/>
                          </w:rPr>
                        </w:pPr>
                        <w:r>
                          <w:rPr>
                            <w:b/>
                            <w:sz w:val="22"/>
                            <w:szCs w:val="22"/>
                          </w:rPr>
                          <w:t>Paraiškoje planuota veikla ir rezultatai</w:t>
                        </w:r>
                      </w:p>
                    </w:tc>
                    <w:tc>
                      <w:tcPr>
                        <w:tcW w:w="3059" w:type="dxa"/>
                      </w:tcPr>
                      <w:p w14:paraId="31B5C648" w14:textId="77777777">
                        <w:pPr>
                          <w:suppressAutoHyphens/>
                          <w:jc w:val="center"/>
                          <w:textAlignment w:val="baseline"/>
                          <w:rPr>
                            <w:b/>
                            <w:sz w:val="22"/>
                            <w:szCs w:val="22"/>
                          </w:rPr>
                        </w:pPr>
                        <w:r>
                          <w:rPr>
                            <w:b/>
                            <w:sz w:val="22"/>
                            <w:szCs w:val="22"/>
                          </w:rPr>
                          <w:t>Įvykdyta veikla ir pasiekti rezultatai</w:t>
                        </w:r>
                      </w:p>
                    </w:tc>
                    <w:tc>
                      <w:tcPr>
                        <w:tcW w:w="3510" w:type="dxa"/>
                      </w:tcPr>
                      <w:p w14:paraId="258482DD" w14:textId="77777777">
                        <w:pPr>
                          <w:suppressAutoHyphens/>
                          <w:jc w:val="center"/>
                          <w:textAlignment w:val="baseline"/>
                          <w:rPr>
                            <w:b/>
                            <w:sz w:val="22"/>
                            <w:szCs w:val="22"/>
                          </w:rPr>
                        </w:pPr>
                        <w:r>
                          <w:rPr>
                            <w:b/>
                            <w:sz w:val="22"/>
                            <w:szCs w:val="22"/>
                          </w:rPr>
                          <w:t>Neįvykdymo priežastys</w:t>
                        </w:r>
                      </w:p>
                    </w:tc>
                  </w:tr>
                  <w:tr w14:paraId="52C9049F" w14:textId="77777777">
                    <w:tc>
                      <w:tcPr>
                        <w:tcW w:w="9634" w:type="dxa"/>
                        <w:gridSpan w:val="3"/>
                      </w:tcPr>
                      <w:p w14:paraId="0F65E32E" w14:textId="77777777">
                        <w:pPr>
                          <w:suppressAutoHyphens/>
                          <w:spacing w:line="360" w:lineRule="auto"/>
                          <w:jc w:val="both"/>
                          <w:textAlignment w:val="baseline"/>
                          <w:rPr>
                            <w:b/>
                            <w:bCs/>
                            <w:sz w:val="22"/>
                            <w:szCs w:val="22"/>
                          </w:rPr>
                        </w:pPr>
                        <w:r>
                          <w:rPr>
                            <w:b/>
                            <w:bCs/>
                            <w:color w:val="000000"/>
                            <w:sz w:val="22"/>
                            <w:szCs w:val="22"/>
                            <w:lang w:eastAsia="lt-LT"/>
                          </w:rPr>
                          <w:t>Dalyvavimas parodose, mugėse ir (arba) kituose viešuose renginiuose:</w:t>
                        </w:r>
                      </w:p>
                    </w:tc>
                  </w:tr>
                  <w:tr w14:paraId="5BBA207E" w14:textId="77777777">
                    <w:tc>
                      <w:tcPr>
                        <w:tcW w:w="3065" w:type="dxa"/>
                      </w:tcPr>
                      <w:p w14:paraId="04C32859" w14:textId="77777777">
                        <w:pPr>
                          <w:suppressAutoHyphens/>
                          <w:jc w:val="both"/>
                          <w:textAlignment w:val="baseline"/>
                          <w:rPr>
                            <w:bCs/>
                            <w:sz w:val="22"/>
                            <w:szCs w:val="22"/>
                          </w:rPr>
                        </w:pPr>
                        <w:r>
                          <w:rPr>
                            <w:bCs/>
                            <w:sz w:val="22"/>
                            <w:szCs w:val="22"/>
                          </w:rPr>
                          <w:t>1.</w:t>
                        </w:r>
                      </w:p>
                      <w:p w14:paraId="4DEF96FA" w14:textId="77777777">
                        <w:pPr>
                          <w:suppressAutoHyphens/>
                          <w:jc w:val="both"/>
                          <w:textAlignment w:val="baseline"/>
                          <w:rPr>
                            <w:bCs/>
                            <w:sz w:val="22"/>
                            <w:szCs w:val="22"/>
                          </w:rPr>
                        </w:pPr>
                        <w:r>
                          <w:rPr>
                            <w:bCs/>
                            <w:sz w:val="22"/>
                            <w:szCs w:val="22"/>
                          </w:rPr>
                          <w:t>2.</w:t>
                        </w:r>
                      </w:p>
                      <w:p w14:paraId="7B7FDAF2" w14:textId="77777777">
                        <w:pPr>
                          <w:suppressAutoHyphens/>
                          <w:jc w:val="both"/>
                          <w:textAlignment w:val="baseline"/>
                          <w:rPr>
                            <w:bCs/>
                            <w:sz w:val="22"/>
                            <w:szCs w:val="22"/>
                          </w:rPr>
                        </w:pPr>
                        <w:r>
                          <w:rPr>
                            <w:bCs/>
                            <w:sz w:val="22"/>
                            <w:szCs w:val="22"/>
                          </w:rPr>
                          <w:t>3.</w:t>
                        </w:r>
                      </w:p>
                      <w:p w14:paraId="72FF65DB" w14:textId="77777777">
                        <w:pPr>
                          <w:suppressAutoHyphens/>
                          <w:jc w:val="both"/>
                          <w:textAlignment w:val="baseline"/>
                          <w:rPr>
                            <w:b/>
                            <w:sz w:val="22"/>
                            <w:szCs w:val="22"/>
                          </w:rPr>
                        </w:pPr>
                        <w:r>
                          <w:rPr>
                            <w:bCs/>
                            <w:sz w:val="22"/>
                            <w:szCs w:val="22"/>
                          </w:rPr>
                          <w:t>...</w:t>
                        </w:r>
                      </w:p>
                    </w:tc>
                    <w:tc>
                      <w:tcPr>
                        <w:tcW w:w="3059" w:type="dxa"/>
                      </w:tcPr>
                      <w:p w14:paraId="4AF36AC9" w14:textId="77777777">
                        <w:pPr>
                          <w:suppressAutoHyphens/>
                          <w:jc w:val="both"/>
                          <w:textAlignment w:val="baseline"/>
                          <w:rPr>
                            <w:bCs/>
                            <w:sz w:val="22"/>
                            <w:szCs w:val="22"/>
                          </w:rPr>
                        </w:pPr>
                        <w:r>
                          <w:rPr>
                            <w:bCs/>
                            <w:sz w:val="22"/>
                            <w:szCs w:val="22"/>
                          </w:rPr>
                          <w:t>1.</w:t>
                        </w:r>
                      </w:p>
                      <w:p w14:paraId="77546DF8" w14:textId="77777777">
                        <w:pPr>
                          <w:suppressAutoHyphens/>
                          <w:jc w:val="both"/>
                          <w:textAlignment w:val="baseline"/>
                          <w:rPr>
                            <w:bCs/>
                            <w:sz w:val="22"/>
                            <w:szCs w:val="22"/>
                          </w:rPr>
                        </w:pPr>
                        <w:r>
                          <w:rPr>
                            <w:bCs/>
                            <w:sz w:val="22"/>
                            <w:szCs w:val="22"/>
                          </w:rPr>
                          <w:t>2.</w:t>
                        </w:r>
                      </w:p>
                      <w:p w14:paraId="7D0BB1D6" w14:textId="77777777">
                        <w:pPr>
                          <w:suppressAutoHyphens/>
                          <w:jc w:val="both"/>
                          <w:textAlignment w:val="baseline"/>
                          <w:rPr>
                            <w:bCs/>
                            <w:sz w:val="22"/>
                            <w:szCs w:val="22"/>
                          </w:rPr>
                        </w:pPr>
                        <w:r>
                          <w:rPr>
                            <w:bCs/>
                            <w:sz w:val="22"/>
                            <w:szCs w:val="22"/>
                          </w:rPr>
                          <w:t>3.</w:t>
                        </w:r>
                      </w:p>
                      <w:p w14:paraId="44B24A90" w14:textId="77777777">
                        <w:pPr>
                          <w:suppressAutoHyphens/>
                          <w:spacing w:line="360" w:lineRule="auto"/>
                          <w:jc w:val="both"/>
                          <w:textAlignment w:val="baseline"/>
                          <w:rPr>
                            <w:b/>
                            <w:sz w:val="22"/>
                            <w:szCs w:val="22"/>
                          </w:rPr>
                        </w:pPr>
                        <w:r>
                          <w:rPr>
                            <w:bCs/>
                            <w:sz w:val="22"/>
                            <w:szCs w:val="22"/>
                          </w:rPr>
                          <w:t>...</w:t>
                        </w:r>
                      </w:p>
                    </w:tc>
                    <w:tc>
                      <w:tcPr>
                        <w:tcW w:w="3510" w:type="dxa"/>
                      </w:tcPr>
                      <w:p w14:paraId="06E35ED7" w14:textId="77777777">
                        <w:pPr>
                          <w:suppressAutoHyphens/>
                          <w:spacing w:line="360" w:lineRule="auto"/>
                          <w:jc w:val="both"/>
                          <w:textAlignment w:val="baseline"/>
                          <w:rPr>
                            <w:b/>
                            <w:sz w:val="22"/>
                            <w:szCs w:val="22"/>
                          </w:rPr>
                        </w:pPr>
                      </w:p>
                    </w:tc>
                  </w:tr>
                  <w:tr w14:paraId="79CEAC1A" w14:textId="77777777">
                    <w:tc>
                      <w:tcPr>
                        <w:tcW w:w="9634" w:type="dxa"/>
                        <w:gridSpan w:val="3"/>
                      </w:tcPr>
                      <w:p w14:paraId="0E7D5911" w14:textId="77777777">
                        <w:pPr>
                          <w:suppressAutoHyphens/>
                          <w:spacing w:line="360" w:lineRule="auto"/>
                          <w:jc w:val="both"/>
                          <w:textAlignment w:val="baseline"/>
                          <w:rPr>
                            <w:b/>
                            <w:bCs/>
                            <w:sz w:val="22"/>
                            <w:szCs w:val="22"/>
                          </w:rPr>
                        </w:pPr>
                        <w:r>
                          <w:rPr>
                            <w:b/>
                            <w:bCs/>
                            <w:color w:val="000000"/>
                            <w:sz w:val="22"/>
                            <w:szCs w:val="22"/>
                            <w:lang w:eastAsia="lt-LT"/>
                          </w:rPr>
                          <w:t>Įrangos įsigijimas</w:t>
                        </w:r>
                      </w:p>
                    </w:tc>
                  </w:tr>
                  <w:tr w14:paraId="49189893" w14:textId="77777777">
                    <w:tc>
                      <w:tcPr>
                        <w:tcW w:w="3065" w:type="dxa"/>
                      </w:tcPr>
                      <w:p w14:paraId="08AD53DD" w14:textId="77777777">
                        <w:pPr>
                          <w:suppressAutoHyphens/>
                          <w:spacing w:line="360" w:lineRule="auto"/>
                          <w:jc w:val="both"/>
                          <w:textAlignment w:val="baseline"/>
                          <w:rPr>
                            <w:color w:val="000000"/>
                            <w:sz w:val="22"/>
                            <w:szCs w:val="22"/>
                            <w:lang w:eastAsia="lt-LT"/>
                          </w:rPr>
                        </w:pPr>
                      </w:p>
                    </w:tc>
                    <w:tc>
                      <w:tcPr>
                        <w:tcW w:w="3059" w:type="dxa"/>
                      </w:tcPr>
                      <w:p w14:paraId="7C7706D8" w14:textId="77777777">
                        <w:pPr>
                          <w:suppressAutoHyphens/>
                          <w:spacing w:line="360" w:lineRule="auto"/>
                          <w:jc w:val="both"/>
                          <w:textAlignment w:val="baseline"/>
                          <w:rPr>
                            <w:b/>
                            <w:sz w:val="22"/>
                            <w:szCs w:val="22"/>
                          </w:rPr>
                        </w:pPr>
                      </w:p>
                    </w:tc>
                    <w:tc>
                      <w:tcPr>
                        <w:tcW w:w="3510" w:type="dxa"/>
                      </w:tcPr>
                      <w:p w14:paraId="7D4E8A32" w14:textId="77777777">
                        <w:pPr>
                          <w:suppressAutoHyphens/>
                          <w:spacing w:line="360" w:lineRule="auto"/>
                          <w:jc w:val="both"/>
                          <w:textAlignment w:val="baseline"/>
                          <w:rPr>
                            <w:b/>
                            <w:sz w:val="22"/>
                            <w:szCs w:val="22"/>
                          </w:rPr>
                        </w:pPr>
                      </w:p>
                    </w:tc>
                  </w:tr>
                  <w:tr w14:paraId="1819B7EC" w14:textId="77777777">
                    <w:tc>
                      <w:tcPr>
                        <w:tcW w:w="9634" w:type="dxa"/>
                        <w:gridSpan w:val="3"/>
                      </w:tcPr>
                      <w:p w14:paraId="4FA21558" w14:textId="77777777">
                        <w:pPr>
                          <w:suppressAutoHyphens/>
                          <w:spacing w:line="360" w:lineRule="auto"/>
                          <w:jc w:val="both"/>
                          <w:textAlignment w:val="baseline"/>
                          <w:rPr>
                            <w:b/>
                            <w:bCs/>
                            <w:sz w:val="22"/>
                            <w:szCs w:val="22"/>
                          </w:rPr>
                        </w:pPr>
                        <w:r>
                          <w:rPr>
                            <w:b/>
                            <w:bCs/>
                            <w:color w:val="000000"/>
                            <w:sz w:val="22"/>
                            <w:szCs w:val="22"/>
                            <w:lang w:eastAsia="lt-LT"/>
                          </w:rPr>
                          <w:t xml:space="preserve">Gyvas </w:t>
                        </w:r>
                        <w:r>
                          <w:rPr>
                            <w:b/>
                            <w:bCs/>
                            <w:color w:val="000000"/>
                            <w:sz w:val="22"/>
                            <w:szCs w:val="22"/>
                          </w:rPr>
                          <w:t xml:space="preserve">tradicinio </w:t>
                        </w:r>
                        <w:r>
                          <w:rPr>
                            <w:b/>
                            <w:bCs/>
                            <w:color w:val="000000"/>
                            <w:sz w:val="22"/>
                            <w:szCs w:val="22"/>
                            <w:lang w:eastAsia="lt-LT"/>
                          </w:rPr>
                          <w:t>amato demonstravimas</w:t>
                        </w:r>
                        <w:r>
                          <w:rPr>
                            <w:b/>
                            <w:bCs/>
                            <w:color w:val="000000"/>
                            <w:sz w:val="22"/>
                            <w:szCs w:val="22"/>
                          </w:rPr>
                          <w:t xml:space="preserve"> parodose, mugėse ir (ar) kt. viešuose renginiuose:</w:t>
                        </w:r>
                      </w:p>
                    </w:tc>
                  </w:tr>
                  <w:tr w14:paraId="4C4EAED0" w14:textId="77777777">
                    <w:tc>
                      <w:tcPr>
                        <w:tcW w:w="3065" w:type="dxa"/>
                      </w:tcPr>
                      <w:p w14:paraId="2DB1A23E" w14:textId="77777777">
                        <w:pPr>
                          <w:suppressAutoHyphens/>
                          <w:jc w:val="both"/>
                          <w:textAlignment w:val="baseline"/>
                          <w:rPr>
                            <w:bCs/>
                            <w:sz w:val="22"/>
                            <w:szCs w:val="22"/>
                          </w:rPr>
                        </w:pPr>
                        <w:r>
                          <w:rPr>
                            <w:bCs/>
                            <w:sz w:val="22"/>
                            <w:szCs w:val="22"/>
                          </w:rPr>
                          <w:t>1.</w:t>
                        </w:r>
                      </w:p>
                      <w:p w14:paraId="12A9DF45" w14:textId="77777777">
                        <w:pPr>
                          <w:suppressAutoHyphens/>
                          <w:jc w:val="both"/>
                          <w:textAlignment w:val="baseline"/>
                          <w:rPr>
                            <w:bCs/>
                            <w:sz w:val="22"/>
                            <w:szCs w:val="22"/>
                          </w:rPr>
                        </w:pPr>
                        <w:r>
                          <w:rPr>
                            <w:bCs/>
                            <w:sz w:val="22"/>
                            <w:szCs w:val="22"/>
                          </w:rPr>
                          <w:t>2.</w:t>
                        </w:r>
                      </w:p>
                      <w:p w14:paraId="19E71D21" w14:textId="77777777">
                        <w:pPr>
                          <w:suppressAutoHyphens/>
                          <w:jc w:val="both"/>
                          <w:textAlignment w:val="baseline"/>
                          <w:rPr>
                            <w:bCs/>
                            <w:sz w:val="22"/>
                            <w:szCs w:val="22"/>
                          </w:rPr>
                        </w:pPr>
                        <w:r>
                          <w:rPr>
                            <w:bCs/>
                            <w:sz w:val="22"/>
                            <w:szCs w:val="22"/>
                          </w:rPr>
                          <w:t>3.</w:t>
                        </w:r>
                      </w:p>
                      <w:p w14:paraId="52554444" w14:textId="77777777">
                        <w:pPr>
                          <w:suppressAutoHyphens/>
                          <w:spacing w:line="360" w:lineRule="auto"/>
                          <w:jc w:val="both"/>
                          <w:textAlignment w:val="baseline"/>
                          <w:rPr>
                            <w:color w:val="000000"/>
                            <w:sz w:val="22"/>
                            <w:szCs w:val="22"/>
                            <w:lang w:eastAsia="lt-LT"/>
                          </w:rPr>
                        </w:pPr>
                        <w:r>
                          <w:rPr>
                            <w:bCs/>
                            <w:sz w:val="22"/>
                            <w:szCs w:val="22"/>
                          </w:rPr>
                          <w:t>...</w:t>
                        </w:r>
                      </w:p>
                    </w:tc>
                    <w:tc>
                      <w:tcPr>
                        <w:tcW w:w="3059" w:type="dxa"/>
                      </w:tcPr>
                      <w:p w14:paraId="2C28D745" w14:textId="77777777">
                        <w:pPr>
                          <w:suppressAutoHyphens/>
                          <w:jc w:val="both"/>
                          <w:textAlignment w:val="baseline"/>
                          <w:rPr>
                            <w:bCs/>
                            <w:sz w:val="22"/>
                            <w:szCs w:val="22"/>
                          </w:rPr>
                        </w:pPr>
                        <w:r>
                          <w:rPr>
                            <w:bCs/>
                            <w:sz w:val="22"/>
                            <w:szCs w:val="22"/>
                          </w:rPr>
                          <w:t>1.</w:t>
                        </w:r>
                      </w:p>
                      <w:p w14:paraId="35D7417E" w14:textId="77777777">
                        <w:pPr>
                          <w:suppressAutoHyphens/>
                          <w:jc w:val="both"/>
                          <w:textAlignment w:val="baseline"/>
                          <w:rPr>
                            <w:bCs/>
                            <w:sz w:val="22"/>
                            <w:szCs w:val="22"/>
                          </w:rPr>
                        </w:pPr>
                        <w:r>
                          <w:rPr>
                            <w:bCs/>
                            <w:sz w:val="22"/>
                            <w:szCs w:val="22"/>
                          </w:rPr>
                          <w:t>2.</w:t>
                        </w:r>
                      </w:p>
                      <w:p w14:paraId="1DF846EF" w14:textId="77777777">
                        <w:pPr>
                          <w:suppressAutoHyphens/>
                          <w:jc w:val="both"/>
                          <w:textAlignment w:val="baseline"/>
                          <w:rPr>
                            <w:bCs/>
                            <w:sz w:val="22"/>
                            <w:szCs w:val="22"/>
                          </w:rPr>
                        </w:pPr>
                        <w:r>
                          <w:rPr>
                            <w:bCs/>
                            <w:sz w:val="22"/>
                            <w:szCs w:val="22"/>
                          </w:rPr>
                          <w:t>3.</w:t>
                        </w:r>
                      </w:p>
                      <w:p w14:paraId="58C5EF3A" w14:textId="77777777">
                        <w:pPr>
                          <w:suppressAutoHyphens/>
                          <w:spacing w:line="360" w:lineRule="auto"/>
                          <w:jc w:val="both"/>
                          <w:textAlignment w:val="baseline"/>
                          <w:rPr>
                            <w:b/>
                            <w:sz w:val="22"/>
                            <w:szCs w:val="22"/>
                          </w:rPr>
                        </w:pPr>
                        <w:r>
                          <w:rPr>
                            <w:bCs/>
                            <w:sz w:val="22"/>
                            <w:szCs w:val="22"/>
                          </w:rPr>
                          <w:t>...</w:t>
                        </w:r>
                      </w:p>
                    </w:tc>
                    <w:tc>
                      <w:tcPr>
                        <w:tcW w:w="3510" w:type="dxa"/>
                      </w:tcPr>
                      <w:p w14:paraId="3C776AF3" w14:textId="77777777">
                        <w:pPr>
                          <w:suppressAutoHyphens/>
                          <w:spacing w:line="360" w:lineRule="auto"/>
                          <w:jc w:val="both"/>
                          <w:textAlignment w:val="baseline"/>
                          <w:rPr>
                            <w:b/>
                            <w:sz w:val="22"/>
                            <w:szCs w:val="22"/>
                          </w:rPr>
                        </w:pPr>
                      </w:p>
                    </w:tc>
                  </w:tr>
                  <w:tr w14:paraId="56C99C6E" w14:textId="77777777">
                    <w:tc>
                      <w:tcPr>
                        <w:tcW w:w="9634" w:type="dxa"/>
                        <w:gridSpan w:val="3"/>
                      </w:tcPr>
                      <w:p w14:paraId="019546CB" w14:textId="77777777">
                        <w:pPr>
                          <w:suppressAutoHyphens/>
                          <w:spacing w:line="360" w:lineRule="auto"/>
                          <w:jc w:val="both"/>
                          <w:textAlignment w:val="baseline"/>
                          <w:rPr>
                            <w:b/>
                            <w:bCs/>
                            <w:sz w:val="22"/>
                            <w:szCs w:val="22"/>
                          </w:rPr>
                        </w:pPr>
                        <w:r>
                          <w:rPr>
                            <w:b/>
                            <w:bCs/>
                            <w:color w:val="000000"/>
                            <w:sz w:val="22"/>
                            <w:szCs w:val="22"/>
                            <w:lang w:eastAsia="lt-LT"/>
                          </w:rPr>
                          <w:t>Edukacinių užsiėmimų vedimas:</w:t>
                        </w:r>
                      </w:p>
                    </w:tc>
                  </w:tr>
                  <w:tr w14:paraId="04703DAF" w14:textId="77777777">
                    <w:tc>
                      <w:tcPr>
                        <w:tcW w:w="3065" w:type="dxa"/>
                      </w:tcPr>
                      <w:p w14:paraId="0F831B21" w14:textId="77777777">
                        <w:pPr>
                          <w:suppressAutoHyphens/>
                          <w:jc w:val="both"/>
                          <w:textAlignment w:val="baseline"/>
                          <w:rPr>
                            <w:bCs/>
                            <w:sz w:val="22"/>
                            <w:szCs w:val="22"/>
                          </w:rPr>
                        </w:pPr>
                        <w:r>
                          <w:rPr>
                            <w:bCs/>
                            <w:sz w:val="22"/>
                            <w:szCs w:val="22"/>
                          </w:rPr>
                          <w:t>1.</w:t>
                        </w:r>
                      </w:p>
                      <w:p w14:paraId="33B486E6" w14:textId="77777777">
                        <w:pPr>
                          <w:suppressAutoHyphens/>
                          <w:jc w:val="both"/>
                          <w:textAlignment w:val="baseline"/>
                          <w:rPr>
                            <w:bCs/>
                            <w:sz w:val="22"/>
                            <w:szCs w:val="22"/>
                          </w:rPr>
                        </w:pPr>
                        <w:r>
                          <w:rPr>
                            <w:bCs/>
                            <w:sz w:val="22"/>
                            <w:szCs w:val="22"/>
                          </w:rPr>
                          <w:t>2.</w:t>
                        </w:r>
                      </w:p>
                      <w:p w14:paraId="2FA7EB17" w14:textId="77777777">
                        <w:pPr>
                          <w:suppressAutoHyphens/>
                          <w:jc w:val="both"/>
                          <w:textAlignment w:val="baseline"/>
                          <w:rPr>
                            <w:bCs/>
                            <w:sz w:val="22"/>
                            <w:szCs w:val="22"/>
                          </w:rPr>
                        </w:pPr>
                        <w:r>
                          <w:rPr>
                            <w:bCs/>
                            <w:sz w:val="22"/>
                            <w:szCs w:val="22"/>
                          </w:rPr>
                          <w:t>3.</w:t>
                        </w:r>
                      </w:p>
                      <w:p w14:paraId="57F29A69" w14:textId="77777777">
                        <w:pPr>
                          <w:suppressAutoHyphens/>
                          <w:spacing w:line="360" w:lineRule="auto"/>
                          <w:jc w:val="both"/>
                          <w:textAlignment w:val="baseline"/>
                          <w:rPr>
                            <w:color w:val="000000"/>
                            <w:sz w:val="22"/>
                            <w:szCs w:val="22"/>
                            <w:lang w:eastAsia="lt-LT"/>
                          </w:rPr>
                        </w:pPr>
                        <w:r>
                          <w:rPr>
                            <w:bCs/>
                            <w:sz w:val="22"/>
                            <w:szCs w:val="22"/>
                          </w:rPr>
                          <w:t>...</w:t>
                        </w:r>
                      </w:p>
                    </w:tc>
                    <w:tc>
                      <w:tcPr>
                        <w:tcW w:w="3059" w:type="dxa"/>
                      </w:tcPr>
                      <w:p w14:paraId="111A8BCF" w14:textId="77777777">
                        <w:pPr>
                          <w:suppressAutoHyphens/>
                          <w:jc w:val="both"/>
                          <w:textAlignment w:val="baseline"/>
                          <w:rPr>
                            <w:bCs/>
                            <w:sz w:val="22"/>
                            <w:szCs w:val="22"/>
                          </w:rPr>
                        </w:pPr>
                        <w:r>
                          <w:rPr>
                            <w:bCs/>
                            <w:sz w:val="22"/>
                            <w:szCs w:val="22"/>
                          </w:rPr>
                          <w:t>1.</w:t>
                        </w:r>
                      </w:p>
                      <w:p w14:paraId="427239A0" w14:textId="77777777">
                        <w:pPr>
                          <w:suppressAutoHyphens/>
                          <w:jc w:val="both"/>
                          <w:textAlignment w:val="baseline"/>
                          <w:rPr>
                            <w:bCs/>
                            <w:sz w:val="22"/>
                            <w:szCs w:val="22"/>
                          </w:rPr>
                        </w:pPr>
                        <w:r>
                          <w:rPr>
                            <w:bCs/>
                            <w:sz w:val="22"/>
                            <w:szCs w:val="22"/>
                          </w:rPr>
                          <w:t>2.</w:t>
                        </w:r>
                      </w:p>
                      <w:p w14:paraId="33197628" w14:textId="77777777">
                        <w:pPr>
                          <w:suppressAutoHyphens/>
                          <w:jc w:val="both"/>
                          <w:textAlignment w:val="baseline"/>
                          <w:rPr>
                            <w:bCs/>
                            <w:sz w:val="22"/>
                            <w:szCs w:val="22"/>
                          </w:rPr>
                        </w:pPr>
                        <w:r>
                          <w:rPr>
                            <w:bCs/>
                            <w:sz w:val="22"/>
                            <w:szCs w:val="22"/>
                          </w:rPr>
                          <w:t>3.</w:t>
                        </w:r>
                      </w:p>
                      <w:p w14:paraId="72D6BDDC" w14:textId="77777777">
                        <w:pPr>
                          <w:suppressAutoHyphens/>
                          <w:spacing w:line="360" w:lineRule="auto"/>
                          <w:jc w:val="both"/>
                          <w:textAlignment w:val="baseline"/>
                          <w:rPr>
                            <w:b/>
                            <w:sz w:val="22"/>
                            <w:szCs w:val="22"/>
                          </w:rPr>
                        </w:pPr>
                        <w:r>
                          <w:rPr>
                            <w:bCs/>
                            <w:sz w:val="22"/>
                            <w:szCs w:val="22"/>
                          </w:rPr>
                          <w:t>...</w:t>
                        </w:r>
                      </w:p>
                    </w:tc>
                    <w:tc>
                      <w:tcPr>
                        <w:tcW w:w="3510" w:type="dxa"/>
                      </w:tcPr>
                      <w:p w14:paraId="333E9F41" w14:textId="77777777">
                        <w:pPr>
                          <w:suppressAutoHyphens/>
                          <w:spacing w:line="360" w:lineRule="auto"/>
                          <w:jc w:val="both"/>
                          <w:textAlignment w:val="baseline"/>
                          <w:rPr>
                            <w:b/>
                            <w:sz w:val="22"/>
                            <w:szCs w:val="22"/>
                          </w:rPr>
                        </w:pPr>
                      </w:p>
                    </w:tc>
                  </w:tr>
                  <w:tr w14:paraId="1BC05FF1" w14:textId="77777777">
                    <w:tc>
                      <w:tcPr>
                        <w:tcW w:w="9634" w:type="dxa"/>
                        <w:gridSpan w:val="3"/>
                      </w:tcPr>
                      <w:p w14:paraId="60FB1779" w14:textId="77777777">
                        <w:pPr>
                          <w:suppressAutoHyphens/>
                          <w:spacing w:line="360" w:lineRule="auto"/>
                          <w:jc w:val="both"/>
                          <w:textAlignment w:val="baseline"/>
                          <w:rPr>
                            <w:b/>
                            <w:bCs/>
                            <w:sz w:val="22"/>
                            <w:szCs w:val="22"/>
                          </w:rPr>
                        </w:pPr>
                        <w:r>
                          <w:rPr>
                            <w:b/>
                            <w:bCs/>
                            <w:color w:val="000000"/>
                            <w:sz w:val="22"/>
                            <w:szCs w:val="22"/>
                            <w:lang w:eastAsia="lt-LT"/>
                          </w:rPr>
                          <w:t>Tautinio paveldo produktų populiarinimo leidinių (taip pat ir elektroninių) rengimas:</w:t>
                        </w:r>
                      </w:p>
                    </w:tc>
                  </w:tr>
                  <w:tr w14:paraId="336DE26A" w14:textId="77777777">
                    <w:tc>
                      <w:tcPr>
                        <w:tcW w:w="3065" w:type="dxa"/>
                      </w:tcPr>
                      <w:p w14:paraId="3E2D5201" w14:textId="77777777">
                        <w:pPr>
                          <w:suppressAutoHyphens/>
                          <w:spacing w:line="360" w:lineRule="auto"/>
                          <w:jc w:val="both"/>
                          <w:textAlignment w:val="baseline"/>
                          <w:rPr>
                            <w:color w:val="000000"/>
                            <w:sz w:val="22"/>
                            <w:szCs w:val="22"/>
                            <w:lang w:eastAsia="lt-LT"/>
                          </w:rPr>
                        </w:pPr>
                      </w:p>
                    </w:tc>
                    <w:tc>
                      <w:tcPr>
                        <w:tcW w:w="3059" w:type="dxa"/>
                      </w:tcPr>
                      <w:p w14:paraId="6BAFC5B4" w14:textId="77777777">
                        <w:pPr>
                          <w:suppressAutoHyphens/>
                          <w:spacing w:line="360" w:lineRule="auto"/>
                          <w:jc w:val="both"/>
                          <w:textAlignment w:val="baseline"/>
                          <w:rPr>
                            <w:b/>
                            <w:sz w:val="22"/>
                            <w:szCs w:val="22"/>
                          </w:rPr>
                        </w:pPr>
                      </w:p>
                    </w:tc>
                    <w:tc>
                      <w:tcPr>
                        <w:tcW w:w="3510" w:type="dxa"/>
                      </w:tcPr>
                      <w:p w14:paraId="51408652" w14:textId="77777777">
                        <w:pPr>
                          <w:suppressAutoHyphens/>
                          <w:spacing w:line="360" w:lineRule="auto"/>
                          <w:jc w:val="both"/>
                          <w:textAlignment w:val="baseline"/>
                          <w:rPr>
                            <w:b/>
                            <w:sz w:val="22"/>
                            <w:szCs w:val="22"/>
                          </w:rPr>
                        </w:pPr>
                      </w:p>
                    </w:tc>
                  </w:tr>
                  <w:tr w14:paraId="548DA8CB" w14:textId="77777777">
                    <w:tc>
                      <w:tcPr>
                        <w:tcW w:w="9634" w:type="dxa"/>
                        <w:gridSpan w:val="3"/>
                      </w:tcPr>
                      <w:p w14:paraId="1993C232" w14:textId="77777777">
                        <w:pPr>
                          <w:suppressAutoHyphens/>
                          <w:spacing w:line="360" w:lineRule="auto"/>
                          <w:jc w:val="both"/>
                          <w:textAlignment w:val="baseline"/>
                          <w:rPr>
                            <w:b/>
                            <w:bCs/>
                            <w:sz w:val="22"/>
                            <w:szCs w:val="22"/>
                          </w:rPr>
                        </w:pPr>
                        <w:r>
                          <w:rPr>
                            <w:b/>
                            <w:bCs/>
                            <w:color w:val="000000"/>
                            <w:sz w:val="22"/>
                            <w:szCs w:val="22"/>
                            <w:lang w:eastAsia="lt-LT"/>
                          </w:rPr>
                          <w:t>Tautinio paveldo produktų ženklinimas:</w:t>
                        </w:r>
                      </w:p>
                    </w:tc>
                  </w:tr>
                  <w:tr w14:paraId="52AC7391" w14:textId="77777777">
                    <w:tc>
                      <w:tcPr>
                        <w:tcW w:w="3065" w:type="dxa"/>
                      </w:tcPr>
                      <w:p w14:paraId="5991492A" w14:textId="77777777">
                        <w:pPr>
                          <w:suppressAutoHyphens/>
                          <w:spacing w:line="360" w:lineRule="auto"/>
                          <w:jc w:val="both"/>
                          <w:textAlignment w:val="baseline"/>
                          <w:rPr>
                            <w:color w:val="000000"/>
                            <w:sz w:val="22"/>
                            <w:szCs w:val="22"/>
                            <w:lang w:eastAsia="lt-LT"/>
                          </w:rPr>
                        </w:pPr>
                      </w:p>
                    </w:tc>
                    <w:tc>
                      <w:tcPr>
                        <w:tcW w:w="3059" w:type="dxa"/>
                      </w:tcPr>
                      <w:p w14:paraId="35B0ACCC" w14:textId="77777777">
                        <w:pPr>
                          <w:suppressAutoHyphens/>
                          <w:spacing w:line="360" w:lineRule="auto"/>
                          <w:jc w:val="both"/>
                          <w:textAlignment w:val="baseline"/>
                          <w:rPr>
                            <w:b/>
                            <w:sz w:val="22"/>
                            <w:szCs w:val="22"/>
                          </w:rPr>
                        </w:pPr>
                      </w:p>
                    </w:tc>
                    <w:tc>
                      <w:tcPr>
                        <w:tcW w:w="3510" w:type="dxa"/>
                      </w:tcPr>
                      <w:p w14:paraId="55E1CE19" w14:textId="77777777">
                        <w:pPr>
                          <w:suppressAutoHyphens/>
                          <w:spacing w:line="360" w:lineRule="auto"/>
                          <w:jc w:val="both"/>
                          <w:textAlignment w:val="baseline"/>
                          <w:rPr>
                            <w:b/>
                            <w:sz w:val="22"/>
                            <w:szCs w:val="22"/>
                          </w:rPr>
                        </w:pPr>
                      </w:p>
                    </w:tc>
                  </w:tr>
                  <w:tr w14:paraId="203D8565" w14:textId="77777777">
                    <w:tc>
                      <w:tcPr>
                        <w:tcW w:w="9634" w:type="dxa"/>
                        <w:gridSpan w:val="3"/>
                      </w:tcPr>
                      <w:p w14:paraId="3CDA5D63" w14:textId="77777777">
                        <w:pPr>
                          <w:suppressAutoHyphens/>
                          <w:spacing w:line="360" w:lineRule="auto"/>
                          <w:jc w:val="both"/>
                          <w:textAlignment w:val="baseline"/>
                          <w:rPr>
                            <w:b/>
                            <w:bCs/>
                            <w:sz w:val="22"/>
                            <w:szCs w:val="22"/>
                          </w:rPr>
                        </w:pPr>
                        <w:r>
                          <w:rPr>
                            <w:b/>
                            <w:bCs/>
                            <w:color w:val="000000"/>
                            <w:sz w:val="22"/>
                            <w:szCs w:val="22"/>
                            <w:lang w:eastAsia="lt-LT"/>
                          </w:rPr>
                          <w:t>Sertifikuotų tradicinių renginių organizavimas:</w:t>
                        </w:r>
                      </w:p>
                    </w:tc>
                  </w:tr>
                  <w:tr w14:paraId="586F06BD" w14:textId="77777777">
                    <w:tc>
                      <w:tcPr>
                        <w:tcW w:w="3065" w:type="dxa"/>
                      </w:tcPr>
                      <w:p w14:paraId="733332C7" w14:textId="77777777">
                        <w:pPr>
                          <w:suppressAutoHyphens/>
                          <w:spacing w:line="360" w:lineRule="auto"/>
                          <w:jc w:val="both"/>
                          <w:textAlignment w:val="baseline"/>
                          <w:rPr>
                            <w:color w:val="000000"/>
                            <w:sz w:val="22"/>
                            <w:szCs w:val="22"/>
                            <w:lang w:eastAsia="lt-LT"/>
                          </w:rPr>
                        </w:pPr>
                      </w:p>
                    </w:tc>
                    <w:tc>
                      <w:tcPr>
                        <w:tcW w:w="3059" w:type="dxa"/>
                      </w:tcPr>
                      <w:p w14:paraId="0E2FFA40" w14:textId="77777777">
                        <w:pPr>
                          <w:suppressAutoHyphens/>
                          <w:spacing w:line="360" w:lineRule="auto"/>
                          <w:jc w:val="both"/>
                          <w:textAlignment w:val="baseline"/>
                          <w:rPr>
                            <w:b/>
                            <w:sz w:val="22"/>
                            <w:szCs w:val="22"/>
                          </w:rPr>
                        </w:pPr>
                      </w:p>
                    </w:tc>
                    <w:tc>
                      <w:tcPr>
                        <w:tcW w:w="3510" w:type="dxa"/>
                      </w:tcPr>
                      <w:p w14:paraId="61A029C3" w14:textId="77777777">
                        <w:pPr>
                          <w:suppressAutoHyphens/>
                          <w:spacing w:line="360" w:lineRule="auto"/>
                          <w:jc w:val="both"/>
                          <w:textAlignment w:val="baseline"/>
                          <w:rPr>
                            <w:b/>
                            <w:sz w:val="22"/>
                            <w:szCs w:val="22"/>
                          </w:rPr>
                        </w:pPr>
                      </w:p>
                    </w:tc>
                  </w:tr>
                </w:tbl>
                <w:p w14:paraId="366265E4" w14:textId="77777777">
                  <w:pPr>
                    <w:suppressAutoHyphens/>
                    <w:spacing w:line="360" w:lineRule="auto"/>
                    <w:jc w:val="both"/>
                    <w:textAlignment w:val="baseline"/>
                    <w:rPr>
                      <w:b/>
                      <w:sz w:val="22"/>
                      <w:szCs w:val="22"/>
                    </w:rPr>
                  </w:pPr>
                </w:p>
              </w:sdtContent>
            </w:sdt>
            <w:sdt>
              <w:sdtPr>
                <w:alias w:val="3 pr. 4 p."/>
                <w:tag w:val="part_1c552093e4a345e1afb58fd59162293e"/>
                <w:lock w:val="sdtLocked"/>
                <w:richText/>
              </w:sdtPr>
              <w:sdtContent>
                <w:p w14:paraId="77EB9E83" w14:textId="77777777">
                  <w:pPr>
                    <w:jc w:val="both"/>
                    <w:rPr>
                      <w:b/>
                    </w:rPr>
                  </w:pPr>
                  <w:sdt>
                    <w:sdtPr>
                      <w:alias w:val="Numeris"/>
                      <w:tag w:val="nr_1c552093e4a345e1afb58fd59162293e"/>
                      <w:lock w:val="sdtLocked"/>
                      <w:richText/>
                    </w:sdtPr>
                    <w:sdtContent>
                      <w:r>
                        <w:rPr>
                          <w:b/>
                        </w:rPr>
                        <w:t>4</w:t>
                      </w:r>
                    </w:sdtContent>
                  </w:sdt>
                  <w:r>
                    <w:rPr>
                      <w:b/>
                    </w:rPr>
                    <w:t>.</w:t>
                  </w:r>
                  <w:r>
                    <w:rPr>
                      <w:bCs/>
                      <w:sz w:val="22"/>
                      <w:szCs w:val="22"/>
                    </w:rPr>
                    <w:t xml:space="preserve"> Kiti pridedami dokumentai ir pastabos:</w:t>
                  </w:r>
                </w:p>
                <w:p w14:paraId="252CFAC2" w14:textId="77777777">
                  <w:pPr>
                    <w:tabs>
                      <w:tab w:val="left" w:pos="2160"/>
                    </w:tabs>
                    <w:jc w:val="both"/>
                    <w:rPr>
                      <w:bCs/>
                      <w:szCs w:val="24"/>
                      <w:lang w:eastAsia="lt-LT"/>
                    </w:rPr>
                  </w:pPr>
                  <w:r>
                    <w:rPr>
                      <w:bCs/>
                      <w:szCs w:val="24"/>
                      <w:lang w:eastAsia="lt-LT"/>
                    </w:rPr>
                    <w:t>____________________________________________________________________________________________________________________________________________________________________________________________________________________________________</w:t>
                  </w:r>
                </w:p>
                <w:p w14:paraId="499C9EFF" w14:textId="77777777">
                  <w:pPr>
                    <w:jc w:val="both"/>
                    <w:rPr>
                      <w:bCs/>
                      <w:sz w:val="22"/>
                      <w:szCs w:val="22"/>
                    </w:rPr>
                  </w:pPr>
                </w:p>
                <w:p w14:paraId="188C7129" w14:textId="77777777">
                  <w:pPr>
                    <w:jc w:val="both"/>
                    <w:rPr>
                      <w:bCs/>
                      <w:sz w:val="22"/>
                      <w:szCs w:val="22"/>
                    </w:rPr>
                  </w:pPr>
                </w:p>
              </w:sdtContent>
            </w:sdt>
          </w:sdtContent>
        </w:sdt>
        <w:sdt>
          <w:sdtPr>
            <w:alias w:val="skirsnis"/>
            <w:tag w:val="part_8cd1dc1ec86041e68b1952e16975ff34"/>
            <w:lock w:val="sdtLocked"/>
            <w:richText/>
          </w:sdtPr>
          <w:sdtContent>
            <w:p w14:paraId="5EDDE12C" w14:textId="5AD9741E">
              <w:pPr>
                <w:tabs>
                  <w:tab w:val="left" w:leader="underscore" w:pos="8789"/>
                </w:tabs>
                <w:jc w:val="both"/>
                <w:rPr>
                  <w:b/>
                  <w:sz w:val="22"/>
                  <w:szCs w:val="22"/>
                </w:rPr>
              </w:pPr>
              <w:sdt>
                <w:sdtPr>
                  <w:alias w:val="Pavadinimas"/>
                  <w:tag w:val="title_8cd1dc1ec86041e68b1952e16975ff34"/>
                  <w:lock w:val="sdtLocked"/>
                  <w:richText/>
                </w:sdtPr>
                <w:sdtContent>
                  <w:r>
                    <w:rPr>
                      <w:b/>
                      <w:sz w:val="22"/>
                      <w:szCs w:val="22"/>
                    </w:rPr>
                    <w:t>Pasirašydamas šią ataskaitą projekto vykdytojas patvirtina, kad visa šioje ataskaitoje ir jos prieduose pateikta informacija yra teisinga.</w:t>
                  </w:r>
                </w:sdtContent>
              </w:sdt>
            </w:p>
            <w:p w14:paraId="0114466E" w14:textId="77777777">
              <w:pPr>
                <w:ind w:firstLine="5746"/>
                <w:rPr>
                  <w:bCs/>
                </w:rPr>
              </w:pPr>
            </w:p>
            <w:p w14:paraId="01DE9D97" w14:textId="77777777">
              <w:pPr>
                <w:ind w:firstLine="5746"/>
                <w:rPr>
                  <w:bCs/>
                </w:rPr>
              </w:pPr>
            </w:p>
            <w:p w14:paraId="5450631A" w14:textId="77777777">
              <w:pPr>
                <w:ind w:firstLine="4111"/>
                <w:rPr>
                  <w:bCs/>
                </w:rPr>
              </w:pPr>
              <w:r>
                <w:rPr>
                  <w:bCs/>
                </w:rPr>
                <w:t>__________________________________________</w:t>
              </w:r>
            </w:p>
            <w:p w14:paraId="2AF6B918" w14:textId="77777777">
              <w:pPr>
                <w:tabs>
                  <w:tab w:val="left" w:leader="underscore" w:pos="8789"/>
                </w:tabs>
                <w:ind w:right="-2" w:firstLine="4820"/>
                <w:rPr>
                  <w:bCs/>
                  <w:i/>
                  <w:sz w:val="22"/>
                  <w:szCs w:val="22"/>
                </w:rPr>
              </w:pPr>
              <w:r>
                <w:rPr>
                  <w:bCs/>
                  <w:i/>
                  <w:sz w:val="22"/>
                  <w:szCs w:val="22"/>
                </w:rPr>
                <w:t>(projekto vykdytojo vardas, pavardė, parašas)</w:t>
              </w:r>
            </w:p>
          </w:sdtContent>
        </w:sdt>
      </w:sdtContent>
    </w:sdt>
    <w:sectPr>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7C2CF6" w14:textId="77777777">
      <w:r>
        <w:separator/>
      </w:r>
    </w:p>
  </w:endnote>
  <w:endnote w:type="continuationSeparator" w:id="0">
    <w:p w14:paraId="5869420D"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73A117"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97ED35"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0F5BEC"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BFA0D7" w14:textId="77777777">
      <w:r>
        <w:separator/>
      </w:r>
    </w:p>
  </w:footnote>
  <w:footnote w:type="continuationSeparator" w:id="0">
    <w:p w14:paraId="368BC68A"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A182D5" w14:textId="77777777">
    <w:pPr>
      <w:tabs>
        <w:tab w:val="center" w:pos="4819"/>
        <w:tab w:val="right" w:pos="9638"/>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C4F5D5" w14:textId="77777777">
    <w:pPr>
      <w:tabs>
        <w:tab w:val="center" w:pos="4153"/>
        <w:tab w:val="right" w:pos="8306"/>
      </w:tabs>
      <w:overflowPunct w:val="0"/>
      <w:jc w:val="center"/>
      <w:textAlignment w:val="baseline"/>
      <w:rPr>
        <w:lang w:val="en-GB" w:eastAsia="lt-LT"/>
      </w:rPr>
    </w:pPr>
    <w:r>
      <w:rPr>
        <w:lang w:val="en-GB" w:eastAsia="lt-LT"/>
      </w:rPr>
      <w:fldChar w:fldCharType="begin"/>
    </w:r>
    <w:r>
      <w:rPr>
        <w:lang w:val="en-GB" w:eastAsia="lt-LT"/>
      </w:rPr>
      <w:instrText>PAGE   \* MERGEFORMAT</w:instrText>
    </w:r>
    <w:r>
      <w:rPr>
        <w:lang w:val="en-GB" w:eastAsia="lt-LT"/>
      </w:rPr>
      <w:fldChar w:fldCharType="separate"/>
    </w:r>
    <w:r>
      <w:rPr>
        <w:lang w:eastAsia="lt-LT"/>
      </w:rPr>
      <w:t>2</w:t>
    </w:r>
    <w:r>
      <w:rPr>
        <w:lang w:val="en-GB" w:eastAsia="lt-LT"/>
      </w:rPr>
      <w:fldChar w:fldCharType="end"/>
    </w:r>
  </w:p>
  <w:p w14:paraId="3617A52E" w14:textId="77777777">
    <w:pPr>
      <w:tabs>
        <w:tab w:val="center" w:pos="4153"/>
        <w:tab w:val="right" w:pos="8306"/>
      </w:tabs>
      <w:overflowPunct w:val="0"/>
      <w:jc w:val="right"/>
      <w:textAlignment w:val="baseline"/>
      <w:rPr>
        <w:b/>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FFB58A" w14:textId="77777777">
    <w:pPr>
      <w:tabs>
        <w:tab w:val="center" w:pos="4819"/>
        <w:tab w:val="right" w:pos="9638"/>
      </w:tab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293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CDD6C3"/>
  <w15:chartTrackingRefBased/>
  <w15:docId w15:val="{0246532C-9FA3-4114-8F06-5E0313EEEEF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9b4ab3b742048ab99c012ab9aa07391" PartId="3beed53fee8b4f11a5134b2e2a63d68d"/>
  <Part Type="patvirtinta" Title="TAUTINIO PAVELDO VEIKLOS FINANSAVIMO TAISYKLĖS" DocPartId="7f091061cb1d44b384354f10a87109ae" PartId="9fd72e5f2704442b91157529e55b6e88">
    <Part Type="skyrius" Nr="1" Title="BENDROSIOS NUOSTATOS" DocPartId="a939468ed1f24d6ea912f3bfcc2f65fc" PartId="fe5ac6f13e074d0eb5fbab318d49186f">
      <Part Type="punktas" Nr="1" Abbr="1 p." DocPartId="a406509c5fd84cdf815743f36ecf898a" PartId="faec8ce46aa344a18e537e9c328afc8e"/>
      <Part Type="punktas" Nr="2" Abbr="2 p." DocPartId="4dfc8146132547668c582a0111028f59" PartId="af0263fa03584b908cf5795b124700cf"/>
      <Part Type="punktas" Nr="3" Abbr="3 p." DocPartId="a18cf54752d943c2a1be1dd754f4af7b" PartId="984f75d2fc604d0888a5cbb8a05f4a8f"/>
      <Part Type="punktas" Nr="4" Abbr="4 p." DocPartId="32e7edf5da07415f8242f23bcf7cc72b" PartId="8f8410b48a7c4ed08d303dbb17d9d644"/>
    </Part>
    <Part Type="skyrius" Nr="2" Title="PAGRINDINIAI FINANSAVIMO PRINCIPAI" DocPartId="ca0fcc74a64e4f81a67fe7bae7e85402" PartId="aa9c828732aa406cb7994e898ba7c5d6">
      <Part Type="punktas" Nr="5" Abbr="5 p." DocPartId="7e47221a04794181a0ade5ebe4c97a87" PartId="e78f16817e8b4eacb261de656fff4014">
        <Part Type="papunktis" Nr="5.1" Abbr="5.1 pp." DocPartId="f3e0402e6d5c4fe6bb9168d43ef202e7" PartId="cc3b6c44c9144477b414747f75c4ef83"/>
        <Part Type="papunktis" Nr="5.2" Abbr="5.2 pp." DocPartId="cf2d3cda7a4c4908a0e50633bdbb33eb" PartId="dfd0c6c6eac0474f934303ad1e262bc8"/>
        <Part Type="papunktis" Nr="5.3" Abbr="5.3 pp." DocPartId="4f7966abff1d4b74b2df1a651fd988f3" PartId="1ac1d8ec5bf746ee8e929d9b3f50a629"/>
      </Part>
      <Part Type="punktas" Nr="6" Abbr="6 p." DocPartId="775dcea68a1e4d1ba784f68dbea59845" PartId="820e2ba5025944ef837af27da7313bb4"/>
      <Part Type="punktas" Nr="7" Abbr="7 p." DocPartId="cb238615ff7941f6b7fa764a62a74519" PartId="9946ac9f87224246a01f0aeaad1f8587"/>
      <Part Type="punktas" Nr="8" Abbr="8 p." DocPartId="0c5ae62ca1e44ed2af6f90a3e847ee63" PartId="b645c960abdd4835a917ed813eccae29"/>
      <Part Type="punktas" Nr="9" Abbr="9 p." DocPartId="e9599e96bdaa40ee9b188bbb69902924" PartId="db92a51f759c47cd88f280d773b4e494"/>
    </Part>
    <Part Type="skyrius" Nr="3" Title="FINANSUOJAMOS VEIKLOS" DocPartId="9c2963413cd442238ec65fc21363d799" PartId="e784a816bc364185875ab901317f1c76">
      <Part Type="punktas" Nr="10" Abbr="10 p." DocPartId="ea864193f23f4ff58e30d4bfe8430d3b" PartId="81873563b9b346189e448777a921f20e">
        <Part Type="papunktis" Nr="10.1" Abbr="10.1 pp." DocPartId="9a7b6f4ecf344c5dabbf8c3806b97f27" PartId="84d77046c2e84ac3b801cefdcdeb7b5f"/>
        <Part Type="papunktis" Nr="10.2" Abbr="10.2 pp." DocPartId="8c08625b9c8c42d6890abc7242bd40a8" PartId="16fded54088f48678f26c4a9385cb8b1"/>
        <Part Type="papunktis" Nr="10.3" Abbr="10.3 pp." DocPartId="2bf7041a28d64945a2332a1eec01eb27" PartId="f12ebb7e35d84e5ba9ec75fa5e0d459d"/>
        <Part Type="papunktis" Nr="10.4" Abbr="10.4 pp." DocPartId="fe5b39dfbe6148289a0d4dd3a11266e1" PartId="149ace3e7c8b42679840c592d824ec11"/>
      </Part>
    </Part>
    <Part Type="skyrius" Nr="4" Title="TINKAMOS FINANSUOTI IŠLAIDOS IR PAGALBOS DYDIS" DocPartId="307fe33af6f347b0b792b0c7f3e71ae2" PartId="c14cbbbba0fa4179825d8076b0db23fd">
      <Part Type="punktas" Nr="11" Abbr="11 p." DocPartId="b6c97d8b4052457fada54c9a10557876" PartId="f83665a4c6ef4604bc4c780e09d1b1da">
        <Part Type="papunktis" Nr="11.1" Abbr="11.1 pp." DocPartId="b1608a4d00ef4579b74886dafe28e82c" PartId="8991daee20804ec4a119ead2fa0cdda4"/>
        <Part Type="papunktis" Nr="11.2" Abbr="11.2 pp." DocPartId="bae98aa63fd9441098b1df61c16cffa8" PartId="4c18940dd57b403ca513e1c5b99e4de1">
          <Part Type="papunktis" Nr="11.2.1" Abbr="11.2.1 pp." DocPartId="6c617838845e406a8b10fec3d993ded7" PartId="54297add611d4436a2c9a2766f43420b">
            <Part Type="papunktis" Nr="11.2.1.1" Abbr="11.2.1.1 pp." DocPartId="c13ce968a7514284919ade842fb444ae" PartId="1d0fb118053e476aa8edee041b84131a"/>
            <Part Type="papunktis" Nr="11.2.1.2" Abbr="11.2.1.2 pp." DocPartId="7187855f81504d81b5acc73348b762a2" PartId="520539c33d094e76ba87f6a5a5343bc8"/>
          </Part>
          <Part Type="papunktis" Nr="11.2.2" Abbr="11.2.2 pp." DocPartId="7c73444f54d44ec3b8f0ad89301ce70c" PartId="21d2c88ef6ad4651bf15207216aaaf9a"/>
          <Part Type="papunktis" Nr="11.2.3" Abbr="11.2.3 pp." DocPartId="f2f534086f3742eeb0ede89256ce1e5b" PartId="748093c6a69543dca40902215ff8bf01"/>
          <Part Type="papunktis" Nr="11.2.4" Abbr="11.2.4 pp." DocPartId="0d77393c5a3247538a2f489fee5428d2" PartId="7b74e205eb094658af0e26db65a71f16"/>
          <Part Type="papunktis" Nr="11.2.5" Abbr="11.2.5 pp." DocPartId="0f03cc0674de4672a1cfb8999df4923e" PartId="1be3bafac02e46609ef04053e4c9d784"/>
          <Part Type="papunktis" Nr="11.2.6" Abbr="11.2.6 pp." DocPartId="a132adb0ac3643058fea4abb0c8fbf13" PartId="daf1a4cfff744cb0a2c6777b823cd74e"/>
          <Part Type="papunktis" Nr="11.2.7" Abbr="11.2.7 pp." DocPartId="9981a89a6de349578710b4f7974cc447" PartId="09c1c8e48d3d48568a3007674dd3c720"/>
          <Part Type="papunktis" Nr="11.2.8" Abbr="11.2.8 pp." DocPartId="698860913d374c879672db1f6743a245" PartId="566dbf6e4ed848c0aa8b333a94c0e68e"/>
        </Part>
        <Part Type="papunktis" Nr="11.3" Abbr="11.3 pp." DocPartId="23cc959733664860a7ca1536cc8e5baf" PartId="1536d26b90c14905a21663c11fe17500"/>
        <Part Type="papunktis" Nr="11.4" Abbr="11.4 pp." DocPartId="3db1a0c438e943ceb752791b15ccd5f6" PartId="2f9f624625ca4728acec2ffad6152437">
          <Part Type="papunktis" Nr="11.4.1" Abbr="11.4.1 pp." DocPartId="e2757e7e8a6340438ad35695fa7073d7" PartId="79c789442a0f4d99b5a7ba72433640c6"/>
          <Part Type="papunktis" Nr="11.4.2" Abbr="11.4.2 pp." DocPartId="039fec5b207f42b286daf543464c4479" PartId="fbe905d439f04c10a018b0eb2ebd7615"/>
        </Part>
      </Part>
      <Part Type="punktas" Nr="12" Abbr="12 p." DocPartId="2fca52e78e42477a8a23b87621efabf5" PartId="b037c2dde5f44fbfa0c403e508bcb202">
        <Part Type="papunktis" Nr="12.1" Abbr="12.1 pp." DocPartId="21fa56597fee4fd189bf7d14cb6a7eec" PartId="067488b928914775b94421396f094044"/>
        <Part Type="papunktis" Nr="12.2" Abbr="12.2 pp." DocPartId="e557c4153fad49ed8357ffd6328bbe2d" PartId="43a5e09a2e4d40289e51b0a6ceec937e"/>
      </Part>
      <Part Type="punktas" Nr="13" Abbr="13 p." DocPartId="1c99d1edd77d4db3a5da1a5ca7fe1105" PartId="108ac8412081403bbe6576658049d86c"/>
      <Part Type="punktas" Nr="14" Abbr="14 p." DocPartId="5fa93cce011440e7a42cc6fb046e8676" PartId="369fbead5860413bbd5b164d2900abd0"/>
      <Part Type="punktas" Nr="15" Abbr="15 p." DocPartId="6d5fd4874b0e459597ab63675692664a" PartId="1b0b82dd3d5b42109844dccce6b7a217">
        <Part Type="papunktis" Nr="15.1" Abbr="15.1 pp." DocPartId="53df6f227c5f4e99b302cf513e3a1496" PartId="a1262badfeab4bbdbc912a7187d5bda5"/>
        <Part Type="papunktis" Nr="15.2" Abbr="15.2 pp." DocPartId="fdecc0e7e5a44dedb4baf466385dc7bf" PartId="d2081affac8f4c798bb88d834c2efe03"/>
      </Part>
      <Part Type="punktas" Nr="16" Abbr="16 p." DocPartId="f25b6e044ece4bd38c0b8b41e9687d3f" PartId="9468088c475749388278faeab321f6ca">
        <Part Type="papunktis" Nr="16.1" Abbr="16.1 pp." DocPartId="0abe26f77477494db1f94196e59719d7" PartId="bd91e727a3114c5e9ba83306534553d5"/>
        <Part Type="papunktis" Nr="16.2" Abbr="16.2 pp." DocPartId="53014ba8f14c41fe85f839b1a59150e0" PartId="e1bb36ee173645b98f5c59858a1edd10">
          <Part Type="papunktis" Nr="16.2.1" Abbr="16.2.1 pp." DocPartId="8e70d9ec7cda44858998b9df272e6259" PartId="f7a85084cc2948c0aea5e382606121de"/>
          <Part Type="papunktis" Nr="16.2.2" Abbr="16.2.2 pp." DocPartId="bf91080bf6604d62af9d97875ffd1bdc" PartId="117811eceebf4ca1b430ad20a7ac4e70"/>
          <Part Type="papunktis" Nr="16.2.3" Abbr="16.2.3 pp." DocPartId="09b9abe6599f4e3687f8a2a9e5477c8f" PartId="70e8fd31fa314a2283a03279cb0c9d59"/>
          <Part Type="papunktis" Nr="16.2.4" Abbr="16.2.4 pp." DocPartId="8533b399ec144ca887d26f9a071db6ed" PartId="af1628e73cc748c7ac4fb9186c058b98"/>
        </Part>
        <Part Type="papunktis" Nr="16.3" Abbr="16.3 pp." DocPartId="37c4bf3bc6f1490a8288b9484fbc7a5e" PartId="ee5729c3263b4250b37570fe9e0f7294"/>
      </Part>
      <Part Type="punktas" Nr="17" Abbr="17 p." DocPartId="1e762e0da18d4c2899101655a5001a14" PartId="69ef23cd168e4d4e9b3fbfd624285ca8"/>
      <Part Type="punktas" Nr="18" Abbr="18 p." DocPartId="1e596f1bc3c4482099e3990aff280a32" PartId="d870bc43363548ba9b5966bc66d54833"/>
    </Part>
    <Part Type="skyrius" Nr="5" Title="TINKAMI PAREIŠKĖJAI, GALUTINIAI PAGALBOS GAVĖJAI IR TINKAMUMO SĄLYGOS" DocPartId="56909427152843249cbd7b94985aa1be" PartId="d9b9491638d143889396a3986656fcdf">
      <Part Type="punktas" Nr="19" Abbr="19 p." DocPartId="9cce8358d29b4a95b23b9bf36268b9f9" PartId="40418469115b4edc8052b66677fe96e9">
        <Part Type="papunktis" Nr="19.1" Abbr="19.1 pp." DocPartId="b947d5cc341b46b799b3303d4906b5e5" PartId="ee7012475fed430a837867a65ec75d2f"/>
        <Part Type="papunktis" Nr="19.2" Abbr="19.2 pp." DocPartId="e769920225024e67be358139dcefa4fc" PartId="f147640c09e04c8b8f3fee79fbe79948">
          <Part Type="papunktis" Nr="19.2.1" Abbr="19.2.1 pp." DocPartId="650935ae68e44d40b1161e05b6651fa0" PartId="482de27f8d9e41e79c5486651dc358bc"/>
          <Part Type="papunktis" Nr="19.2.2" Abbr="19.2.2 pp." DocPartId="d2b0d793d49c4282ad21bbbf9ffc7819" PartId="09e0bb05e90b434abebc526484a95e6d"/>
          <Part Type="papunktis" Nr="19.2.3" Abbr="19.2.3 pp." DocPartId="14d73241fcc8467c817afad75a558330" PartId="f7ae6d7162b349ec99ce3ba32b85b2b1"/>
        </Part>
        <Part Type="papunktis" Nr="19.3" Abbr="19.3 pp." DocPartId="df0c7163cd1e4b7ab3f9e7e3f145be70" PartId="0a13e3fa0b264d47bbfe6a08e7a1a477"/>
      </Part>
      <Part Type="punktas" Nr="20" Abbr="20 p." DocPartId="d42ffea319b3481aaaa69f627df2d63a" PartId="2abba2ef8bf249ce828450a82f01c93f"/>
      <Part Type="punktas" Nr="21" Abbr="21 p." DocPartId="f13a219dcf5c42ceae1a4a0bee60e6a5" PartId="3a907884a9d6408795e8d9235689891f"/>
      <Part Type="punktas" Nr="22" Abbr="22 p." DocPartId="7cac0dd8d8a045b29d2a5c6d08413493" PartId="3d4e3452a58a48118bc0325de9887129">
        <Part Type="papunktis" Nr="22.1" Abbr="22.1 pp." DocPartId="71079557f4fa413988ef91bb04528b7c" PartId="a586ee854c4c490eaa4a4fa38cfa7adc">
          <Part Type="papunktis" Nr="22.1.1" Abbr="22.1.1 pp." DocPartId="8ef1b88520794af9b67bb94df4102c29" PartId="f9b0eaf289bd45868bb3b78d14e24267"/>
          <Part Type="papunktis" Nr="22.1.2" Abbr="22.1.2 pp." DocPartId="fad1eb07773f40bdbb0ecb9b6cbdbdda" PartId="ea8a5cb086d1484db276545dbb64e7c4"/>
        </Part>
        <Part Type="papunktis" Nr="22.2" Abbr="22.2 pp." DocPartId="18aa58533e794c8b999821de24d5ed83" PartId="fcc024fbbb424637a7797e96258c2cb3">
          <Part Type="papunktis" Nr="22.2.1" Abbr="22.2.1 pp." DocPartId="8b4acc36eb4248048b8a58267494bce1" PartId="81a4fe0480574c9c90bf223523337173"/>
          <Part Type="papunktis" Nr="22.2.2" Abbr="22.2.2 pp." DocPartId="f18b6f26455545a1803659a8bc8aeb0e" PartId="553c0a2dd0ed4361ba175688dc9eae07"/>
          <Part Type="papunktis" Nr="22.2.3" Abbr="22.2.3 pp." DocPartId="48578129adf54222aa49d13bc60ac644" PartId="1e98cc4b39ef49fc945cbd33f18fca64"/>
          <Part Type="papunktis" Nr="22.2.4" Abbr="22.2.4 pp." DocPartId="89b9a5162ea8437ba2f338fa2f619e36" PartId="9971932bd8fa4e9fa590a90d30104359"/>
          <Part Type="papunktis" Nr="22.2.5" Abbr="22.2.5 pp." DocPartId="394807fe302b4218a46b19a17d99b5f7" PartId="0eca8268cf9840f4b376f75583bc00a7"/>
          <Part Type="papunktis" Nr="22.2.6" Abbr="22.2.6 pp." DocPartId="960afcdb23fa4ee29273ebd087daa0ca" PartId="24e27d3b43b648feb3fdff1ffd2f73b5"/>
        </Part>
        <Part Type="papunktis" Nr="22.3" Abbr="22.3 pp." DocPartId="8209792f32ba4bd6891301ed38789880" PartId="1ce9a90d00b04881876045e9dabcf6f8"/>
      </Part>
    </Part>
    <Part Type="skyrius" Nr="6" Title="NETINKAMI PAREIŠKĖJAI" DocPartId="98861e15fc30420a97b65f99b9870e2d" PartId="0d75c63ed9224e998db11cdd9a1973fb">
      <Part Type="punktas" Nr="23" Abbr="23 p." DocPartId="36b6011fba4c4fe6b5602f0e8e187324" PartId="c0e49f9543ed431a86c8fdb50204b7bd">
        <Part Type="papunktis" Nr="23.1" Abbr="23.1 pp." DocPartId="82bf4d16554245ad944225333edf9f0e" PartId="824ffa37f6854db992a36610c5783b13"/>
        <Part Type="papunktis" Nr="23.2" Abbr="23.2 pp." DocPartId="005bc9912bc345dabdcb967f38df03d4" PartId="e9902c5588cb40d38ceee974b63a1455"/>
        <Part Type="papunktis" Nr="23.3" Abbr="23.3 pp." DocPartId="47e2c1e232244bb5820a37cc0ffb10ee" PartId="aaf74ad25dc04bb18bad6d35deae615e">
          <Part Type="papunktis" Nr="23.3.1" Abbr="23.3.1 pp." DocPartId="2ec89557e7204235b3deb00dcaf04c01" PartId="c3f6b7a9cbbc4d4fb1047703a73c180d"/>
          <Part Type="papunktis" Nr="23.3.2" Abbr="23.3.2 pp." DocPartId="392cc0f4fca94517b1543e6c2d03b5de" PartId="ec016fed7c1944e880a3b19450ab5c53"/>
          <Part Type="papunktis" Nr="23.3.3" Abbr="23.3.3 pp." DocPartId="d2ee9c4b882e4ceebb23af1453d17b3a" PartId="56463d455fe447d88315fec7a1eae216"/>
        </Part>
        <Part Type="papunktis" Nr="23.4" Abbr="23.4 pp." DocPartId="2f992e98ce5a4efb8468f3bde8dc893a" PartId="f551783ea57043bdbe742e29f9a5bf4a"/>
      </Part>
    </Part>
    <Part Type="skyrius" Nr="7" Title="PRAŠYMŲ KOMPENSUOTI SERTIFIKAVIMO IŠLAIDAS TEIKIMAS IR SERTIFIKAVIMO IŠLAIDŲ KOMPENSAVIMAS" DocPartId="b3cb6a409fb349039958b833679ef722" PartId="1bcb3be3746040ea8212cf81cb23cc4e">
      <Part Type="punktas" Nr="24" Abbr="24 p." DocPartId="73c511ed293d4d17b76506ad1a5010e5" PartId="c90f1ebbecd64b21a249c0e9cd7abb56"/>
      <Part Type="punktas" Nr="25" Abbr="25 p." DocPartId="08859c49716541b9baab54d7c5c1c29f" PartId="7c1aaefcdd7747819f5826f297626087">
        <Part Type="papunktis" Nr="25.1" Abbr="25.1 pp." DocPartId="895372fb3b24480ba08fad3e8d95969d" PartId="3ea4d3805c9440aca54cc5fdbd9c999d"/>
        <Part Type="papunktis" Nr="25.2" Abbr="25.2 pp." DocPartId="03b1cd94356a4c708a735aeb23dca0c0" PartId="710baca306e24b12a6818b493f3862b7"/>
        <Part Type="papunktis" Nr="25.3" Abbr="25.3 pp." DocPartId="c78ac78bd73e4e0da1d53da6c6e2bd02" PartId="992bcc15d6104a6e8894c99356619dc9"/>
      </Part>
      <Part Type="punktas" Nr="26" Abbr="26 p." DocPartId="36afd9227af345eba797a00e11cb9a79" PartId="acb4cb03579a43bc93094839853ca15f"/>
    </Part>
    <Part Type="skyrius" Nr="8" Title="PARAIŠKŲ TEIKIMAS, VERTINIMAS, LĖŠŲ SKYRIMAS IR IŠMOKĖJIMAS" DocPartId="b3fdb5b70e9f4632bb7839d5b6a7a431" PartId="c1a18b2182624bb6a472311738805473">
      <Part Type="punktas" Nr="27" Abbr="27 p." DocPartId="03312a6a4f254af4a91a94f2238d053b" PartId="b2420c3a402b47179cb6a99f1db5c4f8"/>
      <Part Type="punktas" Nr="28" Abbr="28 p." DocPartId="0da8914996d84d6abf6d93742a319229" PartId="63cf0806a5b648edbec1367787219f23">
        <Part Type="papunktis" Nr="28.1" Abbr="28.1 pp." DocPartId="cb953515fa964bbdafcae77d2b4455d8" PartId="65daeef3301042c68a5d1e3b07f2689a"/>
        <Part Type="papunktis" Nr="28.2" Abbr="28.2 pp." DocPartId="02a0a3a454474f6a8ac6d0d18eeab48a" PartId="a11a20df524942998e278c8b89cccd96"/>
        <Part Type="papunktis" Nr="28.3" Abbr="28.3 pp." DocPartId="d1c0cec8a2aa467f8ed795e486b50a63" PartId="df702f2500a949cfbfbda2883ef574ee"/>
        <Part Type="papunktis" Nr="28.4" Abbr="28.4 pp." DocPartId="713760bec5e645108aa2d3881529bd4b" PartId="5067a43259d5453fbd3b09d34f3b0c8a"/>
        <Part Type="papunktis" Nr="28.5" Abbr="28.5 pp." DocPartId="fdb7f73ce6104d8daeadc6a93db2f431" PartId="1e77240f59ce4cda8250f24f46ded91d"/>
      </Part>
      <Part Type="punktas" Nr="29" Abbr="29 p." DocPartId="306756fc5afb4032b97e124e3f4fefb2" PartId="e1f0b14d86b94f2eaa079cced86ce837">
        <Part Type="papunktis" Nr="29.1" Abbr="29.1 pp." DocPartId="11f8f202ce1d4268bee4c4022417903a" PartId="1d4a75424d0e439d9cc49e9c105070ba"/>
        <Part Type="papunktis" Nr="29.2" Abbr="29.2 pp." DocPartId="76ecca51dccd432094763cf4031c49ef" PartId="81e1be02ad1044dd9e49f3be840ddaa1"/>
        <Part Type="papunktis" Nr="29.3" Abbr="29.3 pp." DocPartId="9c0952f4a40b43c8a7e8f1d751bdbd0b" PartId="ff0428298a8a41019cdc73a1fd107c83"/>
        <Part Type="papunktis" Nr="29.4" Abbr="29.4 pp." DocPartId="68e1d837854d48cd98c77f178c8d4f59" PartId="4c99629d7cdf42bb9e2dfa1b455c66b3"/>
        <Part Type="papunktis" Nr="29.5" Abbr="29.5 pp." DocPartId="fa4a1aca8a884b90871da97cce64e26e" PartId="835e4058fd924f629d2f398fc21dd71e"/>
      </Part>
      <Part Type="punktas" Nr="30" Abbr="30 p." DocPartId="2f9cffd6571c454ca17de88a1f4e1d57" PartId="608326e7813c4519b4465686490dafa3"/>
      <Part Type="punktas" Nr="31" Abbr="31 p." DocPartId="fcde7f53c5b943779ebf02cd287bae76" PartId="4a455c5d8bc7404bbbd479e2125b46f9">
        <Part Type="papunktis" Nr="31.1" Abbr="31.1 pp." DocPartId="2d037e38465e4e7ab518305ea3933c20" PartId="16b8a3c607e0412b8b0f0afff40837a5"/>
        <Part Type="papunktis" Nr="31.2" Abbr="31.2 pp." DocPartId="3b6662a73d764f5d89173e5ac80b3096" PartId="4de52566405846e59b43611e8fac786a"/>
        <Part Type="papunktis" Nr="31.3" Abbr="31.3 pp." DocPartId="558bbdf337fa408c809c9f3789e23090" PartId="3f83f7ea788a4fb09e4794f50b7ea4b1"/>
        <Part Type="papunktis" Nr="31.4" Abbr="31.4 pp." DocPartId="00c95ecfe96b48658cab79f993c542dd" PartId="862ae11ec0e34d3ba217976dbd0395bf"/>
        <Part Type="papunktis" Nr="31.5" Abbr="31.5 pp." DocPartId="6bfb021524d144a59e5ec95cc4cb8d36" PartId="accdd2d4f4cf41c4a28d980dc1cf943c"/>
        <Part Type="papunktis" Nr="31.6" Abbr="31.6 pp." DocPartId="79a50ee10eac4585814ab16cc5e5a84c" PartId="a257c4bef4644f2cb6808361717ed1cb"/>
      </Part>
      <Part Type="punktas" Nr="32" Abbr="32 p." DocPartId="267d39011cc54cd2935cec006297c5b4" PartId="2b03e1d5b887421684555d48875745f8">
        <Part Type="papunktis" Nr="32.1" Abbr="32.1 pp." DocPartId="ef4151129a57402699f5dd29a46ac08f" PartId="8495a49f0537443996b95b2cd0483905"/>
        <Part Type="papunktis" Nr="32.2" Abbr="32.2 pp." DocPartId="b76931c70f0a43feb79ca0ff90912bbb" PartId="f4b5164f3f804d87b4be3bcd05d995ce"/>
      </Part>
      <Part Type="punktas" Nr="33" Abbr="33 p." DocPartId="686aedbf7eb0455e8cb07e92b65fe3a9" PartId="e14d0c4a0af247338634c8ac6320b38e">
        <Part Type="papunktis" Nr="33.1" Abbr="33.1 pp." DocPartId="736761b0a4474032a9cb6ab4c9858361" PartId="896446fb3c4f4157b75625c187bcc54d">
          <Part Type="papunktis" Nr="33.1.1" Abbr="33.1.1 pp." DocPartId="a8c4f3c7e1cb46218e90f2ef4a06e22c" PartId="ae27f11d2b4c48e6a2d637c9d700789c"/>
          <Part Type="papunktis" Nr="33.1.2" Abbr="33.1.2 pp." DocPartId="2e3c46071ec644e1884a4171a0984f0f" PartId="ae532288a66a47c0be7302cb7cd3c84e"/>
          <Part Type="papunktis" Nr="33.1.3" Abbr="33.1.3 pp." DocPartId="b5e30bde2c064b24a1a56f99ba2e393b" PartId="7b555f4a438d4fff813b4e6ff09fab8d"/>
          <Part Type="papunktis" Nr="33.1.4" Abbr="33.1.4 pp." DocPartId="6ef78f4ecd3b4072ab2c0ab0d444cc62" PartId="ef880d8fc3a84e63a9226e13eaddc6bd"/>
          <Part Type="papunktis" Nr="33.1.5" Abbr="33.1.5 pp." DocPartId="3daa654741ff4d37894e0b8ee11b91d4" PartId="0a9f172158a84475a38a6a7304b2cdc4"/>
          <Part Type="papunktis" Nr="33.1.6" Abbr="33.1.6 pp." DocPartId="b15938d9a5a54b78a95a2854668d877a" PartId="6c4f0502110244358baa24754ebf046d"/>
          <Part Type="papunktis" Nr="33.1.7" Abbr="33.1.7 pp." DocPartId="8cb05558201243df8e0473b007b941c5" PartId="a922b9205ef4491781c431f938ee57a9"/>
          <Part Type="papunktis" Nr="33.1.8" Abbr="33.1.8 pp." DocPartId="742473b2c60d477babafd9e17e1c3cb0" PartId="3ad8adef54064085a239594c82aac8ef"/>
          <Part Type="papunktis" Nr="33.1.9" Abbr="33.1.9 pp." DocPartId="03719789a88b4f54ab3688dd349fb8c7" PartId="fc5aed30227f4454bb02f6d1bdd88033"/>
          <Part Type="papunktis" Nr="33.1.10" Abbr="33.1.10 pp." DocPartId="2a2dde13748645558a112ca39a337fcb" PartId="b66f15fb4df0464c94603213b9c2c594"/>
        </Part>
        <Part Type="papunktis" Nr="33.2" Abbr="33.2 pp." DocPartId="14c288a6cc104b6893dd7c61e6b74abb" PartId="ebc3cb2342224c22b51caf22ab878242"/>
        <Part Type="papunktis" Nr="33.3" Abbr="33.3 pp." DocPartId="3ea55daa319a43498abb2450cd43b483" PartId="ddd2630317c0435f8698b4cc6973c7d1"/>
        <Part Type="papunktis" Nr="33.4" Abbr="33.4 pp." DocPartId="38811be9859247b295288cc7569c4ed2" PartId="1e8c9aebc50443b9847c17525cfb764c"/>
        <Part Type="papunktis" Nr="33.5" Abbr="33.5 pp." DocPartId="644e41dbaa674fc281a7667c19bcd64c" PartId="2385f0a4e3d448d7a4b6369c1017c176"/>
        <Part Type="papunktis" Nr="33.6" Abbr="33.6 pp." DocPartId="a1dee050fe534bf89f52215262371228" PartId="934c7403843f447883ae45b773ef9e79"/>
        <Part Type="papunktis" Nr="33.7" Abbr="33.7 pp." DocPartId="88c5ce86ad41468c88b9ce435734930d" PartId="9c3f08e000df408a97e97b46f31c0c0b"/>
      </Part>
      <Part Type="punktas" Nr="34" Abbr="34 p." DocPartId="a0f2a562a32743a58d8d1eef68b27a6f" PartId="28106c137ecc4cc1b139c3bbc1ef6ea4"/>
      <Part Type="punktas" Nr="35" Abbr="35 p." DocPartId="5c3d40a572014bb896d300ccc22ea745" PartId="55a72df990134228b31af050021a9b41"/>
      <Part Type="punktas" Nr="36" Abbr="36 p." DocPartId="4d772149137e400e855d37c717658435" PartId="361b78774776487c8e0877d8133a8515"/>
      <Part Type="punktas" Nr="37" Abbr="37 p." DocPartId="e08f4d584e224216b41432bfd5abe0f1" PartId="c5094023034e41a4ae226620bd9fcc12"/>
      <Part Type="punktas" Nr="38" Abbr="38 p." DocPartId="37cba4dee17e44f1a5a1ca2c1db102dc" PartId="33ee7a727abc4d7fa68f4ab5f034145b"/>
      <Part Type="punktas" Nr="39" Abbr="39 p." DocPartId="88c0c6c690eb4af5ad5601fce8a672ac" PartId="0cfcdf4370074e56a14dcb9be7675212"/>
      <Part Type="punktas" Nr="40" Abbr="40 p." DocPartId="af13c61493d241a1a6658db7b09900ef" PartId="820c3fb372ea42d8a7c3bc534ef68189"/>
      <Part Type="punktas" Nr="41" Abbr="41 p." DocPartId="010eab13c7f44c70a47dabce1fd46d5d" PartId="2dab6bfe35a441ad8499ecf78ffd3296"/>
      <Part Type="punktas" Nr="42" Abbr="42 p." DocPartId="1449b9cc0f2b4399b3fc2565b1daab34" PartId="1c449cede56f45179ce7e385dfdc63ec"/>
      <Part Type="punktas" Nr="43" Abbr="43 p." DocPartId="41c2300445214620b9714663f3efcc46" PartId="757b8ce73456456fa7360a98e8cfda7a"/>
      <Part Type="punktas" Nr="44" Abbr="44 p." DocPartId="4cf282d28d254a7db311be7905bc47c6" PartId="dea40e3baebd42c28b3c5762edc62f89"/>
      <Part Type="punktas" Nr="45" Abbr="45 p." DocPartId="7d8270e4363b45f4960cebec28fa7c6b" PartId="b051a4dd90c547c7b9e147e174b4fd92"/>
      <Part Type="punktas" Nr="46" Abbr="46 p." DocPartId="580ba093048b43589c7c1fcf88bda220" PartId="86948365dc734bb196eb6e9735e957d8"/>
      <Part Type="punktas" Nr="47" Abbr="47 p." DocPartId="c0d7cb7a99204a5caf415fd32a45875a" PartId="aac6e62e0dfc4ea4b1c6cde123ee01c0"/>
      <Part Type="punktas" Nr="48" Abbr="48 p." DocPartId="1916228bba9243cf9f899990d53d2ab4" PartId="b7156825b8284beaa0af9c4c1308b2c1"/>
      <Part Type="punktas" Nr="49" Abbr="49 p." DocPartId="e5638bf1e4e3483fa886784978a0546c" PartId="78613c3d72e34503979061e5506aeddc"/>
      <Part Type="punktas" Nr="50" Abbr="50 p." DocPartId="40e05f2701704738bd78661b959da031" PartId="4849af90138f4bd9b2677b3f556f29cc">
        <Part Type="papunktis" Nr="50.1" Abbr="50.1 pp." DocPartId="05c93bbd2e7142e38b01ae9f1d764c24" PartId="a5db9e894d8c40209222213a337b18ef"/>
        <Part Type="papunktis" Nr="50.2" Abbr="50.2 pp." DocPartId="04322f31f45742c58a1d63e11638bdd2" PartId="02fead599f0943609c49529ac5342cba"/>
        <Part Type="papunktis" Nr="50.3" Abbr="50.3 pp." DocPartId="9af3d0d2bc7d484fbaf1b968323e449b" PartId="3bf91dde5284453787c2ec1367395656"/>
        <Part Type="papunktis" Nr="50.4" Abbr="50.4 pp." DocPartId="f9ea7d0b1d8e49019cb14c1199827cf4" PartId="4883601235b143e39767f4c8d6fe52cd"/>
        <Part Type="papunktis" Nr="50.5" Abbr="50.5 pp." DocPartId="140250e4a87b4ddbbc4fb7fd0c14f24e" PartId="686cc33d28a54928899e5d31b9cffba1"/>
        <Part Type="papunktis" Nr="50.6" Abbr="50.6 pp." DocPartId="ceb5b2cf505c477b816ed42b5d9c29fa" PartId="20a2d16564094f7285f4b458997d711b"/>
        <Part Type="papunktis" Nr="50.7" Abbr="50.7 pp." DocPartId="9fbf3b1316c24659a63df99755369f47" PartId="3b32c918673c4551a1bf63d042dfee3b"/>
      </Part>
      <Part Type="punktas" Nr="51" Abbr="51 p." DocPartId="e1d6645008b74dc4a6a3f76e28ef4bee" PartId="460e2a336a374b95a76e4ea42943f888">
        <Part Type="papunktis" Nr="51.1" Abbr="51.1 pp." DocPartId="83a82348fd4d483cb8d944bc3ca017f7" PartId="6b1d751f1ce14a278a5ee86d97e4c0f8"/>
        <Part Type="papunktis" Nr="51.2" Abbr="51.2 pp." DocPartId="63548b7255f140cf9477904283170ddb" PartId="43668a192beb44159562d9f4e061fed8"/>
        <Part Type="papunktis" Nr="51.3" Abbr="51.3 pp." DocPartId="068bd9c461ec46438af95d9dc55fa2a6" PartId="dacbe117ec474cc0aad5bc5da786a594"/>
        <Part Type="papunktis" Nr="51.4" Abbr="51.4 pp." DocPartId="1020154cfa35450884ce84c10e3cf9c6" PartId="93d0b2da4c1d4527a67829400a6488ec"/>
        <Part Type="papunktis" Nr="51.5" Abbr="51.5 pp." DocPartId="51ff42cfce5a45f99094c3558305937a" PartId="54129c44b726422f815d9dd6bf6ff100"/>
      </Part>
      <Part Type="punktas" Nr="52" Abbr="52 p." DocPartId="9de56790546041b991c58c85dd370dc4" PartId="2ed534f33daf4056a936596a5f6b4e25"/>
      <Part Type="punktas" Nr="53" Abbr="53 p." DocPartId="41589d3f4f8e43c0b76e3b2b5d017da2" PartId="6ac2f800b5264694bedef137798ee9ee"/>
      <Part Type="punktas" Nr="54" Abbr="54 p." DocPartId="aa6bc3e3cd8745f8b9bb5796bcb25872" PartId="fa730350fed74eb387656610f4f66b14"/>
      <Part Type="punktas" Nr="55" Abbr="55 p." DocPartId="f3b894315f074125bdb893bc291746cb" PartId="2b42ada1abaa47ccba42b42ed4c100cb"/>
      <Part Type="punktas" Nr="56" Abbr="56 p." DocPartId="714abdf7e1c74f19bae4183e7ac4cc16" PartId="4144b5521db84715af225aea47bb35ca"/>
      <Part Type="punktas" Nr="57" Abbr="57 p." DocPartId="7f788931af39406aa2aa094d62c48843" PartId="c06da0bb2507476c91fd2d823cb38c66"/>
      <Part Type="punktas" Nr="58" Abbr="58 p." DocPartId="f2acfbf1a4814d04a5ace89cae02b8dc" PartId="79719da044fd441d823c3ed9c759c69e"/>
      <Part Type="punktas" Nr="59" Abbr="59 p." DocPartId="46073725b3464b4fb044bf7ff48862e1" PartId="ef411b6879ba4ea48fd422db22d61ccd"/>
      <Part Type="punktas" Nr="60" Abbr="60 p." DocPartId="93aedafea3014fa3811b2cd1a76fc665" PartId="271414adf08b4b3a974354d674bb27e6"/>
    </Part>
    <Part Type="skyrius" Nr="9" Title="LĖŠŲ PANAUDOJIMO KONTROLĖ IR ATSAKOMYBĖ" DocPartId="4630349824ae41a798b458aa40bd3913" PartId="4d2ed1bd461d45ceb568bb24539868ed">
      <Part Type="punktas" Nr="61" Abbr="61 p." DocPartId="c9625a5c65ee4400a27ace4442fcfcc8" PartId="3547097da5514338b97f2f46c4b5ca7a"/>
      <Part Type="punktas" Nr="62" Abbr="62 p." DocPartId="da7027cfa29a40148740541df83670a1" PartId="6463d3dcd0524bae8fb14b5946738598"/>
      <Part Type="punktas" Nr="63" Abbr="63 p." DocPartId="a18c5c297bdc4b17b5dd0d727440c661" PartId="5196164018634fa4852989c5cdf19461"/>
      <Part Type="punktas" Nr="64" Abbr="64 p." DocPartId="b5600267b26841e59abf4a5e17e8011a" PartId="1abfb71a1c604283ad42933f276ba068"/>
      <Part Type="punktas" Nr="65" Abbr="65 p." DocPartId="5c54cfd5caed4effbc45eebc3e7df311" PartId="4ad870f969ca4aaca314a06c2adbbd05"/>
      <Part Type="punktas" Nr="66" Abbr="66 p." DocPartId="9b4c9c53ec554ea88e5d520c68b7310d" PartId="a4585375422b4f9cba7efb49682eaade"/>
      <Part Type="punktas" Nr="67" Abbr="67 p." DocPartId="bc738acff9974b39a52b4346d2296b7a" PartId="6a348741eaa5449982c620b14acc8c73"/>
      <Part Type="punktas" Nr="68" Abbr="68 p." DocPartId="d1e39a70ad7949c8bb0acf6298281b28" PartId="cdfc89e351474e658f28e2078cf83b68"/>
      <Part Type="punktas" Nr="69" Abbr="69 p." DocPartId="81743f87513447468b1dfb53a6e7e1e9" PartId="43cbaebe3d84400fb038320bd4f2dd13"/>
      <Part Type="punktas" Nr="70" Abbr="70 p." DocPartId="28a1a7e6b56e4309a307322fffa0239f" PartId="144384f7063646f8baf5a58ba3880c52"/>
    </Part>
  </Part>
  <Part Type="priedas" Nr="1" Abbr="1 pr." DocPartId="46d176faadd448dda12a8a0485dd53f7" PartId="749134e9edcc4e51b1f32634d8e4f092">
    <Part Type="skirsnis" Title="PARAIŠKA GAUTI LĖŠAS PAGAL TAUTINIO PAVELDO VEIKLOS FINANSAVIMO TAISYKLES" DocPartId="0b1ad854e47944f3babe0ea86462bf48" PartId="88d3356b8c9a42449d75b0d2372121cb">
      <Part Type="punktas" Nr="1" Abbr="1 pr. 1 p." DocPartId="788709bddbca4de5a2f839b5284fdae0" PartId="a4e08d4ae3c946e697d079180f3f8618"/>
      <Part Type="punktas" Nr="2" Abbr="1 pr. 2 p." DocPartId="4e4f732b616f497cbd40c443c74b2e9c" PartId="fc11d38c93844b8aa942a851b7eced02">
        <Part Type="papunktis" Nr="2.1" Abbr="1 pr. 2.1 pp." DocPartId="f2f5cbe6850b471b83c3490f9bdc6c44" PartId="c57b1782d14b4197beae915bf8d650fd"/>
        <Part Type="papunktis" Nr="2.2" Abbr="1 pr. 2.2 pp." DocPartId="b9ff7d3992ec486d8c6525bda4cb564a" PartId="f27a06f4e36c449e9130d2af2c38f892"/>
        <Part Type="papunktis" Nr="2.3" Abbr="1 pr. 2.3 pp." DocPartId="19b57a3339fa4807acec13e961ff59fd" PartId="bbf330ad939d4d61ab86153dd122adf0"/>
      </Part>
      <Part Type="punktas" Nr="3" Abbr="1 pr. 3 p." DocPartId="92fa346e362640849d92bbe3678cd168" PartId="7fb767c446da440b9c3278fb6c0b7c24">
        <Part Type="papunktis" Nr="3.1" Abbr="1 pr. 3.1 pp." DocPartId="82c9103fe34b43a2a5d06e2c7cb9ac9e" PartId="cc4a44f59884400f86f5cfc9cae2b38b"/>
      </Part>
    </Part>
    <Part Type="skirsnis" Title="* Išvardijama pagal kiekvieną Tautinio paveldo veiklos finansavimo taisyklių 11 punkte nurodytą finansuojamų išlaidų rūšį." DocPartId="10198835d76749e0ab9335a5a1ecaf32" PartId="59da89502ef6442c9030869735eb7604">
      <Part Type="papunktis" Nr="3.2" Abbr="1 pr. 3.2 pp." DocPartId="e36639cb35634cd6aae03e186102366c" PartId="d48d8fd2008141a6bf6ef01cecdfcf6e"/>
    </Part>
    <Part Type="skirsnis" Title="* Išvardijama pagal kiekvieną Tautinio paveldo veiklos finansavimo taisyklių 11 punkte nurodytą finansuojamų išlaidų rūšį." DocPartId="0514d68ebb5b4c83902b4d76dbd89c2c" PartId="30c3aec4ea3b483f9e475a25763a92a2">
      <Part Type="punktas" Nr="1" Abbr="1 pr. 1 p." DocPartId="f438a659da784bc58496312c5c309681" PartId="df79df35b1ab4417836d502859a27881"/>
      <Part Type="punktas" Nr="2" Abbr="1 pr. 2 p." DocPartId="54ae6bd1836142acb58e77728f7f695d" PartId="149486fb529142fa9e363a179ce0b975"/>
      <Part Type="punktas" Nr="3" Abbr="1 pr. 3 p." DocPartId="cd391ba880a441b1b77dcfc6de79145c" PartId="51fc8bde69aa48619da630096d3eca15"/>
      <Part Type="punktas" Nr="4" Abbr="1 pr. 4 p." DocPartId="52fda08444e3415397011bf9359322d8" PartId="deae5d1985034857bc43a692c99cad8d"/>
      <Part Type="punktas" Nr="5" Abbr="1 pr. 5 p." DocPartId="ed729d46523b490999e87ecf25d884e5" PartId="bb88b26db95f4ecd8fbe237b85823fae"/>
    </Part>
    <Part Type="skirsnis" Title="PAREIŠKĖJO DEKLARACIJA" DocPartId="0bc5ff5e0c9a4cc48e2e568b9a0e6b92" PartId="caecac94e0d44013b1d0d9b66236f1fc">
      <Part Type="punktas" Nr="1" Abbr="1 pr. 1 p." DocPartId="4566782898c34e72bed0800506e647c4" PartId="dd9812c70bc449e5969d3a239a5f01e1"/>
      <Part Type="punktas" Nr="2" Abbr="1 pr. 2 p." DocPartId="786d5aa7aec342348374f2eb1fe1a4e2" PartId="5a671664f46948c09a65cce38937d96f"/>
      <Part Type="punktas" Nr="3" Abbr="1 pr. 3 p." DocPartId="c8115010f7874a7ba9c6c6b26da4f78e" PartId="80dbba59a1ad4d8cbec53b136b7d721e"/>
      <Part Type="punktas" Nr="4" Abbr="1 pr. 4 p." DocPartId="e5c5a40c23f14bfab80f7c95af02c3ec" PartId="d522cc27244746708449bb013b5959d3">
        <Part Type="papunktis" Nr="4.1" Abbr="1 pr. 4.1 pp." DocPartId="f86e981a45834245b49e43767ba2a320" PartId="7670fb1527b5460184ccbbfa9c9c6a7f"/>
        <Part Type="papunktis" Nr="4.2" Abbr="1 pr. 4.2 pp." DocPartId="12a8e9d683fb43698d4f56d23ec9cae8" PartId="3bae953768bd4363a6e4276d1ed7fae8"/>
        <Part Type="papunktis" Nr="4.3" Abbr="1 pr. 4.3 pp." DocPartId="e08f976bd9804c79ba1a1e1675f0d61a" PartId="a44c8205207540e09a504aa822cee31d"/>
        <Part Type="papunktis" Nr="4.4" Abbr="1 pr. 4.4 pp." DocPartId="17e73ac2669d429781e621fd63d7aabd" PartId="08573f3a123348ada8bdc41d513c51f0"/>
        <Part Type="papunktis" Nr="4.5" Abbr="1 pr. 4.5 pp." DocPartId="1c81896e1bee49f1afe54cba6ce64772" PartId="19975f9716674577859db57533af99a2"/>
        <Part Type="papunktis" Nr="4.6" Abbr="1 pr. 4.6 pp." DocPartId="b1e37ca8c58846dda468802cc1da3083" PartId="5703446c7cb9449cbedebe45da533907"/>
        <Part Type="papunktis" Nr="4.7" Abbr="1 pr. 4.7 pp." DocPartId="3178ae6dbb064fa8bbf9b5dfc7425ca5" PartId="49fb546ced6246f6aa1040651b5d7ef0"/>
        <Part Type="papunktis" Nr="4.8" Abbr="1 pr. 4.8 pp." DocPartId="c8d00126d4a5467881c8e5de22f0688f" PartId="52191bcbe1734ec2998e1f80c293647b"/>
        <Part Type="papunktis" Nr="4.9" Abbr="1 pr. 4.9 pp." DocPartId="265033ccd1ca43c0876b9cf0e9f003da" PartId="8d979a7c699e49c7b5172b9b81e101f2"/>
      </Part>
      <Part Type="punktas" Nr="5" Abbr="1 pr. 5 p." DocPartId="fd2e97f7bb9e4c47b68ec7d940064614" PartId="45fdc901ab4b476db43256d877785124"/>
      <Part Type="punktas" Nr="6" Abbr="1 pr. 6 p." DocPartId="95f5490af51d410eb54181b2fe34657f" PartId="5516b16afe3e45a9bb965d737419dd61"/>
      <Part Type="punktas" Nr="7" Abbr="1 pr. 7 p." DocPartId="cbbb01190d8d47eaacdbbb988a4ee821" PartId="28971915f5f7430aadc52699a2ec0715"/>
      <Part Type="punktas" Nr="8" Abbr="1 pr. 8 p." DocPartId="a92a132576e64fcb87fbd72485cd53cd" PartId="146a2339c19d4262b21452a544f893a3"/>
      <Part Type="punktas" Nr="9" Abbr="1 pr. 9 p." DocPartId="3694cd5b0ce34c7986a27527a1c18293" PartId="d9876cc0ce0c4ec8860323aad8fd6e4a"/>
      <Part Type="punktas" Nr="10" Abbr="1 pr. 10 p." DocPartId="f7c6e8a2776c488782855b80cef392a7" PartId="31cd071f81af48d1affee76d727c0121"/>
      <Part Type="punktas" Nr="11" Abbr="1 pr. 11 p." DocPartId="eb74629a8528438aa1f599d81967b08f" PartId="5b601a577e034ff7b5d1ee64cbeaf352"/>
      <Part Type="punktas" Nr="12" Abbr="1 pr. 12 p." DocPartId="f35336cba0284fa586cfab661943ae89" PartId="e6b5d8dd83594965aae66c2bdaab3dbd"/>
      <Part Type="punktas" Nr="13" Abbr="1 pr. 13 p." DocPartId="c6112d2b2c9c4b969d0a5d6eb3fe19e9" PartId="585767d497cb42c080c2d57a92444f55"/>
      <Part Type="punktas" Nr="14" Abbr="1 pr. 14 p." DocPartId="d337acd1123d4985a7dd5288fbb1f938" PartId="a6c33ced057d4112ad4c723d9fa8f735"/>
      <Part Type="punktas" Nr="15" Abbr="1 pr. 15 p." DocPartId="f23af632812d4e2fb957292800fd1a74" PartId="6ab2480cc6b84bf1ad682519e0d1cd15"/>
      <Part Type="punktas" Nr="16" Abbr="1 pr. 16 p." DocPartId="df376a4ff505470ea104325301428a26" PartId="53d5ce586b22435d8791f04f2cafbc13"/>
      <Part Type="punktas" Nr="17" Abbr="1 pr. 17 p." DocPartId="995ebfd195bd48bda3d6065a32b37adc" PartId="7c7ebc1b5ef74fd4bd9a28d119bd42fd"/>
      <Part Type="punktas" Nr="18" Abbr="1 pr. 18 p." DocPartId="7e6f97ef07c64c79aee047fc711170cf" PartId="ec7bb039f29e4220b0df5051a9c5068c"/>
      <Part Type="punktas" Nr="19" Abbr="1 pr. 19 p." DocPartId="68032279388d4fc5a4c53036c43bc4a5" PartId="b952173365a7469fa6746a11d29298e7"/>
      <Part Type="punktas" Nr="20" Abbr="1 pr. 20 p." DocPartId="644e723c7bd4401a98a88dc667a865f1" PartId="02d6b07347b24218858bc3f1558f3dd7"/>
    </Part>
  </Part>
  <Part Type="priedas" Nr="2" Abbr="2 pr." DocPartId="c9c0582dfec747cba5af7d48f6ff5381" PartId="ade731fcdce14c9ba77c7065e0f5f58b">
    <Part Type="skirsnis" Title="PRAŠYMAS DĖL A KATEGORIJOS TAUTINIO PAVELDO PRODUKTO SERTIFIKAVIMO IŠLAIDŲ KOMPENSAVIMO" DocPartId="e97203a836754e36b29b2f0e859a8435" PartId="a29824284f02408990410e6b11bb0443">
      <Part Type="punktas" Nr="1" Abbr="2 pr. 1 p." DocPartId="d7109d9441994f9b9a3100bb7b7b75d9" PartId="5bbf9b9704f1424baf214040e2e6d3af"/>
      <Part Type="punktas" Nr="2" Abbr="2 pr. 2 p." DocPartId="f8312875f6be438ea0449c767b78899a" PartId="da74ab977c824393ad4f7a09545a2e66"/>
    </Part>
  </Part>
  <Part Type="priedas" Nr="3" Abbr="3 pr." DocPartId="b7dd6884544946ad8e33e386d729cbde" PartId="c75c1eb752504a07b6dad847410a69b0">
    <Part Type="skirsnis" Title="ATASKAITA APIE PROJEKTO ĮVYKDYMO REZULTATUS" DocPartId="7cd28589ed5a40d3aafe40ca32550397" PartId="b253fde40c504e70a2d564de068c0cf6">
      <Part Type="punktas" Nr="1" Abbr="3 pr. 1 p." DocPartId="a149304c935a47d68b0fce08f276e341" PartId="67fb9c02c6784b93b2a565d7512b14bb"/>
      <Part Type="punktas" Nr="2" Abbr="3 pr. 2 p." DocPartId="df453ede1c034b9f9cd83d4acba4df50" PartId="9ffc59f1685645859da1df8f7edd8ac0">
        <Part Type="papunktis" Nr="2.1" Abbr="3 pr. 2.1 pp." DocPartId="705a011a798646c6866fec66294bb212" PartId="b6d8e6ed35d2425ba1e955910fb33de4"/>
        <Part Type="papunktis" Nr="2.2" Abbr="3 pr. 2.2 pp." DocPartId="046556eb599842178f9888c3ecbe3703" PartId="70b521f79050438f81fa99ee3a9137d5"/>
      </Part>
      <Part Type="punktas" Nr="3" Abbr="3 pr. 3 p." DocPartId="4d55f7f75fac4d87969e3f6d325d0992" PartId="6f4acb3dc27948e9927662386dff2d11"/>
      <Part Type="punktas" Nr="4" Abbr="3 pr. 4 p." DocPartId="45d625035d354e8a9b833b3ce4ee4a62" PartId="1c552093e4a345e1afb58fd59162293e"/>
    </Part>
    <Part Type="skirsnis" Title="Pasirašydamas šią ataskaitą projekto vykdytojas patvirtina, kad visa šioje ataskaitoje ir jos prieduose pateikta informacija yra teisinga." DocPartId="0100bc2a637a4cf6b32e0155c6c9b744" PartId="8cd1dc1ec86041e68b1952e16975ff34"/>
  </Part>
</Parts>
</file>

<file path=customXml/itemProps1.xml><?xml version="1.0" encoding="utf-8"?>
<ds:datastoreItem xmlns:ds="http://schemas.openxmlformats.org/officeDocument/2006/customXml" ds:itemID="{9FE05217-90CB-46A6-AFB6-DE4A2848EE8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36</Pages>
  <Words>8254</Words>
  <Characters>58275</Characters>
  <Application>Microsoft Office Word</Application>
  <DocSecurity>4</DocSecurity>
  <Lines>1355</Lines>
  <Paragraphs>536</Paragraphs>
  <ScaleCrop>false</ScaleCrop>
  <Company/>
  <LinksUpToDate>false</LinksUpToDate>
  <CharactersWithSpaces>65993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2023-01-18T06:57:00Z</dcterms:created>
  <dc:creator>Daiva Belevičienė</dc:creator>
  <lastModifiedBy>adlibuser</lastModifiedBy>
  <dcterms:modified xsi:type="dcterms:W3CDTF">2023-01-18T06:57:00Z</dcterms:modified>
  <revision>2</revision>
</coreProperties>
</file>