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d8ccf3a0cf74304891e6380ec9ef0d6"/>
        <w:lock w:val="sdtLocked"/>
        <w:richText/>
      </w:sdtPr>
      <w:sdtContent>
        <w:tbl>
          <w:tblPr>
            <w:tblW w:w="9835" w:type="dxa"/>
            <w:tblInd w:w="-142" w:type="dxa"/>
            <w:tblLayout w:type="fixed"/>
            <w:tblCellMar>
              <w:top w:w="55" w:type="dxa"/>
              <w:left w:w="55" w:type="dxa"/>
              <w:bottom w:w="55" w:type="dxa"/>
              <w:right w:w="55" w:type="dxa"/>
            </w:tblCellMar>
            <w:tblLook w:val="0000" w:firstRow="0" w:lastRow="0" w:firstColumn="0" w:lastColumn="0" w:noHBand="0" w:noVBand="0"/>
          </w:tblPr>
          <w:tblGrid>
            <w:gridCol w:w="5014"/>
            <w:gridCol w:w="282"/>
            <w:gridCol w:w="1841"/>
            <w:gridCol w:w="565"/>
            <w:gridCol w:w="1654"/>
            <w:gridCol w:w="479"/>
          </w:tblGrid>
          <w:tr>
            <w:tc>
              <w:tcPr>
                <w:tcW w:w="9835" w:type="dxa"/>
                <w:gridSpan w:val="6"/>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tabs>
                    <w:tab w:val="center" w:pos="4800"/>
                    <w:tab w:val="right" w:pos="9601"/>
                  </w:tabs>
                  <w:jc w:val="both"/>
                  <w:rPr>
                    <w:rFonts w:eastAsia="Andale Sans UI" w:cs="Tahoma"/>
                    <w:szCs w:val="24"/>
                    <w:lang w:bidi="en-US"/>
                  </w:rPr>
                </w:pPr>
              </w:p>
              <w:p>
                <w:pPr>
                  <w:rPr>
                    <w:szCs w:val="24"/>
                  </w:rPr>
                </w:pPr>
              </w:p>
              <w:p>
                <w:pPr>
                  <w:keepNext/>
                  <w:widowControl w:val="0"/>
                  <w:suppressAutoHyphens/>
                  <w:jc w:val="center"/>
                  <w:rPr>
                    <w:rFonts w:eastAsia="Andale Sans UI" w:cs="Tahoma"/>
                    <w:b/>
                    <w:bCs/>
                    <w:caps/>
                    <w:sz w:val="28"/>
                    <w:szCs w:val="32"/>
                    <w:lang w:bidi="en-US"/>
                  </w:rPr>
                </w:pPr>
                <w:r>
                  <w:rPr>
                    <w:rFonts w:eastAsia="Andale Sans UI" w:cs="Tahoma"/>
                    <w:b/>
                    <w:bCs/>
                    <w:caps/>
                    <w:sz w:val="28"/>
                    <w:szCs w:val="32"/>
                    <w:lang w:val="en-US"/>
                  </w:rPr>
                  <w:drawing>
                    <wp:inline distT="0" distB="0" distL="0" distR="0" wp14:anchorId="230B028A" wp14:editId="786D372E">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Cs w:val="24"/>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835" w:type="dxa"/>
                <w:gridSpan w:val="6"/>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5014"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spacing w:val="10"/>
                    <w:szCs w:val="24"/>
                    <w:lang w:bidi="en-US"/>
                  </w:rPr>
                </w:pPr>
              </w:p>
              <w:p>
                <w:pPr>
                  <w:suppressLineNumbers/>
                  <w:jc w:val="both"/>
                  <w:rPr>
                    <w:rFonts w:eastAsia="Andale Sans UI"/>
                    <w:spacing w:val="10"/>
                    <w:szCs w:val="24"/>
                    <w:lang w:bidi="en-US"/>
                  </w:rPr>
                </w:pPr>
              </w:p>
              <w:p>
                <w:pPr>
                  <w:suppressLineNumbers/>
                  <w:jc w:val="both"/>
                  <w:rPr>
                    <w:rFonts w:eastAsia="Andale Sans UI"/>
                    <w:spacing w:val="10"/>
                    <w:szCs w:val="24"/>
                    <w:lang w:bidi="en-US"/>
                  </w:rPr>
                </w:pPr>
              </w:p>
            </w:tc>
            <w:tc>
              <w:tcPr>
                <w:tcW w:w="282" w:type="dxa"/>
                <w:tcMar>
                  <w:top w:w="0" w:type="dxa"/>
                  <w:left w:w="0" w:type="dxa"/>
                  <w:bottom w:w="0" w:type="dxa"/>
                  <w:right w:w="0" w:type="dxa"/>
                </w:tcMar>
              </w:tcPr>
              <w:p>
                <w:pPr>
                  <w:ind w:right="67"/>
                  <w:jc w:val="right"/>
                  <w:rPr>
                    <w:rFonts w:eastAsia="Andale Sans UI"/>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szCs w:val="24"/>
                    <w:lang w:bidi="en-US"/>
                  </w:rPr>
                </w:pPr>
                <w:r>
                  <w:rPr>
                    <w:rFonts w:eastAsia="Andale Sans UI" w:cs="Tahoma"/>
                    <w:szCs w:val="24"/>
                    <w:lang w:bidi="en-US"/>
                  </w:rPr>
                  <w:t>2024-</w:t>
                </w:r>
              </w:p>
            </w:tc>
            <w:tc>
              <w:tcPr>
                <w:tcW w:w="565" w:type="dxa"/>
              </w:tcPr>
              <w:p>
                <w:pPr>
                  <w:ind w:right="67"/>
                  <w:jc w:val="right"/>
                  <w:rPr>
                    <w:rFonts w:eastAsia="Andale Sans UI"/>
                    <w:spacing w:val="10"/>
                    <w:szCs w:val="24"/>
                    <w:lang w:bidi="en-US"/>
                  </w:rPr>
                </w:pPr>
                <w:r>
                  <w:rPr>
                    <w:rFonts w:eastAsia="Andale Sans UI"/>
                    <w:spacing w:val="10"/>
                    <w:szCs w:val="24"/>
                    <w:lang w:bidi="en-US"/>
                  </w:rPr>
                  <w:t>Nr.</w:t>
                </w:r>
              </w:p>
            </w:tc>
            <w:tc>
              <w:tcPr>
                <w:tcW w:w="2133" w:type="dxa"/>
                <w:gridSpan w:val="2"/>
              </w:tcPr>
              <w:p>
                <w:pPr>
                  <w:suppressLineNumbers/>
                  <w:ind w:right="67"/>
                  <w:jc w:val="both"/>
                  <w:rPr>
                    <w:rFonts w:eastAsia="Andale Sans UI"/>
                    <w:szCs w:val="24"/>
                    <w:lang w:bidi="en-US"/>
                  </w:rPr>
                </w:pPr>
                <w:r>
                  <w:rPr>
                    <w:rFonts w:eastAsia="Andale Sans UI" w:cs="Tahoma"/>
                    <w:szCs w:val="24"/>
                    <w:lang w:bidi="en-US"/>
                  </w:rPr>
                  <w:t>(14)-D8(E)-</w:t>
                </w:r>
              </w:p>
            </w:tc>
          </w:tr>
          <w:tr>
            <w:trPr>
              <w:cantSplit/>
              <w:trHeight w:val="340"/>
            </w:trPr>
            <w:tc>
              <w:tcPr>
                <w:tcW w:w="5014" w:type="dxa"/>
                <w:vMerge/>
                <w:tcMar>
                  <w:top w:w="0" w:type="dxa"/>
                  <w:left w:w="0" w:type="dxa"/>
                  <w:bottom w:w="0" w:type="dxa"/>
                  <w:right w:w="0" w:type="dxa"/>
                </w:tcMar>
              </w:tcPr>
              <w:p>
                <w:pPr>
                  <w:jc w:val="both"/>
                  <w:rPr>
                    <w:rFonts w:eastAsia="Andale Sans UI"/>
                    <w:szCs w:val="24"/>
                    <w:lang w:bidi="en-US"/>
                  </w:rPr>
                </w:pPr>
              </w:p>
            </w:tc>
            <w:tc>
              <w:tcPr>
                <w:tcW w:w="282" w:type="dxa"/>
                <w:tcMar>
                  <w:top w:w="0" w:type="dxa"/>
                  <w:left w:w="0" w:type="dxa"/>
                  <w:bottom w:w="0" w:type="dxa"/>
                  <w:right w:w="0" w:type="dxa"/>
                </w:tcMar>
              </w:tcPr>
              <w:p>
                <w:pPr>
                  <w:tabs>
                    <w:tab w:val="left" w:pos="2869"/>
                  </w:tabs>
                  <w:ind w:right="67"/>
                  <w:jc w:val="right"/>
                  <w:rPr>
                    <w:rFonts w:eastAsia="Andale Sans UI"/>
                    <w:spacing w:val="10"/>
                    <w:szCs w:val="24"/>
                    <w:lang w:bidi="en-US"/>
                  </w:rPr>
                </w:pPr>
                <w:r>
                  <w:rPr>
                    <w:rFonts w:eastAsia="Andale Sans UI"/>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szCs w:val="24"/>
                    <w:lang w:bidi="en-US"/>
                  </w:rPr>
                </w:pPr>
              </w:p>
            </w:tc>
            <w:tc>
              <w:tcPr>
                <w:tcW w:w="565" w:type="dxa"/>
              </w:tcPr>
              <w:p>
                <w:pPr>
                  <w:tabs>
                    <w:tab w:val="left" w:pos="2869"/>
                  </w:tabs>
                  <w:ind w:right="67"/>
                  <w:jc w:val="right"/>
                  <w:rPr>
                    <w:rFonts w:eastAsia="Andale Sans UI"/>
                    <w:spacing w:val="10"/>
                    <w:szCs w:val="24"/>
                    <w:lang w:bidi="en-US"/>
                  </w:rPr>
                </w:pPr>
                <w:r>
                  <w:rPr>
                    <w:rFonts w:eastAsia="Andale Sans UI"/>
                    <w:spacing w:val="10"/>
                    <w:szCs w:val="24"/>
                    <w:lang w:bidi="en-US"/>
                  </w:rPr>
                  <w:t>Nr.</w:t>
                </w:r>
              </w:p>
            </w:tc>
            <w:tc>
              <w:tcPr>
                <w:tcW w:w="2133" w:type="dxa"/>
                <w:gridSpan w:val="2"/>
              </w:tcPr>
              <w:p>
                <w:pPr>
                  <w:suppressLineNumbers/>
                  <w:ind w:right="67"/>
                  <w:jc w:val="both"/>
                  <w:rPr>
                    <w:rFonts w:eastAsia="Andale Sans UI"/>
                    <w:szCs w:val="24"/>
                    <w:lang w:bidi="en-US"/>
                  </w:rPr>
                </w:pPr>
              </w:p>
            </w:tc>
          </w:tr>
          <w:tr>
            <w:trPr>
              <w:cantSplit/>
            </w:trPr>
            <w:tc>
              <w:tcPr>
                <w:tcW w:w="5014" w:type="dxa"/>
                <w:vMerge/>
                <w:tcMar>
                  <w:top w:w="0" w:type="dxa"/>
                  <w:left w:w="0" w:type="dxa"/>
                  <w:bottom w:w="0" w:type="dxa"/>
                  <w:right w:w="0" w:type="dxa"/>
                </w:tcMar>
              </w:tcPr>
              <w:p>
                <w:pPr>
                  <w:jc w:val="both"/>
                  <w:rPr>
                    <w:rFonts w:eastAsia="Andale Sans UI"/>
                    <w:szCs w:val="24"/>
                    <w:lang w:bidi="en-US"/>
                  </w:rPr>
                </w:pPr>
              </w:p>
            </w:tc>
            <w:tc>
              <w:tcPr>
                <w:tcW w:w="4821" w:type="dxa"/>
                <w:gridSpan w:val="5"/>
                <w:tcMar>
                  <w:top w:w="0" w:type="dxa"/>
                  <w:left w:w="0" w:type="dxa"/>
                  <w:bottom w:w="0" w:type="dxa"/>
                  <w:right w:w="0" w:type="dxa"/>
                </w:tcMar>
              </w:tcPr>
              <w:p>
                <w:pPr>
                  <w:tabs>
                    <w:tab w:val="left" w:pos="2869"/>
                  </w:tabs>
                  <w:ind w:right="67"/>
                  <w:jc w:val="both"/>
                  <w:rPr>
                    <w:rFonts w:eastAsia="Andale Sans UI"/>
                    <w:spacing w:val="10"/>
                    <w:szCs w:val="24"/>
                    <w:lang w:bidi="en-US"/>
                  </w:rPr>
                </w:pPr>
              </w:p>
            </w:tc>
          </w:tr>
          <w:tr>
            <w:trPr>
              <w:gridAfter w:val="1"/>
              <w:wAfter w:w="479" w:type="dxa"/>
              <w:trHeight w:val="340"/>
            </w:trPr>
            <w:tc>
              <w:tcPr>
                <w:tcW w:w="9356" w:type="dxa"/>
                <w:gridSpan w:val="5"/>
                <w:tcMar>
                  <w:top w:w="0" w:type="dxa"/>
                  <w:left w:w="0" w:type="dxa"/>
                  <w:bottom w:w="0" w:type="dxa"/>
                  <w:right w:w="0" w:type="dxa"/>
                </w:tcMar>
              </w:tcPr>
              <w:p>
                <w:pPr>
                  <w:widowControl w:val="0"/>
                  <w:suppressLineNumbers/>
                  <w:suppressAutoHyphens/>
                  <w:jc w:val="both"/>
                  <w:rPr>
                    <w:rFonts w:eastAsia="Andale Sans UI" w:cs="Tahoma"/>
                    <w:b/>
                    <w:bCs/>
                    <w:szCs w:val="24"/>
                    <w:lang w:bidi="en-US"/>
                  </w:rPr>
                </w:pPr>
                <w:r>
                  <w:rPr>
                    <w:rFonts w:eastAsia="Andale Sans UI" w:cs="Tahoma"/>
                    <w:b/>
                    <w:bCs/>
                    <w:szCs w:val="24"/>
                    <w:lang w:eastAsia="lt-LT" w:bidi="en-US"/>
                  </w:rPr>
                  <w:t xml:space="preserve">DĖL APLINKOS MINISTRO ĮSAKYMO </w:t>
                </w:r>
                <w:r>
                  <w:rPr>
                    <w:rFonts w:eastAsia="Andale Sans UI" w:cs="Tahoma"/>
                    <w:b/>
                    <w:bCs/>
                    <w:szCs w:val="24"/>
                    <w:lang w:bidi="en-US"/>
                  </w:rPr>
                  <w:t>PROJEKTO DERINIMO</w:t>
                </w:r>
              </w:p>
            </w:tc>
          </w:tr>
          <w:tr>
            <w:trPr>
              <w:trHeight w:val="340"/>
            </w:trPr>
            <w:tc>
              <w:tcPr>
                <w:tcW w:w="9835" w:type="dxa"/>
                <w:gridSpan w:val="6"/>
                <w:tcMar>
                  <w:top w:w="0" w:type="dxa"/>
                  <w:left w:w="0" w:type="dxa"/>
                  <w:bottom w:w="0" w:type="dxa"/>
                  <w:right w:w="0" w:type="dxa"/>
                </w:tcMar>
              </w:tcPr>
              <w:p>
                <w:pPr>
                  <w:suppressLineNumbers/>
                  <w:jc w:val="both"/>
                  <w:rPr>
                    <w:rFonts w:eastAsia="Andale Sans UI"/>
                    <w:b/>
                    <w:bCs/>
                    <w:szCs w:val="24"/>
                    <w:lang w:bidi="en-US"/>
                  </w:rPr>
                </w:pPr>
              </w:p>
            </w:tc>
          </w:tr>
        </w:tbl>
        <w:p>
          <w:pPr>
            <w:ind w:firstLine="567"/>
            <w:jc w:val="both"/>
            <w:rPr>
              <w:rFonts w:eastAsia="Andale Sans UI"/>
              <w:szCs w:val="24"/>
              <w:lang w:bidi="en-US"/>
            </w:rPr>
          </w:pPr>
        </w:p>
      </w:sdtContent>
    </w:sdt>
    <w:sdt>
      <w:sdtPr>
        <w:alias w:val="pastraipa"/>
        <w:tag w:val="part_7c479851b98f4f22b20b8f8aa1e9eabc"/>
        <w:lock w:val="sdtLocked"/>
        <w:richText/>
      </w:sdtPr>
      <w:sdtContent>
        <w:p>
          <w:pPr>
            <w:ind w:firstLine="567"/>
            <w:jc w:val="both"/>
            <w:rPr>
              <w:rFonts w:eastAsia="Andale Sans UI" w:cs="Tahoma"/>
              <w:szCs w:val="24"/>
              <w:lang w:bidi="en-US"/>
            </w:rPr>
          </w:pPr>
          <w:r>
            <w:rPr>
              <w:rFonts w:eastAsia="Andale Sans UI"/>
              <w:szCs w:val="24"/>
              <w:lang w:bidi="en-US"/>
            </w:rPr>
            <w:t xml:space="preserve">Aplinkos ministerija teikia išvadoms gauti </w:t>
          </w:r>
          <w:r>
            <w:rPr>
              <w:rFonts w:eastAsia="Andale Sans UI" w:cs="Tahoma"/>
              <w:szCs w:val="24"/>
              <w:lang w:bidi="en-US"/>
            </w:rPr>
            <w:t xml:space="preserve">Lietuvos Respublikos aplinkos ministro „Dėl Lietuvos Respublikos </w:t>
          </w:r>
          <w:r>
            <w:rPr>
              <w:szCs w:val="24"/>
            </w:rPr>
            <w:t>aplinkos ministro</w:t>
          </w:r>
          <w:r>
            <w:rPr>
              <w:rFonts w:eastAsia="Andale Sans UI" w:cs="Tahoma"/>
              <w:szCs w:val="24"/>
              <w:lang w:bidi="en-US"/>
            </w:rPr>
            <w:t xml:space="preserve"> </w:t>
          </w:r>
          <w:r>
            <w:rPr>
              <w:szCs w:val="24"/>
            </w:rPr>
            <w:t xml:space="preserve">2013 m. liepos 3 d. įsakymo Nr. D1-495 „Dėl </w:t>
          </w:r>
          <w:r>
            <w:rPr>
              <w:szCs w:val="24"/>
              <w:lang w:eastAsia="lt-LT"/>
            </w:rPr>
            <w:t>Pavyzdinės butų ir kitų patalpų savininkų sprendimo dėl daugiabučio namo atnaujinimo (modernizavimo) protokolo formos ir Pavyzdinės pavedimo organizuoti daugiabučio namo atnaujinimo (modernizavimo) projekto parengimą ir (ar) įgyvendinimą, ir (ar) finansavimą sutarties formos patvirtinimo</w:t>
          </w:r>
          <w:r>
            <w:rPr>
              <w:szCs w:val="24"/>
            </w:rPr>
            <w:t>“ pakeitimo</w:t>
          </w:r>
          <w:r>
            <w:rPr>
              <w:rFonts w:eastAsia="Andale Sans UI" w:cs="Tahoma"/>
              <w:szCs w:val="24"/>
              <w:lang w:bidi="en-US"/>
            </w:rPr>
            <w:t xml:space="preserve">“  projektą (toliau – Projektas)</w:t>
          </w:r>
          <w:r>
            <w:rPr>
              <w:rFonts w:eastAsia="Andale Sans UI"/>
              <w:szCs w:val="24"/>
              <w:lang w:bidi="en-US"/>
            </w:rPr>
            <w:t>.</w:t>
          </w:r>
        </w:p>
        <w:sdt>
          <w:sdtPr>
            <w:alias w:val="1 p."/>
            <w:tag w:val="part_a19804e644e841018c0459c086103f70"/>
            <w:lock w:val="sdtLocked"/>
            <w:richText/>
          </w:sdtPr>
          <w:sdtContent>
            <w:p>
              <w:pPr>
                <w:tabs>
                  <w:tab w:val="left" w:pos="720"/>
                  <w:tab w:val="left" w:pos="993"/>
                </w:tabs>
                <w:ind w:firstLine="567"/>
                <w:jc w:val="both"/>
                <w:rPr>
                  <w:szCs w:val="24"/>
                </w:rPr>
              </w:pPr>
              <w:sdt>
                <w:sdtPr>
                  <w:alias w:val="Numeris"/>
                  <w:tag w:val="nr_a19804e644e841018c0459c086103f70"/>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tabs>
                  <w:tab w:val="left" w:pos="720"/>
                  <w:tab w:val="left" w:pos="993"/>
                </w:tabs>
                <w:ind w:firstLine="567"/>
                <w:jc w:val="both"/>
                <w:rPr>
                  <w:szCs w:val="24"/>
                </w:rPr>
              </w:pPr>
              <w:r>
                <w:rPr>
                  <w:szCs w:val="24"/>
                </w:rPr>
                <w:t xml:space="preserve">Projektu siekiama pakeisti </w:t>
              </w:r>
              <w:r>
                <w:rPr>
                  <w:szCs w:val="24"/>
                  <w:lang w:eastAsia="lt-LT"/>
                </w:rPr>
                <w:t xml:space="preserve">Pavyzdinę butų ir kitų patalpų savininkų sprendimo dėl daugiabučio namo atnaujinimo (modernizavimo) protokolo formą </w:t>
              </w:r>
              <w:r>
                <w:t>(toliau – savininkų sprendimo forma), jos priedus</w:t>
              </w:r>
              <w:r>
                <w:rPr>
                  <w:szCs w:val="24"/>
                </w:rPr>
                <w:t xml:space="preserve"> ir </w:t>
              </w:r>
              <w:r>
                <w:rPr>
                  <w:szCs w:val="24"/>
                  <w:lang w:eastAsia="lt-LT"/>
                </w:rPr>
                <w:t>Pavyzdinę pavedimo organizuoti daugiabučio namo atnaujinimo (modernizavimo) projekto parengimą ir (ar) įgyvendinimą, ir (ar) finansavimą sutarties formą (toliau – pavedimo forma)</w:t>
              </w:r>
              <w:r>
                <w:rPr>
                  <w:rFonts w:eastAsia="Calibri" w:cs="Tahoma"/>
                  <w:szCs w:val="24"/>
                  <w:lang w:bidi="en-US"/>
                </w:rPr>
                <w:t>, įrašant tinkamą teisės akto rengimo pagrindą.</w:t>
              </w:r>
            </w:p>
            <w:p>
              <w:pPr>
                <w:tabs>
                  <w:tab w:val="left" w:pos="720"/>
                  <w:tab w:val="left" w:pos="993"/>
                </w:tabs>
                <w:ind w:firstLine="567"/>
                <w:jc w:val="both"/>
                <w:rPr>
                  <w:rFonts w:eastAsia="Andale Sans UI" w:cs="Tahoma"/>
                  <w:szCs w:val="24"/>
                  <w:lang w:eastAsia="en-GB" w:bidi="en-US"/>
                </w:rPr>
              </w:pPr>
              <w:r>
                <w:rPr>
                  <w:szCs w:val="24"/>
                </w:rPr>
                <w:t xml:space="preserve">2024 m. rugsėjo 1 d. neteko galios Lietuvos Respublikos </w:t>
              </w:r>
              <w:r>
                <w:rPr>
                  <w:rFonts w:eastAsia="Andale Sans UI" w:cs="Tahoma"/>
                  <w:szCs w:val="24"/>
                  <w:lang w:eastAsia="en-GB" w:bidi="en-US"/>
                </w:rPr>
                <w:t xml:space="preserve">Vyriausybės 2009 m. gruodžio 16 d. nutarimas Nr. 1725 „Dėl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 (toliau – Nutarimas Nr. 1725) ir </w:t>
              </w:r>
              <w:r>
                <w:rPr>
                  <w:rFonts w:eastAsia="Andale Sans UI" w:cs="Tahoma"/>
                  <w:iCs/>
                  <w:szCs w:val="24"/>
                  <w:lang w:eastAsia="en-GB" w:bidi="en-US"/>
                </w:rPr>
                <w:t>Nutarimu patvirtintos Valstybės paramos daugiabučiams namams atnaujinti (modernizuoti) teikimo ir daugiabučių namų atnaujinimo (modernizavimo) projektų įgyvendinimo priežiūros taisyklės</w:t>
              </w:r>
              <w:r>
                <w:rPr>
                  <w:rFonts w:eastAsia="Andale Sans UI" w:cs="Tahoma"/>
                  <w:szCs w:val="24"/>
                  <w:lang w:eastAsia="en-GB" w:bidi="en-US"/>
                </w:rPr>
                <w:t xml:space="preserve"> (toliau – Nutarimu Nr. 1725 patvirtintos taisyklės).</w:t>
              </w:r>
            </w:p>
            <w:p>
              <w:pPr>
                <w:tabs>
                  <w:tab w:val="left" w:pos="720"/>
                  <w:tab w:val="left" w:pos="993"/>
                </w:tabs>
                <w:ind w:firstLine="567"/>
                <w:jc w:val="both"/>
                <w:rPr>
                  <w:rFonts w:eastAsia="Andale Sans UI" w:cs="Tahoma"/>
                  <w:iCs/>
                  <w:szCs w:val="24"/>
                  <w:lang w:eastAsia="en-GB" w:bidi="en-US"/>
                </w:rPr>
              </w:pPr>
              <w:r>
                <w:rPr>
                  <w:rFonts w:eastAsia="Andale Sans UI" w:cs="Tahoma"/>
                  <w:szCs w:val="24"/>
                  <w:lang w:bidi="en-US"/>
                </w:rPr>
                <w:t xml:space="preserve">Aplinkos ministras 2024 m. spalio 16 d. įsakymu Nr. D1-339 „Dėl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 (toliau – Įsakymas Nr. 339) patvirtino naujas </w:t>
              </w:r>
              <w:r>
                <w:rPr>
                  <w:rFonts w:eastAsia="Andale Sans UI" w:cs="Tahoma"/>
                  <w:iCs/>
                  <w:szCs w:val="24"/>
                  <w:lang w:eastAsia="en-GB" w:bidi="en-US"/>
                </w:rPr>
                <w:t>Valstybės paramos daugiabučiams namams atnaujinti (modernizuoti) teikimo ir daugiabučių namų atnaujinimo (modernizavimo) projektų įgyvendinimo priežiūros taisykles (toliau – Įsakymu Nr. 339 patvirtintos taisyklės).</w:t>
              </w:r>
            </w:p>
            <w:p>
              <w:pPr>
                <w:widowControl w:val="0"/>
                <w:suppressLineNumbers/>
                <w:suppressAutoHyphens/>
                <w:ind w:firstLine="567"/>
                <w:jc w:val="both"/>
                <w:rPr>
                  <w:rFonts w:eastAsia="Andale Sans UI" w:cs="Tahoma"/>
                  <w:szCs w:val="24"/>
                  <w:lang w:bidi="en-US"/>
                </w:rPr>
              </w:pPr>
              <w:r>
                <w:rPr>
                  <w:rFonts w:eastAsia="Andale Sans UI" w:cs="Tahoma"/>
                  <w:szCs w:val="24"/>
                  <w:lang w:bidi="en-US"/>
                </w:rPr>
                <w:t xml:space="preserve">Atsižvelgus į tai, kad </w:t>
              </w:r>
              <w:r>
                <w:rPr>
                  <w:rFonts w:eastAsia="Andale Sans UI" w:cs="Tahoma"/>
                  <w:iCs/>
                  <w:szCs w:val="24"/>
                  <w:lang w:eastAsia="en-GB" w:bidi="en-US"/>
                </w:rPr>
                <w:t>Įsakymu Nr. 339 patvirtintų t</w:t>
              </w:r>
              <w:r>
                <w:rPr>
                  <w:rFonts w:eastAsia="Andale Sans UI" w:cs="Tahoma"/>
                  <w:szCs w:val="24"/>
                  <w:lang w:bidi="en-US"/>
                </w:rPr>
                <w:t xml:space="preserve">aisyklių </w:t>
              </w:r>
              <w:r>
                <w:rPr>
                  <w:rFonts w:eastAsia="Andale Sans UI" w:cs="Tahoma"/>
                  <w:szCs w:val="24"/>
                  <w:lang w:eastAsia="lt-LT" w:bidi="en-US"/>
                </w:rPr>
                <w:t>I skyriaus trečiajame skirsnyje n</w:t>
              </w:r>
              <w:r>
                <w:rPr>
                  <w:rFonts w:eastAsia="Andale Sans UI" w:cs="Tahoma"/>
                  <w:szCs w:val="24"/>
                  <w:lang w:eastAsia="en-GB" w:bidi="en-US"/>
                </w:rPr>
                <w:t xml:space="preserve">umatytos nuostatos, susijusios su </w:t>
              </w:r>
              <w:r>
                <w:t xml:space="preserve">savininkų sprendimo forma ir </w:t>
              </w:r>
              <w:r>
                <w:rPr>
                  <w:szCs w:val="24"/>
                  <w:lang w:eastAsia="lt-LT"/>
                </w:rPr>
                <w:t>pavedimo forma,</w:t>
              </w:r>
              <w:r>
                <w:rPr>
                  <w:rFonts w:eastAsia="Andale Sans UI" w:cs="Tahoma"/>
                  <w:szCs w:val="24"/>
                  <w:lang w:bidi="en-US"/>
                </w:rPr>
                <w:t xml:space="preserve"> reikia </w:t>
              </w:r>
              <w:r>
                <w:rPr>
                  <w:rFonts w:eastAsia="Andale Sans UI" w:cs="Tahoma"/>
                  <w:szCs w:val="24"/>
                  <w:lang w:eastAsia="en-GB" w:bidi="en-US"/>
                </w:rPr>
                <w:t xml:space="preserve">pakeisti šias </w:t>
              </w:r>
              <w:r>
                <w:rPr>
                  <w:szCs w:val="24"/>
                  <w:lang w:eastAsia="lt-LT"/>
                </w:rPr>
                <w:t>formas</w:t>
              </w:r>
              <w:r>
                <w:rPr>
                  <w:rFonts w:eastAsia="Andale Sans UI" w:cs="Tahoma"/>
                  <w:szCs w:val="24"/>
                  <w:lang w:bidi="en-US"/>
                </w:rPr>
                <w:t>.</w:t>
              </w:r>
            </w:p>
            <w:p>
              <w:pPr>
                <w:widowControl w:val="0"/>
                <w:suppressAutoHyphens/>
                <w:spacing w:line="252" w:lineRule="auto"/>
                <w:ind w:firstLine="567"/>
                <w:jc w:val="both"/>
                <w:rPr>
                  <w:rFonts w:eastAsia="Andale Sans UI" w:cs="Tahoma"/>
                  <w:szCs w:val="24"/>
                  <w:lang w:bidi="en-US"/>
                </w:rPr>
              </w:pPr>
              <w:r>
                <w:rPr>
                  <w:rFonts w:eastAsia="Andale Sans UI" w:cs="Tahoma"/>
                  <w:szCs w:val="24"/>
                  <w:lang w:bidi="en-US"/>
                </w:rPr>
                <w:t xml:space="preserve">Projektu siekiama aiškesnių </w:t>
              </w:r>
              <w:r>
                <w:rPr>
                  <w:szCs w:val="24"/>
                  <w:lang w:eastAsia="lt-LT"/>
                </w:rPr>
                <w:t>butų ir kitų patalpų savininkų sprendimo dėl daugiabučio namo atnaujinimo (modernizavimo) ir pavedimo organizuoti daugiabučio namo atnaujinimo (modernizavimo) projekto parengimą ir (ar) įgyvendinimą, ir (ar) finansavimą</w:t>
              </w:r>
              <w:r>
                <w:rPr>
                  <w:rFonts w:eastAsia="Andale Sans UI" w:cs="Tahoma"/>
                  <w:szCs w:val="24"/>
                  <w:lang w:bidi="en-US"/>
                </w:rPr>
                <w:t xml:space="preserve"> </w:t>
              </w:r>
              <w:r>
                <w:rPr>
                  <w:szCs w:val="24"/>
                </w:rPr>
                <w:t xml:space="preserve">procedūrų ir </w:t>
              </w:r>
              <w:r>
                <w:rPr>
                  <w:rFonts w:eastAsia="Andale Sans UI" w:cs="Tahoma"/>
                  <w:szCs w:val="24"/>
                  <w:lang w:bidi="en-US"/>
                </w:rPr>
                <w:t>spartesnio daugiabučių namų atnaujinimo (modernizavimo) projektų įgyvendinimo.</w:t>
              </w:r>
            </w:p>
          </w:sdtContent>
        </w:sdt>
        <w:sdt>
          <w:sdtPr>
            <w:alias w:val="2 p."/>
            <w:tag w:val="part_55e0868476b24d51adabbbe0808eb462"/>
            <w:lock w:val="sdtLocked"/>
            <w:richText/>
          </w:sdtPr>
          <w:sdtContent>
            <w:p>
              <w:pPr>
                <w:shd w:val="clear" w:color="auto" w:fill="FFFFFF"/>
                <w:ind w:firstLine="567"/>
                <w:jc w:val="both"/>
                <w:textAlignment w:val="center"/>
                <w:rPr>
                  <w:rFonts w:eastAsia="Andale Sans UI"/>
                  <w:b/>
                  <w:bCs/>
                  <w:szCs w:val="24"/>
                  <w:lang w:bidi="en-US"/>
                </w:rPr>
              </w:pPr>
              <w:sdt>
                <w:sdtPr>
                  <w:alias w:val="Numeris"/>
                  <w:tag w:val="nr_55e0868476b24d51adabbbe0808eb462"/>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sdtContent>
        </w:sdt>
        <w:sdt>
          <w:sdtPr>
            <w:alias w:val="1 p."/>
            <w:tag w:val="part_ccd2f8635e0f4d3fa8b3c2e22d8fa815"/>
            <w:lock w:val="sdtLocked"/>
            <w:richText/>
          </w:sdtPr>
          <w:sdtContent>
            <w:p>
              <w:pPr>
                <w:tabs>
                  <w:tab w:val="left" w:pos="720"/>
                  <w:tab w:val="left" w:pos="993"/>
                </w:tabs>
                <w:ind w:firstLine="567"/>
                <w:jc w:val="both"/>
                <w:rPr>
                  <w:szCs w:val="24"/>
                </w:rPr>
              </w:pPr>
              <w:sdt>
                <w:sdtPr>
                  <w:alias w:val="Numeris"/>
                  <w:tag w:val="nr_ccd2f8635e0f4d3fa8b3c2e22d8fa815"/>
                  <w:lock w:val="sdtLocked"/>
                  <w:richText/>
                </w:sdtPr>
                <w:sdtContent>
                  <w:r>
                    <w:rPr>
                      <w:szCs w:val="24"/>
                      <w:lang w:eastAsia="en-GB"/>
                    </w:rPr>
                    <w:t>1</w:t>
                  </w:r>
                </w:sdtContent>
              </w:sdt>
              <w:r>
                <w:rPr>
                  <w:szCs w:val="24"/>
                  <w:lang w:eastAsia="en-GB"/>
                </w:rPr>
                <w:t xml:space="preserve">. Projektu siekiama </w:t>
              </w:r>
              <w:r>
                <w:rPr>
                  <w:szCs w:val="24"/>
                </w:rPr>
                <w:t xml:space="preserve">pakeisti </w:t>
              </w:r>
              <w:r>
                <w:t>savininkų sprendimo formą, jos priedus ir</w:t>
              </w:r>
              <w:r>
                <w:rPr>
                  <w:szCs w:val="24"/>
                </w:rPr>
                <w:t xml:space="preserve"> </w:t>
              </w:r>
              <w:r>
                <w:rPr>
                  <w:szCs w:val="24"/>
                  <w:lang w:eastAsia="lt-LT"/>
                </w:rPr>
                <w:t>pavedimo formą</w:t>
              </w:r>
              <w:r>
                <w:rPr>
                  <w:rFonts w:eastAsia="Calibri" w:cs="Tahoma"/>
                  <w:szCs w:val="24"/>
                  <w:lang w:bidi="en-US"/>
                </w:rPr>
                <w:t xml:space="preserve">, visur vietoje </w:t>
              </w:r>
              <w:r>
                <w:rPr>
                  <w:rFonts w:eastAsia="Andale Sans UI" w:cs="Tahoma"/>
                  <w:szCs w:val="24"/>
                  <w:lang w:eastAsia="en-GB" w:bidi="en-US"/>
                </w:rPr>
                <w:t xml:space="preserve">Nutarimas Nr. 1725 ir juo patvirtintų taisyklių </w:t>
              </w:r>
              <w:r>
                <w:rPr>
                  <w:rFonts w:eastAsia="Calibri" w:cs="Tahoma"/>
                  <w:szCs w:val="24"/>
                  <w:lang w:bidi="en-US"/>
                </w:rPr>
                <w:t>įrašant Įsakymą Nr. 339 ir juo patvirtintas taisykles.</w:t>
              </w:r>
            </w:p>
          </w:sdtContent>
        </w:sdt>
        <w:sdt>
          <w:sdtPr>
            <w:alias w:val="2 p."/>
            <w:tag w:val="part_875b09349bca4082bf2b45f8d2e2b6da"/>
            <w:lock w:val="sdtLocked"/>
            <w:richText/>
          </w:sdtPr>
          <w:sdtContent>
            <w:p>
              <w:pPr>
                <w:widowControl w:val="0"/>
                <w:suppressLineNumbers/>
                <w:suppressAutoHyphens/>
                <w:ind w:firstLine="567"/>
                <w:jc w:val="both"/>
                <w:rPr>
                  <w:lang w:eastAsia="lt-LT"/>
                </w:rPr>
              </w:pPr>
              <w:sdt>
                <w:sdtPr>
                  <w:alias w:val="Numeris"/>
                  <w:tag w:val="nr_875b09349bca4082bf2b45f8d2e2b6da"/>
                  <w:lock w:val="sdtLocked"/>
                  <w:richText/>
                </w:sdtPr>
                <w:sdtContent>
                  <w:r>
                    <w:rPr>
                      <w:rFonts w:eastAsia="Andale Sans UI" w:cs="Tahoma"/>
                      <w:szCs w:val="24"/>
                      <w:lang w:eastAsia="en-GB" w:bidi="en-US"/>
                    </w:rPr>
                    <w:t>2</w:t>
                  </w:r>
                </w:sdtContent>
              </w:sdt>
              <w:r>
                <w:rPr>
                  <w:rFonts w:eastAsia="Andale Sans UI" w:cs="Tahoma"/>
                  <w:szCs w:val="24"/>
                  <w:lang w:eastAsia="en-GB" w:bidi="en-US"/>
                </w:rPr>
                <w:t xml:space="preserve">. Atsižvilgus į tai, kad balsavimo metu </w:t>
              </w:r>
              <w:r>
                <w:rPr>
                  <w:lang w:eastAsia="lt-LT"/>
                </w:rPr>
                <w:t xml:space="preserve">bendrojo naudojimo objektų valdytojas ar savivaldybės programos įgyvendinimo administratorius neturi informacijos apie daugiabučio namo butų savininkus ir (ar) butų savininkus, turinčius teisę į būsto šildymo išlaidų kompensaciją, tikslinti </w:t>
              </w:r>
              <w:r>
                <w:rPr>
                  <w:rFonts w:eastAsia="Andale Sans UI" w:cs="Tahoma"/>
                  <w:szCs w:val="24"/>
                  <w:lang w:bidi="en-US"/>
                </w:rPr>
                <w:t xml:space="preserve">Lietuvos Respublikos </w:t>
              </w:r>
              <w:r>
                <w:rPr>
                  <w:szCs w:val="24"/>
                </w:rPr>
                <w:t>aplinkos ministro</w:t>
              </w:r>
              <w:r>
                <w:rPr>
                  <w:rFonts w:eastAsia="Andale Sans UI" w:cs="Tahoma"/>
                  <w:szCs w:val="24"/>
                  <w:lang w:bidi="en-US"/>
                </w:rPr>
                <w:t xml:space="preserve"> </w:t>
              </w:r>
              <w:r>
                <w:rPr>
                  <w:szCs w:val="24"/>
                </w:rPr>
                <w:t xml:space="preserve">2013 m. liepos 3 d. įsakymo Nr. D1-495 „Dėl </w:t>
              </w:r>
              <w:r>
                <w:rPr>
                  <w:szCs w:val="24"/>
                  <w:lang w:eastAsia="lt-LT"/>
                </w:rPr>
                <w:t>Pavyzdinės butų ir kitų patalpų savininkų sprendimo dėl daugiabučio namo atnaujinimo (modernizavimo) protokolo formos ir Pavyzdinės pavedimo organizuoti daugiabučio namo atnaujinimo (modernizavimo) projekto parengimą ir (ar) įgyvendinimą, ir (ar) finansavimą sutarties formos patvirtinimo</w:t>
              </w:r>
              <w:r>
                <w:rPr>
                  <w:szCs w:val="24"/>
                </w:rPr>
                <w:t xml:space="preserve">“ </w:t>
              </w:r>
              <w:r>
                <w:rPr>
                  <w:rFonts w:eastAsia="Andale Sans UI" w:cs="Tahoma"/>
                  <w:szCs w:val="24"/>
                  <w:lang w:eastAsia="en-GB" w:bidi="en-US"/>
                </w:rPr>
                <w:t xml:space="preserve">3 punkto  nuostatas, išbraukiant žodžius</w:t>
              </w:r>
              <w:r>
                <w:rPr>
                  <w:lang w:eastAsia="lt-LT"/>
                </w:rPr>
                <w:t xml:space="preserve"> „(turintys teisę į būsto šildymo išlaidų kompensaciją)</w:t>
              </w:r>
              <w:r>
                <w:rPr>
                  <w:rFonts w:eastAsia="Andale Sans UI" w:cs="Tahoma"/>
                  <w:szCs w:val="24"/>
                  <w:lang w:eastAsia="en-GB" w:bidi="en-US"/>
                </w:rPr>
                <w:t>.</w:t>
              </w:r>
            </w:p>
          </w:sdtContent>
        </w:sdt>
        <w:sdt>
          <w:sdtPr>
            <w:alias w:val="3 p."/>
            <w:tag w:val="part_dbad2dda4bbe432eb527560236abfc50"/>
            <w:lock w:val="sdtLocked"/>
            <w:richText/>
          </w:sdtPr>
          <w:sdtContent>
            <w:p>
              <w:pPr>
                <w:widowControl w:val="0"/>
                <w:suppressLineNumbers/>
                <w:suppressAutoHyphens/>
                <w:ind w:firstLine="567"/>
                <w:jc w:val="both"/>
              </w:pPr>
              <w:sdt>
                <w:sdtPr>
                  <w:alias w:val="Numeris"/>
                  <w:tag w:val="nr_dbad2dda4bbe432eb527560236abfc50"/>
                  <w:lock w:val="sdtLocked"/>
                  <w:richText/>
                </w:sdtPr>
                <w:sdtContent>
                  <w:r>
                    <w:rPr>
                      <w:rFonts w:eastAsia="Andale Sans UI" w:cs="Tahoma"/>
                      <w:szCs w:val="24"/>
                      <w:lang w:eastAsia="en-GB" w:bidi="en-US"/>
                    </w:rPr>
                    <w:t>3</w:t>
                  </w:r>
                </w:sdtContent>
              </w:sdt>
              <w:r>
                <w:rPr>
                  <w:rFonts w:eastAsia="Andale Sans UI" w:cs="Tahoma"/>
                  <w:szCs w:val="24"/>
                  <w:lang w:eastAsia="en-GB" w:bidi="en-US"/>
                </w:rPr>
                <w:t xml:space="preserve">. Vadovaujantis </w:t>
              </w:r>
              <w:r>
                <w:rPr>
                  <w:rFonts w:eastAsia="Andale Sans UI" w:cs="Tahoma"/>
                  <w:iCs/>
                  <w:szCs w:val="24"/>
                  <w:lang w:eastAsia="en-GB" w:bidi="en-US"/>
                </w:rPr>
                <w:t>Įsakymu Nr. 339 patvirtintų</w:t>
              </w:r>
              <w:r>
                <w:rPr>
                  <w:rFonts w:eastAsia="Andale Sans UI" w:cs="Tahoma"/>
                  <w:szCs w:val="24"/>
                  <w:lang w:eastAsia="en-GB" w:bidi="en-US"/>
                </w:rPr>
                <w:t xml:space="preserve"> taisyklių VI skyriaus nuostatomis, papildyti </w:t>
              </w:r>
              <w:r>
                <w:t xml:space="preserve">savininkų sprendimo formą ir jos priedus nuostatomis, susijusiomis su teise </w:t>
              </w:r>
              <w:r>
                <w:rPr>
                  <w:lang w:eastAsia="lt-LT"/>
                </w:rPr>
                <w:t xml:space="preserve">daugiabučio namo butų savininkams Lietuvos Respublikos nepriklausomybės gynėjams, nukentėjusiems nuo 1991 m. sausio 11–13 d. ir po to vykdytos SSRS agresijos, žuvusių Lietuvos Respublikos nepriklausomybės gynėjų šeimos nariams (vaikams (įvaikiams), našliams ir tėvams (įtėviams)), Lietuvos Respublikos nepriklausomybės gynėjams, netekusiems 45 ir daugiau procentų dalyvumo (iki 2023 m. gruodžio 31 d. – 45  ir daugiau procentų darbingumo; iki 2005 m. birželio 30 d. – pripažintų invalidais) dėl 1991 m. sausio 11–13 d. ir po to vykdytos SSRS agresijos, šeimos nariams (nepilnamečiams vaikams (įvaikiams), sutuoktiniams ir tėvams (įtėviams) </w:t>
              </w:r>
              <w:r>
                <w:t>gauti 100 procentų valstybės paramos</w:t>
              </w:r>
              <w:r>
                <w:rPr>
                  <w:lang w:eastAsia="lt-LT"/>
                </w:rPr>
                <w:t>.</w:t>
              </w:r>
              <w:r>
                <w:t xml:space="preserve"> </w:t>
              </w:r>
            </w:p>
          </w:sdtContent>
        </w:sdt>
        <w:sdt>
          <w:sdtPr>
            <w:alias w:val="4 p."/>
            <w:tag w:val="part_e6a4afbfad394c4c8d394beb4ffac5df"/>
            <w:lock w:val="sdtLocked"/>
            <w:richText/>
          </w:sdtPr>
          <w:sdtContent>
            <w:p>
              <w:pPr>
                <w:tabs>
                  <w:tab w:val="left" w:pos="851"/>
                  <w:tab w:val="left" w:pos="1134"/>
                  <w:tab w:val="left" w:pos="1276"/>
                  <w:tab w:val="left" w:pos="1418"/>
                </w:tabs>
                <w:spacing w:line="276" w:lineRule="auto"/>
                <w:ind w:firstLine="709"/>
                <w:jc w:val="both"/>
                <w:rPr>
                  <w:color w:val="000000"/>
                </w:rPr>
              </w:pPr>
              <w:sdt>
                <w:sdtPr>
                  <w:alias w:val="Numeris"/>
                  <w:tag w:val="nr_e6a4afbfad394c4c8d394beb4ffac5df"/>
                  <w:lock w:val="sdtLocked"/>
                  <w:richText/>
                </w:sdtPr>
                <w:sdtContent>
                  <w:r>
                    <w:t>4</w:t>
                  </w:r>
                </w:sdtContent>
              </w:sdt>
              <w:r>
                <w:t xml:space="preserve">. </w:t>
              </w:r>
              <w:r>
                <w:rPr>
                  <w:color w:val="000000"/>
                </w:rPr>
                <w:t>Nustatyti naujų projekto nuostatų taikymo nuostatas – „</w:t>
              </w:r>
              <w:r>
                <w:t xml:space="preserve">kad iki įsakymo įsigaliojimo dienos šio įsakymo 1.1 ir 1.2 papunkčiuose nurodytos formos pasirašomos </w:t>
              </w:r>
              <w:r>
                <w:rPr>
                  <w:rFonts w:eastAsia="Calibri"/>
                  <w:shd w:val="clear" w:color="auto" w:fill="FFFFFF"/>
                </w:rPr>
                <w:t>pagal iki šio įsakymo įsigaliojimo dienos nustatytus reikalavimus</w:t>
              </w:r>
              <w:r>
                <w:rPr>
                  <w:color w:val="000000"/>
                </w:rPr>
                <w:t>.“</w:t>
              </w:r>
            </w:p>
          </w:sdtContent>
        </w:sdt>
        <w:sdt>
          <w:sdtPr>
            <w:alias w:val="3 p."/>
            <w:tag w:val="part_f3403483ccce4e3fbb9d3d986ec0c79f"/>
            <w:lock w:val="sdtLocked"/>
            <w:richText/>
          </w:sdtPr>
          <w:sdtContent>
            <w:p>
              <w:pPr>
                <w:shd w:val="clear" w:color="auto" w:fill="FFFFFF"/>
                <w:ind w:firstLine="555"/>
                <w:jc w:val="both"/>
                <w:textAlignment w:val="baseline"/>
                <w:rPr>
                  <w:szCs w:val="24"/>
                  <w:lang w:eastAsia="lt-LT"/>
                </w:rPr>
              </w:pPr>
              <w:sdt>
                <w:sdtPr>
                  <w:alias w:val="Numeris"/>
                  <w:tag w:val="nr_f3403483ccce4e3fbb9d3d986ec0c79f"/>
                  <w:lock w:val="sdtLocked"/>
                  <w:richText/>
                </w:sdtPr>
                <w:sdtContent>
                  <w:r>
                    <w:rPr>
                      <w:b/>
                      <w:bCs/>
                      <w:szCs w:val="24"/>
                      <w:lang w:eastAsia="lt-LT"/>
                    </w:rPr>
                    <w:t>3</w:t>
                  </w:r>
                </w:sdtContent>
              </w:sdt>
              <w:r>
                <w:rPr>
                  <w:b/>
                  <w:bCs/>
                  <w:szCs w:val="24"/>
                  <w:lang w:eastAsia="lt-LT"/>
                </w:rPr>
                <w:t>. Pasiūlymų įgyvendinimo mechanizmas, kaštai ir nauda</w:t>
              </w:r>
              <w:r>
                <w:rPr>
                  <w:szCs w:val="24"/>
                  <w:lang w:eastAsia="lt-LT"/>
                </w:rPr>
                <w:t> </w:t>
              </w:r>
            </w:p>
            <w:p>
              <w:pPr>
                <w:widowControl w:val="0"/>
                <w:suppressLineNumbers/>
                <w:suppressAutoHyphens/>
                <w:ind w:firstLine="567"/>
                <w:jc w:val="both"/>
                <w:rPr>
                  <w:szCs w:val="24"/>
                  <w:lang w:eastAsia="lt-LT"/>
                </w:rPr>
              </w:pPr>
              <w:r>
                <w:rPr>
                  <w:szCs w:val="24"/>
                  <w:lang w:eastAsia="lt-LT"/>
                </w:rPr>
                <w:t xml:space="preserve">Priėmus Projektą, bus užtikrintos tinkamos ir aiškios </w:t>
              </w:r>
              <w:r>
                <w:t xml:space="preserve">savininkų sprendimo ir </w:t>
              </w:r>
              <w:r>
                <w:rPr>
                  <w:szCs w:val="24"/>
                  <w:lang w:eastAsia="lt-LT"/>
                </w:rPr>
                <w:t>pavedimo formų pildymo nuostatos</w:t>
              </w:r>
              <w:r>
                <w:rPr>
                  <w:rFonts w:eastAsia="Andale Sans UI" w:cs="Tahoma"/>
                  <w:szCs w:val="24"/>
                  <w:lang w:bidi="en-US"/>
                </w:rPr>
                <w:t>.</w:t>
              </w:r>
              <w:r>
                <w:rPr>
                  <w:szCs w:val="24"/>
                  <w:lang w:eastAsia="lt-LT"/>
                </w:rPr>
                <w:t xml:space="preserve">  </w:t>
              </w:r>
            </w:p>
            <w:p>
              <w:pPr>
                <w:ind w:firstLine="555"/>
                <w:jc w:val="both"/>
                <w:textAlignment w:val="baseline"/>
                <w:rPr>
                  <w:szCs w:val="24"/>
                  <w:lang w:eastAsia="lt-LT"/>
                </w:rPr>
              </w:pPr>
              <w:r>
                <w:rPr>
                  <w:szCs w:val="24"/>
                  <w:lang w:eastAsia="lt-LT"/>
                </w:rPr>
                <w:t>Atliekami pakeitimai padėtų įgyvendinti Lietuvos ilgalaikės renovacijos strategiją, kuriai Vyriausybė pritarė 2021 m. kovo 31 d. </w:t>
              </w:r>
            </w:p>
            <w:p>
              <w:pPr>
                <w:widowControl w:val="0"/>
                <w:suppressAutoHyphens/>
                <w:ind w:firstLine="567"/>
                <w:jc w:val="both"/>
                <w:rPr>
                  <w:rFonts w:eastAsia="Andale Sans UI" w:cs="Tahoma"/>
                  <w:i/>
                  <w:szCs w:val="24"/>
                  <w:lang w:eastAsia="en-GB" w:bidi="en-US"/>
                </w:rPr>
              </w:pPr>
              <w:r>
                <w:rPr>
                  <w:rFonts w:eastAsia="Andale Sans UI" w:cs="Tahoma"/>
                  <w:i/>
                  <w:szCs w:val="24"/>
                  <w:lang w:eastAsia="en-GB" w:bidi="en-US"/>
                </w:rPr>
                <w:t>Įgyvendinimo sąnaudos</w:t>
              </w:r>
            </w:p>
            <w:p>
              <w:pPr>
                <w:widowControl w:val="0"/>
                <w:tabs>
                  <w:tab w:val="left" w:pos="851"/>
                </w:tabs>
                <w:suppressAutoHyphens/>
                <w:ind w:firstLine="567"/>
                <w:jc w:val="both"/>
                <w:rPr>
                  <w:rFonts w:eastAsia="Andale Sans UI" w:cs="Tahoma"/>
                  <w:szCs w:val="24"/>
                  <w:lang w:bidi="en-US"/>
                </w:rPr>
              </w:pPr>
              <w:r>
                <w:rPr>
                  <w:rFonts w:eastAsia="Andale Sans UI" w:cs="Tahoma"/>
                  <w:szCs w:val="24"/>
                  <w:lang w:bidi="en-US"/>
                </w:rPr>
                <w:t>Projektui įgyvendinti papildomų valstybės biudžeto lėšų nereikės.</w:t>
              </w:r>
            </w:p>
          </w:sdtContent>
        </w:sdt>
        <w:sdt>
          <w:sdtPr>
            <w:alias w:val="4 p."/>
            <w:tag w:val="part_0aaa9251f8874c9191e267b958752f16"/>
            <w:lock w:val="sdtLocked"/>
            <w:richText/>
          </w:sdtPr>
          <w:sdtContent>
            <w:p>
              <w:pPr>
                <w:ind w:firstLine="567"/>
                <w:jc w:val="both"/>
                <w:rPr>
                  <w:rFonts w:eastAsia="Andale Sans UI"/>
                  <w:b/>
                  <w:bCs/>
                  <w:szCs w:val="24"/>
                  <w:lang w:bidi="en-US"/>
                </w:rPr>
              </w:pPr>
              <w:sdt>
                <w:sdtPr>
                  <w:alias w:val="Numeris"/>
                  <w:tag w:val="nr_0aaa9251f8874c9191e267b958752f16"/>
                  <w:lock w:val="sdtLocked"/>
                  <w:richText/>
                </w:sdtPr>
                <w:sdtContent>
                  <w:r>
                    <w:rPr>
                      <w:rFonts w:eastAsia="Andale Sans UI"/>
                      <w:b/>
                      <w:bCs/>
                      <w:szCs w:val="24"/>
                      <w:lang w:bidi="en-US"/>
                    </w:rPr>
                    <w:t>4</w:t>
                  </w:r>
                </w:sdtContent>
              </w:sdt>
              <w:r>
                <w:rPr>
                  <w:rFonts w:eastAsia="Andale Sans UI"/>
                  <w:b/>
                  <w:bCs/>
                  <w:szCs w:val="24"/>
                  <w:lang w:bidi="en-US"/>
                </w:rPr>
                <w:t>. Rodikliai, kurie bus stebimi</w:t>
              </w:r>
            </w:p>
            <w:p>
              <w:pPr>
                <w:shd w:val="clear" w:color="auto" w:fill="FFFFFF"/>
                <w:ind w:firstLine="567"/>
                <w:jc w:val="both"/>
                <w:textAlignment w:val="center"/>
                <w:rPr>
                  <w:rFonts w:eastAsia="Andale Sans UI" w:cs="Tahoma"/>
                  <w:szCs w:val="24"/>
                  <w:lang w:eastAsia="lt-LT" w:bidi="en-US"/>
                </w:rPr>
              </w:pPr>
              <w:r>
                <w:rPr>
                  <w:rFonts w:eastAsia="Andale Sans UI" w:cs="Tahoma"/>
                  <w:szCs w:val="24"/>
                  <w:lang w:eastAsia="lt-LT" w:bidi="en-US"/>
                </w:rPr>
                <w:t>Rodikliai Projektu nenurodomi ir nestebimi.</w:t>
              </w:r>
            </w:p>
          </w:sdtContent>
        </w:sdt>
        <w:sdt>
          <w:sdtPr>
            <w:alias w:val="5 p."/>
            <w:tag w:val="part_14af8e6ec48b4298a742428e68d11a50"/>
            <w:lock w:val="sdtLocked"/>
            <w:richText/>
          </w:sdtPr>
          <w:sdtContent>
            <w:p>
              <w:pPr>
                <w:shd w:val="clear" w:color="auto" w:fill="FFFFFF"/>
                <w:ind w:firstLine="567"/>
                <w:jc w:val="both"/>
                <w:textAlignment w:val="center"/>
                <w:rPr>
                  <w:rFonts w:eastAsia="Andale Sans UI"/>
                  <w:szCs w:val="24"/>
                  <w:lang w:bidi="en-US"/>
                </w:rPr>
              </w:pPr>
              <w:sdt>
                <w:sdtPr>
                  <w:alias w:val="Numeris"/>
                  <w:tag w:val="nr_14af8e6ec48b4298a742428e68d11a50"/>
                  <w:lock w:val="sdtLocked"/>
                  <w:richText/>
                </w:sdtPr>
                <w:sdtContent>
                  <w:r>
                    <w:rPr>
                      <w:b/>
                      <w:bCs/>
                      <w:szCs w:val="24"/>
                      <w:lang w:eastAsia="lt-LT" w:bidi="en-US"/>
                    </w:rPr>
                    <w:t>5</w:t>
                  </w:r>
                </w:sdtContent>
              </w:sdt>
              <w:r>
                <w:rPr>
                  <w:b/>
                  <w:bCs/>
                  <w:szCs w:val="24"/>
                  <w:lang w:eastAsia="lt-LT" w:bidi="en-US"/>
                </w:rPr>
                <w:t>. Lietuvos Respublikos Vyriausybės programos</w:t>
              </w:r>
              <w:r>
                <w:rPr>
                  <w:b/>
                  <w:bCs/>
                  <w:szCs w:val="24"/>
                  <w:vertAlign w:val="superscript"/>
                  <w:lang w:eastAsia="lt-LT" w:bidi="en-US"/>
                </w:rPr>
                <w:footnoteReference w:id="1"/>
              </w:r>
              <w:r>
                <w:rPr>
                  <w:b/>
                  <w:bCs/>
                  <w:szCs w:val="24"/>
                  <w:lang w:eastAsia="lt-LT" w:bidi="en-US"/>
                </w:rPr>
                <w:t xml:space="preserve"> nuostatų įgyvendinimas</w:t>
              </w:r>
            </w:p>
            <w:p>
              <w:pPr>
                <w:shd w:val="clear" w:color="auto" w:fill="FFFFFF"/>
                <w:ind w:firstLine="567"/>
                <w:jc w:val="both"/>
                <w:textAlignment w:val="center"/>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įgyvendinamos šios Lietuvos Respublikos Vyriausybės programos nuostatos: </w:t>
              </w:r>
              <w:r>
                <w:rPr>
                  <w:rFonts w:eastAsia="Andale Sans UI" w:cs="Tahoma"/>
                  <w:szCs w:val="24"/>
                  <w:lang w:bidi="en-US"/>
                </w:rPr>
                <w:t>157.5 papunktyje nustatytas tikslas „Renovacijos banga – 1 000 renovuotų daugiabučių per metus.“</w:t>
              </w:r>
            </w:p>
            <w:p>
              <w:pPr>
                <w:shd w:val="clear" w:color="auto" w:fill="FFFFFF"/>
                <w:ind w:firstLine="567"/>
                <w:jc w:val="both"/>
                <w:textAlignment w:val="center"/>
                <w:rPr>
                  <w:rFonts w:eastAsia="Andale Sans UI"/>
                  <w:szCs w:val="24"/>
                  <w:lang w:bidi="en-US"/>
                </w:rPr>
              </w:pPr>
            </w:p>
            <w:p>
              <w:pPr>
                <w:shd w:val="clear" w:color="auto" w:fill="FFFFFF"/>
                <w:ind w:firstLine="567"/>
                <w:jc w:val="both"/>
                <w:textAlignment w:val="center"/>
                <w:rPr>
                  <w:b/>
                  <w:bCs/>
                  <w:szCs w:val="24"/>
                  <w:lang w:eastAsia="lt-LT" w:bidi="en-US"/>
                </w:rPr>
              </w:pPr>
              <w:r>
                <w:rPr>
                  <w:rFonts w:ascii="MS Gothic" w:eastAsia="MS Gothic" w:hAnsi="MS Gothic"/>
                  <w:szCs w:val="24"/>
                  <w:lang w:bidi="en-US"/>
                </w:rPr>
                <w:t>☒</w:t>
              </w:r>
              <w:r>
                <w:rPr>
                  <w:rFonts w:eastAsia="Andale Sans UI"/>
                  <w:szCs w:val="24"/>
                  <w:lang w:bidi="en-US"/>
                </w:rPr>
                <w:t xml:space="preserve"> Projektas neprieštarauja Aštuonioliktosios Lietuvos Respublikos Vyriausybės programai.</w:t>
              </w:r>
            </w:p>
          </w:sdtContent>
        </w:sdt>
        <w:sdt>
          <w:sdtPr>
            <w:alias w:val="6 p."/>
            <w:tag w:val="part_04482fb01bfa4f4fba5648f57dbb41c5"/>
            <w:lock w:val="sdtLocked"/>
            <w:richText/>
          </w:sdtPr>
          <w:sdtContent>
            <w:p>
              <w:pPr>
                <w:ind w:firstLine="567"/>
                <w:jc w:val="both"/>
                <w:rPr>
                  <w:b/>
                  <w:bCs/>
                  <w:szCs w:val="24"/>
                  <w:lang w:eastAsia="lt-LT" w:bidi="en-US"/>
                </w:rPr>
              </w:pPr>
              <w:sdt>
                <w:sdtPr>
                  <w:alias w:val="Numeris"/>
                  <w:tag w:val="nr_04482fb01bfa4f4fba5648f57dbb41c5"/>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color w:val="000000"/>
                  <w:szCs w:val="24"/>
                  <w:lang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perkeliamos (</w:t>
              </w:r>
              <w:r>
                <w:rPr>
                  <w:rFonts w:eastAsia="Andale Sans UI"/>
                  <w:i/>
                  <w:szCs w:val="24"/>
                  <w:lang w:bidi="en-US"/>
                </w:rPr>
                <w:t>dėl Direktyvų</w:t>
              </w:r>
              <w:r>
                <w:rPr>
                  <w:rFonts w:eastAsia="Andale Sans UI"/>
                  <w:szCs w:val="24"/>
                  <w:lang w:bidi="en-US"/>
                </w:rPr>
                <w:t>) ir (ar) įgyvendinamos (</w:t>
              </w:r>
              <w:r>
                <w:rPr>
                  <w:rFonts w:eastAsia="Andale Sans UI"/>
                  <w:i/>
                  <w:szCs w:val="24"/>
                  <w:lang w:bidi="en-US"/>
                </w:rPr>
                <w:t>dėl Reglamentų ir Sprendimų</w:t>
              </w:r>
              <w:r>
                <w:rPr>
                  <w:rFonts w:eastAsia="Andale Sans UI"/>
                  <w:szCs w:val="24"/>
                  <w:lang w:bidi="en-US"/>
                </w:rPr>
                <w:t>) šios Europos Sąjungos teisės aktų nuostatos: (</w:t>
              </w:r>
              <w:r>
                <w:rPr>
                  <w:rFonts w:eastAsia="Andale Sans UI"/>
                  <w:i/>
                  <w:szCs w:val="24"/>
                  <w:lang w:bidi="en-US"/>
                </w:rPr>
                <w:t>išvardijama</w:t>
              </w:r>
              <w:r>
                <w:rPr>
                  <w:rFonts w:eastAsia="Andale Sans UI"/>
                  <w:szCs w:val="24"/>
                  <w:lang w:bidi="en-US"/>
                </w:rPr>
                <w:t>).</w:t>
              </w:r>
              <w:r>
                <w:rPr>
                  <w:rFonts w:eastAsia="Andale Sans UI"/>
                  <w:i/>
                  <w:szCs w:val="24"/>
                  <w:lang w:bidi="en-US"/>
                </w:rPr>
                <w:t xml:space="preserve"> </w:t>
              </w:r>
              <w:r>
                <w:rPr>
                  <w:rFonts w:eastAsia="Andale Sans UI"/>
                  <w:szCs w:val="24"/>
                  <w:lang w:eastAsia="lt-LT" w:bidi="en-US"/>
                </w:rPr>
                <w:t>Kartu teikiama atitikties lentelė</w:t>
              </w:r>
              <w:r>
                <w:rPr>
                  <w:rFonts w:eastAsia="Andale Sans UI"/>
                  <w:szCs w:val="24"/>
                  <w:vertAlign w:val="superscript"/>
                  <w:lang w:eastAsia="lt-LT" w:bidi="en-US"/>
                </w:rPr>
                <w:footnoteReference w:id="2"/>
              </w:r>
              <w:r>
                <w:rPr>
                  <w:rFonts w:eastAsia="Andale Sans UI"/>
                  <w:szCs w:val="24"/>
                  <w:lang w:eastAsia="lt-LT" w:bidi="en-US"/>
                </w:rPr>
                <w:t>, kuri paskelbta ir Lietuvos narystės Europos Sąjungoje informacinėje sistemoje (LINESIS)</w:t>
              </w:r>
              <w:r>
                <w:rPr>
                  <w:rFonts w:eastAsia="Andale Sans UI"/>
                  <w:i/>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reikės priimti </w:t>
              </w:r>
              <w:r>
                <w:rPr>
                  <w:i/>
                  <w:iCs/>
                  <w:color w:val="000000"/>
                  <w:szCs w:val="24"/>
                  <w:lang w:eastAsia="lt-LT" w:bidi="en-US"/>
                </w:rPr>
                <w:t>...</w:t>
              </w:r>
              <w:r>
                <w:rPr>
                  <w:iCs/>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w:t>
              </w:r>
            </w:p>
          </w:sdtContent>
        </w:sdt>
        <w:sdt>
          <w:sdtPr>
            <w:alias w:val="7 p."/>
            <w:tag w:val="part_a159ca5c3f06475ca7a1f07ae63f7a8a"/>
            <w:lock w:val="sdtLocked"/>
            <w:richText/>
          </w:sdtPr>
          <w:sdtContent>
            <w:p>
              <w:pPr>
                <w:ind w:firstLine="567"/>
                <w:jc w:val="both"/>
                <w:rPr>
                  <w:rFonts w:eastAsia="Andale Sans UI"/>
                  <w:b/>
                  <w:bCs/>
                  <w:szCs w:val="24"/>
                  <w:lang w:bidi="en-US"/>
                </w:rPr>
              </w:pPr>
              <w:sdt>
                <w:sdtPr>
                  <w:alias w:val="Numeris"/>
                  <w:tag w:val="nr_a159ca5c3f06475ca7a1f07ae63f7a8a"/>
                  <w:lock w:val="sdtLocked"/>
                  <w:richText/>
                </w:sdtPr>
                <w:sdtContent>
                  <w:r>
                    <w:rPr>
                      <w:rFonts w:eastAsia="Andale Sans UI"/>
                      <w:b/>
                      <w:bCs/>
                      <w:szCs w:val="24"/>
                      <w:lang w:bidi="en-US"/>
                    </w:rPr>
                    <w:t>7</w:t>
                  </w:r>
                </w:sdtContent>
              </w:sdt>
              <w:r>
                <w:rPr>
                  <w:rFonts w:eastAsia="Andale Sans UI"/>
                  <w:b/>
                  <w:bCs/>
                  <w:szCs w:val="24"/>
                  <w:lang w:bidi="en-US"/>
                </w:rPr>
                <w:t>. Notifikavimas</w:t>
              </w:r>
              <w:r>
                <w:rPr>
                  <w:rFonts w:eastAsia="Andale Sans UI"/>
                  <w:b/>
                  <w:bCs/>
                  <w:szCs w:val="24"/>
                  <w:vertAlign w:val="superscript"/>
                  <w:lang w:bidi="en-US"/>
                </w:rPr>
                <w:footnoteReference w:id="3"/>
              </w:r>
              <w:r>
                <w:rPr>
                  <w:rFonts w:eastAsia="Andale Sans UI"/>
                  <w:b/>
                  <w:bCs/>
                  <w:szCs w:val="24"/>
                  <w:lang w:bidi="en-US"/>
                </w:rPr>
                <w:t xml:space="preserve"> Europos Komisijai</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f34a468e591443a8876c94e8fe4e1e84"/>
            <w:lock w:val="sdtLocked"/>
            <w:richText/>
          </w:sdtPr>
          <w:sdtContent>
            <w:p>
              <w:pPr>
                <w:ind w:firstLine="567"/>
                <w:jc w:val="both"/>
                <w:rPr>
                  <w:rFonts w:eastAsia="Andale Sans UI"/>
                  <w:b/>
                  <w:bCs/>
                  <w:szCs w:val="24"/>
                  <w:lang w:bidi="en-US"/>
                </w:rPr>
              </w:pPr>
              <w:sdt>
                <w:sdtPr>
                  <w:alias w:val="Numeris"/>
                  <w:tag w:val="nr_f34a468e591443a8876c94e8fe4e1e84"/>
                  <w:lock w:val="sdtLocked"/>
                  <w:richText/>
                </w:sdtPr>
                <w:sdtContent>
                  <w:r>
                    <w:rPr>
                      <w:rFonts w:eastAsia="Andale Sans UI"/>
                      <w:b/>
                      <w:bCs/>
                      <w:szCs w:val="24"/>
                      <w:lang w:bidi="en-US"/>
                    </w:rPr>
                    <w:t>8</w:t>
                  </w:r>
                </w:sdtContent>
              </w:sdt>
              <w:r>
                <w:rPr>
                  <w:rFonts w:eastAsia="Andale Sans UI"/>
                  <w:b/>
                  <w:bCs/>
                  <w:szCs w:val="24"/>
                  <w:lang w:bidi="en-US"/>
                </w:rPr>
                <w:t>. Numatomo teisinio reguliavimo poveikio vertinimas</w:t>
              </w:r>
              <w:r>
                <w:rPr>
                  <w:rFonts w:eastAsia="Andale Sans UI"/>
                  <w:b/>
                  <w:bCs/>
                  <w:szCs w:val="24"/>
                  <w:vertAlign w:val="superscript"/>
                  <w:lang w:bidi="en-US"/>
                </w:rPr>
                <w:footnoteReference w:id="4"/>
              </w:r>
              <w:r>
                <w:rPr>
                  <w:rFonts w:eastAsia="Andale Sans UI"/>
                  <w:b/>
                  <w:bCs/>
                  <w:szCs w:val="24"/>
                  <w:lang w:bidi="en-US"/>
                </w:rPr>
                <w:t xml:space="preserve"> </w:t>
              </w:r>
              <w:r>
                <w:rPr>
                  <w:color w:val="000000"/>
                  <w:szCs w:val="24"/>
                  <w:lang w:bidi="en-US"/>
                </w:rPr>
                <w:t>(pažymimas tinkamas variantas)</w:t>
              </w:r>
            </w:p>
            <w:p>
              <w:pPr>
                <w:widowControl w:val="0"/>
                <w:ind w:firstLine="567"/>
                <w:jc w:val="both"/>
                <w:rPr>
                  <w:rFonts w:eastAsia="Andale Sans UI"/>
                  <w:i/>
                  <w:iCs/>
                  <w:color w:val="000000"/>
                  <w:szCs w:val="24"/>
                  <w:lang w:bidi="en-US"/>
                </w:rPr>
              </w:pPr>
              <w:r>
                <w:rPr>
                  <w:rFonts w:ascii="MS Gothic" w:eastAsia="MS Gothic" w:hAnsi="MS Gothic"/>
                  <w:szCs w:val="24"/>
                  <w:lang w:bidi="en-US"/>
                </w:rPr>
                <w:t>☐</w:t>
              </w:r>
              <w:r>
                <w:rPr>
                  <w:rFonts w:eastAsia="Andale Sans UI"/>
                  <w:szCs w:val="24"/>
                  <w:lang w:bidi="en-US"/>
                </w:rPr>
                <w:t xml:space="preserve"> Atliktas Projekto numatomo teisinio reguliavimo poveikio vertinimas.</w:t>
              </w:r>
            </w:p>
            <w:p>
              <w:pPr>
                <w:widowControl w:val="0"/>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Projekto numatomo teisinio reguliavimo poveikio vertinimas neatliekamas.</w:t>
              </w:r>
            </w:p>
            <w:p>
              <w:pPr>
                <w:widowControl w:val="0"/>
                <w:ind w:firstLine="567"/>
                <w:jc w:val="both"/>
                <w:rPr>
                  <w:rFonts w:eastAsia="Andale Sans UI"/>
                  <w:color w:val="000000"/>
                  <w:szCs w:val="24"/>
                  <w:lang w:bidi="en-US"/>
                </w:rPr>
              </w:pPr>
              <w:r>
                <w:rPr>
                  <w:rFonts w:ascii="Segoe UI Symbol" w:eastAsia="MS Gothic" w:hAnsi="Segoe UI Symbol" w:cs="Segoe UI Symbol"/>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w:t>
              </w:r>
              <w:r>
                <w:rPr>
                  <w:rFonts w:eastAsia="Andale Sans UI"/>
                  <w:color w:val="000000"/>
                  <w:szCs w:val="24"/>
                  <w:lang w:bidi="en-US"/>
                </w:rPr>
                <w:t>.</w:t>
              </w:r>
            </w:p>
          </w:sdtContent>
        </w:sdt>
        <w:sdt>
          <w:sdtPr>
            <w:alias w:val="9 p."/>
            <w:tag w:val="part_192c64de57594d0a99701698289a1620"/>
            <w:lock w:val="sdtLocked"/>
            <w:richText/>
          </w:sdtPr>
          <w:sdtContent>
            <w:p>
              <w:pPr>
                <w:widowControl w:val="0"/>
                <w:ind w:firstLine="567"/>
                <w:jc w:val="both"/>
                <w:rPr>
                  <w:rFonts w:eastAsia="Andale Sans UI"/>
                  <w:b/>
                  <w:bCs/>
                  <w:szCs w:val="24"/>
                  <w:lang w:bidi="en-US"/>
                </w:rPr>
              </w:pPr>
              <w:sdt>
                <w:sdtPr>
                  <w:alias w:val="Numeris"/>
                  <w:tag w:val="nr_192c64de57594d0a99701698289a1620"/>
                  <w:lock w:val="sdtLocked"/>
                  <w:richText/>
                </w:sdtPr>
                <w:sdtContent>
                  <w:r>
                    <w:rPr>
                      <w:rFonts w:eastAsia="Andale Sans UI"/>
                      <w:b/>
                      <w:bCs/>
                      <w:szCs w:val="24"/>
                      <w:lang w:bidi="en-US"/>
                    </w:rPr>
                    <w:t>9</w:t>
                  </w:r>
                </w:sdtContent>
              </w:sdt>
              <w:r>
                <w:rPr>
                  <w:rFonts w:eastAsia="Andale Sans UI"/>
                  <w:b/>
                  <w:bCs/>
                  <w:szCs w:val="24"/>
                  <w:lang w:bidi="en-US"/>
                </w:rPr>
                <w:t>. Teisės aktai, kuriuos reikės priimti, pakeisti arba pripažinti netekusiais galios</w:t>
              </w:r>
            </w:p>
            <w:p>
              <w:pPr>
                <w:widowControl w:val="0"/>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kitų teisės aktų priimti nereikės.</w:t>
              </w:r>
            </w:p>
            <w:p>
              <w:pPr>
                <w:widowControl w:val="0"/>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Projektui įtraukti į teisės sistemą reikės priimti šiuos teisės aktus:</w:t>
              </w:r>
            </w:p>
            <w:p>
              <w:pPr>
                <w:widowControl w:val="0"/>
                <w:ind w:firstLine="567"/>
                <w:jc w:val="both"/>
                <w:rPr>
                  <w:rFonts w:eastAsia="Andale Sans UI"/>
                  <w:b/>
                  <w:bCs/>
                  <w:szCs w:val="24"/>
                  <w:lang w:bidi="en-US"/>
                </w:rPr>
              </w:pPr>
              <w:r>
                <w:rPr>
                  <w:rFonts w:ascii="MS Gothic" w:eastAsia="MS Gothic" w:hAnsi="MS Gothic"/>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i/>
                  <w:color w:val="000000"/>
                  <w:szCs w:val="24"/>
                  <w:lang w:bidi="en-US"/>
                </w:rPr>
                <w:t xml:space="preserve"> </w:t>
              </w:r>
              <w:r>
                <w:rPr>
                  <w:rFonts w:eastAsia="Andale Sans UI"/>
                  <w:iCs/>
                  <w:color w:val="000000"/>
                  <w:szCs w:val="24"/>
                  <w:lang w:bidi="en-US"/>
                </w:rPr>
                <w:t>(</w:t>
              </w:r>
              <w:r>
                <w:rPr>
                  <w:rFonts w:eastAsia="Andale Sans UI"/>
                  <w:i/>
                  <w:color w:val="000000"/>
                  <w:szCs w:val="24"/>
                  <w:lang w:bidi="en-US"/>
                </w:rPr>
                <w:t>kai teikiamas įstatymo projektas</w:t>
              </w:r>
              <w:r>
                <w:rPr>
                  <w:rFonts w:eastAsia="Andale Sans UI"/>
                  <w:color w:val="000000"/>
                  <w:szCs w:val="24"/>
                  <w:lang w:bidi="en-US"/>
                </w:rPr>
                <w:t>).</w:t>
              </w:r>
            </w:p>
          </w:sdtContent>
        </w:sdt>
        <w:sdt>
          <w:sdtPr>
            <w:alias w:val="10 p."/>
            <w:tag w:val="part_ab88d5566c1242369dedc12a165f67ec"/>
            <w:lock w:val="sdtLocked"/>
            <w:richText/>
          </w:sdtPr>
          <w:sdtContent>
            <w:p>
              <w:pPr>
                <w:ind w:firstLine="567"/>
                <w:jc w:val="both"/>
                <w:rPr>
                  <w:rFonts w:eastAsia="Andale Sans UI"/>
                  <w:b/>
                  <w:bCs/>
                  <w:szCs w:val="24"/>
                  <w:lang w:bidi="en-US"/>
                </w:rPr>
              </w:pPr>
              <w:sdt>
                <w:sdtPr>
                  <w:alias w:val="Numeris"/>
                  <w:tag w:val="nr_ab88d5566c1242369dedc12a165f67ec"/>
                  <w:lock w:val="sdtLocked"/>
                  <w:richText/>
                </w:sdtPr>
                <w:sdtContent>
                  <w:r>
                    <w:rPr>
                      <w:rFonts w:eastAsia="Andale Sans UI"/>
                      <w:b/>
                      <w:bCs/>
                      <w:szCs w:val="24"/>
                      <w:lang w:bidi="en-US"/>
                    </w:rPr>
                    <w:t>10</w:t>
                  </w:r>
                </w:sdtContent>
              </w:sdt>
              <w:r>
                <w:rPr>
                  <w:rFonts w:eastAsia="Andale Sans UI"/>
                  <w:b/>
                  <w:bCs/>
                  <w:szCs w:val="24"/>
                  <w:lang w:bidi="en-US"/>
                </w:rPr>
                <w:t>. Informacija apie sąvokų įvertinimą Lietuvos Respublikos terminų banko įstatymo ir jo įgyvendinamųjų teisės aktų nustatyta tvarka</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rojekte vartojamos sąvokos aprobuotos Lietuvos Respublikos terminų banko įstatymo ir jo įgyvendinamųjų teisės aktų nustatyta tvarka. </w:t>
              </w:r>
            </w:p>
            <w:p>
              <w:pPr>
                <w:ind w:firstLine="567"/>
                <w:jc w:val="both"/>
                <w:rPr>
                  <w:rFonts w:eastAsia="Andale Sans UI"/>
                  <w:color w:val="000000"/>
                  <w:szCs w:val="24"/>
                  <w:lang w:bidi="en-US"/>
                </w:rPr>
              </w:pPr>
              <w:r>
                <w:rPr>
                  <w:rFonts w:ascii="Segoe UI Symbol" w:eastAsia="MS Gothic" w:hAnsi="Segoe UI Symbol" w:cs="Segoe UI Symbol"/>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i/>
                  <w:color w:val="000000"/>
                  <w:szCs w:val="24"/>
                  <w:lang w:bidi="en-US"/>
                </w:rPr>
                <w:t xml:space="preserve"> </w:t>
              </w:r>
              <w:r>
                <w:rPr>
                  <w:rFonts w:eastAsia="Andale Sans UI"/>
                  <w:iCs/>
                  <w:color w:val="000000"/>
                  <w:szCs w:val="24"/>
                  <w:lang w:bidi="en-US"/>
                </w:rPr>
                <w:t>(</w:t>
              </w:r>
              <w:r>
                <w:rPr>
                  <w:rFonts w:eastAsia="Andale Sans UI"/>
                  <w:i/>
                  <w:color w:val="000000"/>
                  <w:szCs w:val="24"/>
                  <w:lang w:bidi="en-US"/>
                </w:rPr>
                <w:t>kai teikiamas įstatymo projektas</w:t>
              </w:r>
              <w:r>
                <w:rPr>
                  <w:rFonts w:eastAsia="Andale Sans UI"/>
                  <w:color w:val="000000"/>
                  <w:szCs w:val="24"/>
                  <w:lang w:bidi="en-US"/>
                </w:rPr>
                <w:t>).</w:t>
              </w:r>
            </w:p>
          </w:sdtContent>
        </w:sdt>
        <w:sdt>
          <w:sdtPr>
            <w:alias w:val="11 p."/>
            <w:tag w:val="part_dd5d127899234c2a92fdfd8d86e4a4d3"/>
            <w:lock w:val="sdtLocked"/>
            <w:richText/>
          </w:sdtPr>
          <w:sdtContent>
            <w:p>
              <w:pPr>
                <w:ind w:firstLine="567"/>
                <w:jc w:val="both"/>
                <w:rPr>
                  <w:rFonts w:eastAsia="Andale Sans UI"/>
                  <w:b/>
                  <w:bCs/>
                  <w:szCs w:val="24"/>
                  <w:lang w:bidi="en-US"/>
                </w:rPr>
              </w:pPr>
              <w:sdt>
                <w:sdtPr>
                  <w:alias w:val="Numeris"/>
                  <w:tag w:val="nr_dd5d127899234c2a92fdfd8d86e4a4d3"/>
                  <w:lock w:val="sdtLocked"/>
                  <w:richText/>
                </w:sdtPr>
                <w:sdtContent>
                  <w:r>
                    <w:rPr>
                      <w:rFonts w:eastAsia="Andale Sans UI"/>
                      <w:b/>
                      <w:bCs/>
                      <w:szCs w:val="24"/>
                      <w:lang w:bidi="en-US"/>
                    </w:rPr>
                    <w:t>11</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szCs w:val="24"/>
                  <w:lang w:eastAsia="lt-LT" w:bidi="en-US"/>
                </w:rPr>
              </w:pPr>
              <w:r>
                <w:rPr>
                  <w:rFonts w:eastAsia="Andale Sans UI"/>
                  <w:szCs w:val="24"/>
                  <w:lang w:bidi="en-US"/>
                </w:rPr>
                <w:t>Projekte nereglamentuojamas asmens duomenų naudojimas</w:t>
              </w:r>
              <w:r>
                <w:rPr>
                  <w:rFonts w:eastAsia="Andale Sans UI"/>
                  <w:szCs w:val="24"/>
                  <w:lang w:eastAsia="lt-LT" w:bidi="en-US"/>
                </w:rPr>
                <w:t>.</w:t>
              </w:r>
            </w:p>
          </w:sdtContent>
        </w:sdt>
        <w:sdt>
          <w:sdtPr>
            <w:alias w:val="12 p."/>
            <w:tag w:val="part_7555f23a9b234ec48bf89a82a4f7a5b0"/>
            <w:lock w:val="sdtLocked"/>
            <w:richText/>
          </w:sdtPr>
          <w:sdtContent>
            <w:p>
              <w:pPr>
                <w:ind w:firstLine="567"/>
                <w:jc w:val="both"/>
                <w:rPr>
                  <w:rFonts w:eastAsia="Andale Sans UI"/>
                  <w:b/>
                  <w:bCs/>
                  <w:i/>
                  <w:color w:val="000000"/>
                  <w:szCs w:val="24"/>
                  <w:lang w:bidi="en-US"/>
                </w:rPr>
              </w:pPr>
              <w:sdt>
                <w:sdtPr>
                  <w:alias w:val="Numeris"/>
                  <w:tag w:val="nr_7555f23a9b234ec48bf89a82a4f7a5b0"/>
                  <w:lock w:val="sdtLocked"/>
                  <w:richText/>
                </w:sdtPr>
                <w:sdtContent>
                  <w:r>
                    <w:rPr>
                      <w:rFonts w:eastAsia="Andale Sans UI"/>
                      <w:b/>
                      <w:bCs/>
                      <w:szCs w:val="24"/>
                      <w:lang w:bidi="en-US"/>
                    </w:rPr>
                    <w:t>12</w:t>
                  </w:r>
                </w:sdtContent>
              </w:sdt>
              <w:r>
                <w:rPr>
                  <w:rFonts w:eastAsia="Andale Sans UI"/>
                  <w:b/>
                  <w:bCs/>
                  <w:szCs w:val="24"/>
                  <w:lang w:bidi="en-US"/>
                </w:rPr>
                <w:t>. Konsultavimasis su visuomene portalo</w:t>
              </w:r>
              <w:r>
                <w:rPr>
                  <w:rFonts w:eastAsia="Andale Sans UI"/>
                  <w:i/>
                  <w:color w:val="000000"/>
                  <w:szCs w:val="24"/>
                  <w:lang w:bidi="en-US"/>
                </w:rPr>
                <w:t xml:space="preserve"> </w:t>
              </w:r>
              <w:r>
                <w:rPr>
                  <w:rFonts w:eastAsia="Andale Sans UI"/>
                  <w:b/>
                  <w:bCs/>
                  <w:i/>
                  <w:color w:val="000000"/>
                  <w:szCs w:val="24"/>
                  <w:lang w:bidi="en-US"/>
                </w:rPr>
                <w:t>Mano Vyriausybė</w:t>
              </w:r>
              <w:r>
                <w:rPr>
                  <w:rFonts w:eastAsia="Andale Sans UI"/>
                  <w:b/>
                  <w:bCs/>
                  <w:color w:val="000000"/>
                  <w:szCs w:val="24"/>
                  <w:lang w:bidi="en-US"/>
                </w:rPr>
                <w:t xml:space="preserve"> interneto svetainėje </w:t>
              </w:r>
              <w:r>
                <w:rPr>
                  <w:rFonts w:eastAsia="Andale Sans UI"/>
                  <w:b/>
                  <w:bCs/>
                  <w:i/>
                  <w:color w:val="000000"/>
                  <w:szCs w:val="24"/>
                  <w:lang w:bidi="en-US"/>
                </w:rPr>
                <w:t>E. pilietis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rojektas viešosioms konsultacijoms skelbtas portalo </w:t>
              </w:r>
              <w:r>
                <w:rPr>
                  <w:rFonts w:eastAsia="Andale Sans UI"/>
                  <w:i/>
                  <w:color w:val="000000"/>
                  <w:szCs w:val="24"/>
                  <w:lang w:bidi="en-US"/>
                </w:rPr>
                <w:t>Mano Vyriausybė</w:t>
              </w:r>
              <w:r>
                <w:rPr>
                  <w:rFonts w:eastAsia="Andale Sans UI"/>
                  <w:color w:val="000000"/>
                  <w:szCs w:val="24"/>
                  <w:lang w:bidi="en-US"/>
                </w:rPr>
                <w:t xml:space="preserve"> interneto svetainėje </w:t>
              </w:r>
              <w:r>
                <w:rPr>
                  <w:rFonts w:eastAsia="Andale Sans UI"/>
                  <w:i/>
                  <w:color w:val="000000"/>
                  <w:szCs w:val="24"/>
                  <w:lang w:bidi="en-US"/>
                </w:rPr>
                <w:t>E. pilietis</w:t>
              </w:r>
              <w:r>
                <w:rPr>
                  <w:rFonts w:eastAsia="Andale Sans UI"/>
                  <w:color w:val="000000"/>
                  <w:szCs w:val="24"/>
                  <w:lang w:bidi="en-US"/>
                </w:rPr>
                <w:t>, kur pastabas ir pasiūlymus nuo 202.. m. ... ... d. iki 202.. m. ... ... d. galėjo teikti visi suinteresuoti asmenys</w:t>
              </w:r>
              <w:r>
                <w:rPr>
                  <w:i/>
                  <w:iCs/>
                  <w:color w:val="000000"/>
                  <w:szCs w:val="24"/>
                  <w:lang w:eastAsia="lt-LT" w:bidi="en-US"/>
                </w:rPr>
                <w:t>.</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rojektas viešosioms konsultacijoms portalo </w:t>
              </w:r>
              <w:r>
                <w:rPr>
                  <w:rFonts w:eastAsia="Andale Sans UI"/>
                  <w:i/>
                  <w:color w:val="000000"/>
                  <w:szCs w:val="24"/>
                  <w:lang w:bidi="en-US"/>
                </w:rPr>
                <w:t>Mano Vyriausybė</w:t>
              </w:r>
              <w:r>
                <w:rPr>
                  <w:rFonts w:eastAsia="Andale Sans UI"/>
                  <w:color w:val="000000"/>
                  <w:szCs w:val="24"/>
                  <w:lang w:bidi="en-US"/>
                </w:rPr>
                <w:t xml:space="preserve"> interneto svetainėje </w:t>
              </w:r>
              <w:r>
                <w:rPr>
                  <w:rFonts w:eastAsia="Andale Sans UI"/>
                  <w:i/>
                  <w:color w:val="000000"/>
                  <w:szCs w:val="24"/>
                  <w:lang w:bidi="en-US"/>
                </w:rPr>
                <w:t>E. pilietis</w:t>
              </w:r>
              <w:r>
                <w:rPr>
                  <w:rFonts w:eastAsia="Andale Sans UI"/>
                  <w:szCs w:val="24"/>
                  <w:lang w:bidi="en-US"/>
                </w:rPr>
                <w:t xml:space="preserve"> </w:t>
              </w:r>
              <w:r>
                <w:rPr>
                  <w:color w:val="000000"/>
                  <w:szCs w:val="24"/>
                  <w:lang w:eastAsia="lt-LT" w:bidi="en-US"/>
                </w:rPr>
                <w:t>neskelbtas.</w:t>
              </w:r>
            </w:p>
          </w:sdtContent>
        </w:sdt>
        <w:sdt>
          <w:sdtPr>
            <w:alias w:val="13 p."/>
            <w:tag w:val="part_00d5504445d44caba33f1002a27f6691"/>
            <w:lock w:val="sdtLocked"/>
            <w:richText/>
          </w:sdtPr>
          <w:sdtContent>
            <w:p>
              <w:pPr>
                <w:ind w:firstLine="567"/>
                <w:jc w:val="both"/>
                <w:rPr>
                  <w:rFonts w:eastAsia="Andale Sans UI"/>
                  <w:b/>
                  <w:bCs/>
                  <w:color w:val="000000"/>
                  <w:szCs w:val="24"/>
                  <w:lang w:bidi="en-US"/>
                </w:rPr>
              </w:pPr>
              <w:sdt>
                <w:sdtPr>
                  <w:alias w:val="Numeris"/>
                  <w:tag w:val="nr_00d5504445d44caba33f1002a27f6691"/>
                  <w:lock w:val="sdtLocked"/>
                  <w:richText/>
                </w:sdtPr>
                <w:sdtContent>
                  <w:r>
                    <w:rPr>
                      <w:rFonts w:eastAsia="Andale Sans UI"/>
                      <w:b/>
                      <w:bCs/>
                      <w:szCs w:val="24"/>
                      <w:lang w:bidi="en-US"/>
                    </w:rPr>
                    <w:t>13</w:t>
                  </w:r>
                </w:sdtContent>
              </w:sdt>
              <w:r>
                <w:rPr>
                  <w:rFonts w:eastAsia="Andale Sans UI"/>
                  <w:b/>
                  <w:bCs/>
                  <w:szCs w:val="24"/>
                  <w:lang w:bidi="en-US"/>
                </w:rPr>
                <w:t>. Derinimas su suinteresuotomis institucijomis ir visuomene</w:t>
              </w:r>
            </w:p>
            <w:p>
              <w:pPr>
                <w:ind w:firstLine="567"/>
                <w:jc w:val="both"/>
                <w:rPr>
                  <w:rFonts w:eastAsia="Andale Sans UI"/>
                  <w:szCs w:val="24"/>
                  <w:lang w:bidi="en-US"/>
                </w:rPr>
              </w:pPr>
              <w:r>
                <w:rPr>
                  <w:rFonts w:eastAsia="Andale Sans UI"/>
                  <w:szCs w:val="24"/>
                  <w:lang w:bidi="en-US"/>
                </w:rPr>
                <w:t>Projektas skelbiamas (TAIS.</w:t>
              </w:r>
            </w:p>
            <w:p>
              <w:pPr>
                <w:ind w:firstLine="567"/>
                <w:jc w:val="both"/>
                <w:rPr>
                  <w:rFonts w:eastAsia="Andale Sans UI"/>
                  <w:szCs w:val="24"/>
                  <w:lang w:bidi="en-US"/>
                </w:rPr>
              </w:pPr>
              <w:r>
                <w:rPr>
                  <w:rFonts w:eastAsia="Andale Sans UI"/>
                  <w:szCs w:val="24"/>
                  <w:lang w:bidi="en-US"/>
                </w:rPr>
                <w:t xml:space="preserve">Derinimo terminas </w:t>
              </w:r>
              <w:r>
                <w:rPr>
                  <w:szCs w:val="24"/>
                  <w:lang w:eastAsia="lt-LT" w:bidi="en-US"/>
                </w:rPr>
                <w:t>(pažymimas tinkamas variantas)</w:t>
              </w:r>
              <w:r>
                <w:rPr>
                  <w:rFonts w:eastAsia="Andale Sans UI"/>
                  <w:szCs w:val="24"/>
                  <w:lang w:bidi="en-US"/>
                </w:rPr>
                <w:t>:</w:t>
              </w:r>
            </w:p>
            <w:p>
              <w:pPr>
                <w:ind w:firstLine="567"/>
                <w:jc w:val="both"/>
                <w:rPr>
                  <w:rFonts w:eastAsia="Andale Sans UI"/>
                  <w:i/>
                  <w:iCs/>
                  <w:szCs w:val="24"/>
                  <w:lang w:bidi="en-US"/>
                </w:rPr>
              </w:pPr>
              <w:r>
                <w:rPr>
                  <w:rFonts w:ascii="MS Gothic" w:eastAsia="MS Gothic" w:hAnsi="MS Gothic"/>
                  <w:szCs w:val="24"/>
                  <w:lang w:bidi="en-US"/>
                </w:rPr>
                <w:t>☒</w:t>
              </w:r>
              <w:r>
                <w:rPr>
                  <w:rFonts w:eastAsia="Andale Sans UI"/>
                  <w:szCs w:val="24"/>
                  <w:lang w:bidi="en-US"/>
                </w:rPr>
                <w:t xml:space="preserve"> 5 darbo dienos </w:t>
              </w:r>
              <w:r>
                <w:rPr>
                  <w:rFonts w:eastAsia="Andale Sans UI" w:cs="Tahoma"/>
                  <w:i/>
                  <w:iCs/>
                  <w:color w:val="000000"/>
                  <w:szCs w:val="24"/>
                  <w:lang w:bidi="en-US"/>
                </w:rPr>
                <w:t>(</w:t>
              </w:r>
              <w:r>
                <w:rPr>
                  <w:rFonts w:eastAsia="Andale Sans UI" w:cs="Tahoma"/>
                  <w:i/>
                  <w:iCs/>
                  <w:szCs w:val="24"/>
                  <w:lang w:eastAsia="en-GB" w:bidi="en-US"/>
                </w:rPr>
                <w:t>Nutarimu Nr. 1725 patvirtintos taisyklės</w:t>
              </w:r>
              <w:r>
                <w:rPr>
                  <w:rFonts w:eastAsia="Andale Sans UI" w:cs="Tahoma"/>
                  <w:i/>
                  <w:iCs/>
                  <w:color w:val="000000"/>
                  <w:szCs w:val="24"/>
                  <w:lang w:bidi="en-US"/>
                </w:rPr>
                <w:t xml:space="preserve"> ir </w:t>
              </w:r>
              <w:r>
                <w:rPr>
                  <w:rFonts w:eastAsia="Andale Sans UI" w:cs="Tahoma"/>
                  <w:i/>
                  <w:iCs/>
                  <w:szCs w:val="24"/>
                  <w:lang w:eastAsia="en-GB" w:bidi="en-US"/>
                </w:rPr>
                <w:t>Nutarimas Nr. 1725</w:t>
              </w:r>
              <w:r>
                <w:rPr>
                  <w:rFonts w:eastAsia="Andale Sans UI" w:cs="Tahoma"/>
                  <w:szCs w:val="24"/>
                  <w:lang w:eastAsia="en-GB" w:bidi="en-US"/>
                </w:rPr>
                <w:t xml:space="preserve"> </w:t>
              </w:r>
              <w:r>
                <w:rPr>
                  <w:rFonts w:eastAsia="Andale Sans UI" w:cs="Tahoma"/>
                  <w:i/>
                  <w:iCs/>
                  <w:color w:val="000000"/>
                  <w:szCs w:val="24"/>
                  <w:lang w:bidi="en-US"/>
                </w:rPr>
                <w:t xml:space="preserve">2024 m. rugsėjo 1 d. neteko galios.  Aplinkos ministras skubos tvarka tvirtina Valstybės paramos daugiabučiams namams atnaujinti (modernizuoti) teikimo ir daugiabučių namų atnaujinimo (modernizavimo) projektų įgyvendinimo priežiūros taisykles, kurioms reikalingas skubus </w:t>
              </w:r>
              <w:r>
                <w:rPr>
                  <w:rFonts w:eastAsia="Andale Sans UI" w:cs="Tahoma"/>
                  <w:i/>
                  <w:iCs/>
                  <w:szCs w:val="24"/>
                  <w:lang w:bidi="en-US"/>
                </w:rPr>
                <w:t>Lietuvos Respublikos aplinkos ministro įsakymo „Dėl Lietuvos Respublikos aplinkos ministro 2013 m. liepos 3 d. įsakymo Nr. D1-495 „Dėl Pavyzdinės butų ir kitų patalpų savininkų sprendimo dėl daugiabučio namo atnaujinimo (modernizavimo) protokolo formos ir Pavyzdinės pavedimo organizuoti daugiabučio namo atnaujinimo (modernizavimo) projekto parengimą ir (ar) įgyvendinimą, ir (ar) finansavimą sutarties formos patvirtinimo“ pakeitimo“ projekto</w:t>
              </w:r>
              <w:r>
                <w:rPr>
                  <w:rFonts w:eastAsia="Andale Sans UI" w:cs="Tahoma"/>
                  <w:i/>
                  <w:iCs/>
                  <w:color w:val="000000"/>
                  <w:szCs w:val="24"/>
                  <w:lang w:bidi="en-US"/>
                </w:rPr>
                <w:t xml:space="preserve"> priėmimas.</w:t>
              </w:r>
              <w:r>
                <w:rPr>
                  <w:rFonts w:eastAsia="Andale Sans UI" w:cs="Tahoma"/>
                  <w:i/>
                  <w:iCs/>
                  <w:szCs w:val="24"/>
                  <w:lang w:bidi="en-US"/>
                </w:rPr>
                <w:t>)</w:t>
              </w:r>
              <w:r>
                <w:rPr>
                  <w:rFonts w:eastAsia="Andale Sans UI"/>
                  <w:i/>
                  <w:iCs/>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10 darbo dienų.</w:t>
              </w:r>
              <w:r>
                <w:rPr>
                  <w:rFonts w:ascii="MS Gothic" w:eastAsia="MS Gothic" w:hAnsi="MS Gothic"/>
                  <w:szCs w:val="24"/>
                  <w:lang w:bidi="en-US"/>
                </w:rPr>
                <w:t xml:space="preserve"> </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12 darbo dienų (</w:t>
              </w:r>
              <w:r>
                <w:rPr>
                  <w:rFonts w:eastAsia="Andale Sans UI"/>
                  <w:i/>
                  <w:iCs/>
                  <w:szCs w:val="24"/>
                  <w:lang w:bidi="en-US"/>
                </w:rPr>
                <w:t>k</w:t>
              </w:r>
              <w:r>
                <w:rPr>
                  <w:rFonts w:eastAsia="Andale Sans UI"/>
                  <w:i/>
                  <w:iCs/>
                  <w:color w:val="000000"/>
                  <w:szCs w:val="24"/>
                  <w:lang w:bidi="en-US"/>
                </w:rPr>
                <w:t>ai pateikiami dideli (10 ar daugiau puslapių) ir (ar) </w:t>
              </w:r>
              <w:r>
                <w:rPr>
                  <w:rFonts w:eastAsia="Andale Sans UI"/>
                  <w:i/>
                  <w:iCs/>
                  <w:color w:val="000000"/>
                  <w:spacing w:val="-2"/>
                  <w:szCs w:val="24"/>
                  <w:lang w:bidi="en-US"/>
                </w:rPr>
                <w:t>sudėtingi Projektai (nustatantys naują teisinį reguliavimą ar iš esmės jį keičiantys</w:t>
              </w:r>
              <w:r>
                <w:rPr>
                  <w:rFonts w:eastAsia="Andale Sans UI"/>
                  <w:color w:val="000000"/>
                  <w:spacing w:val="-2"/>
                  <w:szCs w:val="24"/>
                  <w:lang w:bidi="en-US"/>
                </w:rPr>
                <w:t>)</w:t>
              </w:r>
              <w:r>
                <w:rPr>
                  <w:rFonts w:eastAsia="Andale Sans UI"/>
                  <w:szCs w:val="24"/>
                  <w:lang w:bidi="en-US"/>
                </w:rPr>
                <w:t>.</w:t>
              </w:r>
            </w:p>
            <w:p>
              <w:pPr>
                <w:ind w:firstLine="567"/>
                <w:jc w:val="both"/>
                <w:rPr>
                  <w:rFonts w:eastAsia="StarSymbol" w:cs="Tahoma"/>
                  <w:szCs w:val="24"/>
                  <w:lang w:bidi="en-US"/>
                </w:rPr>
              </w:pPr>
              <w:r>
                <w:rPr>
                  <w:rFonts w:eastAsia="Andale Sans UI" w:cs="Tahoma"/>
                  <w:szCs w:val="24"/>
                  <w:lang w:bidi="en-US"/>
                </w:rPr>
                <w:t>Projektas skelbiamas Lietuvos Respublikos Seimo kanceliarijos teisės aktų informacinėje sistemoje (TAIS).</w:t>
              </w:r>
            </w:p>
          </w:sdtContent>
        </w:sdt>
        <w:sdt>
          <w:sdtPr>
            <w:alias w:val="14 p."/>
            <w:tag w:val="part_cb472128c34e43c286b04d01a88348df"/>
            <w:lock w:val="sdtLocked"/>
            <w:richText/>
          </w:sdtPr>
          <w:sdtContent>
            <w:p>
              <w:pPr>
                <w:ind w:firstLine="567"/>
                <w:jc w:val="both"/>
                <w:textAlignment w:val="baseline"/>
                <w:rPr>
                  <w:b/>
                  <w:bCs/>
                  <w:szCs w:val="24"/>
                  <w:lang w:eastAsia="lt-LT"/>
                </w:rPr>
              </w:pPr>
              <w:sdt>
                <w:sdtPr>
                  <w:alias w:val="Numeris"/>
                  <w:tag w:val="nr_cb472128c34e43c286b04d01a88348df"/>
                  <w:lock w:val="sdtLocked"/>
                  <w:richText/>
                </w:sdtPr>
                <w:sdtContent>
                  <w:r>
                    <w:rPr>
                      <w:b/>
                      <w:bCs/>
                      <w:szCs w:val="24"/>
                      <w:lang w:eastAsia="lt-LT"/>
                    </w:rPr>
                    <w:t>14</w:t>
                  </w:r>
                </w:sdtContent>
              </w:sdt>
              <w:r>
                <w:rPr>
                  <w:b/>
                  <w:bCs/>
                  <w:szCs w:val="24"/>
                  <w:lang w:eastAsia="lt-LT"/>
                </w:rPr>
                <w:t>. Projekto rengėjai</w:t>
              </w:r>
            </w:p>
            <w:p>
              <w:pPr>
                <w:ind w:firstLine="567"/>
                <w:jc w:val="both"/>
                <w:textAlignment w:val="baseline"/>
                <w:rPr>
                  <w:rFonts w:eastAsia="StarSymbol"/>
                  <w:color w:val="000000"/>
                  <w:szCs w:val="24"/>
                  <w:lang w:eastAsia="lt-LT"/>
                </w:rPr>
              </w:pPr>
              <w:r>
                <w:rPr>
                  <w:szCs w:val="24"/>
                  <w:lang w:eastAsia="lt-LT"/>
                </w:rPr>
                <w:t>Projektą parengė Aplinkos ministerijos Būsto politikos grupės (vadovė – Laura Lukoševičienė, tel. +370 695 48 717, el. p. laura.lukoseviciene@am.lt) patarėja Živilė Liberienė, tel. +370 677 55 774, el. p. zivile.liberiene@am.lt.</w:t>
              </w:r>
            </w:p>
            <w:p>
              <w:pPr>
                <w:ind w:firstLine="567"/>
                <w:jc w:val="both"/>
                <w:rPr>
                  <w:rFonts w:eastAsia="Andale Sans UI"/>
                  <w:szCs w:val="24"/>
                  <w:lang w:bidi="en-US"/>
                </w:rPr>
              </w:pPr>
              <w:r>
                <w:rPr>
                  <w:rFonts w:eastAsia="Andale Sans UI"/>
                  <w:szCs w:val="24"/>
                  <w:lang w:bidi="en-US"/>
                </w:rPr>
                <w:t>PRIDEDAMA:</w:t>
              </w:r>
            </w:p>
          </w:sdtContent>
        </w:sdt>
        <w:sdt>
          <w:sdtPr>
            <w:alias w:val="1 p."/>
            <w:tag w:val="part_6feddb2aaedb45d4b858154336afd2e9"/>
            <w:lock w:val="sdtLocked"/>
            <w:richText/>
          </w:sdtPr>
          <w:sdtContent>
            <w:p>
              <w:pPr>
                <w:ind w:firstLine="567"/>
                <w:jc w:val="both"/>
                <w:rPr>
                  <w:rFonts w:eastAsia="Andale Sans UI" w:cs="Tahoma"/>
                  <w:szCs w:val="24"/>
                  <w:lang w:eastAsia="lt-LT" w:bidi="en-US"/>
                </w:rPr>
              </w:pPr>
              <w:sdt>
                <w:sdtPr>
                  <w:alias w:val="Numeris"/>
                  <w:tag w:val="nr_6feddb2aaedb45d4b858154336afd2e9"/>
                  <w:lock w:val="sdtLocked"/>
                  <w:richText/>
                </w:sdtPr>
                <w:sdtContent>
                  <w:r>
                    <w:rPr>
                      <w:color w:val="000000"/>
                      <w:szCs w:val="24"/>
                      <w:lang w:eastAsia="lt-LT" w:bidi="en-US"/>
                    </w:rPr>
                    <w:t>1</w:t>
                  </w:r>
                </w:sdtContent>
              </w:sdt>
              <w:r>
                <w:rPr>
                  <w:color w:val="000000"/>
                  <w:szCs w:val="24"/>
                  <w:lang w:eastAsia="lt-LT" w:bidi="en-US"/>
                </w:rPr>
                <w:t xml:space="preserve">. </w:t>
              </w:r>
              <w:r>
                <w:rPr>
                  <w:rFonts w:eastAsia="Andale Sans UI" w:cs="Tahoma"/>
                  <w:szCs w:val="24"/>
                  <w:lang w:eastAsia="lt-LT" w:bidi="en-US"/>
                </w:rPr>
                <w:t>Projektas, 2 lapai.</w:t>
              </w:r>
            </w:p>
          </w:sdtContent>
        </w:sdt>
        <w:sdt>
          <w:sdtPr>
            <w:alias w:val="2 p."/>
            <w:tag w:val="part_7da44e5eb1ab4b8286c2d1e628584f4f"/>
            <w:lock w:val="sdtLocked"/>
            <w:richText/>
          </w:sdtPr>
          <w:sdtContent>
            <w:p>
              <w:pPr>
                <w:ind w:firstLine="567"/>
                <w:jc w:val="both"/>
              </w:pPr>
              <w:sdt>
                <w:sdtPr>
                  <w:alias w:val="Numeris"/>
                  <w:tag w:val="nr_7da44e5eb1ab4b8286c2d1e628584f4f"/>
                  <w:lock w:val="sdtLocked"/>
                  <w:richText/>
                </w:sdtPr>
                <w:sdtContent>
                  <w:r>
                    <w:rPr>
                      <w:rFonts w:eastAsia="Andale Sans UI" w:cs="Tahoma"/>
                      <w:szCs w:val="24"/>
                      <w:lang w:eastAsia="lt-LT" w:bidi="en-US"/>
                    </w:rPr>
                    <w:t>2</w:t>
                  </w:r>
                </w:sdtContent>
              </w:sdt>
              <w:r>
                <w:rPr>
                  <w:rFonts w:eastAsia="Andale Sans UI" w:cs="Tahoma"/>
                  <w:szCs w:val="24"/>
                  <w:lang w:eastAsia="lt-LT" w:bidi="en-US"/>
                </w:rPr>
                <w:t xml:space="preserve">. </w:t>
              </w:r>
              <w:r>
                <w:t>Savininkų sprendimo formos projektas, 34</w:t>
              </w:r>
              <w:r>
                <w:rPr>
                  <w:rFonts w:eastAsia="Andale Sans UI" w:cs="Tahoma"/>
                  <w:szCs w:val="24"/>
                  <w:lang w:eastAsia="lt-LT" w:bidi="en-US"/>
                </w:rPr>
                <w:t xml:space="preserve"> lapai.</w:t>
              </w:r>
            </w:p>
          </w:sdtContent>
        </w:sdt>
        <w:sdt>
          <w:sdtPr>
            <w:alias w:val="3 p."/>
            <w:tag w:val="part_12ae8f9a778c4393b5d59e6d180f3366"/>
            <w:lock w:val="sdtLocked"/>
            <w:richText/>
          </w:sdtPr>
          <w:sdtContent>
            <w:p>
              <w:pPr>
                <w:ind w:firstLine="567"/>
                <w:jc w:val="both"/>
                <w:rPr>
                  <w:rFonts w:eastAsia="Andale Sans UI" w:cs="Tahoma"/>
                  <w:szCs w:val="24"/>
                  <w:lang w:eastAsia="lt-LT" w:bidi="en-US"/>
                </w:rPr>
              </w:pPr>
              <w:sdt>
                <w:sdtPr>
                  <w:alias w:val="Numeris"/>
                  <w:tag w:val="nr_12ae8f9a778c4393b5d59e6d180f3366"/>
                  <w:lock w:val="sdtLocked"/>
                  <w:richText/>
                </w:sdtPr>
                <w:sdtContent>
                  <w:r>
                    <w:t>3</w:t>
                  </w:r>
                </w:sdtContent>
              </w:sdt>
              <w:r>
                <w:t>. P</w:t>
              </w:r>
              <w:r>
                <w:rPr>
                  <w:szCs w:val="24"/>
                  <w:lang w:eastAsia="lt-LT"/>
                </w:rPr>
                <w:t>avedimo formos projektas</w:t>
              </w:r>
              <w:r>
                <w:rPr>
                  <w:rFonts w:eastAsia="Andale Sans UI" w:cs="Tahoma"/>
                  <w:szCs w:val="24"/>
                  <w:lang w:eastAsia="lt-LT" w:bidi="en-US"/>
                </w:rPr>
                <w:t>, 6 lapai.</w:t>
              </w:r>
            </w:p>
          </w:sdtContent>
        </w:sdt>
        <w:sdt>
          <w:sdtPr>
            <w:alias w:val="4 p."/>
            <w:tag w:val="part_51ad55c77681492e96a449b51ec2cea9"/>
            <w:lock w:val="sdtLocked"/>
            <w:richText/>
          </w:sdtPr>
          <w:sdtContent>
            <w:p>
              <w:pPr>
                <w:ind w:firstLine="567"/>
                <w:jc w:val="both"/>
                <w:rPr>
                  <w:rFonts w:eastAsia="Andale Sans UI" w:cs="Tahoma"/>
                  <w:szCs w:val="24"/>
                  <w:lang w:val="en-GB" w:eastAsia="lt-LT" w:bidi="en-US"/>
                </w:rPr>
              </w:pPr>
              <w:sdt>
                <w:sdtPr>
                  <w:alias w:val="Numeris"/>
                  <w:tag w:val="nr_51ad55c77681492e96a449b51ec2cea9"/>
                  <w:lock w:val="sdtLocked"/>
                  <w:richText/>
                </w:sdtPr>
                <w:sdtContent>
                  <w:r>
                    <w:rPr>
                      <w:rFonts w:eastAsia="Andale Sans UI" w:cs="Tahoma"/>
                      <w:szCs w:val="24"/>
                      <w:lang w:eastAsia="lt-LT" w:bidi="en-US"/>
                    </w:rPr>
                    <w:t>4</w:t>
                  </w:r>
                </w:sdtContent>
              </w:sdt>
              <w:r>
                <w:rPr>
                  <w:rFonts w:eastAsia="Andale Sans UI" w:cs="Tahoma"/>
                  <w:szCs w:val="24"/>
                  <w:lang w:eastAsia="lt-LT" w:bidi="en-US"/>
                </w:rPr>
                <w:t xml:space="preserve">. Antikorupcinio vertinimo pažyma, </w:t>
              </w:r>
              <w:r>
                <w:rPr>
                  <w:rFonts w:eastAsia="Andale Sans UI" w:cs="Tahoma"/>
                  <w:szCs w:val="24"/>
                  <w:lang w:val="en-GB" w:eastAsia="lt-LT" w:bidi="en-US"/>
                </w:rPr>
                <w:t>6</w:t>
              </w:r>
              <w:r>
                <w:rPr>
                  <w:rFonts w:eastAsia="Andale Sans UI" w:cs="Tahoma"/>
                  <w:szCs w:val="24"/>
                  <w:lang w:eastAsia="lt-LT" w:bidi="en-US"/>
                </w:rPr>
                <w:t xml:space="preserve"> </w:t>
              </w:r>
              <w:r>
                <w:rPr>
                  <w:rFonts w:eastAsia="Andale Sans UI" w:cs="Tahoma"/>
                  <w:szCs w:val="24"/>
                  <w:lang w:val="en-GB" w:eastAsia="lt-LT" w:bidi="en-US"/>
                </w:rPr>
                <w:t>lapai.</w:t>
              </w: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r>
                      <w:rPr>
                        <w:rFonts w:eastAsia="Andale Sans UI"/>
                        <w:szCs w:val="24"/>
                        <w:lang w:bidi="en-US"/>
                      </w:rPr>
                      <w:t>Aplinkos viceministrė</w:t>
                    </w:r>
                  </w:p>
                </w:tc>
                <w:tc>
                  <w:tcPr>
                    <w:tcW w:w="4826" w:type="dxa"/>
                    <w:vAlign w:val="bottom"/>
                  </w:tcPr>
                  <w:p>
                    <w:pPr>
                      <w:ind w:right="34"/>
                      <w:jc w:val="right"/>
                      <w:rPr>
                        <w:rFonts w:eastAsia="Andale Sans UI"/>
                        <w:szCs w:val="24"/>
                        <w:lang w:bidi="en-US"/>
                      </w:rPr>
                    </w:pPr>
                    <w:r>
                      <w:rPr>
                        <w:rFonts w:eastAsia="Andale Sans UI"/>
                        <w:szCs w:val="24"/>
                        <w:lang w:bidi="en-US"/>
                      </w:rPr>
                      <w:t>Daiva Matusevičė</w:t>
                    </w:r>
                  </w:p>
                </w:tc>
              </w:tr>
              <w:tr>
                <w:trPr>
                  <w:cantSplit/>
                  <w:trHeight w:val="340"/>
                </w:trPr>
                <w:tc>
                  <w:tcPr>
                    <w:tcW w:w="9643" w:type="dxa"/>
                    <w:gridSpan w:val="2"/>
                  </w:tcPr>
                  <w:p>
                    <w:pPr>
                      <w:widowControl w:val="0"/>
                      <w:suppressAutoHyphens/>
                      <w:jc w:val="both"/>
                      <w:rPr>
                        <w:rFonts w:eastAsia="Andale Sans UI"/>
                        <w:szCs w:val="24"/>
                        <w:lang w:bidi="en-US"/>
                      </w:rPr>
                    </w:pPr>
                  </w:p>
                </w:tc>
              </w:tr>
            </w:tbl>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p>
            <w:p>
              <w:pPr>
                <w:jc w:val="both"/>
                <w:rPr>
                  <w:rFonts w:eastAsia="Andale Sans UI" w:cs="Tahoma"/>
                  <w:szCs w:val="24"/>
                  <w:lang w:bidi="en-US"/>
                </w:rPr>
              </w:pPr>
              <w:r>
                <w:rPr>
                  <w:rFonts w:eastAsia="Andale Sans UI" w:cs="Tahoma"/>
                  <w:szCs w:val="24"/>
                  <w:lang w:bidi="en-US"/>
                </w:rPr>
                <w:t xml:space="preserve">Ž. Liberienė, +370 677 55 774, el. p. zivile.liberiene@am.lt, </w:t>
              </w:r>
            </w:p>
            <w:p>
              <w:pPr>
                <w:rPr>
                  <w:rFonts w:eastAsia="Andale Sans UI" w:cs="Tahoma"/>
                  <w:b/>
                  <w:bCs/>
                  <w:szCs w:val="22"/>
                  <w:lang w:val="en-GB" w:bidi="en-US"/>
                </w:rPr>
              </w:pPr>
              <w:r>
                <w:rPr>
                  <w:rFonts w:eastAsia="Andale Sans UI" w:cs="Tahoma"/>
                  <w:b/>
                  <w:bCs/>
                  <w:szCs w:val="22"/>
                  <w:lang w:val="en-GB" w:bidi="en-US"/>
                </w:rPr>
                <w:br w:type="page"/>
              </w:r>
            </w:p>
            <w:p>
              <w:pPr>
                <w:jc w:val="both"/>
                <w:rPr>
                  <w:rFonts w:eastAsia="Andale Sans UI" w:cs="Tahoma"/>
                  <w:b/>
                  <w:bCs/>
                  <w:szCs w:val="22"/>
                  <w:lang w:val="fi-FI" w:bidi="en-US"/>
                </w:rPr>
              </w:pPr>
              <w:r>
                <w:rPr>
                  <w:rFonts w:eastAsia="Andale Sans UI" w:cs="Tahoma"/>
                  <w:b/>
                  <w:bCs/>
                  <w:szCs w:val="22"/>
                  <w:lang w:val="fi-FI" w:bidi="en-US"/>
                </w:rPr>
                <w:t xml:space="preserve">ADRESATŲ SĄRAŠAS </w:t>
              </w:r>
            </w:p>
            <w:p>
              <w:pPr>
                <w:jc w:val="both"/>
                <w:rPr>
                  <w:rFonts w:eastAsia="Andale Sans UI" w:cs="Tahoma"/>
                  <w:b/>
                  <w:bCs/>
                  <w:sz w:val="18"/>
                  <w:szCs w:val="18"/>
                  <w:lang w:bidi="en-US"/>
                </w:rPr>
              </w:pPr>
            </w:p>
            <w:p>
              <w:pPr>
                <w:jc w:val="both"/>
                <w:rPr>
                  <w:rFonts w:eastAsia="Andale Sans UI" w:cs="Tahoma"/>
                  <w:sz w:val="18"/>
                  <w:szCs w:val="18"/>
                  <w:lang w:bidi="en-US"/>
                </w:rPr>
              </w:pPr>
            </w:p>
            <w:p>
              <w:pPr>
                <w:ind w:left="357"/>
                <w:jc w:val="both"/>
                <w:rPr>
                  <w:rFonts w:eastAsia="StarSymbol"/>
                  <w:szCs w:val="24"/>
                  <w:lang w:eastAsia="lt-LT" w:bidi="en-US"/>
                </w:rPr>
              </w:pPr>
              <w:r>
                <w:rPr>
                  <w:rFonts w:eastAsia="StarSymbol"/>
                  <w:szCs w:val="24"/>
                  <w:lang w:eastAsia="lt-LT" w:bidi="en-US"/>
                </w:rPr>
                <w:t>Vidaus reikalų ministerija,</w:t>
              </w:r>
            </w:p>
            <w:p>
              <w:pPr>
                <w:ind w:left="357"/>
                <w:jc w:val="both"/>
                <w:rPr>
                  <w:rFonts w:eastAsia="Andale Sans UI" w:cs="Tahoma"/>
                  <w:szCs w:val="24"/>
                  <w:lang w:bidi="en-US"/>
                </w:rPr>
              </w:pPr>
            </w:p>
            <w:p>
              <w:pPr>
                <w:ind w:left="360"/>
                <w:jc w:val="both"/>
                <w:rPr>
                  <w:rFonts w:eastAsia="Andale Sans UI" w:cs="Tahoma"/>
                  <w:szCs w:val="24"/>
                  <w:lang w:bidi="en-US"/>
                </w:rPr>
              </w:pPr>
              <w:r>
                <w:rPr>
                  <w:rFonts w:eastAsia="Andale Sans UI" w:cs="Tahoma"/>
                  <w:szCs w:val="24"/>
                  <w:lang w:bidi="en-US"/>
                </w:rPr>
                <w:t>Ekonomikos ir inovacijų ministerija,</w:t>
              </w:r>
            </w:p>
            <w:p/>
            <w:p>
              <w:pPr>
                <w:ind w:left="360"/>
                <w:jc w:val="both"/>
                <w:rPr>
                  <w:rFonts w:eastAsia="Andale Sans UI" w:cs="Tahoma"/>
                  <w:szCs w:val="24"/>
                  <w:lang w:bidi="en-US"/>
                </w:rPr>
              </w:pPr>
              <w:r>
                <w:rPr>
                  <w:rFonts w:eastAsia="Andale Sans UI" w:cs="Tahoma"/>
                  <w:szCs w:val="24"/>
                  <w:lang w:bidi="en-US"/>
                </w:rPr>
                <w:t>Energetikos ministerija,</w:t>
              </w:r>
            </w:p>
            <w:p/>
            <w:p>
              <w:pPr>
                <w:ind w:left="360"/>
                <w:jc w:val="both"/>
                <w:rPr>
                  <w:rFonts w:eastAsia="Andale Sans UI" w:cs="Tahoma"/>
                  <w:szCs w:val="24"/>
                  <w:lang w:bidi="en-US"/>
                </w:rPr>
              </w:pPr>
              <w:r>
                <w:rPr>
                  <w:rFonts w:eastAsia="Andale Sans UI" w:cs="Tahoma"/>
                  <w:szCs w:val="24"/>
                  <w:lang w:bidi="en-US"/>
                </w:rPr>
                <w:t>Finansų ministerija,</w:t>
              </w:r>
            </w:p>
            <w:p/>
            <w:p>
              <w:pPr>
                <w:ind w:left="360"/>
                <w:jc w:val="both"/>
                <w:rPr>
                  <w:rFonts w:eastAsia="Andale Sans UI" w:cs="Tahoma"/>
                  <w:szCs w:val="24"/>
                  <w:lang w:bidi="en-US"/>
                </w:rPr>
              </w:pPr>
              <w:r>
                <w:rPr>
                  <w:rFonts w:eastAsia="Andale Sans UI" w:cs="Tahoma"/>
                  <w:szCs w:val="24"/>
                  <w:lang w:bidi="en-US"/>
                </w:rPr>
                <w:t>Socialinės apsaugos ir darbo ministerija,</w:t>
              </w:r>
            </w:p>
            <w:p/>
            <w:p>
              <w:pPr>
                <w:ind w:left="360"/>
                <w:jc w:val="both"/>
                <w:rPr>
                  <w:rFonts w:eastAsia="Andale Sans UI" w:cs="Tahoma"/>
                  <w:szCs w:val="24"/>
                  <w:lang w:bidi="en-US"/>
                </w:rPr>
              </w:pPr>
              <w:r>
                <w:rPr>
                  <w:rFonts w:eastAsia="Andale Sans UI" w:cs="Tahoma"/>
                  <w:szCs w:val="24"/>
                  <w:lang w:bidi="en-US"/>
                </w:rPr>
                <w:t>Specialiųjų tyrimų tarnyba,</w:t>
              </w:r>
            </w:p>
            <w:p>
              <w:pPr>
                <w:ind w:left="360"/>
                <w:jc w:val="both"/>
                <w:rPr>
                  <w:rFonts w:eastAsia="Andale Sans UI" w:cs="Tahoma"/>
                  <w:szCs w:val="24"/>
                  <w:lang w:bidi="en-US"/>
                </w:rPr>
              </w:pPr>
            </w:p>
            <w:p>
              <w:pPr>
                <w:ind w:left="360"/>
                <w:jc w:val="both"/>
                <w:rPr>
                  <w:rFonts w:eastAsia="Andale Sans UI" w:cs="Tahoma"/>
                  <w:szCs w:val="24"/>
                  <w:lang w:bidi="en-US"/>
                </w:rPr>
              </w:pPr>
              <w:r>
                <w:rPr>
                  <w:rFonts w:eastAsia="Andale Sans UI" w:cs="Tahoma"/>
                  <w:szCs w:val="24"/>
                  <w:lang w:bidi="en-US"/>
                </w:rPr>
                <w:t>Valstybinė duomenų apsaugos inspekcija,</w:t>
              </w:r>
            </w:p>
            <w:p>
              <w:pPr>
                <w:rPr>
                  <w:rFonts w:ascii="Arial" w:hAnsi="Arial" w:cs="Arial"/>
                  <w:szCs w:val="24"/>
                  <w:u w:val="single"/>
                  <w:shd w:val="clear" w:color="auto" w:fill="FFFFFF"/>
                  <w:lang w:eastAsia="lt-LT"/>
                </w:rPr>
              </w:pPr>
            </w:p>
            <w:p>
              <w:pPr>
                <w:ind w:left="360"/>
                <w:jc w:val="both"/>
                <w:rPr>
                  <w:rFonts w:eastAsia="Andale Sans UI" w:cs="Tahoma"/>
                  <w:szCs w:val="24"/>
                  <w:lang w:bidi="en-US"/>
                </w:rPr>
              </w:pPr>
              <w:r>
                <w:rPr>
                  <w:rFonts w:eastAsia="Andale Sans UI" w:cs="Tahoma"/>
                  <w:szCs w:val="24"/>
                  <w:lang w:bidi="en-US"/>
                </w:rPr>
                <w:t>Aplinkos projektų valdymo agentūra,</w:t>
              </w:r>
            </w:p>
            <w:p/>
            <w:p>
              <w:pPr>
                <w:ind w:left="360"/>
                <w:jc w:val="both"/>
                <w:rPr>
                  <w:rFonts w:eastAsia="Andale Sans UI" w:cs="Tahoma"/>
                  <w:szCs w:val="24"/>
                  <w:lang w:bidi="en-US"/>
                </w:rPr>
              </w:pPr>
              <w:r>
                <w:rPr>
                  <w:rFonts w:eastAsia="Andale Sans UI" w:cs="Tahoma"/>
                  <w:szCs w:val="24"/>
                  <w:lang w:bidi="en-US"/>
                </w:rPr>
                <w:t>VšĮ CPO LT,</w:t>
              </w:r>
            </w:p>
            <w:p/>
            <w:p>
              <w:pPr>
                <w:ind w:left="360"/>
                <w:jc w:val="both"/>
                <w:rPr>
                  <w:rFonts w:eastAsia="Andale Sans UI" w:cs="Tahoma"/>
                  <w:szCs w:val="24"/>
                  <w:lang w:bidi="en-US"/>
                </w:rPr>
              </w:pPr>
              <w:r>
                <w:rPr>
                  <w:rFonts w:eastAsia="Andale Sans UI" w:cs="Tahoma"/>
                  <w:szCs w:val="24"/>
                  <w:lang w:bidi="en-US"/>
                </w:rPr>
                <w:t>Valstybinė teritorijų planavimo ir statybos inspekcija,</w:t>
              </w:r>
            </w:p>
            <w:p>
              <w:pPr>
                <w:ind w:left="360"/>
                <w:jc w:val="both"/>
                <w:rPr>
                  <w:rFonts w:eastAsia="Andale Sans UI" w:cs="Tahoma"/>
                  <w:szCs w:val="24"/>
                  <w:lang w:bidi="en-US"/>
                </w:rPr>
              </w:pPr>
            </w:p>
            <w:p>
              <w:pPr>
                <w:ind w:left="360"/>
                <w:jc w:val="both"/>
                <w:rPr>
                  <w:rFonts w:eastAsia="Andale Sans UI" w:cs="Tahoma"/>
                  <w:szCs w:val="24"/>
                  <w:lang w:bidi="en-US"/>
                </w:rPr>
              </w:pPr>
              <w:r>
                <w:rPr>
                  <w:rFonts w:eastAsia="Andale Sans UI" w:cs="Tahoma"/>
                  <w:szCs w:val="24"/>
                  <w:lang w:bidi="en-US"/>
                </w:rPr>
                <w:t>Vyriausiojo archyvaro tarnyba,</w:t>
              </w:r>
            </w:p>
            <w:p/>
            <w:p>
              <w:pPr>
                <w:ind w:left="360"/>
                <w:jc w:val="both"/>
                <w:rPr>
                  <w:rFonts w:eastAsia="Andale Sans UI" w:cs="Tahoma"/>
                  <w:szCs w:val="24"/>
                  <w:lang w:bidi="en-US"/>
                </w:rPr>
              </w:pPr>
              <w:r>
                <w:rPr>
                  <w:rFonts w:eastAsia="Andale Sans UI" w:cs="Tahoma"/>
                  <w:szCs w:val="24"/>
                  <w:lang w:bidi="en-US"/>
                </w:rPr>
                <w:t>Lietuvos savivaldybių asociacija,</w:t>
              </w:r>
            </w:p>
            <w:p/>
            <w:p>
              <w:pPr>
                <w:ind w:left="360"/>
                <w:jc w:val="both"/>
                <w:rPr>
                  <w:rFonts w:eastAsia="Andale Sans UI" w:cs="Tahoma"/>
                  <w:szCs w:val="24"/>
                  <w:lang w:bidi="en-US"/>
                </w:rPr>
              </w:pPr>
              <w:r>
                <w:rPr>
                  <w:rFonts w:eastAsia="Andale Sans UI" w:cs="Tahoma"/>
                  <w:szCs w:val="24"/>
                  <w:lang w:bidi="en-US"/>
                </w:rPr>
                <w:t>Lietuvos statybininkų asociacija,</w:t>
              </w:r>
            </w:p>
            <w:p>
              <w:pPr>
                <w:ind w:left="360"/>
                <w:jc w:val="both"/>
                <w:rPr>
                  <w:rFonts w:eastAsia="Andale Sans UI" w:cs="Tahoma"/>
                  <w:szCs w:val="24"/>
                  <w:lang w:bidi="en-US"/>
                </w:rPr>
              </w:pPr>
            </w:p>
            <w:p>
              <w:pPr>
                <w:ind w:left="360"/>
                <w:jc w:val="both"/>
                <w:rPr>
                  <w:rFonts w:eastAsia="Andale Sans UI" w:cs="Tahoma"/>
                  <w:szCs w:val="24"/>
                  <w:lang w:bidi="en-US"/>
                </w:rPr>
              </w:pPr>
              <w:r>
                <w:rPr>
                  <w:rFonts w:eastAsia="Andale Sans UI" w:cs="Tahoma"/>
                  <w:szCs w:val="24"/>
                  <w:lang w:bidi="en-US"/>
                </w:rPr>
                <w:t>Lietuvos bankų asociacija,</w:t>
              </w:r>
            </w:p>
            <w:p/>
            <w:p>
              <w:pPr>
                <w:ind w:left="360"/>
                <w:jc w:val="both"/>
                <w:rPr>
                  <w:rFonts w:eastAsia="Andale Sans UI" w:cs="Tahoma"/>
                  <w:szCs w:val="24"/>
                  <w:lang w:bidi="en-US"/>
                </w:rPr>
              </w:pPr>
              <w:r>
                <w:rPr>
                  <w:rFonts w:eastAsia="Andale Sans UI" w:cs="Tahoma"/>
                  <w:szCs w:val="24"/>
                  <w:lang w:bidi="en-US"/>
                </w:rPr>
                <w:t>UAB ILTE,</w:t>
              </w:r>
            </w:p>
            <w:p/>
            <w:p>
              <w:pPr>
                <w:ind w:left="360"/>
                <w:jc w:val="both"/>
                <w:rPr>
                  <w:rFonts w:eastAsia="Andale Sans UI" w:cs="Tahoma"/>
                  <w:szCs w:val="24"/>
                  <w:lang w:bidi="en-US"/>
                </w:rPr>
              </w:pPr>
              <w:r>
                <w:rPr>
                  <w:rFonts w:eastAsia="Andale Sans UI" w:cs="Tahoma"/>
                  <w:szCs w:val="24"/>
                  <w:lang w:bidi="en-US"/>
                </w:rPr>
                <w:t>AB „Šiaulių bankas“,</w:t>
              </w:r>
            </w:p>
            <w:p/>
            <w:p>
              <w:pPr>
                <w:ind w:left="360"/>
                <w:jc w:val="both"/>
                <w:rPr>
                  <w:rFonts w:eastAsia="Andale Sans UI" w:cs="Tahoma"/>
                  <w:szCs w:val="24"/>
                  <w:lang w:bidi="en-US"/>
                </w:rPr>
              </w:pPr>
              <w:r>
                <w:rPr>
                  <w:rFonts w:eastAsia="Andale Sans UI" w:cs="Tahoma"/>
                  <w:szCs w:val="24"/>
                  <w:lang w:bidi="en-US"/>
                </w:rPr>
                <w:t>Europos investicijų banko atstovybė Lietuvoje,</w:t>
              </w:r>
            </w:p>
            <w:p/>
            <w:p>
              <w:pPr>
                <w:ind w:left="360"/>
                <w:jc w:val="both"/>
                <w:rPr>
                  <w:rFonts w:eastAsia="Andale Sans UI" w:cs="Tahoma"/>
                  <w:szCs w:val="24"/>
                  <w:lang w:bidi="en-US"/>
                </w:rPr>
              </w:pPr>
              <w:r>
                <w:rPr>
                  <w:rFonts w:eastAsia="Andale Sans UI" w:cs="Tahoma"/>
                  <w:szCs w:val="24"/>
                  <w:lang w:bidi="en-US"/>
                </w:rPr>
                <w:t>Savivaldybių komunalinių įmonių asociacija,</w:t>
              </w:r>
            </w:p>
            <w:p/>
            <w:p>
              <w:pPr>
                <w:ind w:left="360"/>
                <w:jc w:val="both"/>
                <w:rPr>
                  <w:rFonts w:eastAsia="Andale Sans UI" w:cs="Tahoma"/>
                  <w:szCs w:val="24"/>
                  <w:lang w:bidi="en-US"/>
                </w:rPr>
              </w:pPr>
              <w:r>
                <w:rPr>
                  <w:rFonts w:eastAsia="Andale Sans UI" w:cs="Tahoma"/>
                  <w:szCs w:val="24"/>
                  <w:lang w:bidi="en-US"/>
                </w:rPr>
                <w:t>Lietuvos respublikiniai būsto valdymo ir priežiūros rūmai,</w:t>
              </w:r>
            </w:p>
            <w:p/>
            <w:p>
              <w:pPr>
                <w:ind w:left="360"/>
                <w:jc w:val="both"/>
                <w:rPr>
                  <w:rFonts w:eastAsia="Andale Sans UI" w:cs="Tahoma"/>
                  <w:szCs w:val="24"/>
                  <w:lang w:bidi="en-US"/>
                </w:rPr>
              </w:pPr>
              <w:r>
                <w:rPr>
                  <w:rFonts w:eastAsia="Andale Sans UI" w:cs="Tahoma"/>
                  <w:szCs w:val="24"/>
                  <w:lang w:bidi="en-US"/>
                </w:rPr>
                <w:t>Nacionalinė pastatų priežiūros asociacija PREMA,</w:t>
              </w:r>
            </w:p>
            <w:p/>
            <w:p>
              <w:pPr>
                <w:ind w:left="360"/>
                <w:jc w:val="both"/>
                <w:rPr>
                  <w:rFonts w:eastAsia="Andale Sans UI" w:cs="Tahoma"/>
                  <w:szCs w:val="24"/>
                  <w:lang w:bidi="en-US"/>
                </w:rPr>
              </w:pPr>
              <w:r>
                <w:rPr>
                  <w:rFonts w:eastAsia="Andale Sans UI" w:cs="Tahoma"/>
                  <w:szCs w:val="24"/>
                  <w:lang w:bidi="en-US"/>
                </w:rPr>
                <w:t>Asociacija „Lietuvos butų ūkis“.</w:t>
              </w:r>
            </w:p>
            <w:p>
              <w:pPr>
                <w:ind w:left="360"/>
                <w:jc w:val="both"/>
                <w:rPr>
                  <w:rFonts w:eastAsia="Andale Sans UI" w:cs="Tahoma"/>
                  <w:szCs w:val="24"/>
                  <w:lang w:bidi="en-US"/>
                </w:rPr>
              </w:pPr>
            </w:p>
            <w:p>
              <w:pPr>
                <w:ind w:left="360"/>
                <w:jc w:val="both"/>
                <w:rPr>
                  <w:rFonts w:eastAsia="Andale Sans UI" w:cs="Tahoma"/>
                  <w:szCs w:val="24"/>
                  <w:lang w:bidi="en-US"/>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footnotePr>
        <w:pos w:val="beneathText"/>
        <w:numRestart w:val="eachPage"/>
      </w:footnotePr>
      <w:endnotePr>
        <w:numFmt w:val="decimal"/>
      </w:endnotePr>
      <w:pgSz w:w="11905" w:h="16837"/>
      <w:pgMar w:top="1021" w:right="567" w:bottom="1021" w:left="1588" w:header="567" w:footer="232"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StarSymbol">
    <w:altName w:val="Yu Gothic"/>
    <w:charset w:val="00"/>
    <w:family w:val="auto"/>
    <w:pitch w:val="variable"/>
    <w:sig w:usb0="00000003" w:usb1="10008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 w:id="1">
    <w:p>
      <w:pPr>
        <w:jc w:val="both"/>
        <w:rPr>
          <w:rFonts w:eastAsia="Andale Sans UI"/>
          <w:sz w:val="20"/>
        </w:rPr>
      </w:pPr>
      <w:r>
        <w:rPr>
          <w:rFonts w:eastAsia="Andale Sans UI"/>
          <w:sz w:val="20"/>
          <w:vertAlign w:val="superscript"/>
        </w:rPr>
        <w:footnoteRef/>
      </w:r>
      <w:r>
        <w:rPr>
          <w:rFonts w:eastAsia="Andale Sans UI"/>
          <w:sz w:val="20"/>
        </w:rPr>
        <w:t xml:space="preserve"> </w:t>
      </w:r>
      <w:hyperlink r:id="rId1" w:history="1">
        <w:r>
          <w:rPr>
            <w:rFonts w:eastAsia="Andale Sans UI"/>
            <w:color w:val="000080"/>
            <w:sz w:val="20"/>
            <w:u w:val="single"/>
          </w:rPr>
          <w:t>Aštuonioliktosios Lietuvos Respublikos Vyriausybės programa</w:t>
        </w:r>
      </w:hyperlink>
      <w:r>
        <w:rPr>
          <w:rFonts w:eastAsia="Andale Sans UI"/>
          <w:sz w:val="20"/>
        </w:rPr>
        <w:t xml:space="preserve">, kuriai pritarta Lietuvos Respublikos Seimo 2020 m. gruodžio 11 d. nutarimu Nr. XIV-72 „Dėl </w:t>
      </w:r>
      <w:r>
        <w:rPr>
          <w:rFonts w:eastAsia="Andale Sans UI"/>
          <w:sz w:val="20"/>
          <w:shd w:val="clear" w:color="auto" w:fill="FFFFFF"/>
        </w:rPr>
        <w:t>Aštuonioliktosios Lietuvos Respublikos Vyriausybės programos</w:t>
      </w:r>
      <w:r>
        <w:rPr>
          <w:rFonts w:eastAsia="Andale Sans UI"/>
          <w:sz w:val="20"/>
        </w:rPr>
        <w:t>“.</w:t>
      </w:r>
    </w:p>
  </w:footnote>
  <w:footnote w:id="2">
    <w:p>
      <w:pPr>
        <w:jc w:val="both"/>
        <w:rPr>
          <w:color w:val="000000"/>
          <w:sz w:val="20"/>
          <w:lang w:eastAsia="lt-LT" w:bidi="en-US"/>
        </w:rPr>
      </w:pPr>
      <w:r>
        <w:rPr>
          <w:rFonts w:eastAsia="Andale Sans UI"/>
          <w:sz w:val="20"/>
          <w:vertAlign w:val="superscript"/>
          <w:lang w:bidi="en-US"/>
        </w:rPr>
        <w:footnoteRef/>
      </w:r>
      <w:r>
        <w:rPr>
          <w:rFonts w:eastAsia="Andale Sans UI"/>
          <w:sz w:val="20"/>
          <w:lang w:bidi="en-US"/>
        </w:rPr>
        <w:t xml:space="preserve"> </w:t>
      </w:r>
      <w:hyperlink r:id="rId2" w:history="1">
        <w:r>
          <w:rPr>
            <w:rFonts w:eastAsia="Andale Sans UI"/>
            <w:color w:val="000080"/>
            <w:sz w:val="20"/>
            <w:u w:val="single"/>
            <w:lang w:bidi="en-US"/>
          </w:rPr>
          <w:t>Europos Sąjungos reikalų koordinavimo taisyklių</w:t>
        </w:r>
      </w:hyperlink>
      <w:r>
        <w:rPr>
          <w:rFonts w:eastAsia="Andale Sans UI"/>
          <w:sz w:val="20"/>
          <w:lang w:bidi="en-US"/>
        </w:rPr>
        <w:t>, patvirtintų Lietuvos Respublikos Vyriausybės 2004 m. sausio 9 d. nutarimu Nr. 21 „Dėl Europos Sąjungos reikalų koordinavimo“, 7 priedas.</w:t>
      </w:r>
    </w:p>
  </w:footnote>
  <w:footnote w:id="3">
    <w:p>
      <w:pPr>
        <w:jc w:val="both"/>
        <w:rPr>
          <w:rFonts w:eastAsia="Andale Sans UI"/>
          <w:sz w:val="20"/>
        </w:rPr>
      </w:pPr>
      <w:r>
        <w:rPr>
          <w:rFonts w:eastAsia="Andale Sans UI"/>
          <w:sz w:val="20"/>
          <w:vertAlign w:val="superscript"/>
        </w:rPr>
        <w:footnoteRef/>
      </w:r>
      <w:r>
        <w:rPr>
          <w:rFonts w:eastAsia="Andale Sans UI"/>
          <w:sz w:val="20"/>
        </w:rPr>
        <w:t xml:space="preserve"> </w:t>
      </w:r>
      <w:hyperlink r:id="rId3" w:history="1">
        <w:r>
          <w:rPr>
            <w:color w:val="000080"/>
            <w:sz w:val="20"/>
            <w:u w:val="single"/>
            <w:lang w:eastAsia="lt-LT"/>
          </w:rPr>
          <w:t>Informacijos apie techninius reglamentus ir atitikties įvertinimo procedūras teikimo taisyklės</w:t>
        </w:r>
      </w:hyperlink>
      <w:r>
        <w:rPr>
          <w:sz w:val="20"/>
          <w:lang w:eastAsia="lt-LT"/>
        </w:rPr>
        <w:t>, patvirtintos Lietuvos Respublikos Vyriausybės 1999 m. gegužės 20 d. nutarimu Nr. 617 „Dėl Informacijos apie techninius reglamentus ir atitikties įvertinimo procedūras teikimo taisyklių patvirtinimo“.</w:t>
      </w:r>
    </w:p>
  </w:footnote>
  <w:footnote w:id="4">
    <w:p>
      <w:pPr>
        <w:jc w:val="both"/>
        <w:rPr>
          <w:rFonts w:eastAsia="Andale Sans UI"/>
          <w:sz w:val="20"/>
        </w:rPr>
      </w:pPr>
      <w:r>
        <w:rPr>
          <w:rFonts w:eastAsia="Andale Sans UI"/>
          <w:sz w:val="20"/>
          <w:vertAlign w:val="superscript"/>
        </w:rPr>
        <w:footnoteRef/>
      </w:r>
      <w:r>
        <w:rPr>
          <w:rFonts w:eastAsia="Andale Sans UI"/>
          <w:sz w:val="20"/>
        </w:rPr>
        <w:t xml:space="preserve"> </w:t>
      </w:r>
      <w:hyperlink r:id="rId4" w:history="1">
        <w:r>
          <w:rPr>
            <w:color w:val="000080"/>
            <w:sz w:val="20"/>
            <w:u w:val="single"/>
            <w:lang w:eastAsia="lt-LT"/>
          </w:rPr>
          <w:t>Numatomo teisinio reguliavimo poveikio vertinimo metodikos</w:t>
        </w:r>
      </w:hyperlink>
      <w:r>
        <w:rPr>
          <w:sz w:val="20"/>
          <w:lang w:eastAsia="lt-LT"/>
        </w:rPr>
        <w:t>, patvirtintos Lietuvos Respublikos Vyriausybės 2003 m. vasario 26 d. nutarimu Nr. 276 „Dėl Numatomo teisinio reguliavimo poveikio vertinimo metodikos patvirtinimo“, 4 punktas.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eastAsia="Andale Sans U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characterSpacingControl w:val="doNotCompress"/>
  <w:strictFirstAndLastChars/>
  <w:hdrShapeDefaults>
    <o:shapedefaults v:ext="edit" spidmax="2050"/>
  </w:hdrShapeDefault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0D2C4BB8-D1E3-4A4A-ADEA-05DD5A0024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001760">
      <w:bodyDiv w:val="1"/>
      <w:marLeft w:val="0"/>
      <w:marRight w:val="0"/>
      <w:marTop w:val="0"/>
      <w:marBottom w:val="0"/>
      <w:divBdr>
        <w:top w:val="none" w:sz="0" w:space="0" w:color="auto"/>
        <w:left w:val="none" w:sz="0" w:space="0" w:color="auto"/>
        <w:bottom w:val="none" w:sz="0" w:space="0" w:color="auto"/>
        <w:right w:val="none" w:sz="0" w:space="0" w:color="auto"/>
      </w:divBdr>
      <w:divsChild>
        <w:div w:id="646781130">
          <w:marLeft w:val="0"/>
          <w:marRight w:val="0"/>
          <w:marTop w:val="0"/>
          <w:marBottom w:val="0"/>
          <w:divBdr>
            <w:top w:val="none" w:sz="0" w:space="0" w:color="auto"/>
            <w:left w:val="none" w:sz="0" w:space="0" w:color="auto"/>
            <w:bottom w:val="none" w:sz="0" w:space="0" w:color="auto"/>
            <w:right w:val="none" w:sz="0" w:space="0" w:color="auto"/>
          </w:divBdr>
        </w:div>
        <w:div w:id="388766789">
          <w:marLeft w:val="0"/>
          <w:marRight w:val="0"/>
          <w:marTop w:val="0"/>
          <w:marBottom w:val="0"/>
          <w:divBdr>
            <w:top w:val="none" w:sz="0" w:space="0" w:color="auto"/>
            <w:left w:val="none" w:sz="0" w:space="0" w:color="auto"/>
            <w:bottom w:val="none" w:sz="0" w:space="0" w:color="auto"/>
            <w:right w:val="none" w:sz="0" w:space="0" w:color="auto"/>
          </w:divBdr>
        </w:div>
        <w:div w:id="243926772">
          <w:marLeft w:val="0"/>
          <w:marRight w:val="0"/>
          <w:marTop w:val="0"/>
          <w:marBottom w:val="0"/>
          <w:divBdr>
            <w:top w:val="none" w:sz="0" w:space="0" w:color="auto"/>
            <w:left w:val="none" w:sz="0" w:space="0" w:color="auto"/>
            <w:bottom w:val="none" w:sz="0" w:space="0" w:color="auto"/>
            <w:right w:val="none" w:sz="0" w:space="0" w:color="auto"/>
          </w:divBdr>
        </w:div>
        <w:div w:id="1484082638">
          <w:marLeft w:val="0"/>
          <w:marRight w:val="0"/>
          <w:marTop w:val="0"/>
          <w:marBottom w:val="0"/>
          <w:divBdr>
            <w:top w:val="none" w:sz="0" w:space="0" w:color="auto"/>
            <w:left w:val="none" w:sz="0" w:space="0" w:color="auto"/>
            <w:bottom w:val="none" w:sz="0" w:space="0" w:color="auto"/>
            <w:right w:val="none" w:sz="0" w:space="0" w:color="auto"/>
          </w:divBdr>
        </w:div>
      </w:divsChild>
    </w:div>
    <w:div w:id="212549772">
      <w:bodyDiv w:val="1"/>
      <w:marLeft w:val="0"/>
      <w:marRight w:val="0"/>
      <w:marTop w:val="0"/>
      <w:marBottom w:val="0"/>
      <w:divBdr>
        <w:top w:val="none" w:sz="0" w:space="0" w:color="auto"/>
        <w:left w:val="none" w:sz="0" w:space="0" w:color="auto"/>
        <w:bottom w:val="none" w:sz="0" w:space="0" w:color="auto"/>
        <w:right w:val="none" w:sz="0" w:space="0" w:color="auto"/>
      </w:divBdr>
      <w:divsChild>
        <w:div w:id="86969238">
          <w:marLeft w:val="0"/>
          <w:marRight w:val="0"/>
          <w:marTop w:val="0"/>
          <w:marBottom w:val="0"/>
          <w:divBdr>
            <w:top w:val="none" w:sz="0" w:space="0" w:color="auto"/>
            <w:left w:val="none" w:sz="0" w:space="0" w:color="auto"/>
            <w:bottom w:val="none" w:sz="0" w:space="0" w:color="auto"/>
            <w:right w:val="none" w:sz="0" w:space="0" w:color="auto"/>
          </w:divBdr>
        </w:div>
        <w:div w:id="626274624">
          <w:marLeft w:val="0"/>
          <w:marRight w:val="0"/>
          <w:marTop w:val="0"/>
          <w:marBottom w:val="0"/>
          <w:divBdr>
            <w:top w:val="none" w:sz="0" w:space="0" w:color="auto"/>
            <w:left w:val="none" w:sz="0" w:space="0" w:color="auto"/>
            <w:bottom w:val="none" w:sz="0" w:space="0" w:color="auto"/>
            <w:right w:val="none" w:sz="0" w:space="0" w:color="auto"/>
          </w:divBdr>
        </w:div>
        <w:div w:id="808328079">
          <w:marLeft w:val="0"/>
          <w:marRight w:val="0"/>
          <w:marTop w:val="0"/>
          <w:marBottom w:val="0"/>
          <w:divBdr>
            <w:top w:val="none" w:sz="0" w:space="0" w:color="auto"/>
            <w:left w:val="none" w:sz="0" w:space="0" w:color="auto"/>
            <w:bottom w:val="none" w:sz="0" w:space="0" w:color="auto"/>
            <w:right w:val="none" w:sz="0" w:space="0" w:color="auto"/>
          </w:divBdr>
        </w:div>
        <w:div w:id="851648302">
          <w:marLeft w:val="0"/>
          <w:marRight w:val="0"/>
          <w:marTop w:val="0"/>
          <w:marBottom w:val="0"/>
          <w:divBdr>
            <w:top w:val="none" w:sz="0" w:space="0" w:color="auto"/>
            <w:left w:val="none" w:sz="0" w:space="0" w:color="auto"/>
            <w:bottom w:val="none" w:sz="0" w:space="0" w:color="auto"/>
            <w:right w:val="none" w:sz="0" w:space="0" w:color="auto"/>
          </w:divBdr>
        </w:div>
        <w:div w:id="1046760848">
          <w:marLeft w:val="0"/>
          <w:marRight w:val="0"/>
          <w:marTop w:val="0"/>
          <w:marBottom w:val="0"/>
          <w:divBdr>
            <w:top w:val="none" w:sz="0" w:space="0" w:color="auto"/>
            <w:left w:val="none" w:sz="0" w:space="0" w:color="auto"/>
            <w:bottom w:val="none" w:sz="0" w:space="0" w:color="auto"/>
            <w:right w:val="none" w:sz="0" w:space="0" w:color="auto"/>
          </w:divBdr>
        </w:div>
        <w:div w:id="1445538919">
          <w:marLeft w:val="0"/>
          <w:marRight w:val="0"/>
          <w:marTop w:val="0"/>
          <w:marBottom w:val="0"/>
          <w:divBdr>
            <w:top w:val="none" w:sz="0" w:space="0" w:color="auto"/>
            <w:left w:val="none" w:sz="0" w:space="0" w:color="auto"/>
            <w:bottom w:val="none" w:sz="0" w:space="0" w:color="auto"/>
            <w:right w:val="none" w:sz="0" w:space="0" w:color="auto"/>
          </w:divBdr>
        </w:div>
        <w:div w:id="1457407296">
          <w:marLeft w:val="0"/>
          <w:marRight w:val="0"/>
          <w:marTop w:val="0"/>
          <w:marBottom w:val="0"/>
          <w:divBdr>
            <w:top w:val="none" w:sz="0" w:space="0" w:color="auto"/>
            <w:left w:val="none" w:sz="0" w:space="0" w:color="auto"/>
            <w:bottom w:val="none" w:sz="0" w:space="0" w:color="auto"/>
            <w:right w:val="none" w:sz="0" w:space="0" w:color="auto"/>
          </w:divBdr>
        </w:div>
        <w:div w:id="1971131903">
          <w:marLeft w:val="0"/>
          <w:marRight w:val="0"/>
          <w:marTop w:val="0"/>
          <w:marBottom w:val="0"/>
          <w:divBdr>
            <w:top w:val="none" w:sz="0" w:space="0" w:color="auto"/>
            <w:left w:val="none" w:sz="0" w:space="0" w:color="auto"/>
            <w:bottom w:val="none" w:sz="0" w:space="0" w:color="auto"/>
            <w:right w:val="none" w:sz="0" w:space="0" w:color="auto"/>
          </w:divBdr>
        </w:div>
        <w:div w:id="2064988414">
          <w:marLeft w:val="0"/>
          <w:marRight w:val="0"/>
          <w:marTop w:val="0"/>
          <w:marBottom w:val="0"/>
          <w:divBdr>
            <w:top w:val="none" w:sz="0" w:space="0" w:color="auto"/>
            <w:left w:val="none" w:sz="0" w:space="0" w:color="auto"/>
            <w:bottom w:val="none" w:sz="0" w:space="0" w:color="auto"/>
            <w:right w:val="none" w:sz="0" w:space="0" w:color="auto"/>
          </w:divBdr>
        </w:div>
      </w:divsChild>
    </w:div>
    <w:div w:id="390543797">
      <w:bodyDiv w:val="1"/>
      <w:marLeft w:val="0"/>
      <w:marRight w:val="0"/>
      <w:marTop w:val="0"/>
      <w:marBottom w:val="0"/>
      <w:divBdr>
        <w:top w:val="none" w:sz="0" w:space="0" w:color="auto"/>
        <w:left w:val="none" w:sz="0" w:space="0" w:color="auto"/>
        <w:bottom w:val="none" w:sz="0" w:space="0" w:color="auto"/>
        <w:right w:val="none" w:sz="0" w:space="0" w:color="auto"/>
      </w:divBdr>
    </w:div>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498158795">
      <w:bodyDiv w:val="1"/>
      <w:marLeft w:val="0"/>
      <w:marRight w:val="0"/>
      <w:marTop w:val="0"/>
      <w:marBottom w:val="0"/>
      <w:divBdr>
        <w:top w:val="none" w:sz="0" w:space="0" w:color="auto"/>
        <w:left w:val="none" w:sz="0" w:space="0" w:color="auto"/>
        <w:bottom w:val="none" w:sz="0" w:space="0" w:color="auto"/>
        <w:right w:val="none" w:sz="0" w:space="0" w:color="auto"/>
      </w:divBdr>
    </w:div>
    <w:div w:id="505948475">
      <w:bodyDiv w:val="1"/>
      <w:marLeft w:val="0"/>
      <w:marRight w:val="0"/>
      <w:marTop w:val="0"/>
      <w:marBottom w:val="0"/>
      <w:divBdr>
        <w:top w:val="none" w:sz="0" w:space="0" w:color="auto"/>
        <w:left w:val="none" w:sz="0" w:space="0" w:color="auto"/>
        <w:bottom w:val="none" w:sz="0" w:space="0" w:color="auto"/>
        <w:right w:val="none" w:sz="0" w:space="0" w:color="auto"/>
      </w:divBdr>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822156668">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1093864504">
          <w:marLeft w:val="0"/>
          <w:marRight w:val="0"/>
          <w:marTop w:val="0"/>
          <w:marBottom w:val="0"/>
          <w:divBdr>
            <w:top w:val="none" w:sz="0" w:space="0" w:color="auto"/>
            <w:left w:val="none" w:sz="0" w:space="0" w:color="auto"/>
            <w:bottom w:val="none" w:sz="0" w:space="0" w:color="auto"/>
            <w:right w:val="none" w:sz="0" w:space="0" w:color="auto"/>
          </w:divBdr>
        </w:div>
      </w:divsChild>
    </w:div>
    <w:div w:id="1116942521">
      <w:bodyDiv w:val="1"/>
      <w:marLeft w:val="0"/>
      <w:marRight w:val="0"/>
      <w:marTop w:val="0"/>
      <w:marBottom w:val="0"/>
      <w:divBdr>
        <w:top w:val="none" w:sz="0" w:space="0" w:color="auto"/>
        <w:left w:val="none" w:sz="0" w:space="0" w:color="auto"/>
        <w:bottom w:val="none" w:sz="0" w:space="0" w:color="auto"/>
        <w:right w:val="none" w:sz="0" w:space="0" w:color="auto"/>
      </w:divBdr>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 w:id="1336346376">
          <w:marLeft w:val="0"/>
          <w:marRight w:val="0"/>
          <w:marTop w:val="0"/>
          <w:marBottom w:val="0"/>
          <w:divBdr>
            <w:top w:val="none" w:sz="0" w:space="0" w:color="auto"/>
            <w:left w:val="none" w:sz="0" w:space="0" w:color="auto"/>
            <w:bottom w:val="none" w:sz="0" w:space="0" w:color="auto"/>
            <w:right w:val="none" w:sz="0" w:space="0" w:color="auto"/>
          </w:divBdr>
        </w:div>
      </w:divsChild>
    </w:div>
    <w:div w:id="1380864459">
      <w:bodyDiv w:val="1"/>
      <w:marLeft w:val="0"/>
      <w:marRight w:val="0"/>
      <w:marTop w:val="0"/>
      <w:marBottom w:val="0"/>
      <w:divBdr>
        <w:top w:val="none" w:sz="0" w:space="0" w:color="auto"/>
        <w:left w:val="none" w:sz="0" w:space="0" w:color="auto"/>
        <w:bottom w:val="none" w:sz="0" w:space="0" w:color="auto"/>
        <w:right w:val="none" w:sz="0" w:space="0" w:color="auto"/>
      </w:divBdr>
      <w:divsChild>
        <w:div w:id="387385724">
          <w:marLeft w:val="0"/>
          <w:marRight w:val="0"/>
          <w:marTop w:val="0"/>
          <w:marBottom w:val="0"/>
          <w:divBdr>
            <w:top w:val="none" w:sz="0" w:space="0" w:color="auto"/>
            <w:left w:val="none" w:sz="0" w:space="0" w:color="auto"/>
            <w:bottom w:val="none" w:sz="0" w:space="0" w:color="auto"/>
            <w:right w:val="none" w:sz="0" w:space="0" w:color="auto"/>
          </w:divBdr>
        </w:div>
      </w:divsChild>
    </w:div>
    <w:div w:id="1503349351">
      <w:bodyDiv w:val="1"/>
      <w:marLeft w:val="0"/>
      <w:marRight w:val="0"/>
      <w:marTop w:val="0"/>
      <w:marBottom w:val="0"/>
      <w:divBdr>
        <w:top w:val="none" w:sz="0" w:space="0" w:color="auto"/>
        <w:left w:val="none" w:sz="0" w:space="0" w:color="auto"/>
        <w:bottom w:val="none" w:sz="0" w:space="0" w:color="auto"/>
        <w:right w:val="none" w:sz="0" w:space="0" w:color="auto"/>
      </w:divBdr>
    </w:div>
    <w:div w:id="1962497231">
      <w:bodyDiv w:val="1"/>
      <w:marLeft w:val="0"/>
      <w:marRight w:val="0"/>
      <w:marTop w:val="0"/>
      <w:marBottom w:val="0"/>
      <w:divBdr>
        <w:top w:val="none" w:sz="0" w:space="0" w:color="auto"/>
        <w:left w:val="none" w:sz="0" w:space="0" w:color="auto"/>
        <w:bottom w:val="none" w:sz="0" w:space="0" w:color="auto"/>
        <w:right w:val="none" w:sz="0" w:space="0" w:color="auto"/>
      </w:divBdr>
    </w:div>
    <w:div w:id="19995337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ed22bb703bc311eb8d9fe110e148c770"/>
  <Relationship Id="rId2" Type="http://schemas.openxmlformats.org/officeDocument/2006/relationships/hyperlink" TargetMode="External" Target="https://www.e-tar.lt/portal/lt/legalAct/TAR.DB68BCA9E3A0/asr"/>
  <Relationship Id="rId3" Type="http://schemas.openxmlformats.org/officeDocument/2006/relationships/hyperlink" TargetMode="External" Target="https://www.e-tar.lt/portal/lt/legalAct/TAR.EDD5FD371B32/asr"/>
  <Relationship Id="rId4" Type="http://schemas.openxmlformats.org/officeDocument/2006/relationships/hyperlink" TargetMode="External" Target="https://www.e-tar.lt/portal/lt/legalAct/TAR.814F485EB18B/asr"/>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327b48872ff6932eeb09353cc3bbdb0c">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bb1461692a08ce2aec186f0540e30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dcc876759f1a4c90868310bd70adc234" PartId="6d8ccf3a0cf74304891e6380ec9ef0d6"/>
  <Part Type="pastraipa" DocPartId="8b56c075f45d43d2956debe26a8f628a" PartId="7c479851b98f4f22b20b8f8aa1e9eabc">
    <Part Type="punktas" Nr="1" Abbr="1 p." DocPartId="6fb72222b1574cd6bff64950f7811de9" PartId="a19804e644e841018c0459c086103f70"/>
    <Part Type="punktas" Nr="2" Abbr="2 p." DocPartId="a9d07d8aca4b4cc6b75698df7e319878" PartId="55e0868476b24d51adabbbe0808eb462"/>
    <Part Type="punktas" Nr="1" Abbr="1 p." Notes="Numeris ne iš eilės. Trūksta dalių? [DocDalys]" DocPartId="3d70fdaef24047119a4d68a3e2db5c13" PartId="ccd2f8635e0f4d3fa8b3c2e22d8fa815"/>
    <Part Type="punktas" Nr="2" Abbr="2 p." DocPartId="e6b060cdb1f34b348420e404b3cdc5ad" PartId="875b09349bca4082bf2b45f8d2e2b6da"/>
    <Part Type="punktas" Nr="3" Abbr="3 p." DocPartId="cd252a4c3b6a4f41a4d887c710fcdc92" PartId="dbad2dda4bbe432eb527560236abfc50"/>
    <Part Type="punktas" Nr="4" Abbr="4 p." DocPartId="4b42d48b82f14906b4f64a79a0414af7" PartId="e6a4afbfad394c4c8d394beb4ffac5df"/>
    <Part Type="punktas" Nr="3" Abbr="3 p." Notes="Numeris ne iš eilės. Trūksta dalių? [DocDalys]" DocPartId="13b15b75341b4502a60e9aee042902dd" PartId="f3403483ccce4e3fbb9d3d986ec0c79f"/>
    <Part Type="punktas" Nr="4" Abbr="4 p." DocPartId="acc63ed84acb45bab099f09991d9bd73" PartId="0aaa9251f8874c9191e267b958752f16"/>
    <Part Type="punktas" Nr="5" Abbr="5 p." DocPartId="d1e66d0671b649d3a2eb7b09991fed57" PartId="14af8e6ec48b4298a742428e68d11a50"/>
    <Part Type="punktas" Nr="6" Abbr="6 p." DocPartId="72a7e6fe922443da8e959d1a6397026d" PartId="04482fb01bfa4f4fba5648f57dbb41c5"/>
    <Part Type="punktas" Nr="7" Abbr="7 p." DocPartId="e59349fd87e34fc0ace481557bb0e9fc" PartId="a159ca5c3f06475ca7a1f07ae63f7a8a"/>
    <Part Type="punktas" Nr="8" Abbr="8 p." DocPartId="fccf165f8dc64eaaa5f54da8e7323425" PartId="f34a468e591443a8876c94e8fe4e1e84"/>
    <Part Type="punktas" Nr="9" Abbr="9 p." DocPartId="35f5f5661f094c41bfac0da65ad70239" PartId="192c64de57594d0a99701698289a1620"/>
    <Part Type="punktas" Nr="10" Abbr="10 p." DocPartId="cd71342e669840f087b7d3fa097ac0f1" PartId="ab88d5566c1242369dedc12a165f67ec"/>
    <Part Type="punktas" Nr="11" Abbr="11 p." DocPartId="e06b835657464dc8b62b4d232f8406f4" PartId="dd5d127899234c2a92fdfd8d86e4a4d3"/>
    <Part Type="punktas" Nr="12" Abbr="12 p." DocPartId="9792f27eddf048c2889441d8fc90a9c8" PartId="7555f23a9b234ec48bf89a82a4f7a5b0"/>
    <Part Type="punktas" Nr="13" Abbr="13 p." DocPartId="b279473a242d4426b4d72894df13658f" PartId="00d5504445d44caba33f1002a27f6691"/>
    <Part Type="punktas" Nr="14" Abbr="14 p." DocPartId="1941f741be294abba0ca25e9f8b76b92" PartId="cb472128c34e43c286b04d01a88348df"/>
    <Part Type="punktas" Nr="1" Abbr="1 p." Notes="Numeris ne iš eilės. Trūksta dalių? [DocDalys]" DocPartId="3da96bf8f4bc48169e0dcd7dfb05a508" PartId="6feddb2aaedb45d4b858154336afd2e9"/>
    <Part Type="punktas" Nr="2" Abbr="2 p." DocPartId="279ee017eb75420680b2fbdb6e101211" PartId="7da44e5eb1ab4b8286c2d1e628584f4f"/>
    <Part Type="punktas" Nr="3" Abbr="3 p." DocPartId="24cdf6fdac7a42f1b7fe8b32fe03bf8f" PartId="12ae8f9a778c4393b5d59e6d180f3366"/>
    <Part Type="punktas" Nr="4" Abbr="4 p." DocPartId="fa4d07a38f4d44149586f5b20ca21fdc" PartId="51ad55c77681492e96a449b51ec2cea9"/>
  </Part>
</Parts>
</file>

<file path=customXml/itemProps1.xml><?xml version="1.0" encoding="utf-8"?>
<ds:datastoreItem xmlns:ds="http://schemas.openxmlformats.org/officeDocument/2006/customXml" ds:itemID="{9F835072-F89B-4DF4-83D3-BE2E1B2C46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ECC1323-9F72-4681-9895-5BB6B34E3FBB}">
  <ds:schemaRefs>
    <ds:schemaRef ds:uri="http://purl.org/dc/terms/"/>
    <ds:schemaRef ds:uri="47c1ea38-b788-4873-88f4-3b1f34597b9a"/>
    <ds:schemaRef ds:uri="http://schemas.openxmlformats.org/package/2006/metadata/core-properties"/>
    <ds:schemaRef ds:uri="http://schemas.microsoft.com/office/2006/documentManagement/types"/>
    <ds:schemaRef ds:uri="http://schemas.microsoft.com/office/infopath/2007/PartnerControls"/>
    <ds:schemaRef ds:uri="0379a545-9986-45d7-9e6d-3845025712a0"/>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4.xml><?xml version="1.0" encoding="utf-8"?>
<ds:datastoreItem xmlns:ds="http://schemas.openxmlformats.org/officeDocument/2006/customXml" ds:itemID="{22C9707F-9ED5-4879-8391-BDB95FEB1CD7}">
  <ds:schemaRefs>
    <ds:schemaRef ds:uri="http://schemas.openxmlformats.org/officeDocument/2006/bibliography"/>
  </ds:schemaRefs>
</ds:datastoreItem>
</file>

<file path=customXml/itemProps5.xml><?xml version="1.0" encoding="utf-8"?>
<ds:datastoreItem xmlns:ds="http://schemas.openxmlformats.org/officeDocument/2006/customXml" ds:itemID="{B192BF6F-44BC-4415-A05C-32105929AB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1339</Words>
  <Characters>9617</Characters>
  <Application>Microsoft Office Word</Application>
  <DocSecurity>4</DocSecurity>
  <Lines>218</Lines>
  <Paragraphs>108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10848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2024-11-27T15:08:00Z</dcterms:created>
  <dc:creator>Rita Lukošienė</dc:creator>
  <lastModifiedBy>adlibuser</lastModifiedBy>
  <dcterms:modified xsi:type="dcterms:W3CDTF">2024-11-27T15:08:00Z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ies>
</file>