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3F2C1001" w14:textId="77777777">
      <w:pPr>
        <w:jc w:val="center"/>
        <w:rPr>
          <w:b/>
          <w:szCs w:val="24"/>
          <w:lang w:eastAsia="ar-SA"/>
        </w:rPr>
      </w:pPr>
      <w:r>
        <w:rPr>
          <w:b/>
          <w:szCs w:val="24"/>
          <w:lang w:eastAsia="ar-SA"/>
        </w:rPr>
        <w:t>ŠIAULIŲ MIESTO SAVIVALDYBĖS KONTROLĖS IR AUDITO TARNYBA</w:t>
      </w:r>
    </w:p>
    <w:p w14:paraId="3F2C1002" w14:textId="77777777">
      <w:pPr>
        <w:jc w:val="center"/>
        <w:rPr>
          <w:b/>
          <w:sz w:val="16"/>
          <w:szCs w:val="24"/>
          <w:lang w:eastAsia="ar-SA"/>
        </w:rPr>
      </w:pPr>
    </w:p>
    <w:p w14:paraId="3F2C1003" w14:textId="77777777">
      <w:pPr>
        <w:jc w:val="center"/>
        <w:rPr>
          <w:b/>
          <w:sz w:val="16"/>
          <w:szCs w:val="24"/>
          <w:lang w:eastAsia="ar-SA"/>
        </w:rPr>
      </w:pPr>
    </w:p>
    <w:p w14:paraId="3F2C1004" w14:textId="77777777">
      <w:pPr>
        <w:suppressAutoHyphens/>
        <w:jc w:val="center"/>
        <w:rPr>
          <w:b/>
          <w:szCs w:val="24"/>
          <w:lang w:eastAsia="ar-SA"/>
        </w:rPr>
      </w:pPr>
      <w:r>
        <w:rPr>
          <w:b/>
          <w:szCs w:val="24"/>
          <w:lang w:eastAsia="ar-SA"/>
        </w:rPr>
        <w:t>SPRENDIMO</w:t>
      </w:r>
    </w:p>
    <w:p w14:paraId="3F2C1005" w14:textId="5D8A3C93">
      <w:pPr>
        <w:ind w:firstLine="62"/>
        <w:jc w:val="center"/>
        <w:rPr>
          <w:b/>
          <w:szCs w:val="24"/>
        </w:rPr>
      </w:pPr>
      <w:r>
        <w:rPr>
          <w:b/>
          <w:szCs w:val="24"/>
          <w:lang w:eastAsia="ar-SA"/>
        </w:rPr>
        <w:t>„DĖL PRITARIMO ŠIAULIŲ MIESTO SAVIVALDYBĖS KONTROLĖS IR AUDITO TARNYBOS 2021 METŲ VEIKLOS ATASKAITAI</w:t>
      </w:r>
      <w:r>
        <w:rPr>
          <w:b/>
          <w:szCs w:val="24"/>
        </w:rPr>
        <w:t xml:space="preserve">“ </w:t>
      </w:r>
      <w:r>
        <w:rPr>
          <w:b/>
          <w:szCs w:val="24"/>
          <w:lang w:eastAsia="ar-SA"/>
        </w:rPr>
        <w:t>PROJEKTO</w:t>
      </w:r>
    </w:p>
    <w:p w14:paraId="3F2C1007" w14:textId="77777777">
      <w:pPr>
        <w:suppressAutoHyphens/>
        <w:jc w:val="center"/>
        <w:rPr>
          <w:b/>
          <w:szCs w:val="24"/>
          <w:lang w:eastAsia="ar-SA"/>
        </w:rPr>
      </w:pPr>
      <w:r>
        <w:rPr>
          <w:b/>
          <w:szCs w:val="24"/>
          <w:lang w:eastAsia="ar-SA"/>
        </w:rPr>
        <w:t>AIŠKINAMASIS RAŠTAS</w:t>
      </w:r>
    </w:p>
    <w:p w14:paraId="3F2C1008" w14:textId="77777777">
      <w:pPr>
        <w:jc w:val="center"/>
        <w:rPr>
          <w:b/>
          <w:sz w:val="16"/>
          <w:szCs w:val="24"/>
          <w:lang w:eastAsia="ar-SA"/>
        </w:rPr>
      </w:pPr>
    </w:p>
    <w:p w14:paraId="3F2C1009" w14:textId="6C7DA155">
      <w:pPr>
        <w:suppressAutoHyphens/>
        <w:jc w:val="center"/>
        <w:rPr>
          <w:bCs/>
          <w:szCs w:val="24"/>
          <w:lang w:eastAsia="ar-SA"/>
        </w:rPr>
      </w:pPr>
      <w:r>
        <w:rPr>
          <w:bCs/>
          <w:szCs w:val="24"/>
          <w:lang w:eastAsia="ar-SA"/>
        </w:rPr>
        <w:t>2022 m. kovo 9 d.</w:t>
      </w:r>
    </w:p>
    <w:p w14:paraId="3F2C100A" w14:textId="77777777">
      <w:pPr>
        <w:suppressAutoHyphens/>
        <w:jc w:val="center"/>
        <w:rPr>
          <w:bCs/>
          <w:szCs w:val="24"/>
          <w:lang w:eastAsia="ar-SA"/>
        </w:rPr>
      </w:pPr>
      <w:r>
        <w:rPr>
          <w:bCs/>
          <w:szCs w:val="24"/>
          <w:lang w:eastAsia="ar-SA"/>
        </w:rPr>
        <w:t>Šiauliai</w:t>
      </w:r>
    </w:p>
    <w:p w14:paraId="3F2C100B" w14:textId="77777777">
      <w:pPr>
        <w:suppressAutoHyphens/>
        <w:jc w:val="center"/>
        <w:rPr>
          <w:szCs w:val="24"/>
        </w:rPr>
      </w:pPr>
    </w:p>
    <w:p w14:paraId="3F2C100C" w14:textId="77777777">
      <w:pPr>
        <w:tabs>
          <w:tab w:val="left" w:pos="855"/>
        </w:tabs>
        <w:ind w:firstLine="855"/>
        <w:jc w:val="both"/>
        <w:rPr>
          <w:b/>
          <w:szCs w:val="24"/>
        </w:rPr>
      </w:pPr>
      <w:r>
        <w:rPr>
          <w:b/>
          <w:szCs w:val="24"/>
        </w:rPr>
        <w:t>Parengto sprendimo projekto tikslai ir uždaviniai.</w:t>
      </w:r>
    </w:p>
    <w:p w14:paraId="2110C428" w14:textId="51FBEE4E">
      <w:pPr>
        <w:tabs>
          <w:tab w:val="left" w:pos="855"/>
        </w:tabs>
        <w:ind w:firstLine="855"/>
        <w:jc w:val="both"/>
        <w:rPr>
          <w:szCs w:val="24"/>
        </w:rPr>
      </w:pPr>
      <w:r>
        <w:rPr>
          <w:szCs w:val="24"/>
        </w:rPr>
        <w:t>Sprendimo projekto tikslas – įgyvendinti Lietuvos Respublikos vietos savivaldos įstatymo 16 straipsnio 2 dalies 8 ir 19 punktais, 27 straipsnio 9 dalies 15 punktu ir Lietuvos Respublikos viešojo sektoriaus atskaitomybės įstatymo 16 straipsnio 2 dalimi numatytą pareigą ir priimti sprendimą dėl Šiaulių miesto savivaldybės kontrolės ir audito tarnybos 2021 metų veiklos ataskaitos.</w:t>
      </w:r>
    </w:p>
    <w:p w14:paraId="3F2C100D" w14:textId="3248E9E9">
      <w:pPr>
        <w:tabs>
          <w:tab w:val="left" w:pos="855"/>
        </w:tabs>
        <w:ind w:firstLine="855"/>
        <w:jc w:val="both"/>
        <w:rPr>
          <w:szCs w:val="24"/>
          <w:shd w:val="clear" w:color="auto" w:fill="FFFFFF"/>
        </w:rPr>
      </w:pPr>
      <w:r>
        <w:rPr>
          <w:szCs w:val="24"/>
          <w:shd w:val="clear" w:color="auto" w:fill="FFFFFF"/>
        </w:rPr>
        <w:t>Lietuvos Respublikos vietos savivaldos įstatymas, Lietuvos Respublikos viešojo sektoriaus atskaitomybės įstatymas ir Tarybos veiklos reglamentas numato pareigą Savivaldybės kontrolieriui kartą per metus atsiskaityti už Savivaldybės kontrolės ir audito tarnybos, kaip viešojo sektoriaus subjekto veiklą Savivaldybės tarybai. Savivaldybės taryba priima sprendimus dėl šios ataskaitos. Balsuojant šiuo klausimu turi būti balsuojama iš esmės dėl dviejų alternatyvų: pritarimo Savivaldybės kontrolės ir audito tarnybos arba nepritarimo Savivaldybės kontrolės ir audito tarnybos 2021 metų veiklos ataskaitai. Siekiant tinkamai įgyvendinti Vietos savivaldos įstatymo 16 straipsnio 2 dalies 8 ir 19 punktų reikalavimą ir Viešojo sektoriaus atskaitomybės įstatymo 16 straipsnio 2 dalies reikalavimą, yra teikiamas šis Tarybos sprendimo projektas, numatant ir jo alternatyvą.</w:t>
      </w:r>
    </w:p>
    <w:p w14:paraId="3F2C100E" w14:textId="77777777">
      <w:pPr>
        <w:ind w:firstLine="720"/>
        <w:jc w:val="both"/>
        <w:rPr>
          <w:b/>
          <w:szCs w:val="24"/>
        </w:rPr>
      </w:pPr>
      <w:r>
        <w:rPr>
          <w:b/>
          <w:szCs w:val="24"/>
        </w:rPr>
        <w:t>Dabartinis sprendimo projekte aptariamų klausimų reguliavimas.</w:t>
      </w:r>
    </w:p>
    <w:p w14:paraId="3F2C100F" w14:textId="77777777">
      <w:pPr>
        <w:ind w:firstLine="720"/>
        <w:jc w:val="both"/>
        <w:rPr>
          <w:szCs w:val="24"/>
        </w:rPr>
      </w:pPr>
      <w:r>
        <w:rPr>
          <w:szCs w:val="24"/>
        </w:rPr>
        <w:t>Kadangi tai nėra pakeitimą nusakančio teisės akto projektas, tokio reguliavimo nėra.</w:t>
      </w:r>
    </w:p>
    <w:p w14:paraId="3F2C1010" w14:textId="3778D70E">
      <w:pPr>
        <w:ind w:firstLine="720"/>
        <w:jc w:val="both"/>
        <w:rPr>
          <w:b/>
          <w:szCs w:val="24"/>
          <w:shd w:val="clear" w:color="auto" w:fill="FFFFFF"/>
        </w:rPr>
      </w:pPr>
      <w:r>
        <w:rPr>
          <w:b/>
          <w:szCs w:val="24"/>
          <w:shd w:val="clear" w:color="auto" w:fill="FFFFFF"/>
        </w:rPr>
        <w:t>Sprendimo projekte numatytos naujos teisinio reglamentavimo nuostatos.</w:t>
      </w:r>
    </w:p>
    <w:p w14:paraId="3F2C1011" w14:textId="5365A2F2">
      <w:pPr>
        <w:ind w:firstLine="720"/>
        <w:jc w:val="both"/>
        <w:rPr>
          <w:szCs w:val="24"/>
        </w:rPr>
      </w:pPr>
      <w:r>
        <w:rPr>
          <w:szCs w:val="24"/>
        </w:rPr>
        <w:t>Naujų teisinių reglamentavimo nuostatų nenumatyta.</w:t>
      </w:r>
    </w:p>
    <w:p w14:paraId="3F2C1012" w14:textId="77777777">
      <w:pPr>
        <w:ind w:firstLine="720"/>
        <w:jc w:val="both"/>
        <w:rPr>
          <w:b/>
          <w:szCs w:val="24"/>
          <w:shd w:val="clear" w:color="auto" w:fill="FFFFFF"/>
        </w:rPr>
      </w:pPr>
      <w:r>
        <w:rPr>
          <w:b/>
          <w:szCs w:val="24"/>
          <w:shd w:val="clear" w:color="auto" w:fill="FFFFFF"/>
        </w:rPr>
        <w:t>Priėmus sprendimą, galimos pasekmės (tiek teigiamos, tiek neigiamos).</w:t>
      </w:r>
    </w:p>
    <w:p w14:paraId="3F2C1013" w14:textId="77777777">
      <w:pPr>
        <w:ind w:firstLine="720"/>
        <w:jc w:val="both"/>
        <w:rPr>
          <w:szCs w:val="24"/>
          <w:shd w:val="clear" w:color="auto" w:fill="FFFFFF"/>
        </w:rPr>
      </w:pPr>
      <w:r>
        <w:rPr>
          <w:bCs/>
          <w:szCs w:val="24"/>
        </w:rPr>
        <w:t xml:space="preserve">Priėmus sprendimą numatomos </w:t>
      </w:r>
      <w:r>
        <w:rPr>
          <w:bCs/>
          <w:iCs/>
          <w:szCs w:val="24"/>
        </w:rPr>
        <w:t>teigiamos pasekmės</w:t>
      </w:r>
      <w:r>
        <w:rPr>
          <w:bCs/>
          <w:szCs w:val="24"/>
        </w:rPr>
        <w:t xml:space="preserve"> – bus įgyvendintos teisės aktais numatytos nuostatos ir</w:t>
      </w:r>
      <w:r>
        <w:rPr>
          <w:szCs w:val="24"/>
          <w:shd w:val="clear" w:color="auto" w:fill="FFFFFF"/>
        </w:rPr>
        <w:t xml:space="preserve"> Tarybos viršenybės prieš jai atskaitingus asmenis principas.</w:t>
      </w:r>
    </w:p>
    <w:p w14:paraId="3F2C1014" w14:textId="77777777">
      <w:pPr>
        <w:ind w:firstLine="720"/>
        <w:jc w:val="both"/>
        <w:rPr>
          <w:b/>
          <w:szCs w:val="24"/>
        </w:rPr>
      </w:pPr>
      <w:r>
        <w:rPr>
          <w:b/>
          <w:szCs w:val="24"/>
          <w:shd w:val="clear" w:color="auto" w:fill="FFFFFF"/>
        </w:rPr>
        <w:t>Priėmus sprendimą, keičiami ar pripažįstami negaliojančiais teisės aktai</w:t>
      </w:r>
      <w:r>
        <w:rPr>
          <w:b/>
          <w:szCs w:val="24"/>
        </w:rPr>
        <w:t>.</w:t>
      </w:r>
    </w:p>
    <w:p w14:paraId="3F2C1015" w14:textId="77777777">
      <w:pPr>
        <w:ind w:firstLine="720"/>
        <w:jc w:val="both"/>
        <w:rPr>
          <w:szCs w:val="24"/>
        </w:rPr>
      </w:pPr>
      <w:r>
        <w:rPr>
          <w:szCs w:val="24"/>
        </w:rPr>
        <w:t>Priėmus sprendimą, keičiamų ar naikinamų galiojančių Savivaldybės teisės aktų nėra.</w:t>
      </w:r>
    </w:p>
    <w:p w14:paraId="3F2C1016" w14:textId="77777777">
      <w:pPr>
        <w:ind w:firstLine="720"/>
        <w:jc w:val="both"/>
        <w:rPr>
          <w:b/>
          <w:szCs w:val="24"/>
        </w:rPr>
      </w:pPr>
      <w:r>
        <w:rPr>
          <w:b/>
          <w:szCs w:val="24"/>
        </w:rPr>
        <w:t>Sprendimui įgyvendinti reikalingi priimti papildomi teisės aktai.</w:t>
      </w:r>
    </w:p>
    <w:p w14:paraId="3F2C1017" w14:textId="77777777">
      <w:pPr>
        <w:ind w:firstLine="720"/>
        <w:jc w:val="both"/>
        <w:rPr>
          <w:b/>
          <w:szCs w:val="24"/>
        </w:rPr>
      </w:pPr>
      <w:r>
        <w:rPr>
          <w:szCs w:val="24"/>
        </w:rPr>
        <w:t>Sprendimo įgyvendinimui papildomų teisės aktų priimti nereikės.</w:t>
      </w:r>
    </w:p>
    <w:p w14:paraId="3F2C1018" w14:textId="77777777">
      <w:pPr>
        <w:ind w:firstLine="720"/>
        <w:jc w:val="both"/>
        <w:rPr>
          <w:szCs w:val="24"/>
          <w:shd w:val="clear" w:color="auto" w:fill="FFFFFF"/>
        </w:rPr>
      </w:pPr>
      <w:r>
        <w:rPr>
          <w:b/>
          <w:szCs w:val="24"/>
          <w:shd w:val="clear" w:color="auto" w:fill="FFFFFF"/>
        </w:rPr>
        <w:t>Sprendimui įgyvendinti reikalingos lėšos</w:t>
      </w:r>
      <w:r>
        <w:rPr>
          <w:szCs w:val="24"/>
          <w:shd w:val="clear" w:color="auto" w:fill="FFFFFF"/>
        </w:rPr>
        <w:t xml:space="preserve">. </w:t>
      </w:r>
    </w:p>
    <w:p w14:paraId="3F2C1019" w14:textId="77777777">
      <w:pPr>
        <w:ind w:firstLine="720"/>
        <w:jc w:val="both"/>
        <w:rPr>
          <w:b/>
          <w:szCs w:val="24"/>
        </w:rPr>
      </w:pPr>
      <w:r>
        <w:rPr>
          <w:bCs/>
          <w:szCs w:val="24"/>
        </w:rPr>
        <w:t xml:space="preserve">Sprendimo įgyvendinimui papildomų lėšų nereikės. </w:t>
      </w:r>
    </w:p>
    <w:p w14:paraId="3F2C101A" w14:textId="77777777">
      <w:pPr>
        <w:widowControl w:val="0"/>
        <w:suppressAutoHyphens/>
        <w:ind w:firstLine="720"/>
        <w:jc w:val="both"/>
        <w:rPr>
          <w:rFonts w:eastAsia="HG Mincho Light J"/>
          <w:b/>
          <w:color w:val="000000"/>
          <w:szCs w:val="24"/>
          <w:shd w:val="clear" w:color="auto" w:fill="FFFFFF"/>
          <w:lang w:eastAsia="ar-SA"/>
        </w:rPr>
      </w:pPr>
      <w:r>
        <w:rPr>
          <w:rFonts w:eastAsia="HG Mincho Light J"/>
          <w:b/>
          <w:color w:val="000000"/>
          <w:szCs w:val="24"/>
          <w:shd w:val="clear" w:color="auto" w:fill="FFFFFF"/>
          <w:lang w:eastAsia="ar-SA"/>
        </w:rPr>
        <w:t>Sprendimo projekto antikorupcinis vertinimas.</w:t>
      </w:r>
    </w:p>
    <w:p w14:paraId="3F2C101B" w14:textId="77777777">
      <w:pPr>
        <w:widowControl w:val="0"/>
        <w:suppressAutoHyphens/>
        <w:ind w:firstLine="720"/>
        <w:jc w:val="both"/>
        <w:rPr>
          <w:rFonts w:eastAsia="HG Mincho Light J"/>
          <w:color w:val="000000"/>
          <w:szCs w:val="24"/>
          <w:shd w:val="clear" w:color="auto" w:fill="FFFFFF"/>
          <w:lang w:eastAsia="ar-SA"/>
        </w:rPr>
      </w:pPr>
      <w:r>
        <w:rPr>
          <w:rFonts w:eastAsia="HG Mincho Light J"/>
          <w:color w:val="000000"/>
          <w:szCs w:val="24"/>
          <w:shd w:val="clear" w:color="auto" w:fill="FFFFFF"/>
          <w:lang w:eastAsia="ar-SA"/>
        </w:rPr>
        <w:t>Nebuvo atliekamas, nes šis sprendimo projektas nėra susijęs su atvejais, išvardintais Lietuvos Respublikos korupcijos prevencijos įstatymo 8 straipsnio 1 dalyje.</w:t>
      </w:r>
    </w:p>
    <w:p w14:paraId="3F2C101C" w14:textId="77777777">
      <w:pPr>
        <w:widowControl w:val="0"/>
        <w:suppressAutoHyphens/>
        <w:ind w:firstLine="720"/>
        <w:jc w:val="both"/>
        <w:rPr>
          <w:rFonts w:eastAsia="HG Mincho Light J"/>
          <w:b/>
          <w:color w:val="000000"/>
          <w:szCs w:val="24"/>
          <w:shd w:val="clear" w:color="auto" w:fill="FFFFFF"/>
          <w:lang w:eastAsia="ar-SA"/>
        </w:rPr>
      </w:pPr>
      <w:r>
        <w:rPr>
          <w:rFonts w:eastAsia="HG Mincho Light J"/>
          <w:b/>
          <w:color w:val="000000"/>
          <w:szCs w:val="24"/>
          <w:shd w:val="clear" w:color="auto" w:fill="FFFFFF"/>
          <w:lang w:eastAsia="ar-SA"/>
        </w:rPr>
        <w:t>Numatomo teisinio reguliavimo poveikio vertinimo rezultatai.</w:t>
      </w:r>
    </w:p>
    <w:p w14:paraId="3F2C101D" w14:textId="77777777">
      <w:pPr>
        <w:widowControl w:val="0"/>
        <w:suppressAutoHyphens/>
        <w:ind w:firstLine="720"/>
        <w:jc w:val="both"/>
        <w:rPr>
          <w:rFonts w:eastAsia="HG Mincho Light J"/>
          <w:color w:val="000000"/>
          <w:szCs w:val="24"/>
          <w:shd w:val="clear" w:color="auto" w:fill="FFFFFF"/>
          <w:lang w:eastAsia="ar-SA"/>
        </w:rPr>
      </w:pPr>
      <w:r>
        <w:rPr>
          <w:rFonts w:eastAsia="HG Mincho Light J"/>
          <w:color w:val="000000"/>
          <w:szCs w:val="24"/>
          <w:shd w:val="clear" w:color="auto" w:fill="FFFFFF"/>
          <w:lang w:eastAsia="ar-SA"/>
        </w:rPr>
        <w:t>Numatomo teisinio reguliavimo poveikio vertinimas neatliktas, nes sprendimo projektu nenumatoma reglamentuoti iki tol nereglamentuotus santykius ar iš esmės keisti teisinį reguliavimą.</w:t>
      </w:r>
    </w:p>
    <w:p w14:paraId="3F2C101E" w14:textId="2F1473A3">
      <w:pPr>
        <w:ind w:firstLine="720"/>
        <w:jc w:val="both"/>
        <w:rPr>
          <w:szCs w:val="24"/>
          <w:shd w:val="clear" w:color="auto" w:fill="FFFFFF"/>
        </w:rPr>
      </w:pPr>
      <w:r>
        <w:rPr>
          <w:b/>
          <w:szCs w:val="24"/>
          <w:shd w:val="clear" w:color="auto" w:fill="FFFFFF"/>
        </w:rPr>
        <w:t>Sprendimo projektą parengė:</w:t>
      </w:r>
      <w:r>
        <w:rPr>
          <w:szCs w:val="24"/>
          <w:shd w:val="clear" w:color="auto" w:fill="FFFFFF"/>
        </w:rPr>
        <w:t xml:space="preserve"> Savivaldybės kontrolierė Inga Šimkūnaitė, tel. (8 41) 383410. </w:t>
      </w:r>
    </w:p>
    <w:p w14:paraId="3F2C101F" w14:textId="77777777">
      <w:pPr>
        <w:ind w:firstLine="720"/>
        <w:jc w:val="both"/>
        <w:rPr>
          <w:szCs w:val="24"/>
          <w:shd w:val="clear" w:color="auto" w:fill="FFFFFF"/>
        </w:rPr>
      </w:pPr>
    </w:p>
    <w:p w14:paraId="3F2C1020" w14:textId="77777777">
      <w:pPr>
        <w:ind w:firstLine="720"/>
        <w:jc w:val="both"/>
        <w:rPr>
          <w:b/>
          <w:szCs w:val="24"/>
        </w:rPr>
      </w:pPr>
    </w:p>
    <w:p w14:paraId="3F2C1021" w14:textId="77777777">
      <w:pPr>
        <w:ind w:firstLine="720"/>
        <w:jc w:val="both"/>
        <w:rPr>
          <w:b/>
          <w:szCs w:val="24"/>
        </w:rPr>
      </w:pPr>
    </w:p>
    <w:p w14:paraId="3F2C1022" w14:textId="77777777">
      <w:pPr>
        <w:jc w:val="both"/>
        <w:rPr>
          <w:szCs w:val="24"/>
        </w:rPr>
      </w:pPr>
    </w:p>
    <w:p w14:paraId="3F2C1023" w14:textId="0D43C029">
      <w:pPr>
        <w:jc w:val="both"/>
        <w:rPr>
          <w:szCs w:val="24"/>
        </w:rPr>
      </w:pPr>
      <w:r>
        <w:rPr>
          <w:szCs w:val="24"/>
        </w:rPr>
        <w:t>Savivaldybės kontrolierė</w:t>
        <w:tab/>
        <w:tab/>
        <w:tab/>
        <w:tab/>
        <w:t xml:space="preserve">                          Inga Šimkūnaitė</w:t>
      </w:r>
    </w:p>
    <w:p w14:paraId="3F2C1024" w14:textId="77777777">
      <w:pPr>
        <w:rPr>
          <w:szCs w:val="24"/>
        </w:rPr>
      </w:pPr>
    </w:p>
    <w:sectPr>
      <w:pgSz w:w="11906" w:h="16838"/>
      <w:pgMar w:top="1134"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HG Mincho Light J">
    <w:altName w:val="Times New Roman"/>
    <w:charset w:val="00"/>
    <w:family w:val="auto"/>
    <w:pitch w:val="variable"/>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C1001"/>
  <w15:docId w15:val="{2B75A5D3-090B-4A12-8EF4-B950B30921D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40541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361</Words>
  <Characters>2670</Characters>
  <Application>Microsoft Office Word</Application>
  <DocSecurity>4</DocSecurity>
  <Lines>51</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3001</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2022-03-18T12:30:00Z</dcterms:created>
  <dc:creator>Irena Bilkštienė</dc:creator>
  <lastModifiedBy>adlibuser</lastModifiedBy>
  <lastPrinted>2019-04-09T07:22:00Z</lastPrinted>
  <dcterms:modified xsi:type="dcterms:W3CDTF">2022-03-18T12:30:00Z</dcterms:modified>
  <revision>2</revision>
</coreProperties>
</file>