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3c48167c74d448e98bc7073028396d6"/>
        <w:lock w:val="sdtLocked"/>
        <w:richText/>
      </w:sdtPr>
      <w:sdtContent>
        <w:p w14:paraId="7F74C705" w14:textId="77777777">
          <w:pPr>
            <w:ind w:firstLine="312"/>
            <w:jc w:val="center"/>
            <w:rPr>
              <w:b/>
              <w:caps/>
              <w:szCs w:val="24"/>
              <w:lang w:eastAsia="lt-LT"/>
            </w:rPr>
          </w:pPr>
          <w:r>
            <w:rPr>
              <w:b/>
              <w:szCs w:val="24"/>
              <w:lang w:eastAsia="lt-LT"/>
            </w:rPr>
            <w:t>JONIŠKIO RAJONO SAVIVALDYBĖS ADMINISTRACIJOS</w:t>
          </w:r>
        </w:p>
        <w:sdt>
          <w:sdtPr>
            <w:alias w:val="skyrius"/>
            <w:tag w:val="part_3c1862bba7ba4061b111d3ef647213c1"/>
            <w:lock w:val="sdtLocked"/>
            <w:richText/>
          </w:sdtPr>
          <w:sdtContent>
            <w:p w14:paraId="3E03FB22" w14:textId="1D031293">
              <w:pPr>
                <w:jc w:val="center"/>
                <w:rPr>
                  <w:b/>
                  <w:szCs w:val="24"/>
                  <w:lang w:eastAsia="lt-LT"/>
                </w:rPr>
              </w:pPr>
              <w:r>
                <w:rPr>
                  <w:b/>
                  <w:szCs w:val="24"/>
                  <w:lang w:eastAsia="lt-LT"/>
                </w:rPr>
                <w:t>ARCHITEKTŪROS IR TERITORIJŲ PLANAVIMO SKYRIUS</w:t>
              </w:r>
            </w:p>
            <w:p w14:paraId="39C62BFB" w14:textId="77777777">
              <w:pPr>
                <w:jc w:val="center"/>
                <w:rPr>
                  <w:b/>
                  <w:szCs w:val="24"/>
                  <w:lang w:eastAsia="lt-LT"/>
                </w:rPr>
              </w:pPr>
            </w:p>
            <w:sdt>
              <w:sdtPr>
                <w:alias w:val="Pavadinimas"/>
                <w:tag w:val="title_3c1862bba7ba4061b111d3ef647213c1"/>
                <w:lock w:val="sdtLocked"/>
                <w:richText/>
              </w:sdtPr>
              <w:sdtContent>
                <w:p w14:paraId="6616C6AB" w14:textId="77777777">
                  <w:pPr>
                    <w:spacing w:line="276" w:lineRule="auto"/>
                    <w:jc w:val="center"/>
                    <w:rPr>
                      <w:b/>
                      <w:bCs/>
                      <w:szCs w:val="24"/>
                      <w:lang w:eastAsia="lt-LT"/>
                    </w:rPr>
                  </w:pPr>
                  <w:r>
                    <w:rPr>
                      <w:b/>
                      <w:bCs/>
                      <w:szCs w:val="24"/>
                      <w:lang w:eastAsia="lt-LT"/>
                    </w:rPr>
                    <w:t>JONIŠKIO SAVIVALDYBĖS TARYBOS SPRENDIMO</w:t>
                  </w:r>
                </w:p>
                <w:p w14:paraId="12D08A81" w14:textId="490C20F2">
                  <w:pPr>
                    <w:spacing w:line="276" w:lineRule="auto"/>
                    <w:jc w:val="center"/>
                    <w:rPr>
                      <w:b/>
                      <w:bCs/>
                      <w:szCs w:val="24"/>
                      <w:lang w:eastAsia="lt-LT"/>
                    </w:rPr>
                  </w:pPr>
                  <w:r>
                    <w:rPr>
                      <w:b/>
                      <w:bCs/>
                      <w:szCs w:val="24"/>
                      <w:lang w:eastAsia="lt-LT"/>
                    </w:rPr>
                    <w:t>„DĖL GATVĖS PAVADINIMO PANAIKINIMO“ PROJEKTO AIŠKINAMASIS RAŠTAS</w:t>
                  </w:r>
                </w:p>
              </w:sdtContent>
            </w:sdt>
            <w:p w14:paraId="6F8DFB45" w14:textId="77777777">
              <w:pPr>
                <w:rPr>
                  <w:b/>
                  <w:caps/>
                  <w:szCs w:val="24"/>
                  <w:lang w:eastAsia="lt-LT"/>
                </w:rPr>
              </w:pPr>
            </w:p>
            <w:p w14:paraId="434A46C2" w14:textId="7115E9CD">
              <w:pPr>
                <w:jc w:val="center"/>
                <w:rPr>
                  <w:caps/>
                  <w:szCs w:val="24"/>
                  <w:lang w:eastAsia="lt-LT"/>
                </w:rPr>
              </w:pPr>
              <w:r>
                <w:rPr>
                  <w:szCs w:val="24"/>
                  <w:lang w:eastAsia="lt-LT"/>
                </w:rPr>
                <w:t>2024 m. birželio 3 d.</w:t>
              </w:r>
            </w:p>
            <w:p w14:paraId="13895AD8" w14:textId="77777777">
              <w:pPr>
                <w:rPr>
                  <w:b/>
                  <w:szCs w:val="24"/>
                  <w:lang w:eastAsia="lt-LT"/>
                </w:rPr>
              </w:pPr>
            </w:p>
            <w:sdt>
              <w:sdtPr>
                <w:alias w:val="1 p."/>
                <w:tag w:val="part_0ff83637f4f7404b86d2d3c7a2c6d484"/>
                <w:lock w:val="sdtLocked"/>
                <w:richText/>
              </w:sdtPr>
              <w:sdtContent>
                <w:p w14:paraId="19837C42" w14:textId="0833C9DA">
                  <w:pPr>
                    <w:tabs>
                      <w:tab w:val="left" w:pos="993"/>
                    </w:tabs>
                    <w:ind w:firstLine="709"/>
                    <w:jc w:val="both"/>
                    <w:rPr>
                      <w:bCs/>
                      <w:szCs w:val="24"/>
                      <w:lang w:val="en-AU" w:eastAsia="lt-LT"/>
                    </w:rPr>
                  </w:pPr>
                  <w:sdt>
                    <w:sdtPr>
                      <w:alias w:val="Numeris"/>
                      <w:tag w:val="nr_0ff83637f4f7404b86d2d3c7a2c6d484"/>
                      <w:lock w:val="sdtLocked"/>
                      <w:richText/>
                    </w:sdtPr>
                    <w:sdtContent>
                      <w:r>
                        <w:rPr>
                          <w:b/>
                          <w:szCs w:val="24"/>
                        </w:rPr>
                        <w:t>1</w:t>
                      </w:r>
                    </w:sdtContent>
                  </w:sdt>
                  <w:r>
                    <w:rPr>
                      <w:b/>
                      <w:szCs w:val="24"/>
                    </w:rPr>
                    <w:t>.</w:t>
                    <w:tab/>
                  </w:r>
                  <w:r>
                    <w:rPr>
                      <w:b/>
                      <w:szCs w:val="24"/>
                      <w:lang w:val="en-AU" w:eastAsia="lt-LT"/>
                    </w:rPr>
                    <w:t xml:space="preserve">Projekto rengimą paskatinusios priežastys. </w:t>
                  </w:r>
                </w:p>
                <w:p w14:paraId="180440E7" w14:textId="01B30CA7">
                  <w:pPr>
                    <w:tabs>
                      <w:tab w:val="left" w:pos="851"/>
                    </w:tabs>
                    <w:ind w:firstLine="851"/>
                    <w:jc w:val="both"/>
                    <w:rPr>
                      <w:bCs/>
                      <w:szCs w:val="24"/>
                    </w:rPr>
                  </w:pPr>
                  <w:r>
                    <w:rPr>
                      <w:szCs w:val="24"/>
                    </w:rPr>
                    <w:t xml:space="preserve">Vadovaujantis Lietuvos Respublikos Vyriausybės  2023 m. rugpjūčio 30 d. nutarimu Nr. 702 „Dėl Joniškio rajono savivaldybės gyvenamųjų vietovių teritorijų ribų ir pavadinimų tvarkymo“, </w:t>
                  </w:r>
                  <w:r>
                    <w:rPr>
                      <w:bCs/>
                      <w:szCs w:val="24"/>
                    </w:rPr>
                    <w:t>Pasikeitus gyvenamųjų vietų riboms gatvė buvo priskirta kitai gyvenamajai vietovei, iš Dargių k. į Gataučių k. Gatvės (kuri nebepriklauso Dargių kaimui) pavadinimo panaikinimui ir jos išregistravimui reikalingas projektinis adresų registre įregistruotos gatvės duomenų keitimas. Taip pat dėl pasikeitusių gyvenamųjų ribų reikalingas projektinis įregistruotos gatvės ir jos ašinės linijos pratęsimas iki naujos gyvenamosios teritorijos ribos, Kalnelio k.</w:t>
                  </w:r>
                </w:p>
              </w:sdtContent>
            </w:sdt>
            <w:sdt>
              <w:sdtPr>
                <w:alias w:val="2 p."/>
                <w:tag w:val="part_0f6eff6cf59547a0bcf95071d1185c7b"/>
                <w:lock w:val="sdtLocked"/>
                <w:richText/>
              </w:sdtPr>
              <w:sdtContent>
                <w:p w14:paraId="1673488C" w14:textId="2966B8CE">
                  <w:pPr>
                    <w:ind w:firstLine="709"/>
                    <w:jc w:val="both"/>
                    <w:rPr>
                      <w:szCs w:val="24"/>
                      <w:lang w:eastAsia="lt-LT"/>
                    </w:rPr>
                  </w:pPr>
                  <w:sdt>
                    <w:sdtPr>
                      <w:alias w:val="Numeris"/>
                      <w:tag w:val="nr_0f6eff6cf59547a0bcf95071d1185c7b"/>
                      <w:lock w:val="sdtLocked"/>
                      <w:richText/>
                    </w:sdtPr>
                    <w:sdtContent>
                      <w:r>
                        <w:rPr>
                          <w:b/>
                          <w:szCs w:val="24"/>
                          <w:lang w:eastAsia="lt-LT"/>
                        </w:rPr>
                        <w:t>2</w:t>
                      </w:r>
                    </w:sdtContent>
                  </w:sdt>
                  <w:r>
                    <w:rPr>
                      <w:b/>
                      <w:szCs w:val="24"/>
                      <w:lang w:eastAsia="lt-LT"/>
                    </w:rPr>
                    <w:t>. Projekto tikslas</w:t>
                  </w:r>
                  <w:r>
                    <w:rPr>
                      <w:b/>
                      <w:bCs/>
                      <w:szCs w:val="24"/>
                      <w:lang w:eastAsia="lt-LT"/>
                    </w:rPr>
                    <w:t>.</w:t>
                  </w:r>
                </w:p>
                <w:p w14:paraId="0080A083" w14:textId="4B4AB4AA">
                  <w:pPr>
                    <w:tabs>
                      <w:tab w:val="left" w:pos="851"/>
                    </w:tabs>
                    <w:ind w:firstLine="851"/>
                    <w:jc w:val="both"/>
                    <w:rPr>
                      <w:szCs w:val="24"/>
                      <w:lang w:eastAsia="lt-LT"/>
                    </w:rPr>
                  </w:pPr>
                  <w:r>
                    <w:rPr>
                      <w:szCs w:val="24"/>
                      <w:lang w:eastAsia="lt-LT"/>
                    </w:rPr>
                    <w:t xml:space="preserve">Panaikinti adresų registre įregistruotą Eglynlaukio gatvės pavadinimą Joniškio rajono savivaldybėje, Gataučių seniūnijoje, Dargių kaime. </w:t>
                  </w:r>
                </w:p>
                <w:p w14:paraId="01F663B5" w14:textId="2DD02B08">
                  <w:pPr>
                    <w:tabs>
                      <w:tab w:val="left" w:pos="851"/>
                    </w:tabs>
                    <w:ind w:firstLine="851"/>
                    <w:jc w:val="both"/>
                    <w:rPr>
                      <w:szCs w:val="24"/>
                      <w:lang w:eastAsia="lt-LT"/>
                    </w:rPr>
                  </w:pPr>
                  <w:r>
                    <w:rPr>
                      <w:szCs w:val="24"/>
                      <w:lang w:eastAsia="lt-LT"/>
                    </w:rPr>
                    <w:t xml:space="preserve">Pratęsti esamą Žagarės gatvę, esančią Joniškio rajono savivaldybėje, Joniškio seniūnijoje, Kalnelio kaime. </w:t>
                  </w:r>
                </w:p>
              </w:sdtContent>
            </w:sdt>
            <w:sdt>
              <w:sdtPr>
                <w:alias w:val="3 p."/>
                <w:tag w:val="part_120d385b885f4623b4752dcc5f939d96"/>
                <w:lock w:val="sdtLocked"/>
                <w:richText/>
              </w:sdtPr>
              <w:sdtContent>
                <w:p w14:paraId="19E8309B" w14:textId="77777777">
                  <w:pPr>
                    <w:ind w:firstLine="709"/>
                    <w:jc w:val="both"/>
                    <w:rPr>
                      <w:b/>
                      <w:szCs w:val="24"/>
                      <w:lang w:eastAsia="lt-LT"/>
                    </w:rPr>
                  </w:pPr>
                  <w:sdt>
                    <w:sdtPr>
                      <w:alias w:val="Numeris"/>
                      <w:tag w:val="nr_120d385b885f4623b4752dcc5f939d96"/>
                      <w:lock w:val="sdtLocked"/>
                      <w:richText/>
                    </w:sdtPr>
                    <w:sdtContent>
                      <w:r>
                        <w:rPr>
                          <w:b/>
                          <w:szCs w:val="24"/>
                          <w:lang w:eastAsia="lt-LT"/>
                        </w:rPr>
                        <w:t>3</w:t>
                      </w:r>
                    </w:sdtContent>
                  </w:sdt>
                  <w:r>
                    <w:rPr>
                      <w:szCs w:val="24"/>
                      <w:lang w:eastAsia="lt-LT"/>
                    </w:rPr>
                    <w:t xml:space="preserve">. </w:t>
                  </w:r>
                  <w:r>
                    <w:rPr>
                      <w:b/>
                      <w:szCs w:val="24"/>
                      <w:lang w:eastAsia="lt-LT"/>
                    </w:rPr>
                    <w:t>Projekto ryšys su savivaldybės tarybos patvirtintais savivaldybės strateginiu ir metų veiklos planais.</w:t>
                  </w:r>
                </w:p>
                <w:p w14:paraId="43F8AAA7" w14:textId="77777777">
                  <w:pPr>
                    <w:ind w:firstLine="851"/>
                    <w:jc w:val="both"/>
                    <w:rPr>
                      <w:bCs/>
                      <w:szCs w:val="24"/>
                      <w:lang w:eastAsia="lt-LT"/>
                    </w:rPr>
                  </w:pPr>
                  <w:r>
                    <w:rPr>
                      <w:szCs w:val="24"/>
                      <w:lang w:eastAsia="lt-LT"/>
                    </w:rPr>
                    <w:t>Projektas atitinka Joniškio rajono savivaldybės 2021–2027 m. strateginio plėtros plano priemonę Nr. 1.4.1.10 „Organizuoti ir užtikrinti savivaldybės bei valstybės perduotų funkcijų įgyvendinimą Joniškio rajono savivaldybėje“.</w:t>
                  </w:r>
                </w:p>
              </w:sdtContent>
            </w:sdt>
            <w:sdt>
              <w:sdtPr>
                <w:alias w:val="4 p."/>
                <w:tag w:val="part_c9093ac818f04c339c33af9ecf6cedb4"/>
                <w:lock w:val="sdtLocked"/>
                <w:richText/>
              </w:sdtPr>
              <w:sdtContent>
                <w:p w14:paraId="6222832B" w14:textId="1B7363FF">
                  <w:pPr>
                    <w:ind w:firstLine="709"/>
                    <w:jc w:val="both"/>
                    <w:rPr>
                      <w:b/>
                      <w:szCs w:val="24"/>
                      <w:lang w:eastAsia="lt-LT"/>
                    </w:rPr>
                  </w:pPr>
                  <w:sdt>
                    <w:sdtPr>
                      <w:alias w:val="Numeris"/>
                      <w:tag w:val="nr_c9093ac818f04c339c33af9ecf6cedb4"/>
                      <w:lock w:val="sdtLocked"/>
                      <w:richText/>
                    </w:sdtPr>
                    <w:sdtContent>
                      <w:r>
                        <w:rPr>
                          <w:b/>
                          <w:szCs w:val="24"/>
                          <w:lang w:eastAsia="lt-LT"/>
                        </w:rPr>
                        <w:t>4</w:t>
                      </w:r>
                    </w:sdtContent>
                  </w:sdt>
                  <w:r>
                    <w:rPr>
                      <w:b/>
                      <w:szCs w:val="24"/>
                      <w:lang w:eastAsia="lt-LT"/>
                    </w:rPr>
                    <w:t>. Kaip šiuo metų teisiškai reglamentuojami projekte aptariami klausimai?</w:t>
                  </w:r>
                </w:p>
                <w:p w14:paraId="7F65F98A" w14:textId="77777777">
                  <w:pPr>
                    <w:jc w:val="both"/>
                    <w:rPr>
                      <w:b/>
                      <w:bCs/>
                      <w:color w:val="000000"/>
                      <w:szCs w:val="24"/>
                      <w:lang w:eastAsia="lt-LT"/>
                    </w:rPr>
                  </w:pPr>
                </w:p>
              </w:sdtContent>
            </w:sdt>
            <w:sdt>
              <w:sdtPr>
                <w:alias w:val="poskyris"/>
                <w:tag w:val="part_3164fc41507347ddac8f5c33adecd515"/>
                <w:lock w:val="sdtLocked"/>
                <w:richText/>
              </w:sdtPr>
              <w:sdtContent>
                <w:p w14:paraId="7B6C0977" w14:textId="35B79626">
                  <w:pPr>
                    <w:jc w:val="both"/>
                    <w:rPr>
                      <w:b/>
                      <w:bCs/>
                      <w:color w:val="000000"/>
                      <w:szCs w:val="24"/>
                      <w:lang w:eastAsia="lt-LT"/>
                    </w:rPr>
                  </w:pPr>
                  <w:sdt>
                    <w:sdtPr>
                      <w:alias w:val="Pavadinimas"/>
                      <w:tag w:val="title_3164fc41507347ddac8f5c33adecd515"/>
                      <w:lock w:val="sdtLocked"/>
                      <w:richText/>
                    </w:sdtPr>
                    <w:sdtContent>
                      <w:r>
                        <w:rPr>
                          <w:b/>
                          <w:bCs/>
                          <w:color w:val="000000"/>
                          <w:szCs w:val="24"/>
                          <w:lang w:eastAsia="lt-LT"/>
                        </w:rPr>
                        <w:t xml:space="preserve">Lietuvos Respublikos vietos savivaldos įstatymas: </w:t>
                      </w:r>
                    </w:sdtContent>
                  </w:sdt>
                </w:p>
                <w:p w14:paraId="6BD5BA82" w14:textId="77777777">
                  <w:pPr>
                    <w:ind w:firstLine="851"/>
                    <w:jc w:val="both"/>
                    <w:rPr>
                      <w:szCs w:val="24"/>
                      <w:lang w:eastAsia="lt-LT"/>
                    </w:rPr>
                  </w:pPr>
                  <w:r>
                    <w:rPr>
                      <w:color w:val="000000"/>
                      <w:szCs w:val="24"/>
                      <w:lang w:eastAsia="lt-LT"/>
                    </w:rPr>
                    <w:t>6 straipsnio 27 punkte nurodoma, kad</w:t>
                  </w:r>
                  <w:r>
                    <w:rPr>
                      <w:szCs w:val="24"/>
                      <w:lang w:eastAsia="ar-SA"/>
                    </w:rPr>
                    <w:t xml:space="preserve"> </w:t>
                  </w:r>
                  <w:r>
                    <w:rPr>
                      <w:szCs w:val="24"/>
                      <w:lang w:eastAsia="lt-LT"/>
                    </w:rPr>
                    <w:t xml:space="preserve">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 xml:space="preserve"> yra savarankiškoji savivaldybės funkcija. </w:t>
                  </w:r>
                </w:p>
                <w:p w14:paraId="016108B6" w14:textId="77777777">
                  <w:pPr>
                    <w:ind w:firstLine="720"/>
                    <w:jc w:val="both"/>
                    <w:rPr>
                      <w:bCs/>
                      <w:szCs w:val="24"/>
                      <w:lang w:eastAsia="lt-LT"/>
                    </w:rPr>
                  </w:pPr>
                  <w:r>
                    <w:rPr>
                      <w:szCs w:val="24"/>
                      <w:lang w:eastAsia="ar-SA"/>
                    </w:rPr>
                    <w:t xml:space="preserve">15 straipsnio 2 dalies 26 punkte nurodoma, kad </w:t>
                  </w:r>
                  <w:r>
                    <w:rPr>
                      <w:bCs/>
                      <w:szCs w:val="24"/>
                      <w:lang w:eastAsia="lt-LT"/>
                    </w:rPr>
                    <w:t xml:space="preserve">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 yra išimtinė savivaldybės tarybos kompetencija </w:t>
                  </w:r>
                </w:p>
                <w:p w14:paraId="0297EEC9" w14:textId="77777777">
                  <w:pPr>
                    <w:tabs>
                      <w:tab w:val="left" w:pos="142"/>
                      <w:tab w:val="left" w:pos="993"/>
                    </w:tabs>
                    <w:jc w:val="both"/>
                    <w:rPr>
                      <w:szCs w:val="24"/>
                      <w:lang w:eastAsia="lt-LT"/>
                    </w:rPr>
                  </w:pPr>
                </w:p>
                <w:p w14:paraId="19B03F22" w14:textId="77777777">
                  <w:pPr>
                    <w:tabs>
                      <w:tab w:val="left" w:pos="142"/>
                      <w:tab w:val="left" w:pos="993"/>
                    </w:tabs>
                    <w:ind w:firstLine="851"/>
                    <w:jc w:val="both"/>
                    <w:rPr>
                      <w:szCs w:val="24"/>
                      <w:lang w:eastAsia="lt-LT"/>
                    </w:rPr>
                  </w:pPr>
                  <w:r>
                    <w:rPr>
                      <w:szCs w:val="24"/>
                      <w:lang w:eastAsia="lt-LT"/>
                    </w:rPr>
                    <w:t>Lietuvos Respublikos vidaus reikalų ministro 2011 m. sausio 25 d. įsakymas Nr. 1V-57 „</w:t>
                  </w:r>
                  <w:r>
                    <w:rPr>
                      <w:bCs/>
                      <w:color w:val="000000"/>
                      <w:szCs w:val="24"/>
                      <w:lang w:eastAsia="lt-LT"/>
                    </w:rPr>
                    <w:t>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w:t>
                  </w:r>
                  <w:r>
                    <w:rPr>
                      <w:szCs w:val="24"/>
                      <w:lang w:eastAsia="lt-LT"/>
                    </w:rPr>
                    <w:t>“ patvirtinto Pavadinimų gatvėms, pastatams, statiniams ir kitiems objektams suteikimo, keitimo ir įtraukimo į apskaitą tvarkos aprašo 5 punktu, kuriame nurodoma, kad suteikus gatvėms pavadinimus ir juos įregistravus Lietuvos Respublikos adresų registre (toliau-Adresų registras), numeriai žemės sklypams, kuriuose leidžiama pastatų statyba ir pastatams, pastatų kompleksams (toliau-pastatai ir jų kompleksai), suteikiami nedelsiant bet ne vėliau, kaip per mėnesį.</w:t>
                  </w:r>
                </w:p>
                <w:p w14:paraId="1972BD7A" w14:textId="77777777">
                  <w:pPr>
                    <w:tabs>
                      <w:tab w:val="left" w:pos="142"/>
                      <w:tab w:val="left" w:pos="993"/>
                    </w:tabs>
                    <w:spacing w:line="276" w:lineRule="auto"/>
                    <w:ind w:firstLine="851"/>
                    <w:jc w:val="both"/>
                    <w:rPr>
                      <w:szCs w:val="24"/>
                      <w:lang w:eastAsia="lt-LT"/>
                    </w:rPr>
                  </w:pPr>
                </w:p>
                <w:p w14:paraId="61DBAC66" w14:textId="77777777">
                  <w:pPr>
                    <w:tabs>
                      <w:tab w:val="left" w:pos="142"/>
                      <w:tab w:val="left" w:pos="993"/>
                    </w:tabs>
                    <w:spacing w:line="276" w:lineRule="auto"/>
                    <w:ind w:firstLine="851"/>
                    <w:jc w:val="both"/>
                    <w:rPr>
                      <w:szCs w:val="24"/>
                      <w:lang w:eastAsia="lt-LT"/>
                    </w:rPr>
                  </w:pPr>
                  <w:r>
                    <w:rPr>
                      <w:szCs w:val="24"/>
                      <w:lang w:eastAsia="lt-LT"/>
                    </w:rPr>
                    <w:t xml:space="preserve">Lietuvos Respublikos Vyriausybės  2023 m. rugpjūčio 30 d. nutarimas Nr. 702 „Dėl Joniškio rajono savivaldybės gyvenamųjų vietovių teritorijų ribų ir pavadinimų tvarkymo“, kuriame pagal išdėstytus pasiūlymus ir įvertintus vietos gyventojų nuomonę, buvo pakeistos gyvenamųjų vietovių ribos.</w:t>
                  </w:r>
                </w:p>
                <w:p w14:paraId="7C20948C" w14:textId="77777777">
                  <w:pPr>
                    <w:jc w:val="both"/>
                    <w:rPr>
                      <w:szCs w:val="24"/>
                      <w:lang w:eastAsia="ar-SA"/>
                    </w:rPr>
                  </w:pPr>
                </w:p>
                <w:sdt>
                  <w:sdtPr>
                    <w:alias w:val="5 p."/>
                    <w:tag w:val="part_43fbe53ac22e45d2bfa456ee65c5e8cd"/>
                    <w:lock w:val="sdtLocked"/>
                    <w:richText/>
                  </w:sdtPr>
                  <w:sdtContent>
                    <w:p w14:paraId="502CD4E7" w14:textId="77777777">
                      <w:pPr>
                        <w:ind w:firstLine="720"/>
                        <w:jc w:val="both"/>
                        <w:rPr>
                          <w:b/>
                          <w:szCs w:val="24"/>
                          <w:lang w:eastAsia="lt-LT"/>
                        </w:rPr>
                      </w:pPr>
                      <w:sdt>
                        <w:sdtPr>
                          <w:alias w:val="Numeris"/>
                          <w:tag w:val="nr_43fbe53ac22e45d2bfa456ee65c5e8cd"/>
                          <w:lock w:val="sdtLocked"/>
                          <w:richText/>
                        </w:sdtPr>
                        <w:sdtContent>
                          <w:r>
                            <w:rPr>
                              <w:b/>
                              <w:szCs w:val="24"/>
                              <w:lang w:eastAsia="lt-LT"/>
                            </w:rPr>
                            <w:t>5</w:t>
                          </w:r>
                        </w:sdtContent>
                      </w:sdt>
                      <w:r>
                        <w:rPr>
                          <w:b/>
                          <w:szCs w:val="24"/>
                          <w:lang w:eastAsia="lt-LT"/>
                        </w:rPr>
                        <w:t xml:space="preserve">. Projekte siūlomos naujos reglamentavimo nuostatos. </w:t>
                      </w:r>
                    </w:p>
                    <w:p w14:paraId="0EFA3DB2" w14:textId="21A60B3C">
                      <w:pPr>
                        <w:tabs>
                          <w:tab w:val="left" w:pos="900"/>
                        </w:tabs>
                        <w:ind w:firstLine="851"/>
                        <w:jc w:val="both"/>
                        <w:rPr>
                          <w:szCs w:val="24"/>
                          <w:lang w:eastAsia="lt-LT"/>
                        </w:rPr>
                      </w:pPr>
                      <w:r>
                        <w:rPr>
                          <w:szCs w:val="24"/>
                          <w:lang w:eastAsia="lt-LT"/>
                        </w:rPr>
                        <w:t xml:space="preserve">Naujų teisinio reglamentavimo nuostatų nėra siūloma.      </w:t>
                      </w:r>
                    </w:p>
                  </w:sdtContent>
                </w:sdt>
                <w:sdt>
                  <w:sdtPr>
                    <w:alias w:val="6 p."/>
                    <w:tag w:val="part_78a1d62ef6c2414dbca7536fd3eee149"/>
                    <w:lock w:val="sdtLocked"/>
                    <w:richText/>
                  </w:sdtPr>
                  <w:sdtContent>
                    <w:p w14:paraId="7BE94B84" w14:textId="77777777">
                      <w:pPr>
                        <w:ind w:firstLine="720"/>
                        <w:jc w:val="both"/>
                        <w:rPr>
                          <w:szCs w:val="24"/>
                          <w:lang w:eastAsia="lt-LT"/>
                        </w:rPr>
                      </w:pPr>
                      <w:sdt>
                        <w:sdtPr>
                          <w:alias w:val="Numeris"/>
                          <w:tag w:val="nr_78a1d62ef6c2414dbca7536fd3eee149"/>
                          <w:lock w:val="sdtLocked"/>
                          <w:richText/>
                        </w:sdtPr>
                        <w:sdtContent>
                          <w:r>
                            <w:rPr>
                              <w:b/>
                              <w:szCs w:val="24"/>
                              <w:lang w:eastAsia="lt-LT"/>
                            </w:rPr>
                            <w:t>6</w:t>
                          </w:r>
                        </w:sdtContent>
                      </w:sdt>
                      <w:r>
                        <w:rPr>
                          <w:b/>
                          <w:szCs w:val="24"/>
                          <w:lang w:eastAsia="lt-LT"/>
                        </w:rPr>
                        <w:t>. Naujai reglamentuotų klausimų teigiamos savybės ir kokių teigiamų rezultatų laukiama.</w:t>
                      </w:r>
                      <w:r>
                        <w:rPr>
                          <w:szCs w:val="24"/>
                          <w:lang w:eastAsia="lt-LT"/>
                        </w:rPr>
                        <w:t xml:space="preserve"> </w:t>
                      </w:r>
                    </w:p>
                    <w:p w14:paraId="4E14AAE1" w14:textId="45EF7404">
                      <w:pPr>
                        <w:tabs>
                          <w:tab w:val="left" w:pos="900"/>
                        </w:tabs>
                        <w:ind w:firstLine="851"/>
                        <w:jc w:val="both"/>
                        <w:rPr>
                          <w:szCs w:val="24"/>
                          <w:lang w:eastAsia="lt-LT"/>
                        </w:rPr>
                      </w:pPr>
                      <w:r>
                        <w:rPr>
                          <w:szCs w:val="24"/>
                          <w:lang w:eastAsia="lt-LT"/>
                        </w:rPr>
                        <w:t>Pritarus sprendimo projektui, Joniškio rajono savivaldybės administracija, galės pradėti organizuoti esamos gatvės pavadinimo panaikinimo bei esamos gatvės pratęsimo tolimesnes procedūras ir pakeisti adresus.</w:t>
                      </w:r>
                    </w:p>
                  </w:sdtContent>
                </w:sdt>
                <w:sdt>
                  <w:sdtPr>
                    <w:alias w:val="7 p."/>
                    <w:tag w:val="part_c67342c484734eae9acd1cdd7e32617c"/>
                    <w:lock w:val="sdtLocked"/>
                    <w:richText/>
                  </w:sdtPr>
                  <w:sdtContent>
                    <w:p w14:paraId="14F627F1" w14:textId="77777777">
                      <w:pPr>
                        <w:ind w:firstLine="720"/>
                        <w:jc w:val="both"/>
                        <w:rPr>
                          <w:b/>
                          <w:szCs w:val="24"/>
                          <w:lang w:eastAsia="lt-LT"/>
                        </w:rPr>
                      </w:pPr>
                      <w:sdt>
                        <w:sdtPr>
                          <w:alias w:val="Numeris"/>
                          <w:tag w:val="nr_c67342c484734eae9acd1cdd7e32617c"/>
                          <w:lock w:val="sdtLocked"/>
                          <w:richText/>
                        </w:sdtPr>
                        <w:sdtContent>
                          <w:r>
                            <w:rPr>
                              <w:b/>
                              <w:szCs w:val="24"/>
                              <w:lang w:eastAsia="lt-LT"/>
                            </w:rPr>
                            <w:t>7</w:t>
                          </w:r>
                        </w:sdtContent>
                      </w:sdt>
                      <w:r>
                        <w:rPr>
                          <w:b/>
                          <w:szCs w:val="24"/>
                          <w:lang w:eastAsia="lt-LT"/>
                        </w:rPr>
                        <w:t xml:space="preserve">. Galimos neigiamos naujai reglamentuotų klausimų pasekmės ir priemonės, kurių reikėtų imtis, kad jų būtų galima išvengti. </w:t>
                      </w:r>
                    </w:p>
                    <w:p w14:paraId="61E214FD" w14:textId="688D6F5D">
                      <w:pPr>
                        <w:ind w:firstLine="720"/>
                        <w:jc w:val="both"/>
                        <w:rPr>
                          <w:szCs w:val="24"/>
                          <w:lang w:eastAsia="lt-LT"/>
                        </w:rPr>
                      </w:pPr>
                      <w:r>
                        <w:rPr>
                          <w:szCs w:val="24"/>
                          <w:lang w:eastAsia="lt-LT"/>
                        </w:rPr>
                        <w:t>Neigiamų pasekmių neprognozuojama.</w:t>
                      </w:r>
                    </w:p>
                  </w:sdtContent>
                </w:sdt>
                <w:sdt>
                  <w:sdtPr>
                    <w:alias w:val="8 p."/>
                    <w:tag w:val="part_56a80398f1aa4fada7fb23792243a1fc"/>
                    <w:lock w:val="sdtLocked"/>
                    <w:richText/>
                  </w:sdtPr>
                  <w:sdtContent>
                    <w:p w14:paraId="394C0F78" w14:textId="77777777">
                      <w:pPr>
                        <w:ind w:left="720"/>
                        <w:jc w:val="both"/>
                        <w:rPr>
                          <w:szCs w:val="24"/>
                          <w:lang w:eastAsia="lt-LT"/>
                        </w:rPr>
                      </w:pPr>
                      <w:sdt>
                        <w:sdtPr>
                          <w:alias w:val="Numeris"/>
                          <w:tag w:val="nr_56a80398f1aa4fada7fb23792243a1fc"/>
                          <w:lock w:val="sdtLocked"/>
                          <w:richText/>
                        </w:sdtPr>
                        <w:sdtContent>
                          <w:r>
                            <w:rPr>
                              <w:b/>
                              <w:szCs w:val="24"/>
                              <w:lang w:eastAsia="lt-LT"/>
                            </w:rPr>
                            <w:t>8</w:t>
                          </w:r>
                        </w:sdtContent>
                      </w:sdt>
                      <w:r>
                        <w:rPr>
                          <w:b/>
                          <w:szCs w:val="24"/>
                          <w:lang w:eastAsia="lt-LT"/>
                        </w:rPr>
                        <w:t>. Galiojantys teisės aktai, kuriuos būtina pakeisti ar panaikinti, priėmus sprendimą.</w:t>
                      </w:r>
                      <w:r>
                        <w:rPr>
                          <w:szCs w:val="24"/>
                          <w:lang w:eastAsia="lt-LT"/>
                        </w:rPr>
                        <w:t xml:space="preserve"> Nėra.</w:t>
                      </w:r>
                    </w:p>
                  </w:sdtContent>
                </w:sdt>
                <w:sdt>
                  <w:sdtPr>
                    <w:alias w:val="9 p."/>
                    <w:tag w:val="part_bb6f385ded26416bbe59d5ca368f62e3"/>
                    <w:lock w:val="sdtLocked"/>
                    <w:richText/>
                  </w:sdtPr>
                  <w:sdtContent>
                    <w:p w14:paraId="051B9BFE" w14:textId="77777777">
                      <w:pPr>
                        <w:ind w:firstLine="720"/>
                        <w:jc w:val="both"/>
                        <w:rPr>
                          <w:szCs w:val="24"/>
                          <w:lang w:eastAsia="lt-LT"/>
                        </w:rPr>
                      </w:pPr>
                      <w:sdt>
                        <w:sdtPr>
                          <w:alias w:val="Numeris"/>
                          <w:tag w:val="nr_bb6f385ded26416bbe59d5ca368f62e3"/>
                          <w:lock w:val="sdtLocked"/>
                          <w:richText/>
                        </w:sdtPr>
                        <w:sdtContent>
                          <w:r>
                            <w:rPr>
                              <w:b/>
                              <w:szCs w:val="24"/>
                              <w:lang w:eastAsia="lt-LT"/>
                            </w:rPr>
                            <w:t>9</w:t>
                          </w:r>
                        </w:sdtContent>
                      </w:sdt>
                      <w:r>
                        <w:rPr>
                          <w:b/>
                          <w:szCs w:val="24"/>
                          <w:lang w:eastAsia="lt-LT"/>
                        </w:rPr>
                        <w:t>. Projekto įgyvendinimo išlaidos.</w:t>
                      </w:r>
                      <w:r>
                        <w:rPr>
                          <w:szCs w:val="24"/>
                          <w:lang w:eastAsia="lt-LT"/>
                        </w:rPr>
                        <w:t xml:space="preserve"> </w:t>
                      </w:r>
                    </w:p>
                    <w:p w14:paraId="18496918" w14:textId="795995DE">
                      <w:pPr>
                        <w:ind w:firstLine="720"/>
                        <w:jc w:val="both"/>
                        <w:rPr>
                          <w:szCs w:val="24"/>
                          <w:lang w:eastAsia="lt-LT"/>
                        </w:rPr>
                      </w:pPr>
                      <w:r>
                        <w:rPr>
                          <w:szCs w:val="24"/>
                          <w:lang w:eastAsia="lt-LT"/>
                        </w:rPr>
                        <w:t xml:space="preserve">Nėra.  </w:t>
                      </w:r>
                    </w:p>
                  </w:sdtContent>
                </w:sdt>
                <w:sdt>
                  <w:sdtPr>
                    <w:alias w:val="10 p."/>
                    <w:tag w:val="part_8c60c048b84d43a9b89725ce035062b0"/>
                    <w:lock w:val="sdtLocked"/>
                    <w:richText/>
                  </w:sdtPr>
                  <w:sdtContent>
                    <w:p w14:paraId="7A785365" w14:textId="182F525A">
                      <w:pPr>
                        <w:ind w:firstLine="720"/>
                        <w:jc w:val="both"/>
                        <w:rPr>
                          <w:b/>
                          <w:szCs w:val="24"/>
                          <w:lang w:eastAsia="lt-LT"/>
                        </w:rPr>
                      </w:pPr>
                      <w:sdt>
                        <w:sdtPr>
                          <w:alias w:val="Numeris"/>
                          <w:tag w:val="nr_8c60c048b84d43a9b89725ce035062b0"/>
                          <w:lock w:val="sdtLocked"/>
                          <w:richText/>
                        </w:sdtPr>
                        <w:sdtContent>
                          <w:r>
                            <w:rPr>
                              <w:b/>
                              <w:szCs w:val="24"/>
                              <w:lang w:eastAsia="lt-LT"/>
                            </w:rPr>
                            <w:t>10</w:t>
                          </w:r>
                        </w:sdtContent>
                      </w:sdt>
                      <w:r>
                        <w:rPr>
                          <w:b/>
                          <w:szCs w:val="24"/>
                          <w:lang w:eastAsia="lt-LT"/>
                        </w:rPr>
                        <w:t xml:space="preserve">. Socialinės grupės ir (ar) visuomeninės organizacijos, su kuriomis buvo konsultuotasi. </w:t>
                      </w:r>
                    </w:p>
                    <w:p w14:paraId="75B24A40" w14:textId="71D441BF">
                      <w:pPr>
                        <w:ind w:firstLine="720"/>
                        <w:jc w:val="both"/>
                        <w:rPr>
                          <w:bCs/>
                          <w:szCs w:val="24"/>
                          <w:lang w:eastAsia="lt-LT"/>
                        </w:rPr>
                      </w:pPr>
                      <w:r>
                        <w:rPr>
                          <w:bCs/>
                          <w:szCs w:val="24"/>
                          <w:lang w:eastAsia="lt-LT"/>
                        </w:rPr>
                        <w:t>Nėra.</w:t>
                      </w:r>
                    </w:p>
                  </w:sdtContent>
                </w:sdt>
                <w:sdt>
                  <w:sdtPr>
                    <w:alias w:val="11 p."/>
                    <w:tag w:val="part_eefc64848bea41119fd6fc18a20ced32"/>
                    <w:lock w:val="sdtLocked"/>
                    <w:richText/>
                  </w:sdtPr>
                  <w:sdtContent>
                    <w:p w14:paraId="33F63DA5" w14:textId="77417B75">
                      <w:pPr>
                        <w:ind w:firstLine="720"/>
                        <w:jc w:val="both"/>
                        <w:rPr>
                          <w:b/>
                          <w:szCs w:val="24"/>
                          <w:lang w:eastAsia="lt-LT"/>
                        </w:rPr>
                      </w:pPr>
                      <w:sdt>
                        <w:sdtPr>
                          <w:alias w:val="Numeris"/>
                          <w:tag w:val="nr_eefc64848bea41119fd6fc18a20ced32"/>
                          <w:lock w:val="sdtLocked"/>
                          <w:richText/>
                        </w:sdtPr>
                        <w:sdtContent>
                          <w:r>
                            <w:rPr>
                              <w:b/>
                              <w:szCs w:val="24"/>
                              <w:lang w:eastAsia="lt-LT"/>
                            </w:rPr>
                            <w:t>11</w:t>
                          </w:r>
                        </w:sdtContent>
                      </w:sdt>
                      <w:r>
                        <w:rPr>
                          <w:b/>
                          <w:szCs w:val="24"/>
                          <w:lang w:eastAsia="lt-LT"/>
                        </w:rPr>
                        <w:t xml:space="preserve">. Ar priėmus sprendimą, reikia skelbti informacinį pranešimą spaudoje? </w:t>
                      </w:r>
                    </w:p>
                    <w:p w14:paraId="3E349FBB" w14:textId="38F8DBD5">
                      <w:pPr>
                        <w:ind w:left="720"/>
                        <w:jc w:val="both"/>
                        <w:rPr>
                          <w:szCs w:val="24"/>
                          <w:lang w:eastAsia="lt-LT"/>
                        </w:rPr>
                      </w:pPr>
                      <w:r>
                        <w:rPr>
                          <w:szCs w:val="24"/>
                          <w:lang w:eastAsia="lt-LT"/>
                        </w:rPr>
                        <w:t xml:space="preserve">Nereikia. </w:t>
                      </w:r>
                    </w:p>
                  </w:sdtContent>
                </w:sdt>
                <w:sdt>
                  <w:sdtPr>
                    <w:alias w:val="12 p."/>
                    <w:tag w:val="part_c5d068206bb34cb58679b2f2eb3a957b"/>
                    <w:lock w:val="sdtLocked"/>
                    <w:richText/>
                  </w:sdtPr>
                  <w:sdtContent>
                    <w:p w14:paraId="7781B38A" w14:textId="77777777">
                      <w:pPr>
                        <w:ind w:firstLine="720"/>
                        <w:jc w:val="both"/>
                        <w:rPr>
                          <w:b/>
                          <w:szCs w:val="24"/>
                          <w:lang w:eastAsia="lt-LT"/>
                        </w:rPr>
                      </w:pPr>
                      <w:sdt>
                        <w:sdtPr>
                          <w:alias w:val="Numeris"/>
                          <w:tag w:val="nr_c5d068206bb34cb58679b2f2eb3a957b"/>
                          <w:lock w:val="sdtLocked"/>
                          <w:richText/>
                        </w:sdtPr>
                        <w:sdtContent>
                          <w:r>
                            <w:rPr>
                              <w:b/>
                              <w:bCs/>
                              <w:szCs w:val="24"/>
                              <w:lang w:eastAsia="lt-LT"/>
                            </w:rPr>
                            <w:t>12</w:t>
                          </w:r>
                        </w:sdtContent>
                      </w:sdt>
                      <w:r>
                        <w:rPr>
                          <w:b/>
                          <w:bCs/>
                          <w:szCs w:val="24"/>
                          <w:lang w:eastAsia="lt-LT"/>
                        </w:rPr>
                        <w:t xml:space="preserve">. </w:t>
                      </w:r>
                      <w:r>
                        <w:rPr>
                          <w:b/>
                          <w:szCs w:val="24"/>
                          <w:lang w:eastAsia="lt-LT"/>
                        </w:rPr>
                        <w:t xml:space="preserve">Ar būtina sprendimą paskelbti Teisės aktų registre, kad jis įsigaliotų (jei tai yra norminis administracinis teisės aktas)? </w:t>
                      </w:r>
                    </w:p>
                    <w:p w14:paraId="52F33044" w14:textId="7DFB76E4">
                      <w:pPr>
                        <w:ind w:firstLine="720"/>
                        <w:jc w:val="both"/>
                        <w:rPr>
                          <w:szCs w:val="24"/>
                          <w:lang w:eastAsia="lt-LT"/>
                        </w:rPr>
                      </w:pPr>
                      <w:r>
                        <w:rPr>
                          <w:szCs w:val="24"/>
                          <w:lang w:eastAsia="lt-LT"/>
                        </w:rPr>
                        <w:t>Taip.</w:t>
                      </w:r>
                    </w:p>
                  </w:sdtContent>
                </w:sdt>
                <w:sdt>
                  <w:sdtPr>
                    <w:alias w:val="13 p."/>
                    <w:tag w:val="part_51f7568695974c6d9ff4c61c3c54ddda"/>
                    <w:lock w:val="sdtLocked"/>
                    <w:richText/>
                  </w:sdtPr>
                  <w:sdtContent>
                    <w:p w14:paraId="0F22AD05" w14:textId="77777777">
                      <w:pPr>
                        <w:tabs>
                          <w:tab w:val="left" w:pos="993"/>
                        </w:tabs>
                        <w:ind w:firstLine="709"/>
                        <w:jc w:val="both"/>
                        <w:rPr>
                          <w:b/>
                          <w:szCs w:val="24"/>
                          <w:lang w:eastAsia="lt-LT"/>
                        </w:rPr>
                      </w:pPr>
                      <w:sdt>
                        <w:sdtPr>
                          <w:alias w:val="Numeris"/>
                          <w:tag w:val="nr_51f7568695974c6d9ff4c61c3c54ddda"/>
                          <w:lock w:val="sdtLocked"/>
                          <w:richText/>
                        </w:sdtPr>
                        <w:sdtContent>
                          <w:r>
                            <w:rPr>
                              <w:b/>
                              <w:szCs w:val="24"/>
                              <w:lang w:eastAsia="lt-LT"/>
                            </w:rPr>
                            <w:t>13</w:t>
                          </w:r>
                        </w:sdtContent>
                      </w:sdt>
                      <w:r>
                        <w:rPr>
                          <w:b/>
                          <w:szCs w:val="24"/>
                          <w:lang w:eastAsia="lt-LT"/>
                        </w:rPr>
                        <w:t xml:space="preserve">. Priimto sprendimo įvykdymo terminas ir už vykdymą atsakingas asmuo (savivaldybės administracijos struktūrinis padalinys). </w:t>
                      </w:r>
                    </w:p>
                    <w:p w14:paraId="58823ACD" w14:textId="207450C6">
                      <w:pPr>
                        <w:tabs>
                          <w:tab w:val="left" w:pos="993"/>
                        </w:tabs>
                        <w:ind w:firstLine="709"/>
                        <w:jc w:val="both"/>
                        <w:rPr>
                          <w:szCs w:val="24"/>
                          <w:lang w:eastAsia="lt-LT"/>
                        </w:rPr>
                      </w:pPr>
                      <w:r>
                        <w:rPr>
                          <w:bCs/>
                          <w:szCs w:val="24"/>
                          <w:lang w:eastAsia="lt-LT"/>
                        </w:rPr>
                        <w:t xml:space="preserve">Už sprendimo vykdymą atsakingas JRS administracijos struktūrinis padalinys – Architektūros ir teritorijų planavimo skyrius. </w:t>
                      </w:r>
                      <w:r>
                        <w:rPr>
                          <w:szCs w:val="24"/>
                          <w:lang w:eastAsia="lt-LT"/>
                        </w:rPr>
                        <w:t>Sprendimo įvykdymo terminas – 2024 metai.</w:t>
                      </w:r>
                    </w:p>
                  </w:sdtContent>
                </w:sdt>
                <w:sdt>
                  <w:sdtPr>
                    <w:alias w:val="14 p."/>
                    <w:tag w:val="part_b1c5b195427244cc8c75ab88d4c01a3b"/>
                    <w:lock w:val="sdtLocked"/>
                    <w:richText/>
                  </w:sdtPr>
                  <w:sdtContent>
                    <w:p w14:paraId="7F7DCE34" w14:textId="77777777">
                      <w:pPr>
                        <w:ind w:firstLine="720"/>
                        <w:jc w:val="both"/>
                        <w:rPr>
                          <w:b/>
                          <w:szCs w:val="24"/>
                          <w:lang w:eastAsia="lt-LT"/>
                        </w:rPr>
                      </w:pPr>
                      <w:sdt>
                        <w:sdtPr>
                          <w:alias w:val="Numeris"/>
                          <w:tag w:val="nr_b1c5b195427244cc8c75ab88d4c01a3b"/>
                          <w:lock w:val="sdtLocked"/>
                          <w:richText/>
                        </w:sdtPr>
                        <w:sdtContent>
                          <w:r>
                            <w:rPr>
                              <w:b/>
                              <w:szCs w:val="24"/>
                              <w:lang w:eastAsia="lt-LT"/>
                            </w:rPr>
                            <w:t>14</w:t>
                          </w:r>
                        </w:sdtContent>
                      </w:sdt>
                      <w:r>
                        <w:rPr>
                          <w:b/>
                          <w:szCs w:val="24"/>
                          <w:lang w:eastAsia="lt-LT"/>
                        </w:rPr>
                        <w:t xml:space="preserve">. Išvada dėl sprendimo įtakos korupcijai. </w:t>
                      </w:r>
                    </w:p>
                    <w:p w14:paraId="454551A9" w14:textId="7B34E851">
                      <w:pPr>
                        <w:ind w:firstLine="720"/>
                        <w:jc w:val="both"/>
                        <w:rPr>
                          <w:szCs w:val="24"/>
                          <w:lang w:eastAsia="lt-LT"/>
                        </w:rPr>
                      </w:pPr>
                      <w:r>
                        <w:rPr>
                          <w:szCs w:val="24"/>
                          <w:lang w:eastAsia="lt-LT"/>
                        </w:rPr>
                        <w:t xml:space="preserve">Nebūtina. </w:t>
                      </w:r>
                    </w:p>
                  </w:sdtContent>
                </w:sdt>
                <w:sdt>
                  <w:sdtPr>
                    <w:alias w:val="15 p."/>
                    <w:tag w:val="part_8a1b647960b24876bf9609096e025605"/>
                    <w:lock w:val="sdtLocked"/>
                    <w:richText/>
                  </w:sdtPr>
                  <w:sdtContent>
                    <w:p w14:paraId="063668B8" w14:textId="77777777">
                      <w:pPr>
                        <w:ind w:firstLine="720"/>
                        <w:jc w:val="both"/>
                        <w:rPr>
                          <w:szCs w:val="24"/>
                          <w:lang w:eastAsia="lt-LT"/>
                        </w:rPr>
                      </w:pPr>
                      <w:sdt>
                        <w:sdtPr>
                          <w:alias w:val="Numeris"/>
                          <w:tag w:val="nr_8a1b647960b24876bf9609096e025605"/>
                          <w:lock w:val="sdtLocked"/>
                          <w:richText/>
                        </w:sdtPr>
                        <w:sdtContent>
                          <w:r>
                            <w:rPr>
                              <w:b/>
                              <w:bCs/>
                              <w:szCs w:val="24"/>
                              <w:lang w:eastAsia="lt-LT"/>
                            </w:rPr>
                            <w:t>15</w:t>
                          </w:r>
                        </w:sdtContent>
                      </w:sdt>
                      <w:r>
                        <w:rPr>
                          <w:b/>
                          <w:bCs/>
                          <w:szCs w:val="24"/>
                          <w:lang w:eastAsia="lt-LT"/>
                        </w:rPr>
                        <w:t>.</w:t>
                      </w:r>
                      <w:r>
                        <w:rPr>
                          <w:szCs w:val="24"/>
                          <w:lang w:eastAsia="lt-LT"/>
                        </w:rPr>
                        <w:t xml:space="preserve"> </w:t>
                      </w:r>
                      <w:r>
                        <w:rPr>
                          <w:b/>
                          <w:bCs/>
                          <w:szCs w:val="24"/>
                          <w:lang w:eastAsia="lt-LT"/>
                        </w:rPr>
                        <w:t>Numatomo teisinio reguliavimo poveikio vertinimo rezultatai, jei sprendimu numatoma reglamentuoti iki tol nereglamentuotus santykius arba iš esmės keičiamas teisinis reguliavimas.</w:t>
                      </w:r>
                      <w:r>
                        <w:rPr>
                          <w:szCs w:val="24"/>
                          <w:lang w:eastAsia="lt-LT"/>
                        </w:rPr>
                        <w:t xml:space="preserve"> </w:t>
                      </w:r>
                    </w:p>
                    <w:p w14:paraId="5E3DE590" w14:textId="356BDE28">
                      <w:pPr>
                        <w:ind w:firstLine="720"/>
                        <w:jc w:val="both"/>
                        <w:rPr>
                          <w:szCs w:val="24"/>
                          <w:lang w:eastAsia="lt-LT"/>
                        </w:rPr>
                      </w:pPr>
                      <w:r>
                        <w:rPr>
                          <w:szCs w:val="24"/>
                          <w:lang w:eastAsia="lt-LT"/>
                        </w:rPr>
                        <w:t>Nenumatoma.</w:t>
                      </w:r>
                    </w:p>
                  </w:sdtContent>
                </w:sdt>
                <w:sdt>
                  <w:sdtPr>
                    <w:alias w:val="16 p."/>
                    <w:tag w:val="part_d6d9ba94bfd84372af97662f00966371"/>
                    <w:lock w:val="sdtLocked"/>
                    <w:richText/>
                  </w:sdtPr>
                  <w:sdtContent>
                    <w:p w14:paraId="079CABAB" w14:textId="77777777">
                      <w:pPr>
                        <w:ind w:firstLine="720"/>
                        <w:jc w:val="both"/>
                        <w:rPr>
                          <w:b/>
                          <w:bCs/>
                          <w:szCs w:val="24"/>
                          <w:lang w:eastAsia="lt-LT"/>
                        </w:rPr>
                      </w:pPr>
                      <w:sdt>
                        <w:sdtPr>
                          <w:alias w:val="Numeris"/>
                          <w:tag w:val="nr_d6d9ba94bfd84372af97662f00966371"/>
                          <w:lock w:val="sdtLocked"/>
                          <w:richText/>
                        </w:sdtPr>
                        <w:sdtContent>
                          <w:r>
                            <w:rPr>
                              <w:b/>
                              <w:bCs/>
                              <w:szCs w:val="24"/>
                              <w:lang w:eastAsia="lt-LT"/>
                            </w:rPr>
                            <w:t>16</w:t>
                          </w:r>
                        </w:sdtContent>
                      </w:sdt>
                      <w:r>
                        <w:rPr>
                          <w:b/>
                          <w:bCs/>
                          <w:szCs w:val="24"/>
                          <w:lang w:eastAsia="lt-LT"/>
                        </w:rPr>
                        <w:t>. Siūlomas sprendimo projekto pranešėjas komitetų posėdžiuose.</w:t>
                      </w:r>
                    </w:p>
                    <w:p w14:paraId="3634D810" w14:textId="4024828B">
                      <w:pPr>
                        <w:ind w:firstLine="720"/>
                        <w:jc w:val="both"/>
                        <w:rPr>
                          <w:szCs w:val="24"/>
                          <w:lang w:eastAsia="lt-LT"/>
                        </w:rPr>
                      </w:pPr>
                      <w:r>
                        <w:rPr>
                          <w:szCs w:val="24"/>
                          <w:lang w:eastAsia="lt-LT"/>
                        </w:rPr>
                        <w:t>Joniškio rajono savivaldybės vicemerė Vaida Aleknavičienė. Savivaldybės administraciją atstovauja Architektūros ir teritorijų planavimo skyriaus vedėjas Artūras Pališkevičius.</w:t>
                      </w:r>
                    </w:p>
                  </w:sdtContent>
                </w:sdt>
                <w:sdt>
                  <w:sdtPr>
                    <w:alias w:val="17 p."/>
                    <w:tag w:val="part_919fa8f8bf274a7984e932fbb0269ecf"/>
                    <w:lock w:val="sdtLocked"/>
                    <w:richText/>
                  </w:sdtPr>
                  <w:sdtContent>
                    <w:p w14:paraId="7F8B39C1" w14:textId="77777777">
                      <w:pPr>
                        <w:ind w:firstLine="720"/>
                        <w:jc w:val="both"/>
                        <w:rPr>
                          <w:b/>
                          <w:color w:val="000000"/>
                          <w:lang w:eastAsia="lt-LT"/>
                        </w:rPr>
                      </w:pPr>
                      <w:sdt>
                        <w:sdtPr>
                          <w:alias w:val="Numeris"/>
                          <w:tag w:val="nr_919fa8f8bf274a7984e932fbb0269ecf"/>
                          <w:lock w:val="sdtLocked"/>
                          <w:richText/>
                        </w:sdtPr>
                        <w:sdtContent>
                          <w:r>
                            <w:rPr>
                              <w:b/>
                              <w:caps/>
                              <w:color w:val="000000"/>
                              <w:lang w:eastAsia="lt-LT"/>
                            </w:rPr>
                            <w:t>17</w:t>
                          </w:r>
                        </w:sdtContent>
                      </w:sdt>
                      <w:r>
                        <w:rPr>
                          <w:b/>
                          <w:caps/>
                          <w:color w:val="000000"/>
                          <w:lang w:eastAsia="lt-LT"/>
                        </w:rPr>
                        <w:t>. A</w:t>
                      </w:r>
                      <w:r>
                        <w:rPr>
                          <w:b/>
                          <w:color w:val="000000"/>
                          <w:lang w:eastAsia="lt-LT"/>
                        </w:rPr>
                        <w:t>r sprendimo projektas neprieštarauja Lietuvos Respublikos lygių galimybių įstatymui ir atitinka lygių galimybių principus?</w:t>
                      </w:r>
                    </w:p>
                    <w:p w14:paraId="1B33A36B" w14:textId="77777777">
                      <w:pPr>
                        <w:ind w:firstLine="720"/>
                        <w:jc w:val="both"/>
                        <w:rPr>
                          <w:bCs/>
                          <w:color w:val="000000"/>
                          <w:lang w:eastAsia="lt-LT"/>
                        </w:rPr>
                      </w:pPr>
                      <w:r>
                        <w:rPr>
                          <w:color w:val="000000"/>
                          <w:szCs w:val="24"/>
                          <w:lang w:eastAsia="lt-LT"/>
                        </w:rPr>
                        <w:t>Teisės akto projektas neprieštarauja Lietuvos Respublikos lygių galimybių įstatymui ir atitinka lygių galimybių principus.</w:t>
                      </w:r>
                    </w:p>
                  </w:sdtContent>
                </w:sdt>
                <w:sdt>
                  <w:sdtPr>
                    <w:alias w:val="18 p."/>
                    <w:tag w:val="part_edc3590cb3714000ad0b8dcaf777e293"/>
                    <w:lock w:val="sdtLocked"/>
                    <w:richText/>
                  </w:sdtPr>
                  <w:sdtContent>
                    <w:p w14:paraId="2710EE8E" w14:textId="77777777">
                      <w:pPr>
                        <w:ind w:firstLine="720"/>
                        <w:jc w:val="both"/>
                        <w:rPr>
                          <w:b/>
                          <w:bCs/>
                          <w:szCs w:val="24"/>
                          <w:lang w:eastAsia="lt-LT"/>
                        </w:rPr>
                      </w:pPr>
                      <w:sdt>
                        <w:sdtPr>
                          <w:alias w:val="Numeris"/>
                          <w:tag w:val="nr_edc3590cb3714000ad0b8dcaf777e293"/>
                          <w:lock w:val="sdtLocked"/>
                          <w:richText/>
                        </w:sdtPr>
                        <w:sdtContent>
                          <w:r>
                            <w:rPr>
                              <w:b/>
                              <w:bCs/>
                              <w:szCs w:val="24"/>
                              <w:lang w:eastAsia="lt-LT"/>
                            </w:rPr>
                            <w:t>18</w:t>
                          </w:r>
                        </w:sdtContent>
                      </w:sdt>
                      <w:r>
                        <w:rPr>
                          <w:b/>
                          <w:bCs/>
                          <w:szCs w:val="24"/>
                          <w:lang w:eastAsia="lt-LT"/>
                        </w:rPr>
                        <w:t xml:space="preserve">. Kita informacija. </w:t>
                      </w:r>
                    </w:p>
                  </w:sdtContent>
                </w:sdt>
              </w:sdtContent>
            </w:sdt>
            <w:sdt>
              <w:sdtPr>
                <w:alias w:val="poskyris"/>
                <w:tag w:val="part_74c0be0034354f209b8adbb9d228b6cd"/>
                <w:lock w:val="sdtLocked"/>
                <w:richText/>
              </w:sdtPr>
              <w:sdtContent>
                <w:p w14:paraId="4F9C7748" w14:textId="77777777">
                  <w:pPr>
                    <w:ind w:firstLine="720"/>
                    <w:jc w:val="both"/>
                    <w:rPr>
                      <w:b/>
                      <w:bCs/>
                      <w:szCs w:val="24"/>
                      <w:lang w:eastAsia="lt-LT"/>
                    </w:rPr>
                  </w:pPr>
                  <w:sdt>
                    <w:sdtPr>
                      <w:alias w:val="Pavadinimas"/>
                      <w:tag w:val="title_74c0be0034354f209b8adbb9d228b6cd"/>
                      <w:lock w:val="sdtLocked"/>
                      <w:richText/>
                    </w:sdtPr>
                    <w:sdtContent>
                      <w:r>
                        <w:rPr>
                          <w:b/>
                          <w:bCs/>
                          <w:szCs w:val="24"/>
                          <w:lang w:eastAsia="lt-LT"/>
                        </w:rPr>
                        <w:t>Nėra.</w:t>
                      </w:r>
                    </w:sdtContent>
                  </w:sdt>
                </w:p>
                <w:p w14:paraId="27B49B88" w14:textId="77777777">
                  <w:pPr>
                    <w:ind w:firstLine="720"/>
                    <w:jc w:val="both"/>
                    <w:rPr>
                      <w:bCs/>
                      <w:szCs w:val="24"/>
                      <w:lang w:eastAsia="lt-LT"/>
                    </w:rPr>
                  </w:pPr>
                </w:p>
                <w:p w14:paraId="094CAD93" w14:textId="77777777">
                  <w:pPr>
                    <w:ind w:firstLine="720"/>
                    <w:jc w:val="both"/>
                    <w:rPr>
                      <w:bCs/>
                      <w:szCs w:val="24"/>
                      <w:lang w:eastAsia="lt-LT"/>
                    </w:rPr>
                  </w:pPr>
                </w:p>
                <w:p w14:paraId="76BEE6DD" w14:textId="77777777">
                  <w:pPr>
                    <w:ind w:firstLine="720"/>
                    <w:jc w:val="both"/>
                    <w:rPr>
                      <w:bCs/>
                      <w:szCs w:val="24"/>
                      <w:lang w:eastAsia="lt-LT"/>
                    </w:rPr>
                  </w:pPr>
                </w:p>
              </w:sdtContent>
            </w:sdt>
          </w:sdtContent>
        </w:sdt>
        <w:sdt>
          <w:sdtPr>
            <w:alias w:val="signatura"/>
            <w:tag w:val="part_6a6278078b054ec2b5f7fa590c496e32"/>
            <w:lock w:val="sdtLocked"/>
            <w:richText/>
          </w:sdtPr>
          <w:sdtContent>
            <w:p w14:paraId="4AB2E4ED" w14:textId="42B2A3A6">
              <w:pPr>
                <w:tabs>
                  <w:tab w:val="left" w:pos="851"/>
                </w:tabs>
                <w:spacing w:line="276" w:lineRule="auto"/>
                <w:jc w:val="both"/>
                <w:rPr>
                  <w:szCs w:val="24"/>
                  <w:lang w:eastAsia="lt-LT"/>
                </w:rPr>
              </w:pPr>
              <w:r>
                <w:rPr>
                  <w:szCs w:val="24"/>
                  <w:lang w:eastAsia="lt-LT"/>
                </w:rPr>
                <w:t xml:space="preserve">Architektūros ir teritorijų planavimo skyriaus                                                 Dovilė Rudnickienė</w:t>
              </w:r>
            </w:p>
            <w:p w14:paraId="31B6B2F4" w14:textId="5BEDC52E">
              <w:pPr>
                <w:tabs>
                  <w:tab w:val="left" w:pos="0"/>
                </w:tabs>
                <w:spacing w:line="276" w:lineRule="auto"/>
                <w:jc w:val="both"/>
                <w:rPr>
                  <w:szCs w:val="24"/>
                  <w:lang w:eastAsia="lt-LT"/>
                </w:rPr>
              </w:pPr>
              <w:r>
                <w:rPr>
                  <w:szCs w:val="24"/>
                  <w:lang w:eastAsia="lt-LT"/>
                </w:rPr>
                <w:t xml:space="preserve">vyriausioji specialistė                        </w:t>
                <w:tab/>
              </w:r>
            </w:p>
            <w:p w14:paraId="21252B6E" w14:textId="77777777">
              <w:pPr>
                <w:jc w:val="both"/>
                <w:rPr>
                  <w:bCs/>
                  <w:szCs w:val="24"/>
                  <w:lang w:eastAsia="lt-LT"/>
                </w:rPr>
              </w:pPr>
            </w:p>
            <w:p w14:paraId="116E2703" w14:textId="48B59F1A">
              <w:pPr>
                <w:jc w:val="both"/>
                <w:rPr>
                  <w:szCs w:val="24"/>
                  <w:lang w:eastAsia="lt-LT"/>
                </w:rPr>
              </w:pPr>
            </w:p>
          </w:sdtContent>
        </w:sdt>
      </w:sdtContent>
    </w:sdt>
    <w:sectPr>
      <w:pgSz w:w="11906" w:h="16838"/>
      <w:pgMar w:top="851" w:right="567" w:bottom="709"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41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028523"/>
  <w15:chartTrackingRefBased/>
  <w15:docId w15:val="{ADB07723-482B-409F-9FCE-E71C5D34E35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860420">
      <w:bodyDiv w:val="1"/>
      <w:marLeft w:val="0"/>
      <w:marRight w:val="0"/>
      <w:marTop w:val="0"/>
      <w:marBottom w:val="0"/>
      <w:divBdr>
        <w:top w:val="none" w:sz="0" w:space="0" w:color="auto"/>
        <w:left w:val="none" w:sz="0" w:space="0" w:color="auto"/>
        <w:bottom w:val="none" w:sz="0" w:space="0" w:color="auto"/>
        <w:right w:val="none" w:sz="0" w:space="0" w:color="auto"/>
      </w:divBdr>
      <w:divsChild>
        <w:div w:id="1586568261">
          <w:marLeft w:val="0"/>
          <w:marRight w:val="0"/>
          <w:marTop w:val="0"/>
          <w:marBottom w:val="0"/>
          <w:divBdr>
            <w:top w:val="none" w:sz="0" w:space="0" w:color="auto"/>
            <w:left w:val="none" w:sz="0" w:space="0" w:color="auto"/>
            <w:bottom w:val="none" w:sz="0" w:space="0" w:color="auto"/>
            <w:right w:val="none" w:sz="0" w:space="0" w:color="auto"/>
          </w:divBdr>
        </w:div>
      </w:divsChild>
    </w:div>
    <w:div w:id="96409852">
      <w:bodyDiv w:val="1"/>
      <w:marLeft w:val="0"/>
      <w:marRight w:val="0"/>
      <w:marTop w:val="0"/>
      <w:marBottom w:val="0"/>
      <w:divBdr>
        <w:top w:val="none" w:sz="0" w:space="0" w:color="auto"/>
        <w:left w:val="none" w:sz="0" w:space="0" w:color="auto"/>
        <w:bottom w:val="none" w:sz="0" w:space="0" w:color="auto"/>
        <w:right w:val="none" w:sz="0" w:space="0" w:color="auto"/>
      </w:divBdr>
    </w:div>
    <w:div w:id="330916931">
      <w:bodyDiv w:val="1"/>
      <w:marLeft w:val="0"/>
      <w:marRight w:val="0"/>
      <w:marTop w:val="0"/>
      <w:marBottom w:val="0"/>
      <w:divBdr>
        <w:top w:val="none" w:sz="0" w:space="0" w:color="auto"/>
        <w:left w:val="none" w:sz="0" w:space="0" w:color="auto"/>
        <w:bottom w:val="none" w:sz="0" w:space="0" w:color="auto"/>
        <w:right w:val="none" w:sz="0" w:space="0" w:color="auto"/>
      </w:divBdr>
    </w:div>
    <w:div w:id="376511156">
      <w:bodyDiv w:val="1"/>
      <w:marLeft w:val="0"/>
      <w:marRight w:val="0"/>
      <w:marTop w:val="0"/>
      <w:marBottom w:val="0"/>
      <w:divBdr>
        <w:top w:val="none" w:sz="0" w:space="0" w:color="auto"/>
        <w:left w:val="none" w:sz="0" w:space="0" w:color="auto"/>
        <w:bottom w:val="none" w:sz="0" w:space="0" w:color="auto"/>
        <w:right w:val="none" w:sz="0" w:space="0" w:color="auto"/>
      </w:divBdr>
    </w:div>
    <w:div w:id="454300490">
      <w:bodyDiv w:val="1"/>
      <w:marLeft w:val="0"/>
      <w:marRight w:val="0"/>
      <w:marTop w:val="0"/>
      <w:marBottom w:val="0"/>
      <w:divBdr>
        <w:top w:val="none" w:sz="0" w:space="0" w:color="auto"/>
        <w:left w:val="none" w:sz="0" w:space="0" w:color="auto"/>
        <w:bottom w:val="none" w:sz="0" w:space="0" w:color="auto"/>
        <w:right w:val="none" w:sz="0" w:space="0" w:color="auto"/>
      </w:divBdr>
      <w:divsChild>
        <w:div w:id="2051300970">
          <w:marLeft w:val="0"/>
          <w:marRight w:val="0"/>
          <w:marTop w:val="0"/>
          <w:marBottom w:val="0"/>
          <w:divBdr>
            <w:top w:val="none" w:sz="0" w:space="0" w:color="auto"/>
            <w:left w:val="none" w:sz="0" w:space="0" w:color="auto"/>
            <w:bottom w:val="none" w:sz="0" w:space="0" w:color="auto"/>
            <w:right w:val="none" w:sz="0" w:space="0" w:color="auto"/>
          </w:divBdr>
          <w:divsChild>
            <w:div w:id="1400901124">
              <w:marLeft w:val="0"/>
              <w:marRight w:val="0"/>
              <w:marTop w:val="0"/>
              <w:marBottom w:val="0"/>
              <w:divBdr>
                <w:top w:val="none" w:sz="0" w:space="0" w:color="auto"/>
                <w:left w:val="none" w:sz="0" w:space="0" w:color="auto"/>
                <w:bottom w:val="none" w:sz="0" w:space="0" w:color="auto"/>
                <w:right w:val="none" w:sz="0" w:space="0" w:color="auto"/>
              </w:divBdr>
            </w:div>
            <w:div w:id="111019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595170">
      <w:bodyDiv w:val="1"/>
      <w:marLeft w:val="0"/>
      <w:marRight w:val="0"/>
      <w:marTop w:val="0"/>
      <w:marBottom w:val="0"/>
      <w:divBdr>
        <w:top w:val="none" w:sz="0" w:space="0" w:color="auto"/>
        <w:left w:val="none" w:sz="0" w:space="0" w:color="auto"/>
        <w:bottom w:val="none" w:sz="0" w:space="0" w:color="auto"/>
        <w:right w:val="none" w:sz="0" w:space="0" w:color="auto"/>
      </w:divBdr>
      <w:divsChild>
        <w:div w:id="1217622043">
          <w:marLeft w:val="0"/>
          <w:marRight w:val="0"/>
          <w:marTop w:val="0"/>
          <w:marBottom w:val="0"/>
          <w:divBdr>
            <w:top w:val="none" w:sz="0" w:space="0" w:color="auto"/>
            <w:left w:val="none" w:sz="0" w:space="0" w:color="auto"/>
            <w:bottom w:val="none" w:sz="0" w:space="0" w:color="auto"/>
            <w:right w:val="none" w:sz="0" w:space="0" w:color="auto"/>
          </w:divBdr>
          <w:divsChild>
            <w:div w:id="1471246063">
              <w:marLeft w:val="0"/>
              <w:marRight w:val="0"/>
              <w:marTop w:val="0"/>
              <w:marBottom w:val="0"/>
              <w:divBdr>
                <w:top w:val="none" w:sz="0" w:space="0" w:color="auto"/>
                <w:left w:val="none" w:sz="0" w:space="0" w:color="auto"/>
                <w:bottom w:val="none" w:sz="0" w:space="0" w:color="auto"/>
                <w:right w:val="none" w:sz="0" w:space="0" w:color="auto"/>
              </w:divBdr>
            </w:div>
            <w:div w:id="546573758">
              <w:marLeft w:val="0"/>
              <w:marRight w:val="0"/>
              <w:marTop w:val="0"/>
              <w:marBottom w:val="0"/>
              <w:divBdr>
                <w:top w:val="none" w:sz="0" w:space="0" w:color="auto"/>
                <w:left w:val="none" w:sz="0" w:space="0" w:color="auto"/>
                <w:bottom w:val="none" w:sz="0" w:space="0" w:color="auto"/>
                <w:right w:val="none" w:sz="0" w:space="0" w:color="auto"/>
              </w:divBdr>
              <w:divsChild>
                <w:div w:id="1593196103">
                  <w:marLeft w:val="0"/>
                  <w:marRight w:val="0"/>
                  <w:marTop w:val="0"/>
                  <w:marBottom w:val="0"/>
                  <w:divBdr>
                    <w:top w:val="none" w:sz="0" w:space="0" w:color="auto"/>
                    <w:left w:val="none" w:sz="0" w:space="0" w:color="auto"/>
                    <w:bottom w:val="none" w:sz="0" w:space="0" w:color="auto"/>
                    <w:right w:val="none" w:sz="0" w:space="0" w:color="auto"/>
                  </w:divBdr>
                </w:div>
                <w:div w:id="1410809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467362">
          <w:marLeft w:val="0"/>
          <w:marRight w:val="0"/>
          <w:marTop w:val="0"/>
          <w:marBottom w:val="0"/>
          <w:divBdr>
            <w:top w:val="none" w:sz="0" w:space="0" w:color="auto"/>
            <w:left w:val="none" w:sz="0" w:space="0" w:color="auto"/>
            <w:bottom w:val="none" w:sz="0" w:space="0" w:color="auto"/>
            <w:right w:val="none" w:sz="0" w:space="0" w:color="auto"/>
          </w:divBdr>
          <w:divsChild>
            <w:div w:id="1386753097">
              <w:marLeft w:val="0"/>
              <w:marRight w:val="0"/>
              <w:marTop w:val="0"/>
              <w:marBottom w:val="0"/>
              <w:divBdr>
                <w:top w:val="none" w:sz="0" w:space="0" w:color="auto"/>
                <w:left w:val="none" w:sz="0" w:space="0" w:color="auto"/>
                <w:bottom w:val="none" w:sz="0" w:space="0" w:color="auto"/>
                <w:right w:val="none" w:sz="0" w:space="0" w:color="auto"/>
              </w:divBdr>
            </w:div>
            <w:div w:id="11410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796965">
      <w:bodyDiv w:val="1"/>
      <w:marLeft w:val="0"/>
      <w:marRight w:val="0"/>
      <w:marTop w:val="0"/>
      <w:marBottom w:val="0"/>
      <w:divBdr>
        <w:top w:val="none" w:sz="0" w:space="0" w:color="auto"/>
        <w:left w:val="none" w:sz="0" w:space="0" w:color="auto"/>
        <w:bottom w:val="none" w:sz="0" w:space="0" w:color="auto"/>
        <w:right w:val="none" w:sz="0" w:space="0" w:color="auto"/>
      </w:divBdr>
    </w:div>
    <w:div w:id="1580016578">
      <w:bodyDiv w:val="1"/>
      <w:marLeft w:val="0"/>
      <w:marRight w:val="0"/>
      <w:marTop w:val="0"/>
      <w:marBottom w:val="0"/>
      <w:divBdr>
        <w:top w:val="none" w:sz="0" w:space="0" w:color="auto"/>
        <w:left w:val="none" w:sz="0" w:space="0" w:color="auto"/>
        <w:bottom w:val="none" w:sz="0" w:space="0" w:color="auto"/>
        <w:right w:val="none" w:sz="0" w:space="0" w:color="auto"/>
      </w:divBdr>
    </w:div>
    <w:div w:id="1971550383">
      <w:bodyDiv w:val="1"/>
      <w:marLeft w:val="0"/>
      <w:marRight w:val="0"/>
      <w:marTop w:val="0"/>
      <w:marBottom w:val="0"/>
      <w:divBdr>
        <w:top w:val="none" w:sz="0" w:space="0" w:color="auto"/>
        <w:left w:val="none" w:sz="0" w:space="0" w:color="auto"/>
        <w:bottom w:val="none" w:sz="0" w:space="0" w:color="auto"/>
        <w:right w:val="none" w:sz="0" w:space="0" w:color="auto"/>
      </w:divBdr>
      <w:divsChild>
        <w:div w:id="1892962542">
          <w:marLeft w:val="0"/>
          <w:marRight w:val="0"/>
          <w:marTop w:val="0"/>
          <w:marBottom w:val="0"/>
          <w:divBdr>
            <w:top w:val="none" w:sz="0" w:space="0" w:color="auto"/>
            <w:left w:val="none" w:sz="0" w:space="0" w:color="auto"/>
            <w:bottom w:val="none" w:sz="0" w:space="0" w:color="auto"/>
            <w:right w:val="none" w:sz="0" w:space="0" w:color="auto"/>
          </w:divBdr>
        </w:div>
        <w:div w:id="1751583606">
          <w:marLeft w:val="0"/>
          <w:marRight w:val="0"/>
          <w:marTop w:val="0"/>
          <w:marBottom w:val="0"/>
          <w:divBdr>
            <w:top w:val="none" w:sz="0" w:space="0" w:color="auto"/>
            <w:left w:val="none" w:sz="0" w:space="0" w:color="auto"/>
            <w:bottom w:val="none" w:sz="0" w:space="0" w:color="auto"/>
            <w:right w:val="none" w:sz="0" w:space="0" w:color="auto"/>
          </w:divBdr>
        </w:div>
        <w:div w:id="666977214">
          <w:marLeft w:val="0"/>
          <w:marRight w:val="0"/>
          <w:marTop w:val="0"/>
          <w:marBottom w:val="0"/>
          <w:divBdr>
            <w:top w:val="none" w:sz="0" w:space="0" w:color="auto"/>
            <w:left w:val="none" w:sz="0" w:space="0" w:color="auto"/>
            <w:bottom w:val="none" w:sz="0" w:space="0" w:color="auto"/>
            <w:right w:val="none" w:sz="0" w:space="0" w:color="auto"/>
          </w:divBdr>
        </w:div>
      </w:divsChild>
    </w:div>
    <w:div w:id="2030989382">
      <w:bodyDiv w:val="1"/>
      <w:marLeft w:val="0"/>
      <w:marRight w:val="0"/>
      <w:marTop w:val="0"/>
      <w:marBottom w:val="0"/>
      <w:divBdr>
        <w:top w:val="none" w:sz="0" w:space="0" w:color="auto"/>
        <w:left w:val="none" w:sz="0" w:space="0" w:color="auto"/>
        <w:bottom w:val="none" w:sz="0" w:space="0" w:color="auto"/>
        <w:right w:val="none" w:sz="0" w:space="0" w:color="auto"/>
      </w:divBdr>
      <w:divsChild>
        <w:div w:id="1086146929">
          <w:marLeft w:val="0"/>
          <w:marRight w:val="0"/>
          <w:marTop w:val="0"/>
          <w:marBottom w:val="0"/>
          <w:divBdr>
            <w:top w:val="none" w:sz="0" w:space="0" w:color="auto"/>
            <w:left w:val="none" w:sz="0" w:space="0" w:color="auto"/>
            <w:bottom w:val="none" w:sz="0" w:space="0" w:color="auto"/>
            <w:right w:val="none" w:sz="0" w:space="0" w:color="auto"/>
          </w:divBdr>
        </w:div>
        <w:div w:id="153423513">
          <w:marLeft w:val="0"/>
          <w:marRight w:val="0"/>
          <w:marTop w:val="0"/>
          <w:marBottom w:val="0"/>
          <w:divBdr>
            <w:top w:val="none" w:sz="0" w:space="0" w:color="auto"/>
            <w:left w:val="none" w:sz="0" w:space="0" w:color="auto"/>
            <w:bottom w:val="none" w:sz="0" w:space="0" w:color="auto"/>
            <w:right w:val="none" w:sz="0" w:space="0" w:color="auto"/>
          </w:divBdr>
        </w:div>
        <w:div w:id="2131313416">
          <w:marLeft w:val="0"/>
          <w:marRight w:val="0"/>
          <w:marTop w:val="0"/>
          <w:marBottom w:val="0"/>
          <w:divBdr>
            <w:top w:val="none" w:sz="0" w:space="0" w:color="auto"/>
            <w:left w:val="none" w:sz="0" w:space="0" w:color="auto"/>
            <w:bottom w:val="none" w:sz="0" w:space="0" w:color="auto"/>
            <w:right w:val="none" w:sz="0" w:space="0" w:color="auto"/>
          </w:divBdr>
        </w:div>
        <w:div w:id="602230599">
          <w:marLeft w:val="0"/>
          <w:marRight w:val="0"/>
          <w:marTop w:val="0"/>
          <w:marBottom w:val="0"/>
          <w:divBdr>
            <w:top w:val="none" w:sz="0" w:space="0" w:color="auto"/>
            <w:left w:val="none" w:sz="0" w:space="0" w:color="auto"/>
            <w:bottom w:val="none" w:sz="0" w:space="0" w:color="auto"/>
            <w:right w:val="none" w:sz="0" w:space="0" w:color="auto"/>
          </w:divBdr>
        </w:div>
        <w:div w:id="150143628">
          <w:marLeft w:val="0"/>
          <w:marRight w:val="0"/>
          <w:marTop w:val="0"/>
          <w:marBottom w:val="0"/>
          <w:divBdr>
            <w:top w:val="none" w:sz="0" w:space="0" w:color="auto"/>
            <w:left w:val="none" w:sz="0" w:space="0" w:color="auto"/>
            <w:bottom w:val="none" w:sz="0" w:space="0" w:color="auto"/>
            <w:right w:val="none" w:sz="0" w:space="0" w:color="auto"/>
          </w:divBdr>
        </w:div>
        <w:div w:id="1112751732">
          <w:marLeft w:val="0"/>
          <w:marRight w:val="0"/>
          <w:marTop w:val="0"/>
          <w:marBottom w:val="0"/>
          <w:divBdr>
            <w:top w:val="none" w:sz="0" w:space="0" w:color="auto"/>
            <w:left w:val="none" w:sz="0" w:space="0" w:color="auto"/>
            <w:bottom w:val="none" w:sz="0" w:space="0" w:color="auto"/>
            <w:right w:val="none" w:sz="0" w:space="0" w:color="auto"/>
          </w:divBdr>
        </w:div>
        <w:div w:id="85031520">
          <w:marLeft w:val="0"/>
          <w:marRight w:val="0"/>
          <w:marTop w:val="0"/>
          <w:marBottom w:val="0"/>
          <w:divBdr>
            <w:top w:val="none" w:sz="0" w:space="0" w:color="auto"/>
            <w:left w:val="none" w:sz="0" w:space="0" w:color="auto"/>
            <w:bottom w:val="none" w:sz="0" w:space="0" w:color="auto"/>
            <w:right w:val="none" w:sz="0" w:space="0" w:color="auto"/>
          </w:divBdr>
        </w:div>
        <w:div w:id="16069593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04b66cb3b004f3ab42826f2d83f1899" PartId="03c48167c74d448e98bc7073028396d6">
    <Part Type="skyrius" Nr="999" Title="JONIŠKIO SAVIVALDYBĖS TARYBOS SPRENDIMO „DĖL GATVĖS PAVADINIMO PANAIKINIMO“ PROJEKTO AIŠKINAMASIS RAŠTAS" DocPartId="9aaf029d10af4a82b1589e4f79a81179" PartId="3c1862bba7ba4061b111d3ef647213c1">
      <Part Type="punktas" Nr="1" Abbr="1 p." DocPartId="200b0bed121a458ba603a44f9d5066dd" PartId="0ff83637f4f7404b86d2d3c7a2c6d484"/>
      <Part Type="punktas" Nr="2" Abbr="2 p." DocPartId="471aaeb810564483a30dd30ca71b7be5" PartId="0f6eff6cf59547a0bcf95071d1185c7b"/>
      <Part Type="punktas" Nr="3" Abbr="3 p." DocPartId="523108e45ff24c25acb1ff49526f4143" PartId="120d385b885f4623b4752dcc5f939d96"/>
      <Part Type="punktas" Nr="4" Abbr="4 p." DocPartId="9af2c69c0f4c4e7c98b08d94281ed0fc" PartId="c9093ac818f04c339c33af9ecf6cedb4"/>
      <Part Type="poskyris" Title="Lietuvos Respublikos vietos savivaldos įstatymas:" DocPartId="80bbd20085bf4a8cbea79ccae7d7048a" PartId="3164fc41507347ddac8f5c33adecd515">
        <Part Type="punktas" Nr="5" Abbr="5 p." DocPartId="59627e15e052480aa49f64f42cc705be" PartId="43fbe53ac22e45d2bfa456ee65c5e8cd"/>
        <Part Type="punktas" Nr="6" Abbr="6 p." DocPartId="43bc63a0c809483d99f71cb82b6beb38" PartId="78a1d62ef6c2414dbca7536fd3eee149"/>
        <Part Type="punktas" Nr="7" Abbr="7 p." DocPartId="a6fa6d7bc3864ec698e2c4a4fb3b7bd6" PartId="c67342c484734eae9acd1cdd7e32617c"/>
        <Part Type="punktas" Nr="8" Abbr="8 p." DocPartId="4ffa8cd2fe384131850e1d56e5ccbdf4" PartId="56a80398f1aa4fada7fb23792243a1fc"/>
        <Part Type="punktas" Nr="9" Abbr="9 p." DocPartId="35a8e6146cf247c4809feb643a560043" PartId="bb6f385ded26416bbe59d5ca368f62e3"/>
        <Part Type="punktas" Nr="10" Abbr="10 p." DocPartId="0e75a7d08a024d81a55a1e550ae86820" PartId="8c60c048b84d43a9b89725ce035062b0"/>
        <Part Type="punktas" Nr="11" Abbr="11 p." DocPartId="6746f8735e864b7aa1aac768a0b878ed" PartId="eefc64848bea41119fd6fc18a20ced32"/>
        <Part Type="punktas" Nr="12" Abbr="12 p." DocPartId="96046df9da694f30a0df64602a96d05f" PartId="c5d068206bb34cb58679b2f2eb3a957b"/>
        <Part Type="punktas" Nr="13" Abbr="13 p." DocPartId="f616e17b3dd54e20a3fab0d29b6d859f" PartId="51f7568695974c6d9ff4c61c3c54ddda"/>
        <Part Type="punktas" Nr="14" Abbr="14 p." DocPartId="702ea2a451004602ab849acad359ffc1" PartId="b1c5b195427244cc8c75ab88d4c01a3b"/>
        <Part Type="punktas" Nr="15" Abbr="15 p." DocPartId="4150f32c749b4892baf899aaf88433b2" PartId="8a1b647960b24876bf9609096e025605"/>
        <Part Type="punktas" Nr="16" Abbr="16 p." DocPartId="ab072a9274fe4c4f8795b5aff2b8aeb7" PartId="d6d9ba94bfd84372af97662f00966371"/>
        <Part Type="punktas" Nr="17" Abbr="17 p." DocPartId="152c82c4a3a44c38a24ecdf79d018a59" PartId="919fa8f8bf274a7984e932fbb0269ecf"/>
        <Part Type="punktas" Nr="18" Abbr="18 p." DocPartId="f8be58378c3c4e0e9d09cb14dd25a2e3" PartId="edc3590cb3714000ad0b8dcaf777e293"/>
      </Part>
      <Part Type="poskyris" Title="Nėra." DocPartId="da981c3f8ed64e5cadf11661846aa5a8" PartId="74c0be0034354f209b8adbb9d228b6cd"/>
    </Part>
    <Part Type="signatura" DocPartId="33eda1b0a60a481a83df00045a4fa3b7" PartId="6a6278078b054ec2b5f7fa590c496e32"/>
  </Part>
</Parts>
</file>

<file path=customXml/itemProps1.xml><?xml version="1.0" encoding="utf-8"?>
<ds:datastoreItem xmlns:ds="http://schemas.openxmlformats.org/officeDocument/2006/customXml" ds:itemID="{6ABF2358-9AFB-474D-B638-C588910369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725</Words>
  <Characters>5365</Characters>
  <Application>Microsoft Office Word</Application>
  <DocSecurity>4</DocSecurity>
  <Lines>105</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6036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2024-06-11T13:26:00Z</dcterms:created>
  <dc:creator>Artūras Pališkevičius</dc:creator>
  <lastModifiedBy>adlibuser</lastModifiedBy>
  <dcterms:modified xsi:type="dcterms:W3CDTF">2024-06-11T13:26:00Z</dcterms:modified>
  <revision>2</revision>
</coreProperties>
</file>