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c93c253e398458da1a467d11aac78bb"/>
        <w:lock w:val="sdtLocked"/>
        <w:richText/>
      </w:sdtPr>
      <w:sdtContent>
        <w:p>
          <w:pPr>
            <w:spacing w:line="259" w:lineRule="auto"/>
            <w:jc w:val="center"/>
            <w:rPr>
              <w:color w:val="000000"/>
              <w:szCs w:val="24"/>
            </w:rPr>
          </w:pPr>
          <w:r>
            <w:rPr>
              <w:b/>
              <w:bCs/>
              <w:color w:val="000000"/>
              <w:szCs w:val="24"/>
            </w:rPr>
            <w:t>NUMATOMO TEISINIO REGULIAVIMO POVEIKIO VERTINIMO PAŽYMA</w:t>
          </w:r>
        </w:p>
        <w:p>
          <w:pPr>
            <w:rPr>
              <w:sz w:val="14"/>
              <w:szCs w:val="14"/>
            </w:rPr>
          </w:pPr>
        </w:p>
        <w:p>
          <w:pPr>
            <w:spacing w:line="259" w:lineRule="auto"/>
            <w:jc w:val="center"/>
            <w:rPr>
              <w:color w:val="0000FF"/>
              <w:szCs w:val="24"/>
            </w:rPr>
          </w:pPr>
        </w:p>
        <w:p>
          <w:pPr>
            <w:rPr>
              <w:sz w:val="14"/>
              <w:szCs w:val="14"/>
            </w:rPr>
          </w:pPr>
        </w:p>
        <w:tbl>
          <w:tblPr>
            <w:tblW w:w="0" w:type="auto"/>
            <w:tblLayout w:type="fixed"/>
            <w:tblLook w:val="00A0" w:firstRow="1" w:lastRow="0" w:firstColumn="1" w:lastColumn="0" w:noHBand="0" w:noVBand="0"/>
          </w:tblPr>
          <w:tblGrid>
            <w:gridCol w:w="4508"/>
            <w:gridCol w:w="4508"/>
          </w:tblGrid>
          <w:tr>
            <w:tc>
              <w:tcPr>
                <w:tcW w:w="4508" w:type="dxa"/>
                <w:shd w:val="clear" w:color="auto" w:fill="D9E2F3" w:themeFill="accent1" w:themeFillTint="33"/>
              </w:tcPr>
              <w:p>
                <w:pPr>
                  <w:spacing w:line="259" w:lineRule="auto"/>
                  <w:rPr>
                    <w:szCs w:val="24"/>
                  </w:rPr>
                </w:pPr>
                <w:r>
                  <w:rPr>
                    <w:b/>
                    <w:bCs/>
                    <w:szCs w:val="24"/>
                  </w:rPr>
                  <w:t>Projekto pavadinimas</w:t>
                </w:r>
              </w:p>
            </w:tc>
            <w:tc>
              <w:tcPr>
                <w:tcW w:w="4508" w:type="dxa"/>
                <w:shd w:val="clear" w:color="auto" w:fill="D9E2F3" w:themeFill="accent1" w:themeFillTint="33"/>
              </w:tcPr>
              <w:p>
                <w:pPr>
                  <w:spacing w:line="259" w:lineRule="auto"/>
                  <w:jc w:val="both"/>
                  <w:rPr>
                    <w:szCs w:val="24"/>
                  </w:rPr>
                </w:pPr>
                <w:r>
                  <w:rPr>
                    <w:szCs w:val="24"/>
                  </w:rPr>
                  <w:t>Lietuvos Respublikos aplinkos ministro įsakymo „Dėl veiksmų plano upių vientisumui atkurti ir hidroelektrinių neigiamam poveikiui mažinti patvirtinimo” projektas</w:t>
                </w:r>
              </w:p>
            </w:tc>
          </w:tr>
        </w:tbl>
        <w:p>
          <w:pPr>
            <w:spacing w:line="259" w:lineRule="auto"/>
            <w:rPr>
              <w:color w:val="000000"/>
              <w:sz w:val="22"/>
              <w:szCs w:val="22"/>
            </w:rPr>
          </w:pPr>
        </w:p>
        <w:p>
          <w:pPr>
            <w:rPr>
              <w:sz w:val="14"/>
              <w:szCs w:val="14"/>
            </w:rPr>
          </w:pPr>
        </w:p>
        <w:tbl>
          <w:tblPr>
            <w:tblW w:w="0" w:type="auto"/>
            <w:tblLayout w:type="fixed"/>
            <w:tblLook w:val="00A0" w:firstRow="1" w:lastRow="0" w:firstColumn="1" w:lastColumn="0" w:noHBand="0" w:noVBand="0"/>
          </w:tblPr>
          <w:tblGrid>
            <w:gridCol w:w="4508"/>
            <w:gridCol w:w="4508"/>
          </w:tblGrid>
          <w:tr>
            <w:tc>
              <w:tcPr>
                <w:tcW w:w="4508" w:type="dxa"/>
                <w:shd w:val="clear" w:color="auto" w:fill="D9E2F3" w:themeFill="accent1" w:themeFillTint="33"/>
              </w:tcPr>
              <w:p>
                <w:pPr>
                  <w:spacing w:line="259" w:lineRule="auto"/>
                  <w:rPr>
                    <w:szCs w:val="24"/>
                  </w:rPr>
                </w:pPr>
                <w:r>
                  <w:rPr>
                    <w:b/>
                    <w:bCs/>
                    <w:szCs w:val="24"/>
                  </w:rPr>
                  <w:t>Projekto rengėjas</w:t>
                </w:r>
              </w:p>
            </w:tc>
            <w:tc>
              <w:tcPr>
                <w:tcW w:w="4508" w:type="dxa"/>
                <w:shd w:val="clear" w:color="auto" w:fill="D9E2F3" w:themeFill="accent1" w:themeFillTint="33"/>
              </w:tcPr>
              <w:p>
                <w:pPr>
                  <w:spacing w:line="259" w:lineRule="auto"/>
                  <w:jc w:val="both"/>
                  <w:rPr>
                    <w:szCs w:val="24"/>
                  </w:rPr>
                </w:pPr>
                <w:r>
                  <w:rPr>
                    <w:szCs w:val="24"/>
                  </w:rPr>
                  <w:t>Lietuvos Respublikos aplinkos ministerija</w:t>
                </w:r>
              </w:p>
            </w:tc>
          </w:tr>
        </w:tbl>
        <w:p>
          <w:pPr>
            <w:spacing w:line="259" w:lineRule="auto"/>
            <w:rPr>
              <w:color w:val="000000"/>
              <w:sz w:val="22"/>
              <w:szCs w:val="22"/>
            </w:rPr>
          </w:pPr>
        </w:p>
        <w:p>
          <w:pPr>
            <w:rPr>
              <w:sz w:val="14"/>
              <w:szCs w:val="14"/>
            </w:rPr>
          </w:pPr>
        </w:p>
        <w:tbl>
          <w:tblPr>
            <w:tblW w:w="0" w:type="auto"/>
            <w:tblLayout w:type="fixed"/>
            <w:tblLook w:val="00A0" w:firstRow="1" w:lastRow="0" w:firstColumn="1" w:lastColumn="0" w:noHBand="0" w:noVBand="0"/>
          </w:tblPr>
          <w:tblGrid>
            <w:gridCol w:w="4508"/>
            <w:gridCol w:w="4508"/>
          </w:tblGrid>
          <w:tr>
            <w:tc>
              <w:tcPr>
                <w:tcW w:w="4508" w:type="dxa"/>
                <w:shd w:val="clear" w:color="auto" w:fill="D9E2F3" w:themeFill="accent1" w:themeFillTint="33"/>
              </w:tcPr>
              <w:p>
                <w:pPr>
                  <w:spacing w:line="259" w:lineRule="auto"/>
                  <w:rPr>
                    <w:szCs w:val="24"/>
                  </w:rPr>
                </w:pPr>
                <w:r>
                  <w:rPr>
                    <w:b/>
                    <w:bCs/>
                    <w:szCs w:val="24"/>
                  </w:rPr>
                  <w:t>Projekto tikslas</w:t>
                </w:r>
              </w:p>
            </w:tc>
            <w:tc>
              <w:tcPr>
                <w:tcW w:w="4508" w:type="dxa"/>
                <w:shd w:val="clear" w:color="auto" w:fill="D9E2F3" w:themeFill="accent1" w:themeFillTint="33"/>
              </w:tcPr>
              <w:p>
                <w:pPr>
                  <w:rPr>
                    <w:sz w:val="10"/>
                    <w:szCs w:val="10"/>
                  </w:rPr>
                </w:pPr>
              </w:p>
              <w:p>
                <w:pPr>
                  <w:spacing w:line="259" w:lineRule="auto"/>
                  <w:jc w:val="both"/>
                  <w:rPr>
                    <w:szCs w:val="24"/>
                  </w:rPr>
                </w:pPr>
                <w:r>
                  <w:rPr>
                    <w:szCs w:val="24"/>
                  </w:rPr>
                  <w:t xml:space="preserve">Įsakymo projekto tikslas </w:t>
                </w:r>
                <w:r>
                  <w:rPr>
                    <w:color w:val="000000"/>
                    <w:szCs w:val="24"/>
                    <w:lang w:val="lt"/>
                  </w:rPr>
                  <w:t xml:space="preserve"> –</w:t>
                </w:r>
                <w:r>
                  <w:rPr>
                    <w:szCs w:val="24"/>
                  </w:rPr>
                  <w:t xml:space="preserve"> atlikti teisinės bazės pakeitimus siekiant mažinti hidroelektrinių daromą neigiamą poveikį upių ekosistemoms ir sukurti  efektyvų upių vientisumo atkūrimo finansinį, teisinį ir institucinį mechanizmą bei efektyvinti ir  koordinuoti tarp institucijų su hidroelektrinių kontrole susijusius veiksmus. Nebereikalingų užtvankų šalinimas ir upių vientisumo atkūrimas didelėje dalyje Europos šalių yra normali praktika, siekiant kompensuoti užtvankų daromą žalą upių hidromorfologijai, migruojančių žuvų populiacijoms ir bendrai ekologinei vandens telkinių būklei. Lietuvoje dėl teisinių spragų, finansavimo ir žmogiškųjų išteklių trūkumo ši praktika yra taikoma nesėkmingai. Iš 96 hidroelektrinių 87 daro reikšmingą neigiamą poveikį vandens telkiniams, Aplinkos apsaugos departamento duomenimis 80% hidroelektrinių patikrinimų turi administracinių nusižengimų požymius. Dėl šių priežasčių svarbu efektyvinti kontrolę ir griežtinti atsakomybę už aplinkosauginius nusižengimus.</w:t>
                </w:r>
              </w:p>
            </w:tc>
          </w:tr>
        </w:tbl>
        <w:p>
          <w:pPr>
            <w:spacing w:line="259" w:lineRule="auto"/>
            <w:rPr>
              <w:color w:val="000000"/>
              <w:sz w:val="22"/>
              <w:szCs w:val="22"/>
            </w:rPr>
          </w:pPr>
        </w:p>
        <w:p>
          <w:pPr>
            <w:rPr>
              <w:sz w:val="14"/>
              <w:szCs w:val="14"/>
            </w:rPr>
          </w:pPr>
        </w:p>
        <w:tbl>
          <w:tblPr>
            <w:tblW w:w="0" w:type="auto"/>
            <w:tblLayout w:type="fixed"/>
            <w:tblLook w:val="00A0" w:firstRow="1" w:lastRow="0" w:firstColumn="1" w:lastColumn="0" w:noHBand="0" w:noVBand="0"/>
          </w:tblPr>
          <w:tblGrid>
            <w:gridCol w:w="4508"/>
            <w:gridCol w:w="4508"/>
          </w:tblGrid>
          <w:tr>
            <w:tc>
              <w:tcPr>
                <w:tcW w:w="4508" w:type="dxa"/>
              </w:tcPr>
              <w:p>
                <w:pPr>
                  <w:spacing w:line="259" w:lineRule="auto"/>
                  <w:rPr>
                    <w:szCs w:val="24"/>
                  </w:rPr>
                </w:pPr>
              </w:p>
            </w:tc>
            <w:tc>
              <w:tcPr>
                <w:tcW w:w="4508" w:type="dxa"/>
              </w:tcPr>
              <w:p>
                <w:pPr>
                  <w:spacing w:line="259" w:lineRule="auto"/>
                  <w:jc w:val="center"/>
                  <w:rPr>
                    <w:szCs w:val="24"/>
                  </w:rPr>
                </w:pPr>
                <w:r>
                  <w:rPr>
                    <w:b/>
                    <w:bCs/>
                    <w:szCs w:val="24"/>
                  </w:rPr>
                  <w:t xml:space="preserve">Siūlomo projekto poveikio įvertinimas </w:t>
                </w:r>
              </w:p>
              <w:p>
                <w:pPr>
                  <w:spacing w:line="259" w:lineRule="auto"/>
                  <w:jc w:val="center"/>
                  <w:rPr>
                    <w:szCs w:val="24"/>
                  </w:rPr>
                </w:pPr>
                <w:r>
                  <w:rPr>
                    <w:b/>
                    <w:bCs/>
                    <w:szCs w:val="24"/>
                  </w:rPr>
                  <w:t>(teigiamos ir (ar) neigiamos pasekmės)</w:t>
                </w:r>
              </w:p>
            </w:tc>
          </w:tr>
        </w:tbl>
        <w:p>
          <w:pPr>
            <w:spacing w:line="259" w:lineRule="auto"/>
            <w:rPr>
              <w:color w:val="000000"/>
              <w:szCs w:val="24"/>
            </w:rPr>
          </w:pPr>
        </w:p>
        <w:tbl>
          <w:tblPr>
            <w:tblW w:w="0" w:type="auto"/>
            <w:tblLayout w:type="fixed"/>
            <w:tblLook w:val="00A0" w:firstRow="1" w:lastRow="0" w:firstColumn="1" w:lastColumn="0" w:noHBand="0" w:noVBand="0"/>
          </w:tblPr>
          <w:tblGrid>
            <w:gridCol w:w="4508"/>
            <w:gridCol w:w="4508"/>
          </w:tblGrid>
          <w:tr>
            <w:tc>
              <w:tcPr>
                <w:tcW w:w="4508" w:type="dxa"/>
                <w:shd w:val="clear" w:color="auto" w:fill="D9E2F3" w:themeFill="accent1" w:themeFillTint="33"/>
              </w:tcPr>
              <w:p>
                <w:pPr>
                  <w:spacing w:line="259" w:lineRule="auto"/>
                  <w:rPr>
                    <w:szCs w:val="24"/>
                  </w:rPr>
                </w:pPr>
                <w:r>
                  <w:rPr>
                    <w:b/>
                    <w:bCs/>
                    <w:szCs w:val="24"/>
                  </w:rPr>
                  <w:t>Poveikis aplinkai/klimato kaitai</w:t>
                </w:r>
              </w:p>
              <w:p>
                <w:pPr>
                  <w:rPr>
                    <w:sz w:val="14"/>
                    <w:szCs w:val="14"/>
                  </w:rPr>
                </w:pPr>
              </w:p>
              <w:p>
                <w:pPr>
                  <w:spacing w:line="259" w:lineRule="auto"/>
                  <w:rPr>
                    <w:szCs w:val="24"/>
                  </w:rPr>
                </w:pPr>
              </w:p>
            </w:tc>
            <w:tc>
              <w:tcPr>
                <w:tcW w:w="4508" w:type="dxa"/>
              </w:tcPr>
              <w:p>
                <w:pPr>
                  <w:spacing w:line="259" w:lineRule="auto"/>
                  <w:jc w:val="both"/>
                  <w:rPr>
                    <w:szCs w:val="24"/>
                  </w:rPr>
                </w:pPr>
                <w:r>
                  <w:rPr>
                    <w:szCs w:val="24"/>
                  </w:rPr>
                  <w:t xml:space="preserve">Projekte numatomos priemonės turės teigiamą poveikį vandenų politikos tikslų įgyvendinimui. Įgyvendinus veiksmų plano priemones bus atnaujinti teisės aktai prisitaikant prie tobulėjančių technologijų, kintančių aplinkos sąlygų, griežtinami reikalavimai ir didinama atsakomybė vandens išteklių naudotojams. Bus sukurtos finansavimo ir žmogiškųjų išteklių galimybės įgyvendinti upių vientisumo atkūrimo projektus tiesiogiai prisidedančius prie žuvų populiacijų tvarumo ir augimo bei gerėjančios ekologinės vandens telkinių būklės. </w:t>
                </w:r>
              </w:p>
            </w:tc>
          </w:tr>
        </w:tbl>
        <w:p>
          <w:pPr>
            <w:spacing w:line="259" w:lineRule="auto"/>
            <w:rPr>
              <w:color w:val="000000"/>
              <w:szCs w:val="24"/>
            </w:rPr>
          </w:pPr>
        </w:p>
        <w:p>
          <w:pPr>
            <w:rPr>
              <w:sz w:val="14"/>
              <w:szCs w:val="14"/>
            </w:rPr>
          </w:pPr>
        </w:p>
        <w:tbl>
          <w:tblPr>
            <w:tblW w:w="0" w:type="auto"/>
            <w:tblLayout w:type="fixed"/>
            <w:tblLook w:val="00A0" w:firstRow="1" w:lastRow="0" w:firstColumn="1" w:lastColumn="0" w:noHBand="0" w:noVBand="0"/>
          </w:tblPr>
          <w:tblGrid>
            <w:gridCol w:w="4508"/>
            <w:gridCol w:w="4508"/>
          </w:tblGrid>
          <w:tr>
            <w:tc>
              <w:tcPr>
                <w:tcW w:w="4508" w:type="dxa"/>
                <w:shd w:val="clear" w:color="auto" w:fill="D9E2F3" w:themeFill="accent1" w:themeFillTint="33"/>
              </w:tcPr>
              <w:p>
                <w:pPr>
                  <w:spacing w:line="259" w:lineRule="auto"/>
                  <w:rPr>
                    <w:szCs w:val="24"/>
                  </w:rPr>
                </w:pPr>
                <w:r>
                  <w:rPr>
                    <w:b/>
                    <w:bCs/>
                    <w:szCs w:val="24"/>
                  </w:rPr>
                  <w:t xml:space="preserve">Poveikis </w:t>
                </w:r>
              </w:p>
              <w:p>
                <w:pPr>
                  <w:spacing w:line="259" w:lineRule="auto"/>
                  <w:rPr>
                    <w:szCs w:val="24"/>
                  </w:rPr>
                </w:pPr>
                <w:r>
                  <w:rPr>
                    <w:b/>
                    <w:bCs/>
                    <w:szCs w:val="24"/>
                  </w:rPr>
                  <w:t>valstybės finansams</w:t>
                </w:r>
              </w:p>
            </w:tc>
            <w:tc>
              <w:tcPr>
                <w:tcW w:w="4508" w:type="dxa"/>
              </w:tcPr>
              <w:p>
                <w:pPr>
                  <w:spacing w:line="259" w:lineRule="auto"/>
                  <w:jc w:val="both"/>
                  <w:rPr>
                    <w:szCs w:val="24"/>
                  </w:rPr>
                </w:pPr>
                <w:r>
                  <w:rPr>
                    <w:szCs w:val="24"/>
                  </w:rPr>
                  <w:t xml:space="preserve">Projektas neturės tiesioginio poveikio valstybės finansams, bet  galimai inicijuos veiksmus, kurie poveikį turės, nes bus reikalinga sukurti žmogiškųjų išteklių pajėgumus aplinkos ministro įgaliotoje institucijoje, parengti finansines priemones hidroelektrinių savininkams persiorientuoti ir numatyti finansavimą savivaldybėms užtvankų šalinimui. </w:t>
                </w:r>
              </w:p>
            </w:tc>
          </w:tr>
        </w:tbl>
        <w:p>
          <w:pPr>
            <w:spacing w:line="259" w:lineRule="auto"/>
            <w:rPr>
              <w:color w:val="000000"/>
              <w:szCs w:val="24"/>
            </w:rPr>
          </w:pPr>
        </w:p>
        <w:p>
          <w:pPr>
            <w:rPr>
              <w:sz w:val="14"/>
              <w:szCs w:val="14"/>
            </w:rPr>
          </w:pPr>
        </w:p>
        <w:tbl>
          <w:tblPr>
            <w:tblW w:w="0" w:type="auto"/>
            <w:tblLayout w:type="fixed"/>
            <w:tblLook w:val="00A0" w:firstRow="1" w:lastRow="0" w:firstColumn="1" w:lastColumn="0" w:noHBand="0" w:noVBand="0"/>
          </w:tblPr>
          <w:tblGrid>
            <w:gridCol w:w="4508"/>
            <w:gridCol w:w="4508"/>
          </w:tblGrid>
          <w:tr>
            <w:tc>
              <w:tcPr>
                <w:tcW w:w="4508" w:type="dxa"/>
                <w:shd w:val="clear" w:color="auto" w:fill="D9E2F3" w:themeFill="accent1" w:themeFillTint="33"/>
              </w:tcPr>
              <w:p>
                <w:pPr>
                  <w:spacing w:line="259" w:lineRule="auto"/>
                  <w:rPr>
                    <w:szCs w:val="24"/>
                  </w:rPr>
                </w:pPr>
                <w:r>
                  <w:rPr>
                    <w:b/>
                    <w:bCs/>
                    <w:szCs w:val="24"/>
                  </w:rPr>
                  <w:t>Poveikis administracinei naštai</w:t>
                </w:r>
              </w:p>
            </w:tc>
            <w:tc>
              <w:tcPr>
                <w:tcW w:w="4508" w:type="dxa"/>
              </w:tcPr>
              <w:p>
                <w:pPr>
                  <w:spacing w:line="259" w:lineRule="auto"/>
                  <w:jc w:val="both"/>
                  <w:rPr>
                    <w:szCs w:val="24"/>
                  </w:rPr>
                </w:pPr>
                <w:r>
                  <w:rPr>
                    <w:szCs w:val="24"/>
                  </w:rPr>
                  <w:t xml:space="preserve">Projektas neturės tiesioginio poveikio administracinei naštai, bet  galimai inicijuos veiksmus, kurie poveikį turės, nes bus reikalingi papildomi darbuotojai koordinuojantys upių vientisumo atkūrimo projektų įgyvendinimą aplinkos ministro įgaliotoje institucijoje.  </w:t>
                </w:r>
              </w:p>
            </w:tc>
          </w:tr>
          <w:tr>
            <w:tc>
              <w:tcPr>
                <w:tcW w:w="4508" w:type="dxa"/>
              </w:tcPr>
              <w:p>
                <w:pPr>
                  <w:spacing w:line="259" w:lineRule="auto"/>
                  <w:rPr>
                    <w:szCs w:val="24"/>
                  </w:rPr>
                </w:pPr>
              </w:p>
              <w:p>
                <w:pPr>
                  <w:rPr>
                    <w:sz w:val="14"/>
                    <w:szCs w:val="14"/>
                  </w:rPr>
                </w:pPr>
              </w:p>
              <w:p>
                <w:pPr>
                  <w:spacing w:line="259" w:lineRule="auto"/>
                  <w:rPr>
                    <w:szCs w:val="24"/>
                  </w:rPr>
                </w:pPr>
                <w:r>
                  <w:rPr>
                    <w:b/>
                    <w:bCs/>
                    <w:szCs w:val="24"/>
                  </w:rPr>
                  <w:t xml:space="preserve">Kita svarbi </w:t>
                </w:r>
              </w:p>
              <w:p>
                <w:pPr>
                  <w:spacing w:line="259" w:lineRule="auto"/>
                  <w:rPr>
                    <w:szCs w:val="24"/>
                  </w:rPr>
                </w:pPr>
                <w:r>
                  <w:rPr>
                    <w:b/>
                    <w:bCs/>
                    <w:szCs w:val="24"/>
                  </w:rPr>
                  <w:t xml:space="preserve">informacija                   </w:t>
                </w:r>
              </w:p>
            </w:tc>
            <w:tc>
              <w:tcPr>
                <w:tcW w:w="4508" w:type="dxa"/>
              </w:tcPr>
              <w:p>
                <w:pPr>
                  <w:spacing w:line="259" w:lineRule="auto"/>
                  <w:rPr>
                    <w:szCs w:val="24"/>
                  </w:rPr>
                </w:pPr>
              </w:p>
              <w:p>
                <w:pPr>
                  <w:rPr>
                    <w:sz w:val="14"/>
                    <w:szCs w:val="14"/>
                  </w:rPr>
                </w:pPr>
              </w:p>
              <w:p>
                <w:pPr>
                  <w:spacing w:line="259" w:lineRule="auto"/>
                  <w:rPr>
                    <w:szCs w:val="24"/>
                    <w:lang w:val="en-GB"/>
                  </w:rPr>
                </w:pPr>
                <w:r>
                  <w:rPr>
                    <w:szCs w:val="24"/>
                  </w:rPr>
                  <w:t>Nėra.</w:t>
                </w:r>
              </w:p>
            </w:tc>
          </w:tr>
          <w:tr>
            <w:tc>
              <w:tcPr>
                <w:tcW w:w="4508" w:type="dxa"/>
              </w:tcPr>
              <w:p>
                <w:pPr>
                  <w:spacing w:line="259" w:lineRule="auto"/>
                  <w:rPr>
                    <w:szCs w:val="24"/>
                  </w:rPr>
                </w:pPr>
              </w:p>
            </w:tc>
            <w:tc>
              <w:tcPr>
                <w:tcW w:w="4508" w:type="dxa"/>
              </w:tcPr>
              <w:p>
                <w:pPr>
                  <w:spacing w:line="259" w:lineRule="auto"/>
                  <w:rPr>
                    <w:szCs w:val="24"/>
                  </w:rPr>
                </w:pPr>
              </w:p>
            </w:tc>
          </w:tr>
          <w:tr>
            <w:tc>
              <w:tcPr>
                <w:tcW w:w="4508" w:type="dxa"/>
              </w:tcPr>
              <w:p>
                <w:pPr>
                  <w:spacing w:line="259" w:lineRule="auto"/>
                  <w:ind w:left="1298"/>
                  <w:rPr>
                    <w:color w:val="000000"/>
                    <w:szCs w:val="24"/>
                  </w:rPr>
                </w:pPr>
                <w:r>
                  <w:rPr>
                    <w:color w:val="000000"/>
                    <w:szCs w:val="24"/>
                  </w:rPr>
                  <w:t>Vardas ir pavardė</w:t>
                </w:r>
              </w:p>
            </w:tc>
            <w:tc>
              <w:tcPr>
                <w:tcW w:w="4508" w:type="dxa"/>
              </w:tcPr>
              <w:p>
                <w:pPr>
                  <w:spacing w:line="259" w:lineRule="auto"/>
                  <w:ind w:left="1298"/>
                  <w:rPr>
                    <w:color w:val="000000"/>
                    <w:szCs w:val="24"/>
                  </w:rPr>
                </w:pPr>
                <w:r>
                  <w:rPr>
                    <w:color w:val="000000"/>
                    <w:szCs w:val="24"/>
                  </w:rPr>
                  <w:t>Jonė Leščinskaitė</w:t>
                </w:r>
              </w:p>
            </w:tc>
          </w:tr>
          <w:tr>
            <w:tc>
              <w:tcPr>
                <w:tcW w:w="4508" w:type="dxa"/>
              </w:tcPr>
              <w:p>
                <w:pPr>
                  <w:spacing w:line="259" w:lineRule="auto"/>
                  <w:ind w:left="1298"/>
                  <w:rPr>
                    <w:color w:val="000000"/>
                    <w:szCs w:val="24"/>
                  </w:rPr>
                </w:pPr>
                <w:r>
                  <w:rPr>
                    <w:color w:val="000000"/>
                    <w:szCs w:val="24"/>
                  </w:rPr>
                  <w:t>Pareigos</w:t>
                </w:r>
              </w:p>
            </w:tc>
            <w:tc>
              <w:tcPr>
                <w:tcW w:w="4508" w:type="dxa"/>
              </w:tcPr>
              <w:p>
                <w:pPr>
                  <w:spacing w:line="259" w:lineRule="auto"/>
                  <w:ind w:left="1298"/>
                  <w:rPr>
                    <w:szCs w:val="24"/>
                  </w:rPr>
                </w:pPr>
                <w:r>
                  <w:rPr>
                    <w:color w:val="000000"/>
                    <w:szCs w:val="24"/>
                  </w:rPr>
                  <w:t xml:space="preserve">Strateginių pokyčių grupės vyr. specialistė </w:t>
                </w:r>
              </w:p>
            </w:tc>
          </w:tr>
          <w:tr>
            <w:tc>
              <w:tcPr>
                <w:tcW w:w="4508" w:type="dxa"/>
              </w:tcPr>
              <w:p>
                <w:pPr>
                  <w:spacing w:line="259" w:lineRule="auto"/>
                  <w:ind w:left="1298"/>
                  <w:rPr>
                    <w:color w:val="000000"/>
                    <w:szCs w:val="24"/>
                  </w:rPr>
                </w:pPr>
                <w:r>
                  <w:rPr>
                    <w:color w:val="000000"/>
                    <w:szCs w:val="24"/>
                  </w:rPr>
                  <w:t>Institucija (padalinys)</w:t>
                </w:r>
              </w:p>
            </w:tc>
            <w:tc>
              <w:tcPr>
                <w:tcW w:w="4508" w:type="dxa"/>
              </w:tcPr>
              <w:p>
                <w:pPr>
                  <w:spacing w:line="259" w:lineRule="auto"/>
                  <w:ind w:left="1298"/>
                  <w:rPr>
                    <w:color w:val="000000"/>
                    <w:szCs w:val="24"/>
                  </w:rPr>
                </w:pPr>
                <w:r>
                  <w:rPr>
                    <w:color w:val="000000"/>
                    <w:szCs w:val="24"/>
                  </w:rPr>
                  <w:t xml:space="preserve">Aplinkos ministerija  </w:t>
                </w:r>
              </w:p>
            </w:tc>
          </w:tr>
          <w:tr>
            <w:tc>
              <w:tcPr>
                <w:tcW w:w="4508" w:type="dxa"/>
              </w:tcPr>
              <w:p>
                <w:pPr>
                  <w:spacing w:line="259" w:lineRule="auto"/>
                  <w:ind w:left="1298"/>
                  <w:rPr>
                    <w:color w:val="000000"/>
                    <w:szCs w:val="24"/>
                  </w:rPr>
                </w:pPr>
                <w:r>
                  <w:rPr>
                    <w:color w:val="000000"/>
                    <w:szCs w:val="24"/>
                  </w:rPr>
                  <w:t>Telefono numeris ir elektroninio pašto adresas</w:t>
                </w:r>
              </w:p>
            </w:tc>
            <w:tc>
              <w:tcPr>
                <w:tcW w:w="4508" w:type="dxa"/>
              </w:tcPr>
              <w:p>
                <w:pPr>
                  <w:spacing w:line="259" w:lineRule="auto"/>
                  <w:ind w:left="1298"/>
                  <w:rPr>
                    <w:rFonts w:ascii="Arial" w:hAnsi="Arial" w:cs="Arial"/>
                    <w:spacing w:val="5"/>
                    <w:sz w:val="23"/>
                    <w:szCs w:val="23"/>
                    <w:shd w:val="clear" w:color="auto" w:fill="212121"/>
                  </w:rPr>
                </w:pPr>
                <w:r>
                  <w:rPr>
                    <w:color w:val="000000"/>
                    <w:szCs w:val="24"/>
                  </w:rPr>
                  <w:t xml:space="preserve">+370 </w:t>
                </w:r>
                <w:r>
                  <w:rPr>
                    <w:szCs w:val="24"/>
                  </w:rPr>
                  <w:t>695 12089</w:t>
                </w:r>
              </w:p>
              <w:p>
                <w:pPr>
                  <w:rPr>
                    <w:sz w:val="6"/>
                    <w:szCs w:val="6"/>
                  </w:rPr>
                </w:pPr>
              </w:p>
              <w:p>
                <w:pPr>
                  <w:spacing w:line="259" w:lineRule="auto"/>
                  <w:ind w:left="1298"/>
                  <w:rPr>
                    <w:color w:val="000000"/>
                    <w:szCs w:val="24"/>
                  </w:rPr>
                </w:pPr>
                <w:r>
                  <w:rPr>
                    <w:color w:val="0563C1"/>
                    <w:szCs w:val="24"/>
                    <w:u w:val="single"/>
                  </w:rPr>
                  <w:t>jone.lescinskaite</w:t>
                </w:r>
                <w:r>
                  <w:rPr>
                    <w:color w:val="0563C1"/>
                    <w:szCs w:val="24"/>
                    <w:u w:val="single"/>
                    <w:lang w:val="en-GB"/>
                  </w:rPr>
                  <w:t>@am.lt</w:t>
                </w:r>
                <w:r>
                  <w:rPr>
                    <w:szCs w:val="24"/>
                    <w:lang w:val="en-GB"/>
                  </w:rPr>
                  <w:t xml:space="preserve"> </w:t>
                </w:r>
                <w:r>
                  <w:rPr>
                    <w:color w:val="000000"/>
                    <w:szCs w:val="24"/>
                  </w:rPr>
                  <w:t xml:space="preserve"> </w:t>
                </w:r>
                <w:r>
                  <w:rPr>
                    <w:color w:val="000000"/>
                    <w:szCs w:val="24"/>
                  </w:rPr>
                  <w:t xml:space="preserve"> </w:t>
                </w:r>
              </w:p>
            </w:tc>
          </w:tr>
        </w:tbl>
        <w:sdt>
          <w:sdtPr>
            <w:alias w:val="pabaiga"/>
            <w:tag w:val="part_aff0ea031e7a4f32a0953267d116c8cb"/>
            <w:lock w:val="sdtLocked"/>
            <w:richText/>
          </w:sdtPr>
          <w:sdtContent>
            <w:p>
              <w:pPr>
                <w:tabs>
                  <w:tab w:val="center" w:pos="4680"/>
                  <w:tab w:val="left" w:pos="6237"/>
                  <w:tab w:val="right" w:pos="9360"/>
                </w:tabs>
                <w:spacing w:line="360" w:lineRule="atLeast"/>
                <w:jc w:val="center"/>
                <w:rPr>
                  <w:color w:val="000000"/>
                  <w:szCs w:val="24"/>
                </w:rPr>
              </w:pPr>
              <w:r>
                <w:rPr>
                  <w:color w:val="000000"/>
                  <w:szCs w:val="24"/>
                </w:rPr>
                <w:t>__________________</w:t>
              </w:r>
            </w:p>
          </w:sdtContent>
        </w:sdt>
      </w:sdtContent>
    </w:sdt>
    <w:sectPr>
      <w:pgSz w:w="11906" w:h="16838"/>
      <w:pgMar w:top="1440" w:right="1440" w:bottom="1440" w:left="1440"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2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410B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ntTable" Target="fontTable.xml"/>
  <Relationship Id="rId11" Type="http://schemas.openxmlformats.org/officeDocument/2006/relationships/theme" Target="theme/theme1.xml"/>
  <Relationship Id="rId12"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microsoft.com/office/2007/relationships/stylesWithEffects" Target="stylesWithEffects.xml"/>
  <Relationship Id="rId6" Type="http://schemas.openxmlformats.org/officeDocument/2006/relationships/settings" Target="settings.xml"/>
  <Relationship Id="rId7"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9" ma:contentTypeDescription="Create a new document." ma:contentTypeScope="" ma:versionID="9e4d0c4ad520c4464afe70220765765c">
  <xsd:schema xmlns:xsd="http://www.w3.org/2001/XMLSchema" xmlns:xs="http://www.w3.org/2001/XMLSchema" xmlns:p="http://schemas.microsoft.com/office/2006/metadata/properties" xmlns:ns2="f5aad5d0-9c26-490e-8743-a6c7ceabd501" targetNamespace="http://schemas.microsoft.com/office/2006/metadata/properties" ma:root="true" ma:fieldsID="f0c14dbcd7e826adf5595f1080a29bfa" ns2:_="">
    <xsd:import namespace="f5aad5d0-9c26-490e-8743-a6c7ceabd5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00084d11dd9847bc862c769162a4d31a" PartId="3c93c253e398458da1a467d11aac78bb">
    <Part Type="pabaiga" DocPartId="2b9840166da844bc8ea50cddf591c08e" PartId="aff0ea031e7a4f32a0953267d116c8cb"/>
  </Part>
</Parts>
</file>

<file path=customXml/itemProps1.xml><?xml version="1.0" encoding="utf-8"?>
<ds:datastoreItem xmlns:ds="http://schemas.openxmlformats.org/officeDocument/2006/customXml" ds:itemID="{6BC7C7CA-4D24-45A6-AF3D-C98C8AA9D0C1}">
  <ds:schemaRefs>
    <ds:schemaRef ds:uri="http://schemas.microsoft.com/office/2006/metadata/properties"/>
    <ds:schemaRef ds:uri="f5aad5d0-9c26-490e-8743-a6c7ceabd501"/>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883BD080-D10C-46EA-BE29-6362B6B57F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A5A44E3-789A-4F0F-8339-F3FEF094358C}">
  <ds:schemaRefs>
    <ds:schemaRef ds:uri="http://schemas.microsoft.com/sharepoint/v3/contenttype/forms"/>
  </ds:schemaRefs>
</ds:datastoreItem>
</file>

<file path=customXml/itemProps4.xml><?xml version="1.0" encoding="utf-8"?>
<ds:datastoreItem xmlns:ds="http://schemas.openxmlformats.org/officeDocument/2006/customXml" ds:itemID="{89E46BC1-7429-482F-800C-C06FCAE5BF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336</Words>
  <Characters>2711</Characters>
  <Application>Microsoft Office Word</Application>
  <DocSecurity>4</DocSecurity>
  <Lines>108</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2021-05-25T06:27:00Z</dcterms:created>
  <dc:creator>Livija Šepetytė</dc:creator>
  <lastModifiedBy>adlibuser</lastModifiedBy>
  <dcterms:modified xsi:type="dcterms:W3CDTF">2021-05-25T06:27:00Z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