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84b1034258ea4d3d9e87cc3d3a2d1ac0"/>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4DBCC316" wp14:editId="5D9500F3">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8 706 63661, faks. 8 706 63663, el. p. info@am.lt, http://am.lrv.lt.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rPr>
                    <w:rFonts w:eastAsia="Andale Sans UI" w:cs="Tahoma"/>
                    <w:szCs w:val="24"/>
                    <w:lang w:bidi="en-US"/>
                  </w:rPr>
                </w:pPr>
                <w:r>
                  <w:rPr>
                    <w:rFonts w:eastAsia="Andale Sans UI" w:cs="Tahoma"/>
                    <w:szCs w:val="24"/>
                    <w:lang w:bidi="en-US"/>
                  </w:rPr>
                  <w:t>Adresatams pagal sąrašą</w:t>
                </w: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r>
                  <w:rPr>
                    <w:rFonts w:eastAsia="Andale Sans UI" w:cs="Tahoma"/>
                    <w:szCs w:val="24"/>
                    <w:lang w:bidi="en-US"/>
                  </w:rPr>
                  <w:t>2021-05-</w:t>
                </w:r>
              </w:p>
            </w:tc>
            <w:tc>
              <w:tcPr>
                <w:tcW w:w="565"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r>
                  <w:rPr>
                    <w:rFonts w:eastAsia="Andale Sans UI" w:cs="Tahoma"/>
                    <w:szCs w:val="24"/>
                    <w:lang w:bidi="en-US"/>
                  </w:rPr>
                  <w:t>(62)-D8(E)-</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widowControl w:val="0"/>
                  <w:tabs>
                    <w:tab w:val="left" w:pos="2869"/>
                  </w:tabs>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tabs>
                    <w:tab w:val="left" w:pos="2869"/>
                  </w:tabs>
                  <w:suppressAutoHyphens/>
                  <w:ind w:right="67"/>
                  <w:jc w:val="right"/>
                  <w:rPr>
                    <w:rFonts w:eastAsia="Andale Sans UI" w:cs="Tahoma"/>
                    <w:spacing w:val="10"/>
                    <w:szCs w:val="24"/>
                    <w:lang w:bidi="en-US"/>
                  </w:rPr>
                </w:pPr>
              </w:p>
            </w:tc>
            <w:tc>
              <w:tcPr>
                <w:tcW w:w="2133" w:type="dxa"/>
              </w:tcPr>
              <w:p>
                <w:pPr>
                  <w:widowControl w:val="0"/>
                  <w:suppressLineNumbers/>
                  <w:suppressAutoHyphens/>
                  <w:ind w:right="67"/>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rPr>
                    <w:rFonts w:eastAsia="Andale Sans UI" w:cs="Tahoma"/>
                    <w:b/>
                    <w:bCs/>
                    <w:szCs w:val="24"/>
                    <w:lang w:bidi="en-US"/>
                  </w:rPr>
                </w:pPr>
                <w:r>
                  <w:rPr>
                    <w:rFonts w:eastAsia="Andale Sans UI" w:cs="Tahoma"/>
                    <w:b/>
                    <w:bCs/>
                    <w:caps/>
                    <w:szCs w:val="24"/>
                    <w:lang w:bidi="en-US"/>
                  </w:rPr>
                  <w:t>DĖL APLINKOS MINISTRO ĮSAKYMO „DĖL Veiksmų plano upių vientisumui atkurti ir hidroelektrinių neigiamam poveikiui mažintI“ PROJEKTO DERINIMO</w:t>
                </w:r>
              </w:p>
            </w:tc>
          </w:tr>
        </w:tbl>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sdtContent>
    </w:sdt>
    <w:sdt>
      <w:sdtPr>
        <w:alias w:val="pastraipa"/>
        <w:tag w:val="part_fb2db51894794c0d8b974cc3423d3ea1"/>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Aplinkos ministerija parengė ir teikia derinti Lietuvos Respublikos aplinkos ministro įsakymo „Dėl veiksmų plano upių vientisumui atkurti ir hidroelektrinių neigiamam poveikiui mažinti patvirtinimo“ projektą (toliau – projektas). </w:t>
          </w:r>
        </w:p>
      </w:sdtContent>
    </w:sdt>
    <w:sdt>
      <w:sdtPr>
        <w:alias w:val="pastraipa"/>
        <w:tag w:val="part_b59cc64a4ab4475cb310e848549ddb05"/>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Projekto tikslas – atlikti esamo teisinio reglamentavimo</w:t>
          </w:r>
          <w:r>
            <w:rPr>
              <w:rFonts w:eastAsia="Andale Sans UI" w:cs="Tahoma"/>
              <w:color w:val="FF0000"/>
              <w:szCs w:val="24"/>
              <w:lang w:bidi="en-US"/>
            </w:rPr>
            <w:t xml:space="preserve"> </w:t>
          </w:r>
          <w:r>
            <w:rPr>
              <w:rFonts w:eastAsia="Andale Sans UI" w:cs="Tahoma"/>
              <w:szCs w:val="24"/>
              <w:lang w:bidi="en-US"/>
            </w:rPr>
            <w:t xml:space="preserve">pakeitimus siekiant mažinti hidroelektrinių daromą neigiamą poveikį upių ekosistemoms, sukurti  efektyvų upių vientisumo atkūrimo finansinį, teisinį ir institucinį mechanizmą ir koordinuoti tarp institucijų su hidroelektrinių kontrole susijusius veiksmus.  </w:t>
          </w:r>
        </w:p>
      </w:sdtContent>
    </w:sdt>
    <w:sdt>
      <w:sdtPr>
        <w:alias w:val="pastraipa"/>
        <w:tag w:val="part_cc99feded4ee4200b1e1ac612a932b9a"/>
        <w:lock w:val="sdtLocked"/>
        <w:richText/>
      </w:sdtPr>
      <w:sdtContent>
        <w:p>
          <w:pPr>
            <w:widowControl w:val="0"/>
            <w:suppressAutoHyphens/>
            <w:spacing w:line="276" w:lineRule="auto"/>
            <w:ind w:firstLine="567"/>
            <w:jc w:val="both"/>
            <w:rPr>
              <w:rFonts w:eastAsia="Andale Sans UI" w:cs="Tahoma"/>
              <w:color w:val="000000"/>
              <w:szCs w:val="24"/>
              <w:lang w:bidi="en-US"/>
            </w:rPr>
          </w:pPr>
          <w:r>
            <w:rPr>
              <w:rFonts w:eastAsia="Andale Sans UI" w:cs="Tahoma"/>
              <w:szCs w:val="24"/>
              <w:lang w:bidi="en-US"/>
            </w:rPr>
            <w:t>Projektas parengtas atsižvelgiant į Aštuonioliktosios Lietuvos Respublikos Vyriausybės programos, patvirtintos Lietuvos Respublikos Seimo 2020 m. gruodžio 11 d. nutarimu Nr. XIV-72 „Dėl Aštuonioliktosios Lietuvos Respublikos Vyriausybės programos“, 162.5 punktą, Aštuonioliktosios Lietuvos Respublikos Vyriausybės programos nuostatų įgyvendinimo plano, patvirtinto Lietuvos Respublikos Vyriausybės 2021 m. kovo 10 d. nutarimu Nr. 155 „Dėl Aštuonioliktosios Lietuvos Respublikos Vyriausybės programos nuostatų įgyvendinimo plano patvirtinimo“, 6.4.19 veiksmą ir 2021 m sausio 27 d. Lietuvos Respublikos Seimo Aplinkos apsaugos komiteto posėdžio (protokolo Nr. 107-P-05) sprendimų nuostatas dėl užtvankų priežiūros ir poveikio aplinkai.</w:t>
          </w:r>
        </w:p>
      </w:sdtContent>
    </w:sdt>
    <w:sdt>
      <w:sdtPr>
        <w:alias w:val="pastraipa"/>
        <w:tag w:val="part_7523cef3030546bda01d38d661fb8b90"/>
        <w:lock w:val="sdtLocked"/>
        <w:richText/>
      </w:sdtPr>
      <w:sdtContent>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Informuojame, kad iki šių metų pabaigos planuojama parengti ir pateikti Lietuvos Respublikos Seimui tvirtinti Lietuvos Respublikos vandens įstatymo pakeitimo projektą, siekiant nustatyti aiškias pareigas užtvankų, tvenkinių ir hidroelektrinių valdytojams, žuvų migracijos kelių atlaisvinimo principus, leidimų sistemą visoms hidroelektrinėms. Atsižvelgiant į tai, projekte numatomi būtini susijusių teisės aktų pakeitimai sėkmingam vandenų politikos tikslų įgyvendinimui. Projekte numatomos priemonės bus įgyvendintos nuo 2021 m. III ketv. iki 2022 III ketv., paskirstant jų įgyvendinimą Aplinkos ministerijos padaliniams, Aplinkos ministerijai pavaldžioms institucijoms ir kitoms suinteresuotoms institucijoms.</w:t>
          </w:r>
        </w:p>
      </w:sdtContent>
    </w:sdt>
    <w:sdt>
      <w:sdtPr>
        <w:alias w:val="pastraipa"/>
        <w:tag w:val="part_e213b62ef7a64118839914221a0c7e03"/>
        <w:lock w:val="sdtLocked"/>
        <w:richText/>
      </w:sdtPr>
      <w:sdtContent>
        <w:p>
          <w:pPr>
            <w:widowControl w:val="0"/>
            <w:suppressAutoHyphens/>
            <w:spacing w:line="276" w:lineRule="auto"/>
            <w:ind w:firstLine="720"/>
            <w:jc w:val="both"/>
            <w:rPr>
              <w:szCs w:val="24"/>
              <w:lang w:bidi="en-US"/>
            </w:rPr>
          </w:pPr>
          <w:r>
            <w:rPr>
              <w:szCs w:val="24"/>
              <w:lang w:bidi="en-US"/>
            </w:rPr>
            <w:t>Projektas paskelbtas Lietuvos Respublikos Seimo kanceliarijos teisės aktų informacinėje sistemoje (TAIS). Prašome pastabas ir pasiūlymus pateikti per 10 darbo dienų nuo projekto paskelbimo TAIS. Negavę pastabų per nurodytą terminą, laikysime, kad pastabų projektui neturite.</w:t>
          </w:r>
        </w:p>
      </w:sdtContent>
    </w:sdt>
    <w:sdt>
      <w:sdtPr>
        <w:alias w:val="pastraipa"/>
        <w:tag w:val="part_b625727dc073401eb5caec26d61885c3"/>
        <w:lock w:val="sdtLocked"/>
        <w:richText/>
      </w:sdtPr>
      <w:sdtContent>
        <w:p>
          <w:pPr>
            <w:widowControl w:val="0"/>
            <w:suppressAutoHyphens/>
            <w:spacing w:line="276" w:lineRule="auto"/>
            <w:ind w:firstLine="720"/>
            <w:jc w:val="both"/>
            <w:rPr>
              <w:szCs w:val="24"/>
              <w:lang w:bidi="en-US"/>
            </w:rPr>
          </w:pPr>
          <w:r>
            <w:rPr>
              <w:szCs w:val="24"/>
              <w:lang w:bidi="en-US"/>
            </w:rPr>
            <w:t xml:space="preserve">Projektą parengė Aplinkos ministerijos Strateginių pokyčių grupės (vadovas Aurimas Saladžius tel. 8 696 59321, el. p. aurimas.saladzius@am.lt) vyriausioji specialistė Jonė Leščinskaitė, el. p. </w:t>
          </w:r>
          <w:r>
            <w:rPr>
              <w:color w:val="000080"/>
              <w:szCs w:val="24"/>
              <w:u w:val="single"/>
              <w:lang w:bidi="en-US"/>
            </w:rPr>
            <w:t>jone.lescinskaite@am.lt</w:t>
          </w:r>
          <w:r>
            <w:rPr>
              <w:szCs w:val="24"/>
              <w:lang w:bidi="en-US"/>
            </w:rPr>
            <w:t xml:space="preserve">, tel. 8 695 12089. </w:t>
          </w:r>
        </w:p>
        <w:p>
          <w:pPr>
            <w:widowControl w:val="0"/>
            <w:suppressAutoHyphens/>
            <w:spacing w:line="276" w:lineRule="auto"/>
            <w:ind w:firstLine="720"/>
            <w:jc w:val="both"/>
            <w:rPr>
              <w:szCs w:val="24"/>
              <w:lang w:bidi="en-US"/>
            </w:rPr>
          </w:pPr>
        </w:p>
        <w:p>
          <w:pPr>
            <w:widowControl w:val="0"/>
            <w:suppressAutoHyphens/>
            <w:ind w:firstLine="720"/>
            <w:jc w:val="both"/>
            <w:rPr>
              <w:rFonts w:eastAsia="Andale Sans UI"/>
              <w:szCs w:val="24"/>
              <w:lang w:bidi="en-US"/>
            </w:rPr>
          </w:pPr>
        </w:p>
        <w:p>
          <w:pPr>
            <w:widowControl w:val="0"/>
            <w:suppressAutoHyphens/>
            <w:ind w:firstLine="720"/>
            <w:jc w:val="both"/>
            <w:rPr>
              <w:rFonts w:eastAsia="Andale Sans UI"/>
              <w:szCs w:val="24"/>
              <w:lang w:bidi="en-US"/>
            </w:rPr>
          </w:pPr>
        </w:p>
      </w:sdtContent>
    </w:sdt>
    <w:sdt>
      <w:sdtPr>
        <w:alias w:val="pastraipa"/>
        <w:tag w:val="part_4ba0a1d2d7de42be8f3760922f260e6a"/>
        <w:lock w:val="sdtLocked"/>
        <w:richText/>
      </w:sdtPr>
      <w:sdtContent>
        <w:p>
          <w:pPr>
            <w:widowControl w:val="0"/>
            <w:suppressAutoHyphens/>
            <w:jc w:val="both"/>
            <w:rPr>
              <w:rFonts w:eastAsia="Andale Sans UI"/>
              <w:szCs w:val="24"/>
              <w:lang w:bidi="en-US"/>
            </w:rPr>
          </w:pPr>
          <w:r>
            <w:rPr>
              <w:rFonts w:eastAsia="Andale Sans UI"/>
              <w:szCs w:val="24"/>
              <w:lang w:bidi="en-US"/>
            </w:rPr>
            <w:t xml:space="preserve">PRIDEDAMA: </w:t>
          </w:r>
        </w:p>
        <w:sdt>
          <w:sdtPr>
            <w:alias w:val="1 p."/>
            <w:tag w:val="part_3bbf85561c3f487bb8b3fe73fa2f224e"/>
            <w:lock w:val="sdtLocked"/>
            <w:richText/>
          </w:sdtPr>
          <w:sdtContent>
            <w:p>
              <w:pPr>
                <w:widowControl w:val="0"/>
                <w:suppressAutoHyphens/>
                <w:ind w:firstLine="720"/>
                <w:jc w:val="both"/>
                <w:rPr>
                  <w:szCs w:val="24"/>
                  <w:lang w:bidi="en-US"/>
                </w:rPr>
              </w:pPr>
              <w:sdt>
                <w:sdtPr>
                  <w:alias w:val="Numeris"/>
                  <w:tag w:val="nr_3bbf85561c3f487bb8b3fe73fa2f224e"/>
                  <w:lock w:val="sdtLocked"/>
                  <w:richText/>
                </w:sdtPr>
                <w:sdtContent>
                  <w:r>
                    <w:rPr>
                      <w:szCs w:val="22"/>
                    </w:rPr>
                    <w:t>1</w:t>
                  </w:r>
                </w:sdtContent>
              </w:sdt>
              <w:r>
                <w:rPr>
                  <w:szCs w:val="22"/>
                </w:rPr>
                <w:t>.</w:t>
                <w:tab/>
              </w:r>
              <w:r>
                <w:rPr>
                  <w:szCs w:val="24"/>
                  <w:lang w:bidi="en-US"/>
                </w:rPr>
                <w:t>Įsakymo projektas, 5 lapai.</w:t>
              </w:r>
            </w:p>
          </w:sdtContent>
        </w:sdt>
        <w:sdt>
          <w:sdtPr>
            <w:alias w:val="2 p."/>
            <w:tag w:val="part_fb33068b6a604c6b82262539a340b5e8"/>
            <w:lock w:val="sdtLocked"/>
            <w:richText/>
          </w:sdtPr>
          <w:sdtContent>
            <w:p>
              <w:pPr>
                <w:widowControl w:val="0"/>
                <w:suppressAutoHyphens/>
                <w:ind w:firstLine="720"/>
                <w:jc w:val="both"/>
                <w:rPr>
                  <w:szCs w:val="24"/>
                  <w:lang w:bidi="en-US"/>
                </w:rPr>
              </w:pPr>
              <w:sdt>
                <w:sdtPr>
                  <w:alias w:val="Numeris"/>
                  <w:tag w:val="nr_fb33068b6a604c6b82262539a340b5e8"/>
                  <w:lock w:val="sdtLocked"/>
                  <w:richText/>
                </w:sdtPr>
                <w:sdtContent>
                  <w:r>
                    <w:rPr>
                      <w:szCs w:val="22"/>
                    </w:rPr>
                    <w:t>2</w:t>
                  </w:r>
                </w:sdtContent>
              </w:sdt>
              <w:r>
                <w:rPr>
                  <w:szCs w:val="22"/>
                </w:rPr>
                <w:t>.</w:t>
                <w:tab/>
              </w:r>
              <w:r>
                <w:rPr>
                  <w:szCs w:val="24"/>
                  <w:lang w:bidi="en-US"/>
                </w:rPr>
                <w:t>Numatomo teisinio reguliavimo poveikio vertinimo pažyma, 2 lapai.</w:t>
              </w:r>
            </w:p>
          </w:sdtContent>
        </w:sdt>
        <w:sdt>
          <w:sdtPr>
            <w:alias w:val="3 p."/>
            <w:tag w:val="part_00aded0569514709a28ec8f372efb898"/>
            <w:lock w:val="sdtLocked"/>
            <w:richText/>
          </w:sdtPr>
          <w:sdtContent>
            <w:p>
              <w:pPr>
                <w:widowControl w:val="0"/>
                <w:suppressAutoHyphens/>
                <w:ind w:firstLine="720"/>
                <w:jc w:val="both"/>
                <w:rPr>
                  <w:szCs w:val="24"/>
                  <w:lang w:bidi="en-US"/>
                </w:rPr>
              </w:pPr>
              <w:sdt>
                <w:sdtPr>
                  <w:alias w:val="Numeris"/>
                  <w:tag w:val="nr_00aded0569514709a28ec8f372efb898"/>
                  <w:lock w:val="sdtLocked"/>
                  <w:richText/>
                </w:sdtPr>
                <w:sdtContent>
                  <w:r>
                    <w:rPr>
                      <w:szCs w:val="22"/>
                    </w:rPr>
                    <w:t>3</w:t>
                  </w:r>
                </w:sdtContent>
              </w:sdt>
              <w:r>
                <w:rPr>
                  <w:szCs w:val="22"/>
                </w:rPr>
                <w:t>.</w:t>
                <w:tab/>
              </w:r>
              <w:r>
                <w:rPr>
                  <w:szCs w:val="24"/>
                  <w:lang w:bidi="en-US"/>
                </w:rPr>
                <w:t>Lietuvos Respublikos Seimo Aplinkos apsaugos komiteto 2021-01-27 posėdžio Nr. 107-P-5 protokolo išrašo kopija, 4 lapai.</w:t>
              </w:r>
            </w:p>
            <w:p>
              <w:pPr>
                <w:widowControl w:val="0"/>
                <w:suppressAutoHyphens/>
                <w:jc w:val="both"/>
                <w:rPr>
                  <w:szCs w:val="24"/>
                  <w:lang w:bidi="en-US"/>
                </w:rPr>
              </w:pPr>
            </w:p>
            <w:p>
              <w:pPr>
                <w:widowControl w:val="0"/>
                <w:suppressAutoHyphens/>
                <w:jc w:val="both"/>
                <w:rPr>
                  <w:szCs w:val="24"/>
                  <w:lang w:bidi="en-US"/>
                </w:rPr>
              </w:pPr>
            </w:p>
            <w:p>
              <w:pPr>
                <w:widowControl w:val="0"/>
                <w:suppressAutoHyphens/>
                <w:jc w:val="both"/>
                <w:rPr>
                  <w:szCs w:val="24"/>
                  <w:lang w:bidi="en-US"/>
                </w:rPr>
              </w:pPr>
            </w:p>
            <w:p>
              <w:pPr>
                <w:widowControl w:val="0"/>
                <w:suppressAutoHyphens/>
                <w:jc w:val="both"/>
                <w:rPr>
                  <w:szCs w:val="24"/>
                  <w:lang w:bidi="en-US"/>
                </w:rPr>
              </w:pPr>
            </w:p>
            <w:p>
              <w:pPr>
                <w:widowControl w:val="0"/>
                <w:suppressAutoHyphens/>
                <w:ind w:firstLine="567"/>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widowControl w:val="0"/>
                      <w:suppressLineNumbers/>
                      <w:suppressAutoHyphens/>
                      <w:rPr>
                        <w:rFonts w:eastAsia="Andale Sans UI" w:cs="Tahoma"/>
                        <w:szCs w:val="24"/>
                        <w:lang w:bidi="en-US"/>
                      </w:rPr>
                    </w:pPr>
                    <w:r>
                      <w:rPr>
                        <w:rFonts w:eastAsia="Andale Sans UI" w:cs="Tahoma"/>
                        <w:szCs w:val="24"/>
                        <w:lang w:bidi="en-US"/>
                      </w:rPr>
                      <w:t xml:space="preserve">Aplinkos ministerijos kanclerė </w:t>
                    </w:r>
                  </w:p>
                </w:tc>
                <w:tc>
                  <w:tcPr>
                    <w:tcW w:w="4826" w:type="dxa"/>
                    <w:vAlign w:val="bottom"/>
                  </w:tcPr>
                  <w:p>
                    <w:pPr>
                      <w:widowControl w:val="0"/>
                      <w:suppressAutoHyphens/>
                      <w:ind w:right="34"/>
                      <w:jc w:val="right"/>
                      <w:rPr>
                        <w:rFonts w:eastAsia="Andale Sans UI" w:cs="Tahoma"/>
                        <w:szCs w:val="24"/>
                        <w:lang w:bidi="en-US"/>
                      </w:rPr>
                    </w:pPr>
                  </w:p>
                  <w:p>
                    <w:pPr>
                      <w:widowControl w:val="0"/>
                      <w:suppressAutoHyphens/>
                      <w:ind w:right="34"/>
                      <w:jc w:val="right"/>
                      <w:rPr>
                        <w:rFonts w:eastAsia="Andale Sans UI" w:cs="Tahoma"/>
                        <w:szCs w:val="24"/>
                        <w:lang w:bidi="en-US"/>
                      </w:rPr>
                    </w:pPr>
                  </w:p>
                  <w:p>
                    <w:pPr>
                      <w:widowControl w:val="0"/>
                      <w:suppressAutoHyphens/>
                      <w:ind w:right="34"/>
                      <w:jc w:val="right"/>
                      <w:rPr>
                        <w:rFonts w:eastAsia="Andale Sans UI" w:cs="Tahoma"/>
                        <w:szCs w:val="24"/>
                        <w:lang w:bidi="en-US"/>
                      </w:rPr>
                    </w:pPr>
                    <w:r>
                      <w:rPr>
                        <w:rFonts w:eastAsia="Andale Sans UI" w:cs="Tahoma"/>
                        <w:szCs w:val="24"/>
                        <w:lang w:bidi="en-US"/>
                      </w:rPr>
                      <w:t>Sigita Vasiljevaitė</w:t>
                    </w:r>
                  </w:p>
                </w:tc>
              </w:tr>
            </w:tbl>
            <w:p>
              <w:pPr>
                <w:widowControl w:val="0"/>
                <w:suppressAutoHyphens/>
                <w:ind w:firstLine="567"/>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r>
                      <w:rPr>
                        <w:rFonts w:eastAsia="Andale Sans UI"/>
                        <w:szCs w:val="24"/>
                        <w:lang w:bidi="en-US"/>
                      </w:rPr>
                      <w:t>J. Leščinskaitė, 8 695 12089, el.p. jone.lescinskaite@am.lt</w:t>
                    </w:r>
                  </w:p>
                  <w:p>
                    <w:pPr>
                      <w:widowControl w:val="0"/>
                      <w:suppressLineNumbers/>
                      <w:suppressAutoHyphens/>
                      <w:rPr>
                        <w:rFonts w:eastAsia="Andale Sans UI" w:cs="Tahoma"/>
                        <w:szCs w:val="24"/>
                        <w:lang w:bidi="en-US"/>
                      </w:rPr>
                    </w:pPr>
                  </w:p>
                </w:tc>
              </w:tr>
            </w:tbl>
            <w:p>
              <w:pPr>
                <w:widowControl w:val="0"/>
                <w:suppressAutoHyphens/>
                <w:ind w:firstLine="567"/>
                <w:jc w:val="both"/>
                <w:rPr>
                  <w:rFonts w:eastAsia="Andale Sans UI" w:cs="Tahoma"/>
                  <w:szCs w:val="24"/>
                  <w:lang w:bidi="en-US"/>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741C2ED3" wp14:editId="783D4C9C">
          <wp:extent cx="469265" cy="774065"/>
          <wp:effectExtent l="0" t="0" r="6985"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9265" cy="774065"/>
                  </a:xfrm>
                  <a:prstGeom prst="rect">
                    <a:avLst/>
                  </a:prstGeom>
                  <a:noFill/>
                </pic:spPr>
              </pic:pic>
            </a:graphicData>
          </a:graphic>
        </wp:inline>
      </w:drawing>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14337"/>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5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034263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er3.xml.rels><?xml version="1.0" encoding="UTF-8"?>

<Relationships xmlns="http://schemas.openxmlformats.org/package/2006/relationships">
  <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Valdemar Jankovskij</DisplayName>
        <AccountId>33</AccountId>
        <AccountType/>
      </UserInfo>
      <UserInfo>
        <DisplayName>Jonė Leščinskaitė</DisplayName>
        <AccountId>1032</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8b3e0dc3c73643349dbf3872d5f32431" PartId="84b1034258ea4d3d9e87cc3d3a2d1ac0"/>
  <Part Type="pastraipa" DocPartId="fb2d1aff33b34c8a825a9eb4bdd57687" PartId="fb2db51894794c0d8b974cc3423d3ea1"/>
  <Part Type="pastraipa" DocPartId="efb6cc496f734aab88b680e9c79d8556" PartId="b59cc64a4ab4475cb310e848549ddb05"/>
  <Part Type="pastraipa" DocPartId="d05eb020356e4d3bac8ba5b33c9db192" PartId="cc99feded4ee4200b1e1ac612a932b9a"/>
  <Part Type="pastraipa" DocPartId="a75a61e8c7fe42c787ecdb3814abfb77" PartId="7523cef3030546bda01d38d661fb8b90"/>
  <Part Type="pastraipa" DocPartId="f92377de9edb428f8a3f95fd01d6a34d" PartId="e213b62ef7a64118839914221a0c7e03"/>
  <Part Type="pastraipa" DocPartId="f4650e0bd5cf47ba95359d7736d3682e" PartId="b625727dc073401eb5caec26d61885c3"/>
  <Part Type="pastraipa" DocPartId="bf3e077c818043a39dc6e382b802241d" PartId="4ba0a1d2d7de42be8f3760922f260e6a">
    <Part Type="punktas" Nr="1" Abbr="1 p." DocPartId="b7330a21c3f94940987007974fed7a14" PartId="3bbf85561c3f487bb8b3fe73fa2f224e"/>
    <Part Type="punktas" Nr="2" Abbr="2 p." DocPartId="96ca5aec49734ab280fb9632e6feafd3" PartId="fb33068b6a604c6b82262539a340b5e8"/>
    <Part Type="punktas" Nr="3" Abbr="3 p." DocPartId="626b2c07d22a4256bf562d0fb8d6ed90" PartId="00aded0569514709a28ec8f372efb898"/>
  </Part>
</Parts>
</file>

<file path=customXml/itemProps1.xml><?xml version="1.0" encoding="utf-8"?>
<ds:datastoreItem xmlns:ds="http://schemas.openxmlformats.org/officeDocument/2006/customXml" ds:itemID="{25D72D9F-634C-40F1-8FBA-9712F6D8D0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7D630A-421A-4097-A7E0-EBD387E6A313}">
  <ds:schemaRefs>
    <ds:schemaRef ds:uri="http://schemas.microsoft.com/sharepoint/v3/contenttype/forms"/>
  </ds:schemaRefs>
</ds:datastoreItem>
</file>

<file path=customXml/itemProps3.xml><?xml version="1.0" encoding="utf-8"?>
<ds:datastoreItem xmlns:ds="http://schemas.openxmlformats.org/officeDocument/2006/customXml" ds:itemID="{84C4CE1A-2513-4537-BC3C-D1524F51C49D}">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A6936CB5-AFAA-4638-A8BB-38E26DE2C1B8}">
  <ds:schemaRefs>
    <ds:schemaRef ds:uri="http://schemas.openxmlformats.org/officeDocument/2006/bibliography"/>
  </ds:schemaRefs>
</ds:datastoreItem>
</file>

<file path=customXml/itemProps5.xml><?xml version="1.0" encoding="utf-8"?>
<ds:datastoreItem xmlns:ds="http://schemas.openxmlformats.org/officeDocument/2006/customXml" ds:itemID="{D29361C9-F4D3-4666-A1DA-B14129AB49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402</Words>
  <Characters>3000</Characters>
  <Application>Microsoft Office Word</Application>
  <DocSecurity>4</DocSecurity>
  <Lines>115</Lines>
  <Paragraphs>25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2021-05-25T06:27:00Z</dcterms:created>
  <dcterms:modified xsi:type="dcterms:W3CDTF">2021-05-25T06:27:00Z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47800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TemplateUrl">
    <vt:lpwstr/>
  </property>
</Properties>
</file>