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2bbfb51546f474a98b0a44bf674e541"/>
        <w:lock w:val="sdtLocked"/>
        <w:richText/>
      </w:sdtPr>
      <w:sdtContent>
        <w:p w14:paraId="54A20D07" w14:textId="77777777">
          <w:pPr>
            <w:tabs>
              <w:tab w:val="center" w:pos="4819"/>
              <w:tab w:val="right" w:pos="9638"/>
            </w:tabs>
            <w:rPr>
              <w:szCs w:val="24"/>
              <w:lang w:eastAsia="lt-LT"/>
            </w:rPr>
          </w:pPr>
        </w:p>
        <w:p w14:paraId="357F0F32" w14:textId="77777777">
          <w:pPr>
            <w:ind w:firstLine="5812"/>
            <w:rPr>
              <w:szCs w:val="24"/>
              <w:lang w:eastAsia="lt-LT"/>
            </w:rPr>
          </w:pPr>
          <w:r>
            <w:rPr>
              <w:szCs w:val="24"/>
              <w:lang w:eastAsia="lt-LT"/>
            </w:rPr>
            <w:t>PRITARTA</w:t>
          </w:r>
        </w:p>
        <w:p w14:paraId="6676B100" w14:textId="77777777">
          <w:pPr>
            <w:ind w:firstLine="5812"/>
            <w:rPr>
              <w:szCs w:val="24"/>
              <w:lang w:eastAsia="lt-LT"/>
            </w:rPr>
          </w:pPr>
          <w:r>
            <w:rPr>
              <w:szCs w:val="24"/>
              <w:lang w:eastAsia="lt-LT"/>
            </w:rPr>
            <w:t>Šiaulių miesto savivaldybės tarybos</w:t>
          </w:r>
        </w:p>
        <w:p w14:paraId="727143E9" w14:textId="708C7863">
          <w:pPr>
            <w:ind w:firstLine="5812"/>
            <w:rPr>
              <w:szCs w:val="24"/>
              <w:lang w:eastAsia="lt-LT"/>
            </w:rPr>
          </w:pPr>
          <w:r>
            <w:rPr>
              <w:szCs w:val="24"/>
              <w:lang w:eastAsia="lt-LT"/>
            </w:rPr>
            <w:t xml:space="preserve">2025 m. _____________ d. sprendimu </w:t>
          </w:r>
        </w:p>
        <w:p w14:paraId="7E472598" w14:textId="77777777">
          <w:pPr>
            <w:ind w:firstLine="5812"/>
            <w:rPr>
              <w:szCs w:val="24"/>
              <w:lang w:eastAsia="lt-LT"/>
            </w:rPr>
          </w:pPr>
          <w:r>
            <w:rPr>
              <w:szCs w:val="24"/>
              <w:lang w:eastAsia="lt-LT"/>
            </w:rPr>
            <w:t xml:space="preserve">Nr. T-_____________ </w:t>
          </w:r>
        </w:p>
        <w:p w14:paraId="0A7A446A" w14:textId="77777777">
          <w:pPr>
            <w:ind w:firstLine="5812"/>
            <w:rPr>
              <w:szCs w:val="24"/>
              <w:lang w:eastAsia="lt-LT"/>
            </w:rPr>
          </w:pPr>
        </w:p>
        <w:p w14:paraId="0F9F444B" w14:textId="77777777">
          <w:pPr>
            <w:jc w:val="center"/>
            <w:rPr>
              <w:b/>
              <w:bCs/>
              <w:szCs w:val="24"/>
              <w:lang w:eastAsia="lt-LT"/>
            </w:rPr>
          </w:pPr>
          <w:r>
            <w:rPr>
              <w:b/>
              <w:bCs/>
              <w:szCs w:val="24"/>
              <w:lang w:eastAsia="lt-LT"/>
            </w:rPr>
            <w:t>VALSTYBINĖS ŽEMĖS NUOMOS SUTARTIS</w:t>
          </w:r>
        </w:p>
        <w:p w14:paraId="6C0BA40C" w14:textId="77777777">
          <w:pPr>
            <w:jc w:val="center"/>
            <w:rPr>
              <w:b/>
              <w:bCs/>
              <w:szCs w:val="24"/>
              <w:lang w:eastAsia="lt-LT"/>
            </w:rPr>
          </w:pPr>
        </w:p>
        <w:p w14:paraId="15A1400C" w14:textId="1B8400F4">
          <w:pPr>
            <w:jc w:val="center"/>
            <w:rPr>
              <w:szCs w:val="24"/>
              <w:lang w:eastAsia="lt-LT"/>
            </w:rPr>
          </w:pPr>
          <w:r>
            <w:rPr>
              <w:szCs w:val="24"/>
              <w:lang w:eastAsia="lt-LT"/>
            </w:rPr>
            <w:t xml:space="preserve">2025 m. ____________ d.  Nr. SŽ-____________ </w:t>
          </w:r>
        </w:p>
        <w:p w14:paraId="6622BE2F" w14:textId="77777777">
          <w:pPr>
            <w:jc w:val="center"/>
            <w:rPr>
              <w:szCs w:val="24"/>
              <w:lang w:eastAsia="lt-LT"/>
            </w:rPr>
          </w:pPr>
          <w:r>
            <w:rPr>
              <w:szCs w:val="24"/>
              <w:lang w:eastAsia="lt-LT"/>
            </w:rPr>
            <w:t>Šiauliai</w:t>
          </w:r>
        </w:p>
        <w:p w14:paraId="5DE70942" w14:textId="77777777">
          <w:pPr>
            <w:jc w:val="center"/>
            <w:rPr>
              <w:szCs w:val="24"/>
              <w:lang w:eastAsia="lt-LT"/>
            </w:rPr>
          </w:pPr>
        </w:p>
        <w:sdt>
          <w:sdtPr>
            <w:alias w:val="preambule"/>
            <w:tag w:val="part_0b39eae272014ab985f735d6291e0a8c"/>
            <w:lock w:val="sdtLocked"/>
            <w:richText/>
          </w:sdtPr>
          <w:sdtContent>
            <w:p w14:paraId="035B104F" w14:textId="6296344A">
              <w:pPr>
                <w:ind w:firstLine="720"/>
                <w:jc w:val="both"/>
                <w:rPr>
                  <w:szCs w:val="24"/>
                  <w:lang w:eastAsia="lt-LT"/>
                </w:rPr>
              </w:pPr>
              <w:r>
                <w:rPr>
                  <w:szCs w:val="24"/>
                  <w:lang w:eastAsia="lt-LT"/>
                </w:rPr>
                <w:t xml:space="preserve">Lietuvos valstybė, atstovaujama Šiaulių miesto savivaldybės, kodas 111109429, kurios registruota buveinė yra Vasario 16-osios g. 62, Šiaulių mieste, mero Artūro Visocko, veikiančio pagal Šiaulių miesto savivaldybės sutarčių pasirašymo tvarką, toliau vadinama nuomotoju, </w:t>
              </w:r>
              <w:r>
                <w:rPr>
                  <w:i/>
                  <w:szCs w:val="24"/>
                  <w:lang w:eastAsia="lt-LT"/>
                </w:rPr>
                <w:t>(duomenys neskelbtini)</w:t>
              </w:r>
              <w:r>
                <w:rPr>
                  <w:szCs w:val="24"/>
                  <w:lang w:eastAsia="lt-LT"/>
                </w:rPr>
                <w:t xml:space="preserve">, toliau vadinami nuomininkais, </w:t>
              </w:r>
              <w:r>
                <w:rPr>
                  <w:spacing w:val="60"/>
                  <w:szCs w:val="24"/>
                  <w:lang w:eastAsia="lt-LT"/>
                </w:rPr>
                <w:t>sudarė</w:t>
              </w:r>
              <w:r>
                <w:rPr>
                  <w:szCs w:val="24"/>
                  <w:lang w:eastAsia="lt-LT"/>
                </w:rPr>
                <w:t xml:space="preserve"> šią sutartį:</w:t>
              </w:r>
            </w:p>
          </w:sdtContent>
        </w:sdt>
        <w:sdt>
          <w:sdtPr>
            <w:alias w:val="1 p."/>
            <w:tag w:val="part_eb7ed5536d3a41b8902d0ab6a1fd6ad8"/>
            <w:lock w:val="sdtLocked"/>
            <w:richText/>
          </w:sdtPr>
          <w:sdtContent>
            <w:p w14:paraId="578D4651" w14:textId="628047FD">
              <w:pPr>
                <w:ind w:firstLine="720"/>
                <w:jc w:val="both"/>
                <w:rPr>
                  <w:szCs w:val="24"/>
                  <w:lang w:eastAsia="lt-LT"/>
                </w:rPr>
              </w:pPr>
              <w:sdt>
                <w:sdtPr>
                  <w:alias w:val="Numeris"/>
                  <w:tag w:val="nr_eb7ed5536d3a41b8902d0ab6a1fd6ad8"/>
                  <w:lock w:val="sdtLocked"/>
                  <w:richText/>
                </w:sdtPr>
                <w:sdtContent>
                  <w:r>
                    <w:rPr>
                      <w:szCs w:val="24"/>
                      <w:lang w:eastAsia="lt-LT"/>
                    </w:rPr>
                    <w:t>1</w:t>
                  </w:r>
                </w:sdtContent>
              </w:sdt>
              <w:r>
                <w:rPr>
                  <w:szCs w:val="24"/>
                  <w:lang w:eastAsia="lt-LT"/>
                </w:rPr>
                <w:t>. Nuomotojas išnuomoja, o nuomininkai išsinuomoja 0,0846 ha ploto žemės sklypą (kadastro Nr. 2901/0005:469, unikalus Nr. 2901-0002-0071), esantį Šiaulių m. sav., Gamybos g. 5A, (toliau – žemės sklypas) pastatui 5F1p (unikalus Nr. 2994-6002-6050) eksploatuoti.</w:t>
              </w:r>
            </w:p>
          </w:sdtContent>
        </w:sdt>
        <w:sdt>
          <w:sdtPr>
            <w:alias w:val="2 p."/>
            <w:tag w:val="part_9e2083b4eac6461db25998c8ff562d83"/>
            <w:lock w:val="sdtLocked"/>
            <w:richText/>
          </w:sdtPr>
          <w:sdtContent>
            <w:p w14:paraId="61CF844A" w14:textId="6029FC30">
              <w:pPr>
                <w:ind w:firstLine="720"/>
                <w:jc w:val="both"/>
                <w:rPr>
                  <w:szCs w:val="24"/>
                  <w:lang w:eastAsia="lt-LT"/>
                </w:rPr>
              </w:pPr>
              <w:sdt>
                <w:sdtPr>
                  <w:alias w:val="Numeris"/>
                  <w:tag w:val="nr_9e2083b4eac6461db25998c8ff562d83"/>
                  <w:lock w:val="sdtLocked"/>
                  <w:richText/>
                </w:sdtPr>
                <w:sdtContent>
                  <w:r>
                    <w:rPr>
                      <w:szCs w:val="24"/>
                      <w:lang w:eastAsia="lt-LT"/>
                    </w:rPr>
                    <w:t>2</w:t>
                  </w:r>
                </w:sdtContent>
              </w:sdt>
              <w:r>
                <w:rPr>
                  <w:szCs w:val="24"/>
                  <w:lang w:eastAsia="lt-LT"/>
                </w:rPr>
                <w:t>. Žemės sklypas išnuomojamas 8 (aštuoneriems) metams, skaičiuojant nuo šios sutarties sudarymo dienos.</w:t>
              </w:r>
            </w:p>
          </w:sdtContent>
        </w:sdt>
        <w:sdt>
          <w:sdtPr>
            <w:alias w:val="3 p."/>
            <w:tag w:val="part_927aa50589ca48289df8d1bc923d8144"/>
            <w:lock w:val="sdtLocked"/>
            <w:richText/>
          </w:sdtPr>
          <w:sdtContent>
            <w:p w14:paraId="7112F62D" w14:textId="6F13A4AB">
              <w:pPr>
                <w:ind w:firstLine="720"/>
                <w:jc w:val="both"/>
                <w:rPr>
                  <w:szCs w:val="24"/>
                  <w:lang w:eastAsia="lt-LT"/>
                </w:rPr>
              </w:pPr>
              <w:sdt>
                <w:sdtPr>
                  <w:alias w:val="Numeris"/>
                  <w:tag w:val="nr_927aa50589ca48289df8d1bc923d8144"/>
                  <w:lock w:val="sdtLocked"/>
                  <w:richText/>
                </w:sdtPr>
                <w:sdtContent>
                  <w:r>
                    <w:rPr>
                      <w:szCs w:val="24"/>
                      <w:lang w:eastAsia="lt-LT"/>
                    </w:rPr>
                    <w:t>3</w:t>
                  </w:r>
                </w:sdtContent>
              </w:sdt>
              <w:r>
                <w:rPr>
                  <w:szCs w:val="24"/>
                  <w:lang w:eastAsia="lt-LT"/>
                </w:rPr>
                <w:t>. Išnuomojamo žemės sklypo pagrindinė žemės naudojimo paskirtis – kitos paskirties žemė, naudojimo būdas – pramonės ir sandėliavimo objektų teritorijos.</w:t>
              </w:r>
            </w:p>
          </w:sdtContent>
        </w:sdt>
        <w:sdt>
          <w:sdtPr>
            <w:alias w:val="4 p."/>
            <w:tag w:val="part_0e9e3623ac954e0ba1352f16624dd883"/>
            <w:lock w:val="sdtLocked"/>
            <w:richText/>
          </w:sdtPr>
          <w:sdtContent>
            <w:p w14:paraId="7F7B20BE" w14:textId="6F7B990D">
              <w:pPr>
                <w:ind w:firstLine="720"/>
                <w:jc w:val="both"/>
                <w:rPr>
                  <w:szCs w:val="24"/>
                  <w:lang w:eastAsia="lt-LT"/>
                </w:rPr>
              </w:pPr>
              <w:sdt>
                <w:sdtPr>
                  <w:alias w:val="Numeris"/>
                  <w:tag w:val="nr_0e9e3623ac954e0ba1352f16624dd883"/>
                  <w:lock w:val="sdtLocked"/>
                  <w:richText/>
                </w:sdtPr>
                <w:sdtContent>
                  <w:r>
                    <w:rPr>
                      <w:szCs w:val="24"/>
                      <w:lang w:eastAsia="lt-LT"/>
                    </w:rPr>
                    <w:t>4</w:t>
                  </w:r>
                </w:sdtContent>
              </w:sdt>
              <w:r>
                <w:rPr>
                  <w:szCs w:val="24"/>
                  <w:lang w:eastAsia="lt-LT"/>
                </w:rPr>
                <w:t>. Galimybė keisti žemės sklypo pagrindinę žemės naudojimo paskirtį ir (ar) naudojimo būdą yra, jeigu tai numatyta galiojančiuose teritorijų planavimo dokumentuose.</w:t>
              </w:r>
            </w:p>
          </w:sdtContent>
        </w:sdt>
        <w:sdt>
          <w:sdtPr>
            <w:alias w:val="5 p."/>
            <w:tag w:val="part_0f73a8a864bf4e7184be155a02219ea4"/>
            <w:lock w:val="sdtLocked"/>
            <w:richText/>
          </w:sdtPr>
          <w:sdtContent>
            <w:p w14:paraId="31A417BA" w14:textId="77777777">
              <w:pPr>
                <w:ind w:firstLine="720"/>
                <w:jc w:val="both"/>
                <w:rPr>
                  <w:szCs w:val="24"/>
                  <w:lang w:eastAsia="lt-LT"/>
                </w:rPr>
              </w:pPr>
              <w:sdt>
                <w:sdtPr>
                  <w:alias w:val="Numeris"/>
                  <w:tag w:val="nr_0f73a8a864bf4e7184be155a02219ea4"/>
                  <w:lock w:val="sdtLocked"/>
                  <w:richText/>
                </w:sdtPr>
                <w:sdtContent>
                  <w:r>
                    <w:rPr>
                      <w:szCs w:val="24"/>
                      <w:lang w:eastAsia="lt-LT"/>
                    </w:rPr>
                    <w:t>5</w:t>
                  </w:r>
                </w:sdtContent>
              </w:sdt>
              <w:r>
                <w:rPr>
                  <w:szCs w:val="24"/>
                  <w:lang w:eastAsia="lt-LT"/>
                </w:rPr>
                <w:t>. Išnuomojamoje žemėje esančių žemės savininkui ar kitiems asmenims nuosavybės teise priklausančių statinių ir įrenginių naudojimo sąlygos, kelių tiesimo, vandens telkinių įrengimo ir kitos sąlygos, statinių ir įrenginių naudojimo paskirtis pasibaigus žemės nuomos terminui nustatomos pagal galiojančius Lietuvos Respublikos teisės aktus.</w:t>
              </w:r>
            </w:p>
          </w:sdtContent>
        </w:sdt>
        <w:sdt>
          <w:sdtPr>
            <w:alias w:val="6 p."/>
            <w:tag w:val="part_294306d963bc4b59a4ad8b161355ef21"/>
            <w:lock w:val="sdtLocked"/>
            <w:richText/>
          </w:sdtPr>
          <w:sdtContent>
            <w:p w14:paraId="7F2F1A66" w14:textId="77777777">
              <w:pPr>
                <w:ind w:firstLine="720"/>
                <w:jc w:val="both"/>
                <w:rPr>
                  <w:szCs w:val="24"/>
                  <w:lang w:eastAsia="lt-LT"/>
                </w:rPr>
              </w:pPr>
              <w:sdt>
                <w:sdtPr>
                  <w:alias w:val="Numeris"/>
                  <w:tag w:val="nr_294306d963bc4b59a4ad8b161355ef21"/>
                  <w:lock w:val="sdtLocked"/>
                  <w:richText/>
                </w:sdtPr>
                <w:sdtContent>
                  <w:r>
                    <w:rPr>
                      <w:szCs w:val="24"/>
                      <w:lang w:eastAsia="lt-LT"/>
                    </w:rPr>
                    <w:t>6</w:t>
                  </w:r>
                </w:sdtContent>
              </w:sdt>
              <w:r>
                <w:rPr>
                  <w:szCs w:val="24"/>
                  <w:lang w:eastAsia="lt-LT"/>
                </w:rPr>
                <w:t>. Išnuomojamoje žemėje esančių požeminio ir paviršinio vandens, naudingųjų iškasenų (išskyrus gintarą, naftą, dujas ir kvarcinį smėlį) naudojimo sąlygos nustatomos pagal galiojančius Lietuvos Respublikos teisės aktus.</w:t>
              </w:r>
            </w:p>
          </w:sdtContent>
        </w:sdt>
        <w:sdt>
          <w:sdtPr>
            <w:alias w:val="7 p."/>
            <w:tag w:val="part_ee9346366e4646ef81fa7251890d7292"/>
            <w:lock w:val="sdtLocked"/>
            <w:richText/>
          </w:sdtPr>
          <w:sdtContent>
            <w:p w14:paraId="4D14C778" w14:textId="77777777">
              <w:pPr>
                <w:ind w:firstLine="720"/>
                <w:jc w:val="both"/>
                <w:rPr>
                  <w:szCs w:val="24"/>
                  <w:lang w:eastAsia="lt-LT"/>
                </w:rPr>
              </w:pPr>
              <w:sdt>
                <w:sdtPr>
                  <w:alias w:val="Numeris"/>
                  <w:tag w:val="nr_ee9346366e4646ef81fa7251890d7292"/>
                  <w:lock w:val="sdtLocked"/>
                  <w:richText/>
                </w:sdtPr>
                <w:sdtContent>
                  <w:r>
                    <w:rPr>
                      <w:szCs w:val="24"/>
                      <w:lang w:eastAsia="lt-LT"/>
                    </w:rPr>
                    <w:t>7</w:t>
                  </w:r>
                </w:sdtContent>
              </w:sdt>
              <w:r>
                <w:rPr>
                  <w:szCs w:val="24"/>
                  <w:lang w:eastAsia="lt-LT"/>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8 p."/>
            <w:tag w:val="part_6b72f7c3825f427bb705dfef2f2f2c4b"/>
            <w:lock w:val="sdtLocked"/>
            <w:richText/>
          </w:sdtPr>
          <w:sdtContent>
            <w:p w14:paraId="31352FB8" w14:textId="77777777">
              <w:pPr>
                <w:ind w:firstLine="720"/>
                <w:jc w:val="both"/>
                <w:rPr>
                  <w:szCs w:val="24"/>
                  <w:lang w:eastAsia="lt-LT"/>
                </w:rPr>
              </w:pPr>
              <w:sdt>
                <w:sdtPr>
                  <w:alias w:val="Numeris"/>
                  <w:tag w:val="nr_6b72f7c3825f427bb705dfef2f2f2c4b"/>
                  <w:lock w:val="sdtLocked"/>
                  <w:richText/>
                </w:sdtPr>
                <w:sdtContent>
                  <w:r>
                    <w:rPr>
                      <w:szCs w:val="24"/>
                      <w:lang w:eastAsia="lt-LT"/>
                    </w:rPr>
                    <w:t>8</w:t>
                  </w:r>
                </w:sdtContent>
              </w:sdt>
              <w:r>
                <w:rPr>
                  <w:szCs w:val="24"/>
                  <w:lang w:eastAsia="lt-LT"/>
                </w:rPr>
                <w:t>. Kitų teisės aktuose nustatytų žemės naudojimo apribojimų ir reglamentų nėra.</w:t>
              </w:r>
            </w:p>
          </w:sdtContent>
        </w:sdt>
        <w:sdt>
          <w:sdtPr>
            <w:alias w:val="9 p."/>
            <w:tag w:val="part_8f03ff9b29084495bf2335a5de84d735"/>
            <w:lock w:val="sdtLocked"/>
            <w:richText/>
          </w:sdtPr>
          <w:sdtContent>
            <w:p w14:paraId="6074799D" w14:textId="77777777">
              <w:pPr>
                <w:ind w:firstLine="720"/>
                <w:jc w:val="both"/>
                <w:rPr>
                  <w:szCs w:val="24"/>
                  <w:lang w:eastAsia="lt-LT"/>
                </w:rPr>
              </w:pPr>
              <w:sdt>
                <w:sdtPr>
                  <w:alias w:val="Numeris"/>
                  <w:tag w:val="nr_8f03ff9b29084495bf2335a5de84d735"/>
                  <w:lock w:val="sdtLocked"/>
                  <w:richText/>
                </w:sdtPr>
                <w:sdtContent>
                  <w:r>
                    <w:rPr>
                      <w:szCs w:val="24"/>
                      <w:lang w:eastAsia="lt-LT"/>
                    </w:rPr>
                    <w:t>9</w:t>
                  </w:r>
                </w:sdtContent>
              </w:sdt>
              <w:r>
                <w:rPr>
                  <w:szCs w:val="24"/>
                  <w:lang w:eastAsia="lt-LT"/>
                </w:rPr>
                <w:t>. Žemės servitutai ir kitos daiktinės teisės:</w:t>
              </w:r>
            </w:p>
            <w:sdt>
              <w:sdtPr>
                <w:alias w:val="9.1 pp."/>
                <w:tag w:val="part_abfb919fc8cb402db9ddc62fb302ae09"/>
                <w:lock w:val="sdtLocked"/>
                <w:richText/>
              </w:sdtPr>
              <w:sdtContent>
                <w:p w14:paraId="6F6A58B8" w14:textId="316972AF">
                  <w:pPr>
                    <w:ind w:firstLine="720"/>
                    <w:jc w:val="both"/>
                    <w:rPr>
                      <w:szCs w:val="24"/>
                      <w:lang w:eastAsia="lt-LT"/>
                    </w:rPr>
                  </w:pPr>
                  <w:sdt>
                    <w:sdtPr>
                      <w:alias w:val="Numeris"/>
                      <w:tag w:val="nr_abfb919fc8cb402db9ddc62fb302ae09"/>
                      <w:lock w:val="sdtLocked"/>
                      <w:richText/>
                    </w:sdtPr>
                    <w:sdtContent>
                      <w:r>
                        <w:rPr>
                          <w:szCs w:val="24"/>
                          <w:lang w:eastAsia="lt-LT"/>
                        </w:rPr>
                        <w:t>9.1</w:t>
                      </w:r>
                    </w:sdtContent>
                  </w:sdt>
                  <w:r>
                    <w:rPr>
                      <w:szCs w:val="24"/>
                      <w:lang w:eastAsia="lt-LT"/>
                    </w:rPr>
                    <w:t>. servitutas (tarnaujantis) – teisė tiesti požemines, antžemines komunikacijas;</w:t>
                  </w:r>
                </w:p>
              </w:sdtContent>
            </w:sdt>
            <w:sdt>
              <w:sdtPr>
                <w:alias w:val="9.2 pp."/>
                <w:tag w:val="part_2813f7f736a3479088eca9ccf46a620b"/>
                <w:lock w:val="sdtLocked"/>
                <w:richText/>
              </w:sdtPr>
              <w:sdtContent>
                <w:p w14:paraId="5DDA7F22" w14:textId="36134F18">
                  <w:pPr>
                    <w:ind w:firstLine="720"/>
                    <w:jc w:val="both"/>
                    <w:rPr>
                      <w:szCs w:val="24"/>
                      <w:lang w:eastAsia="lt-LT"/>
                    </w:rPr>
                  </w:pPr>
                  <w:sdt>
                    <w:sdtPr>
                      <w:alias w:val="Numeris"/>
                      <w:tag w:val="nr_2813f7f736a3479088eca9ccf46a620b"/>
                      <w:lock w:val="sdtLocked"/>
                      <w:richText/>
                    </w:sdtPr>
                    <w:sdtContent>
                      <w:r>
                        <w:rPr>
                          <w:szCs w:val="24"/>
                          <w:lang w:eastAsia="lt-LT"/>
                        </w:rPr>
                        <w:t>9.2</w:t>
                      </w:r>
                    </w:sdtContent>
                  </w:sdt>
                  <w:r>
                    <w:rPr>
                      <w:szCs w:val="24"/>
                      <w:lang w:eastAsia="lt-LT"/>
                    </w:rPr>
                    <w:t>. servitutas (tarnaujantis) – teisė aptarnauti požemines, antžemines komunikacijas.</w:t>
                  </w:r>
                </w:p>
              </w:sdtContent>
            </w:sdt>
          </w:sdtContent>
        </w:sdt>
        <w:sdt>
          <w:sdtPr>
            <w:alias w:val="10 p."/>
            <w:tag w:val="part_ebacb3d0eb29494ea1aa0e5621bd4dc4"/>
            <w:lock w:val="sdtLocked"/>
            <w:richText/>
          </w:sdtPr>
          <w:sdtContent>
            <w:p w14:paraId="224C1199" w14:textId="7A904144">
              <w:pPr>
                <w:ind w:firstLine="720"/>
                <w:jc w:val="both"/>
                <w:rPr>
                  <w:szCs w:val="24"/>
                  <w:lang w:eastAsia="lt-LT"/>
                </w:rPr>
              </w:pPr>
              <w:sdt>
                <w:sdtPr>
                  <w:alias w:val="Numeris"/>
                  <w:tag w:val="nr_ebacb3d0eb29494ea1aa0e5621bd4dc4"/>
                  <w:lock w:val="sdtLocked"/>
                  <w:richText/>
                </w:sdtPr>
                <w:sdtContent>
                  <w:r>
                    <w:rPr>
                      <w:szCs w:val="24"/>
                      <w:lang w:eastAsia="lt-LT"/>
                    </w:rPr>
                    <w:t>10</w:t>
                  </w:r>
                </w:sdtContent>
              </w:sdt>
              <w:r>
                <w:rPr>
                  <w:szCs w:val="24"/>
                  <w:lang w:eastAsia="lt-LT"/>
                </w:rPr>
                <w:t>. 0,0846 ha žemės sklypo vertė pagal 2025 m. sausio 1 dienos verčių žemėlapius – 7 260 Eur (septyni tūkstančiai du šimtai šešiasdešimt eurų).</w:t>
              </w:r>
            </w:p>
          </w:sdtContent>
        </w:sdt>
        <w:sdt>
          <w:sdtPr>
            <w:alias w:val="11 p."/>
            <w:tag w:val="part_5fbb0e7286194e9b9897d870270b869b"/>
            <w:lock w:val="sdtLocked"/>
            <w:richText/>
          </w:sdtPr>
          <w:sdtContent>
            <w:p w14:paraId="40B61796" w14:textId="4E347564">
              <w:pPr>
                <w:ind w:firstLine="720"/>
                <w:jc w:val="both"/>
                <w:rPr>
                  <w:szCs w:val="24"/>
                  <w:lang w:eastAsia="lt-LT"/>
                </w:rPr>
              </w:pPr>
              <w:sdt>
                <w:sdtPr>
                  <w:alias w:val="Numeris"/>
                  <w:tag w:val="nr_5fbb0e7286194e9b9897d870270b869b"/>
                  <w:lock w:val="sdtLocked"/>
                  <w:richText/>
                </w:sdtPr>
                <w:sdtContent>
                  <w:r>
                    <w:rPr>
                      <w:szCs w:val="24"/>
                      <w:lang w:eastAsia="lt-LT"/>
                    </w:rPr>
                    <w:t>11</w:t>
                  </w:r>
                </w:sdtContent>
              </w:sdt>
              <w:r>
                <w:rPr>
                  <w:szCs w:val="24"/>
                  <w:lang w:eastAsia="lt-LT"/>
                </w:rPr>
                <w:t>. Nuomininkai žemės nuomos mokestį moka pagal Šiaulių miesto savivaldybės tarybos patvirtintą tarifą nuo šioje sutartyje nurodytos vertės. Nuomotojas turi teisę kas 3 metus perskaičiuoti žemės sklypo vertę pagal einamųjų metų sausio 1 d. taikytus žemės verčių zonų žemėlapius.</w:t>
              </w:r>
            </w:p>
          </w:sdtContent>
        </w:sdt>
        <w:sdt>
          <w:sdtPr>
            <w:alias w:val="12 p."/>
            <w:tag w:val="part_8f3c17d5336b428a988eaec6f13ce371"/>
            <w:lock w:val="sdtLocked"/>
            <w:richText/>
          </w:sdtPr>
          <w:sdtContent>
            <w:p w14:paraId="24B3B2EE" w14:textId="0A4BCF69">
              <w:pPr>
                <w:ind w:firstLine="720"/>
                <w:jc w:val="both"/>
                <w:rPr>
                  <w:szCs w:val="24"/>
                  <w:lang w:eastAsia="lt-LT"/>
                </w:rPr>
              </w:pPr>
              <w:sdt>
                <w:sdtPr>
                  <w:alias w:val="Numeris"/>
                  <w:tag w:val="nr_8f3c17d5336b428a988eaec6f13ce371"/>
                  <w:lock w:val="sdtLocked"/>
                  <w:richText/>
                </w:sdtPr>
                <w:sdtContent>
                  <w:r>
                    <w:rPr>
                      <w:szCs w:val="24"/>
                      <w:lang w:eastAsia="lt-LT"/>
                    </w:rPr>
                    <w:t>12</w:t>
                  </w:r>
                </w:sdtContent>
              </w:sdt>
              <w:r>
                <w:rPr>
                  <w:szCs w:val="24"/>
                  <w:lang w:eastAsia="lt-LT"/>
                </w:rPr>
                <w:t>. Žemės nuomos mokestis sumokamas iki einamųjų metų lapkričio 15 dienos. Nuomininkams praleidus mokesčio ar jo dalies mokėjimo terminą, už kiekvieną pradelstą dieną jis moka 0,03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3 p."/>
            <w:tag w:val="part_d9525f3aa84c4e44b08d5bc76d4be605"/>
            <w:lock w:val="sdtLocked"/>
            <w:richText/>
          </w:sdtPr>
          <w:sdtContent>
            <w:p w14:paraId="1CE41B58" w14:textId="6FBAEF3E">
              <w:pPr>
                <w:widowControl w:val="0"/>
                <w:tabs>
                  <w:tab w:val="right" w:leader="underscore" w:pos="9072"/>
                </w:tabs>
                <w:ind w:firstLine="737"/>
                <w:jc w:val="both"/>
                <w:rPr>
                  <w:szCs w:val="24"/>
                  <w:lang w:eastAsia="lt-LT"/>
                </w:rPr>
              </w:pPr>
              <w:sdt>
                <w:sdtPr>
                  <w:alias w:val="Numeris"/>
                  <w:tag w:val="nr_d9525f3aa84c4e44b08d5bc76d4be605"/>
                  <w:lock w:val="sdtLocked"/>
                  <w:richText/>
                </w:sdtPr>
                <w:sdtContent>
                  <w:r>
                    <w:rPr>
                      <w:szCs w:val="24"/>
                      <w:lang w:eastAsia="lt-LT"/>
                    </w:rPr>
                    <w:t>13</w:t>
                  </w:r>
                </w:sdtContent>
              </w:sdt>
              <w:r>
                <w:rPr>
                  <w:szCs w:val="24"/>
                  <w:lang w:eastAsia="lt-LT"/>
                </w:rPr>
                <w:t>. Nuomininkai žemės nuomos mokesčio priedą, lygų 5 proc. žemės sklypo ar jo dalies, kurių pagrindinė žemės naudojimo paskirtis ir (ar) būdas yra pakeisti, vidutinės rinkos vertės, apskaičiuotos po pagrindinės žemės naudojimo paskirties ir (ar) būdo pakeitimo atliekant valstybinės žemės sklypo vertinimą masiniu būdu Lietuvos Respublikos Vyriausybės nustatyta tvarka, moka:</w:t>
              </w:r>
            </w:p>
            <w:sdt>
              <w:sdtPr>
                <w:alias w:val="13.1 pp."/>
                <w:tag w:val="part_54a66e468be04d00bde137bce82fc913"/>
                <w:lock w:val="sdtLocked"/>
                <w:richText/>
              </w:sdtPr>
              <w:sdtContent>
                <w:p w14:paraId="75F9D25C" w14:textId="757851E0">
                  <w:pPr>
                    <w:widowControl w:val="0"/>
                    <w:ind w:firstLine="737"/>
                    <w:jc w:val="both"/>
                    <w:rPr>
                      <w:szCs w:val="24"/>
                      <w:lang w:eastAsia="lt-LT"/>
                    </w:rPr>
                  </w:pPr>
                  <w:sdt>
                    <w:sdtPr>
                      <w:alias w:val="Numeris"/>
                      <w:tag w:val="nr_54a66e468be04d00bde137bce82fc913"/>
                      <w:lock w:val="sdtLocked"/>
                      <w:richText/>
                    </w:sdtPr>
                    <w:sdtContent>
                      <w:r>
                        <w:rPr>
                          <w:szCs w:val="24"/>
                          <w:lang w:eastAsia="lt-LT"/>
                        </w:rPr>
                        <w:t>13.1</w:t>
                      </w:r>
                    </w:sdtContent>
                  </w:sdt>
                  <w:r>
                    <w:rPr>
                      <w:szCs w:val="24"/>
                      <w:lang w:eastAsia="lt-LT"/>
                    </w:rPr>
                    <w:t>. jei per 2 metus arba 5 metus, kai vadovaujantis Teritorijų planavimo įstatymu turi būti rengiamas vietovės lygmens teritorijų planavimo dokumentas, nuo sprendimo pakeisti pagrindinę žemės naudojimo paskirtį ir (ar) būdą priėmimo valstybinės žemės nuomininkai nepradeda naujų statinių ar įrenginių statybos ir (ar) esamų statinių ir įrenginių rekonstravimo ir valstybinės žemės nuomotojas nustato, kad valstybinės žemės sklype yra eksploatuojami esami statiniai ar įrenginiai ir vykdoma veikla pagal iki sprendimo pakeisti pagrindinę žemės naudojimo paskirtį ir (ar) būdą priėmimo nustatytus pagrindinę žemės naudojimo paskirtį ir (ar) būdą;</w:t>
                  </w:r>
                </w:p>
              </w:sdtContent>
            </w:sdt>
            <w:sdt>
              <w:sdtPr>
                <w:alias w:val="13.2 pp."/>
                <w:tag w:val="part_c9db2974c14648a88e9784bbf97fa063"/>
                <w:lock w:val="sdtLocked"/>
                <w:richText/>
              </w:sdtPr>
              <w:sdtContent>
                <w:p w14:paraId="0C0819FF" w14:textId="77777777">
                  <w:pPr>
                    <w:widowControl w:val="0"/>
                    <w:ind w:firstLine="737"/>
                    <w:jc w:val="both"/>
                    <w:rPr>
                      <w:szCs w:val="24"/>
                      <w:lang w:eastAsia="lt-LT"/>
                    </w:rPr>
                  </w:pPr>
                  <w:sdt>
                    <w:sdtPr>
                      <w:alias w:val="Numeris"/>
                      <w:tag w:val="nr_c9db2974c14648a88e9784bbf97fa063"/>
                      <w:lock w:val="sdtLocked"/>
                      <w:richText/>
                    </w:sdtPr>
                    <w:sdtContent>
                      <w:r>
                        <w:rPr>
                          <w:szCs w:val="24"/>
                          <w:lang w:eastAsia="lt-LT"/>
                        </w:rPr>
                        <w:t>13.2</w:t>
                      </w:r>
                    </w:sdtContent>
                  </w:sdt>
                  <w:r>
                    <w:rPr>
                      <w:szCs w:val="24"/>
                      <w:lang w:eastAsia="lt-LT"/>
                    </w:rPr>
                    <w:t>. kiekvienais metais iki lapkričio 15 d., tačiau ne vėliau kaip iki pranešimo apie naujų statinių ar įrenginių statybos ir (ar) esamų statinių ar įrenginių rekonstravimo pradžią pateikimo dienos.</w:t>
                  </w:r>
                </w:p>
              </w:sdtContent>
            </w:sdt>
          </w:sdtContent>
        </w:sdt>
        <w:sdt>
          <w:sdtPr>
            <w:alias w:val="14 p."/>
            <w:tag w:val="part_e6f83c9c706045178459801cc3778871"/>
            <w:lock w:val="sdtLocked"/>
            <w:richText/>
          </w:sdtPr>
          <w:sdtContent>
            <w:p w14:paraId="2DDA07CE" w14:textId="77777777">
              <w:pPr>
                <w:ind w:firstLine="737"/>
                <w:jc w:val="both"/>
                <w:rPr>
                  <w:szCs w:val="24"/>
                  <w:lang w:eastAsia="lt-LT"/>
                </w:rPr>
              </w:pPr>
              <w:sdt>
                <w:sdtPr>
                  <w:alias w:val="Numeris"/>
                  <w:tag w:val="nr_e6f83c9c706045178459801cc3778871"/>
                  <w:lock w:val="sdtLocked"/>
                  <w:richText/>
                </w:sdtPr>
                <w:sdtContent>
                  <w:r>
                    <w:rPr>
                      <w:szCs w:val="24"/>
                      <w:lang w:eastAsia="lt-LT"/>
                    </w:rPr>
                    <w:t>14</w:t>
                  </w:r>
                </w:sdtContent>
              </w:sdt>
              <w:r>
                <w:rPr>
                  <w:szCs w:val="24"/>
                  <w:lang w:eastAsia="lt-LT"/>
                </w:rPr>
                <w:t>. Įstatymų ir Lietuvos Respublikos Vyriausybės nustatyta tvarka pasikeitus valstybinės žemės nuomos mokesčio apskaičiavimo tvarkai ir kitiems reikalavimams, šios sutarties šalys privalo vadovautis priimtais pakeitimais. Šiaulių miesto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15 p."/>
            <w:tag w:val="part_0de4fc8e25ba4e53ba24f462eeac636c"/>
            <w:lock w:val="sdtLocked"/>
            <w:richText/>
          </w:sdtPr>
          <w:sdtContent>
            <w:p w14:paraId="206A3E35" w14:textId="77777777">
              <w:pPr>
                <w:ind w:firstLine="737"/>
                <w:jc w:val="both"/>
                <w:rPr>
                  <w:szCs w:val="24"/>
                  <w:lang w:eastAsia="lt-LT"/>
                </w:rPr>
              </w:pPr>
              <w:sdt>
                <w:sdtPr>
                  <w:alias w:val="Numeris"/>
                  <w:tag w:val="nr_0de4fc8e25ba4e53ba24f462eeac636c"/>
                  <w:lock w:val="sdtLocked"/>
                  <w:richText/>
                </w:sdtPr>
                <w:sdtContent>
                  <w:r>
                    <w:rPr>
                      <w:szCs w:val="24"/>
                      <w:lang w:eastAsia="lt-LT"/>
                    </w:rPr>
                    <w:t>15</w:t>
                  </w:r>
                </w:sdtContent>
              </w:sdt>
              <w:r>
                <w:rPr>
                  <w:szCs w:val="24"/>
                  <w:lang w:eastAsia="lt-LT"/>
                </w:rPr>
                <w:t>. Žemės sklype esančių statinių ar įrenginių likimas pasibaigus valstybinės žemės nuomos sutarčiai nustatomas, kaip numatyta galiojančiuose Lietuvos Respublikos teisės aktuose.</w:t>
              </w:r>
            </w:p>
            <w:p w14:paraId="26E13EF6" w14:textId="0EF2ABB1">
              <w:pPr>
                <w:ind w:firstLine="737"/>
                <w:jc w:val="both"/>
                <w:rPr>
                  <w:szCs w:val="24"/>
                  <w:lang w:eastAsia="lt-LT"/>
                </w:rPr>
              </w:pPr>
              <w:r>
                <w:rPr>
                  <w:szCs w:val="24"/>
                  <w:lang w:eastAsia="lt-LT"/>
                </w:rPr>
                <w:t>Nuomos sutartyje neįrašytus pastatytus statinius ar įrenginius nuomininkai privalo nugriauti ir sutvarkyti žemės sklypą.</w:t>
              </w:r>
            </w:p>
            <w:p w14:paraId="2A3936B0" w14:textId="77777777">
              <w:pPr>
                <w:ind w:firstLine="737"/>
                <w:jc w:val="both"/>
                <w:rPr>
                  <w:szCs w:val="24"/>
                  <w:lang w:eastAsia="lt-LT"/>
                </w:rPr>
              </w:pPr>
              <w:r>
                <w:rPr>
                  <w:szCs w:val="24"/>
                  <w:lang w:eastAsia="lt-LT"/>
                </w:rPr>
                <w:t>Nutraukus valstybinės žemės nuomos sutartį pagal Žemės įstatymo 9 straipsnio 17 dalies 3 punktą, teisėtai pastatytus statinius išperka valstybė.</w:t>
              </w:r>
            </w:p>
          </w:sdtContent>
        </w:sdt>
        <w:sdt>
          <w:sdtPr>
            <w:alias w:val="16 p."/>
            <w:tag w:val="part_276aa56d1f4d466dbf8a32298b037e8e"/>
            <w:lock w:val="sdtLocked"/>
            <w:richText/>
          </w:sdtPr>
          <w:sdtContent>
            <w:p w14:paraId="6FF3D72D" w14:textId="5541D97D">
              <w:pPr>
                <w:ind w:firstLine="737"/>
                <w:jc w:val="both"/>
                <w:rPr>
                  <w:szCs w:val="24"/>
                  <w:lang w:eastAsia="lt-LT"/>
                </w:rPr>
              </w:pPr>
              <w:sdt>
                <w:sdtPr>
                  <w:alias w:val="Numeris"/>
                  <w:tag w:val="nr_276aa56d1f4d466dbf8a32298b037e8e"/>
                  <w:lock w:val="sdtLocked"/>
                  <w:richText/>
                </w:sdtPr>
                <w:sdtContent>
                  <w:r>
                    <w:rPr>
                      <w:szCs w:val="24"/>
                      <w:lang w:eastAsia="lt-LT"/>
                    </w:rPr>
                    <w:t>16</w:t>
                  </w:r>
                </w:sdtContent>
              </w:sdt>
              <w:r>
                <w:rPr>
                  <w:szCs w:val="24"/>
                  <w:lang w:eastAsia="lt-LT"/>
                </w:rPr>
                <w:t>. Kiti su nuomojamo žemės sklypo naudojimu ir grąžinimu, pasibaigus nuomos sutarčiai, susiję nuomotojo ir nuomininkų įsipareigojimai – pasibaigus numatytam nuomos sutarties galiojimo laikui ar vienai iš šalių nutraukus sutartį, nuomininkai išregistruoja sutartį Nekilnojamojo turto registre.</w:t>
              </w:r>
            </w:p>
          </w:sdtContent>
        </w:sdt>
        <w:sdt>
          <w:sdtPr>
            <w:alias w:val="17 p."/>
            <w:tag w:val="part_56e662f679704aeaa4951ffab77db0b3"/>
            <w:lock w:val="sdtLocked"/>
            <w:richText/>
          </w:sdtPr>
          <w:sdtContent>
            <w:p w14:paraId="7892BFFF" w14:textId="77777777">
              <w:pPr>
                <w:ind w:firstLine="737"/>
                <w:jc w:val="both"/>
                <w:rPr>
                  <w:szCs w:val="24"/>
                  <w:lang w:eastAsia="lt-LT"/>
                </w:rPr>
              </w:pPr>
              <w:sdt>
                <w:sdtPr>
                  <w:alias w:val="Numeris"/>
                  <w:tag w:val="nr_56e662f679704aeaa4951ffab77db0b3"/>
                  <w:lock w:val="sdtLocked"/>
                  <w:richText/>
                </w:sdtPr>
                <w:sdtContent>
                  <w:r>
                    <w:rPr>
                      <w:szCs w:val="24"/>
                      <w:lang w:eastAsia="lt-LT"/>
                    </w:rPr>
                    <w:t>17</w:t>
                  </w:r>
                </w:sdtContent>
              </w:sdt>
              <w:r>
                <w:rPr>
                  <w:szCs w:val="24"/>
                  <w:lang w:eastAsia="lt-LT"/>
                </w:rPr>
                <w:t>. Atsakomybė už žemės sklypo nuomos sutarties pažeidimus numatyta pagal galiojančius Lietuvos Respublikos teisės aktus.</w:t>
              </w:r>
            </w:p>
          </w:sdtContent>
        </w:sdt>
        <w:sdt>
          <w:sdtPr>
            <w:alias w:val="18 p."/>
            <w:tag w:val="part_46822e80c09f4f43aefff610db54de87"/>
            <w:lock w:val="sdtLocked"/>
            <w:richText/>
          </w:sdtPr>
          <w:sdtContent>
            <w:p w14:paraId="30DC9425" w14:textId="6C82C765">
              <w:pPr>
                <w:ind w:firstLine="737"/>
                <w:jc w:val="both"/>
                <w:rPr>
                  <w:szCs w:val="24"/>
                  <w:lang w:eastAsia="lt-LT"/>
                </w:rPr>
              </w:pPr>
              <w:sdt>
                <w:sdtPr>
                  <w:alias w:val="Numeris"/>
                  <w:tag w:val="nr_46822e80c09f4f43aefff610db54de87"/>
                  <w:lock w:val="sdtLocked"/>
                  <w:richText/>
                </w:sdtPr>
                <w:sdtContent>
                  <w:r>
                    <w:rPr>
                      <w:szCs w:val="24"/>
                      <w:lang w:eastAsia="lt-LT"/>
                    </w:rPr>
                    <w:t>18</w:t>
                  </w:r>
                </w:sdtContent>
              </w:sdt>
              <w:r>
                <w:rPr>
                  <w:szCs w:val="24"/>
                  <w:lang w:eastAsia="lt-LT"/>
                </w:rPr>
                <w:t>. Nuomininkai įsipareigoja laikytis nuomos sutarties ir įstatymų. Už jų nevykdymą jis atsako pagal įstatymus.</w:t>
              </w:r>
            </w:p>
          </w:sdtContent>
        </w:sdt>
        <w:sdt>
          <w:sdtPr>
            <w:alias w:val="19 p."/>
            <w:tag w:val="part_d0cd047906b44fc68fc4154fae93a0f0"/>
            <w:lock w:val="sdtLocked"/>
            <w:richText/>
          </w:sdtPr>
          <w:sdtContent>
            <w:p w14:paraId="192C28AF" w14:textId="5B86E624">
              <w:pPr>
                <w:ind w:firstLine="737"/>
                <w:jc w:val="both"/>
                <w:rPr>
                  <w:szCs w:val="24"/>
                  <w:lang w:eastAsia="lt-LT"/>
                </w:rPr>
              </w:pPr>
              <w:sdt>
                <w:sdtPr>
                  <w:alias w:val="Numeris"/>
                  <w:tag w:val="nr_d0cd047906b44fc68fc4154fae93a0f0"/>
                  <w:lock w:val="sdtLocked"/>
                  <w:richText/>
                </w:sdtPr>
                <w:sdtContent>
                  <w:r>
                    <w:rPr>
                      <w:szCs w:val="24"/>
                      <w:lang w:eastAsia="lt-LT"/>
                    </w:rPr>
                    <w:t>19</w:t>
                  </w:r>
                </w:sdtContent>
              </w:sdt>
              <w:r>
                <w:rPr>
                  <w:szCs w:val="24"/>
                  <w:lang w:eastAsia="lt-LT"/>
                </w:rPr>
                <w:t xml:space="preserve">. Žemės nuomos sutartis pratęsiama pagal Kitos paskirties valstybinės žemės sklypų pardavimo ir nuomos taisykles, patvirtintas Lietuvos Respublikos Vyriausybės 1999 m. kovo 9 d. nutarimu Nr. 260 „Dėl Kitos paskirties valstybinės žemės sklypų pardavimo ir nuomos taisyklių patvirtinimo“ (toliau – Taisyklės). </w:t>
              </w:r>
            </w:p>
            <w:p w14:paraId="4E2181DD" w14:textId="4C71F174">
              <w:pPr>
                <w:ind w:firstLine="737"/>
                <w:jc w:val="both"/>
                <w:rPr>
                  <w:szCs w:val="24"/>
                  <w:lang w:eastAsia="lt-LT"/>
                </w:rPr>
              </w:pPr>
              <w:r>
                <w:rPr>
                  <w:szCs w:val="24"/>
                  <w:lang w:eastAsia="lt-LT"/>
                </w:rPr>
                <w:t>Prašymą pratęsti žemės nuomos terminą nuomininkai gali pateikti valstybinės žemės nuomotojui ne vėliau kaip prieš 3 mėnesius iki valstybinės žemės nuomos sutartyje nustatyto nuomos termino pabaigos. Sprendimas pratęsti valstybinės žemės nuomos terminą priimamas, jeigu pagal teritorijų planavimo dokumentą ar žemės valdos projektą žemės sklypo neplanuojama naudoti kitoms reikmėms ir nuomininkai tinkamai vykdė įsipareigojimus pagal valstybinės žemės nuomos sutartį. Žemės nuomos terminas pratęsiamas iki statinio ar įrenginio, esančio žemės sklype, ekonomiškai pagrįstos naudojimo trukmės termino (naudojimo termino) pabaigos. Jeigu statinio ar įrenginio nustatytas ekonomiškai pagrįsto naudojimo trukmės terminas suėjęs, tačiau statinys neišregistruotas iš Nekilnojamojo turto registro ir, Kitos paskirties valstybinės žemės sklypų, parduodamų ar išnuomojamų ne aukciono būdu, administravimo metodikoje, patvirtintoje Lietuvos Respublikos aplinkos ministro 2024 m. liepos 19 d. įsakymu Nr. D1-247 „Dėl Kitos paskirties valstybinės žemės sklypų, parduodamų ar išnuomojamų ne aukciono būdu, administravimo metodikos patvirtinimo“, nustatyta tvarka patikrinus galimybę naudoti statinį ar įrenginį, nustatoma, kad valstybinės žemės sklypas naudojamas šiam statiniui ar įrenginiui eksploatuoti pagal valstybinės žemės sklypo nuomos sutartyje numatytą žemės sklypo pagrindinę naudojimo paskirtį, statinys ar įrenginys nėra visiškai ar iš dalies nugriautas, sunykęs, sugriuvęs, perstatytas, valstybinės žemės nuomos sutarties terminas gali būti pratęsiamas papildomam terminui (vieną ar daugiau kartų). Vieno pratęsimo terminas kiekvieną kartą nustatomas ne ilgesnis kaip viena dešimtoji dalis nustatytos statinio ar įrenginio ekonomiškai pagrįstos naudojimo trukmės.</w:t>
              </w:r>
            </w:p>
          </w:sdtContent>
        </w:sdt>
        <w:sdt>
          <w:sdtPr>
            <w:alias w:val="20 p."/>
            <w:tag w:val="part_2f7d85859a8d43a191dc0866ed1513da"/>
            <w:lock w:val="sdtLocked"/>
            <w:richText/>
          </w:sdtPr>
          <w:sdtContent>
            <w:p w14:paraId="767FCF47" w14:textId="7B6A8EAC">
              <w:pPr>
                <w:ind w:firstLine="737"/>
                <w:jc w:val="both"/>
                <w:rPr>
                  <w:szCs w:val="24"/>
                  <w:lang w:eastAsia="lt-LT"/>
                </w:rPr>
              </w:pPr>
              <w:sdt>
                <w:sdtPr>
                  <w:alias w:val="Numeris"/>
                  <w:tag w:val="nr_2f7d85859a8d43a191dc0866ed1513da"/>
                  <w:lock w:val="sdtLocked"/>
                  <w:richText/>
                </w:sdtPr>
                <w:sdtContent>
                  <w:r>
                    <w:rPr>
                      <w:szCs w:val="24"/>
                      <w:lang w:eastAsia="lt-LT"/>
                    </w:rPr>
                    <w:t>20</w:t>
                  </w:r>
                </w:sdtContent>
              </w:sdt>
              <w:r>
                <w:rPr>
                  <w:szCs w:val="24"/>
                  <w:lang w:eastAsia="lt-LT"/>
                </w:rPr>
                <w:t xml:space="preserve">. Nuomininkų teisė subnuomoti žemės sklypą įgyvendinama pagal minėtas Taisykles. </w:t>
              </w:r>
            </w:p>
            <w:p w14:paraId="203FC863" w14:textId="2D4D3F79">
              <w:pPr>
                <w:ind w:firstLine="737"/>
                <w:jc w:val="both"/>
                <w:rPr>
                  <w:szCs w:val="24"/>
                  <w:lang w:eastAsia="lt-LT"/>
                </w:rPr>
              </w:pPr>
              <w:r>
                <w:rPr>
                  <w:szCs w:val="24"/>
                  <w:lang w:eastAsia="lt-LT"/>
                </w:rPr>
                <w:t>Žemės nuomininkai subnuomoti valstybinės žemės sklypą kitiems asmenims gali tik gavęs valstybinės žemės nuomotojo sutikimą. Sutikimas subnuomoti valstybinės žemės sklypą (jo dalį) duodamas, jeigu žemės sklypas subnuomojamas asmeniui, su kuriuo sudaryta statinių ar įrenginių (jų dalies), kuriems eksploatuoti žemės sklypas išnuomotas, nuomos ar kito naudojimo sutartis ne ilgiau kaip 5 metams, ir valstybinės žemės sklypo nuomininkai tinkamai vykdo įsipareigojimus pagal nuomos sutartį. Kai išnuomotam statiniui ar įrenginiui (jo daliai) eksploatuoti reikia tik žemės sklypo dalies, subnuomojamos žemės sklypo dalies dydis nustatomas pagal Taisyklių 12.3–12.5 papunkčių ir 13 punkto nuostatas. Pateikti valstybinės žemės nuomotojui žemės sklypo planą, kuriame pagal Taisyklių 12.3 ir 12.4 papunkčius būtų išskirta išnuomotam statiniui ar įrenginiui eksploatuoti reikalinga ir prašoma subnuomoti žemės sklypo dalis, įpareigojami valstybinės žemės nuomininkai (jeigu pagal pridėtą prie valstybinės žemės nuomos sutarties žemės sklypo planą ši žemės sklypo dalis negali būti nustatyta).</w:t>
              </w:r>
            </w:p>
          </w:sdtContent>
        </w:sdt>
        <w:sdt>
          <w:sdtPr>
            <w:alias w:val="21 p."/>
            <w:tag w:val="part_b496bc8af8034588b2a7f12783e269aa"/>
            <w:lock w:val="sdtLocked"/>
            <w:richText/>
          </w:sdtPr>
          <w:sdtContent>
            <w:p w14:paraId="49F73F87" w14:textId="77777777">
              <w:pPr>
                <w:ind w:firstLine="737"/>
                <w:jc w:val="both"/>
                <w:rPr>
                  <w:szCs w:val="24"/>
                  <w:lang w:eastAsia="lt-LT"/>
                </w:rPr>
              </w:pPr>
              <w:sdt>
                <w:sdtPr>
                  <w:alias w:val="Numeris"/>
                  <w:tag w:val="nr_b496bc8af8034588b2a7f12783e269aa"/>
                  <w:lock w:val="sdtLocked"/>
                  <w:richText/>
                </w:sdtPr>
                <w:sdtContent>
                  <w:r>
                    <w:rPr>
                      <w:szCs w:val="24"/>
                      <w:lang w:eastAsia="lt-LT"/>
                    </w:rPr>
                    <w:t>21</w:t>
                  </w:r>
                </w:sdtContent>
              </w:sdt>
              <w:r>
                <w:rPr>
                  <w:szCs w:val="24"/>
                  <w:lang w:eastAsia="lt-LT"/>
                </w:rPr>
                <w:t>. Sutartis prieš terminą nutraukiama nuomotojo reikalavimu:</w:t>
              </w:r>
            </w:p>
            <w:sdt>
              <w:sdtPr>
                <w:alias w:val="21.1 pp."/>
                <w:tag w:val="part_143c2191a3ca4a0c84eb30a95622aaa6"/>
                <w:lock w:val="sdtLocked"/>
                <w:richText/>
              </w:sdtPr>
              <w:sdtContent>
                <w:p w14:paraId="2D4CF569" w14:textId="5DB46E76">
                  <w:pPr>
                    <w:ind w:firstLine="737"/>
                    <w:jc w:val="both"/>
                    <w:rPr>
                      <w:szCs w:val="24"/>
                      <w:lang w:eastAsia="lt-LT"/>
                    </w:rPr>
                  </w:pPr>
                  <w:sdt>
                    <w:sdtPr>
                      <w:alias w:val="Numeris"/>
                      <w:tag w:val="nr_143c2191a3ca4a0c84eb30a95622aaa6"/>
                      <w:lock w:val="sdtLocked"/>
                      <w:richText/>
                    </w:sdtPr>
                    <w:sdtContent>
                      <w:r>
                        <w:rPr>
                          <w:szCs w:val="24"/>
                          <w:lang w:eastAsia="lt-LT"/>
                        </w:rPr>
                        <w:t>21.1</w:t>
                      </w:r>
                    </w:sdtContent>
                  </w:sdt>
                  <w:r>
                    <w:rPr>
                      <w:szCs w:val="24"/>
                      <w:lang w:eastAsia="lt-LT"/>
                    </w:rPr>
                    <w:t>. nuomininkams savo lėšomis per 3 mėnesius neįregistravus juridinio fakto apie sudarytą sutartį Nekilnojamojo turto registre;</w:t>
                  </w:r>
                </w:p>
              </w:sdtContent>
            </w:sdt>
            <w:sdt>
              <w:sdtPr>
                <w:alias w:val="21.2 pp."/>
                <w:tag w:val="part_bc460ede0f844399a40b5827fb66aeb9"/>
                <w:lock w:val="sdtLocked"/>
                <w:richText/>
              </w:sdtPr>
              <w:sdtContent>
                <w:p w14:paraId="7C6F8F0A" w14:textId="77777777">
                  <w:pPr>
                    <w:ind w:firstLine="737"/>
                    <w:jc w:val="both"/>
                    <w:rPr>
                      <w:szCs w:val="24"/>
                      <w:lang w:eastAsia="lt-LT"/>
                    </w:rPr>
                  </w:pPr>
                  <w:sdt>
                    <w:sdtPr>
                      <w:alias w:val="Numeris"/>
                      <w:tag w:val="nr_bc460ede0f844399a40b5827fb66aeb9"/>
                      <w:lock w:val="sdtLocked"/>
                      <w:richText/>
                    </w:sdtPr>
                    <w:sdtContent>
                      <w:r>
                        <w:rPr>
                          <w:szCs w:val="24"/>
                          <w:lang w:eastAsia="lt-LT"/>
                        </w:rPr>
                        <w:t>21.2</w:t>
                      </w:r>
                    </w:sdtContent>
                  </w:sdt>
                  <w:r>
                    <w:rPr>
                      <w:szCs w:val="24"/>
                      <w:lang w:eastAsia="lt-LT"/>
                    </w:rPr>
                    <w:t>. kai į žemės sklypą atkuriamos nuosavybės teisės, išskyrus įstatymų, reglamentuojančių piliečių nuosavybės teisių į išlikusį nekilnojamąjį turtą atkūrimą, nustatytus atvejus;</w:t>
                  </w:r>
                </w:p>
              </w:sdtContent>
            </w:sdt>
            <w:sdt>
              <w:sdtPr>
                <w:alias w:val="21.3 pp."/>
                <w:tag w:val="part_0005c1850622425897a878da32815dda"/>
                <w:lock w:val="sdtLocked"/>
                <w:richText/>
              </w:sdtPr>
              <w:sdtContent>
                <w:p w14:paraId="5ECF60ED" w14:textId="7637F7A2">
                  <w:pPr>
                    <w:ind w:firstLine="737"/>
                    <w:jc w:val="both"/>
                    <w:rPr>
                      <w:szCs w:val="24"/>
                      <w:lang w:eastAsia="lt-LT"/>
                    </w:rPr>
                  </w:pPr>
                  <w:sdt>
                    <w:sdtPr>
                      <w:alias w:val="Numeris"/>
                      <w:tag w:val="nr_0005c1850622425897a878da32815dda"/>
                      <w:lock w:val="sdtLocked"/>
                      <w:richText/>
                    </w:sdtPr>
                    <w:sdtContent>
                      <w:r>
                        <w:rPr>
                          <w:szCs w:val="24"/>
                          <w:lang w:eastAsia="lt-LT"/>
                        </w:rPr>
                        <w:t>21.3</w:t>
                      </w:r>
                    </w:sdtContent>
                  </w:sdt>
                  <w:r>
                    <w:rPr>
                      <w:szCs w:val="24"/>
                      <w:lang w:eastAsia="lt-LT"/>
                    </w:rPr>
                    <w:t>. jeigu žemės nuomininkai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w:t>
                  </w:r>
                </w:p>
              </w:sdtContent>
            </w:sdt>
            <w:sdt>
              <w:sdtPr>
                <w:alias w:val="21.4 pp."/>
                <w:tag w:val="part_458929bf94c54352bdf770f06b53f794"/>
                <w:lock w:val="sdtLocked"/>
                <w:richText/>
              </w:sdtPr>
              <w:sdtContent>
                <w:p w14:paraId="54C64C52" w14:textId="32E34EEC">
                  <w:pPr>
                    <w:ind w:firstLine="737"/>
                    <w:jc w:val="both"/>
                    <w:rPr>
                      <w:szCs w:val="24"/>
                      <w:lang w:eastAsia="lt-LT"/>
                    </w:rPr>
                  </w:pPr>
                  <w:sdt>
                    <w:sdtPr>
                      <w:alias w:val="Numeris"/>
                      <w:tag w:val="nr_458929bf94c54352bdf770f06b53f794"/>
                      <w:lock w:val="sdtLocked"/>
                      <w:richText/>
                    </w:sdtPr>
                    <w:sdtContent>
                      <w:r>
                        <w:rPr>
                          <w:szCs w:val="24"/>
                          <w:lang w:eastAsia="lt-LT"/>
                        </w:rPr>
                        <w:t>21.4</w:t>
                      </w:r>
                    </w:sdtContent>
                  </w:sdt>
                  <w:r>
                    <w:rPr>
                      <w:szCs w:val="24"/>
                      <w:lang w:eastAsia="lt-LT"/>
                    </w:rPr>
                    <w:t>. jeigu nuomininkų iniciatyva keičiama pagrindinė žemės naudojimo paskirtis ir (ar) naudojimo būdas, išskyrus atvejus, kai sutartyje numatytas žemės sklypo pagrindinės žemės naudojimo paskirties ir (ar) naudojimo būdo keitimas, ir nuomininkai, gavę nuomotojo įspėjimą, šio pažeidimo nepašalina per 2 ar 5 metus, kai vadovaujantis Teritorijų planavimo įstatymu rengiamas vietovės lygmens teritorijų planavimo dokumentas, nuo įspėjimo gavimo dienos;</w:t>
                  </w:r>
                </w:p>
              </w:sdtContent>
            </w:sdt>
            <w:sdt>
              <w:sdtPr>
                <w:alias w:val="21.5 pp."/>
                <w:tag w:val="part_f9112aac524d44feb6187a8502658628"/>
                <w:lock w:val="sdtLocked"/>
                <w:richText/>
              </w:sdtPr>
              <w:sdtContent>
                <w:p w14:paraId="566AD907" w14:textId="703493B2">
                  <w:pPr>
                    <w:ind w:firstLine="737"/>
                    <w:jc w:val="both"/>
                    <w:rPr>
                      <w:szCs w:val="24"/>
                      <w:lang w:eastAsia="lt-LT"/>
                    </w:rPr>
                  </w:pPr>
                  <w:sdt>
                    <w:sdtPr>
                      <w:alias w:val="Numeris"/>
                      <w:tag w:val="nr_f9112aac524d44feb6187a8502658628"/>
                      <w:lock w:val="sdtLocked"/>
                      <w:richText/>
                    </w:sdtPr>
                    <w:sdtContent>
                      <w:r>
                        <w:rPr>
                          <w:szCs w:val="24"/>
                          <w:lang w:eastAsia="lt-LT"/>
                        </w:rPr>
                        <w:t>21.5</w:t>
                      </w:r>
                    </w:sdtContent>
                  </w:sdt>
                  <w:r>
                    <w:rPr>
                      <w:szCs w:val="24"/>
                      <w:lang w:eastAsia="lt-LT"/>
                    </w:rPr>
                    <w:t>. kai nuomotojas nustato, kad nuomininkai statinių ir (ar) įrenginių nenaudoja pagal Nekilnojamojo turto kadastre įrašytą jų tiesioginę paskirtį, ir nuomininkai, gavę nuomotojo įspėjimą: šio pažeidimo nepašalina per 2 arba 5 metus, kai vadovaujantis Teritorijų planavimo įstatymu rengiamas vietovės lygmens teritorijų planavimo dokumentas, ar nepateikia nuomotojui dokumento, patvirtinančio statybos užbaigimą, ar nesutinka mokėti Žemės įstatymo 9 straipsnio 26 dalies 1 punkte nurodyto valstybinės žemės nuomos mokesčio;</w:t>
                  </w:r>
                </w:p>
              </w:sdtContent>
            </w:sdt>
            <w:sdt>
              <w:sdtPr>
                <w:alias w:val="21.6 pp."/>
                <w:tag w:val="part_1d8229e69c544a63bb0d7e052e0722fa"/>
                <w:lock w:val="sdtLocked"/>
                <w:richText/>
              </w:sdtPr>
              <w:sdtContent>
                <w:p w14:paraId="5C14C951" w14:textId="20C7217E">
                  <w:pPr>
                    <w:ind w:firstLine="737"/>
                    <w:jc w:val="both"/>
                    <w:rPr>
                      <w:szCs w:val="24"/>
                      <w:lang w:eastAsia="lt-LT"/>
                    </w:rPr>
                  </w:pPr>
                  <w:sdt>
                    <w:sdtPr>
                      <w:alias w:val="Numeris"/>
                      <w:tag w:val="nr_1d8229e69c544a63bb0d7e052e0722fa"/>
                      <w:lock w:val="sdtLocked"/>
                      <w:richText/>
                    </w:sdtPr>
                    <w:sdtContent>
                      <w:r>
                        <w:rPr>
                          <w:szCs w:val="24"/>
                          <w:lang w:eastAsia="lt-LT"/>
                        </w:rPr>
                        <w:t>21.6</w:t>
                      </w:r>
                    </w:sdtContent>
                  </w:sdt>
                  <w:r>
                    <w:rPr>
                      <w:szCs w:val="24"/>
                      <w:lang w:eastAsia="lt-LT"/>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nuomininkai atsisako pakeisti sutartį, jeigu joje nebuvo numatyta galimybė statyti, ar nuomininkai nėra sumokėję atlyginimo už statinių statybos galimybę ir (ar) negautas statybą leidžiantis dokumentas naujų statinių statybai;</w:t>
                  </w:r>
                </w:p>
              </w:sdtContent>
            </w:sdt>
            <w:sdt>
              <w:sdtPr>
                <w:alias w:val="21.7 pp."/>
                <w:tag w:val="part_b169abe3e85948b095cac69c02b54102"/>
                <w:lock w:val="sdtLocked"/>
                <w:richText/>
              </w:sdtPr>
              <w:sdtContent>
                <w:p w14:paraId="247C1839" w14:textId="77777777">
                  <w:pPr>
                    <w:ind w:firstLine="737"/>
                    <w:jc w:val="both"/>
                    <w:rPr>
                      <w:szCs w:val="24"/>
                      <w:lang w:eastAsia="lt-LT"/>
                    </w:rPr>
                  </w:pPr>
                  <w:sdt>
                    <w:sdtPr>
                      <w:alias w:val="Numeris"/>
                      <w:tag w:val="nr_b169abe3e85948b095cac69c02b54102"/>
                      <w:lock w:val="sdtLocked"/>
                      <w:richText/>
                    </w:sdtPr>
                    <w:sdtContent>
                      <w:r>
                        <w:rPr>
                          <w:szCs w:val="24"/>
                          <w:lang w:eastAsia="lt-LT"/>
                        </w:rPr>
                        <w:t>21.7</w:t>
                      </w:r>
                    </w:sdtContent>
                  </w:sdt>
                  <w:r>
                    <w:rPr>
                      <w:szCs w:val="24"/>
                      <w:lang w:eastAsia="lt-LT"/>
                    </w:rPr>
                    <w:t>. 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p>
              </w:sdtContent>
            </w:sdt>
            <w:sdt>
              <w:sdtPr>
                <w:alias w:val="21.8 pp."/>
                <w:tag w:val="part_fcf29a0fc42f43e4889ea3a5d3d6f641"/>
                <w:lock w:val="sdtLocked"/>
                <w:richText/>
              </w:sdtPr>
              <w:sdtContent>
                <w:p w14:paraId="47B9F67B" w14:textId="77777777">
                  <w:pPr>
                    <w:ind w:firstLine="737"/>
                    <w:jc w:val="both"/>
                    <w:rPr>
                      <w:szCs w:val="24"/>
                      <w:lang w:eastAsia="lt-LT"/>
                    </w:rPr>
                  </w:pPr>
                  <w:sdt>
                    <w:sdtPr>
                      <w:alias w:val="Numeris"/>
                      <w:tag w:val="nr_fcf29a0fc42f43e4889ea3a5d3d6f641"/>
                      <w:lock w:val="sdtLocked"/>
                      <w:richText/>
                    </w:sdtPr>
                    <w:sdtContent>
                      <w:r>
                        <w:rPr>
                          <w:szCs w:val="24"/>
                          <w:lang w:eastAsia="lt-LT"/>
                        </w:rPr>
                        <w:t>21.8</w:t>
                      </w:r>
                    </w:sdtContent>
                  </w:sdt>
                  <w:r>
                    <w:rPr>
                      <w:szCs w:val="24"/>
                      <w:lang w:eastAsia="lt-LT"/>
                    </w:rPr>
                    <w:t>. jeigu žemės sklypas paimamas naudoti visuomenės poreikiams;</w:t>
                  </w:r>
                </w:p>
              </w:sdtContent>
            </w:sdt>
            <w:sdt>
              <w:sdtPr>
                <w:alias w:val="21.9 pp."/>
                <w:tag w:val="part_f9488a0507d9421db12ed7f270a3f283"/>
                <w:lock w:val="sdtLocked"/>
                <w:richText/>
              </w:sdtPr>
              <w:sdtContent>
                <w:p w14:paraId="4431BA3B" w14:textId="77777777">
                  <w:pPr>
                    <w:ind w:firstLine="737"/>
                    <w:jc w:val="both"/>
                    <w:rPr>
                      <w:szCs w:val="24"/>
                      <w:lang w:eastAsia="lt-LT"/>
                    </w:rPr>
                  </w:pPr>
                  <w:sdt>
                    <w:sdtPr>
                      <w:alias w:val="Numeris"/>
                      <w:tag w:val="nr_f9488a0507d9421db12ed7f270a3f283"/>
                      <w:lock w:val="sdtLocked"/>
                      <w:richText/>
                    </w:sdtPr>
                    <w:sdtContent>
                      <w:r>
                        <w:rPr>
                          <w:szCs w:val="24"/>
                          <w:lang w:eastAsia="lt-LT"/>
                        </w:rPr>
                        <w:t>21.9</w:t>
                      </w:r>
                    </w:sdtContent>
                  </w:sdt>
                  <w:r>
                    <w:rPr>
                      <w:szCs w:val="24"/>
                      <w:lang w:eastAsia="lt-LT"/>
                    </w:rPr>
                    <w:t>. kitais Lietuvos Respublikos civilinio kodekso ir kitų įstatymų, reglamentuojančių nuomos sutarčių nutraukimą, nustatytais atvejais.</w:t>
                  </w:r>
                </w:p>
              </w:sdtContent>
            </w:sdt>
          </w:sdtContent>
        </w:sdt>
        <w:sdt>
          <w:sdtPr>
            <w:alias w:val="22 p."/>
            <w:tag w:val="part_9220e304e2f4446ea50331fdd193296c"/>
            <w:lock w:val="sdtLocked"/>
            <w:richText/>
          </w:sdtPr>
          <w:sdtContent>
            <w:p w14:paraId="42C23257" w14:textId="77777777">
              <w:pPr>
                <w:ind w:firstLine="737"/>
                <w:jc w:val="both"/>
                <w:rPr>
                  <w:szCs w:val="24"/>
                  <w:lang w:eastAsia="lt-LT"/>
                </w:rPr>
              </w:pPr>
              <w:sdt>
                <w:sdtPr>
                  <w:alias w:val="Numeris"/>
                  <w:tag w:val="nr_9220e304e2f4446ea50331fdd193296c"/>
                  <w:lock w:val="sdtLocked"/>
                  <w:richText/>
                </w:sdtPr>
                <w:sdtContent>
                  <w:r>
                    <w:rPr>
                      <w:szCs w:val="24"/>
                      <w:lang w:eastAsia="lt-LT"/>
                    </w:rPr>
                    <w:t>22</w:t>
                  </w:r>
                </w:sdtContent>
              </w:sdt>
              <w:r>
                <w:rPr>
                  <w:szCs w:val="24"/>
                  <w:lang w:eastAsia="lt-LT"/>
                </w:rPr>
                <w:t>.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w:t>
              </w:r>
            </w:p>
          </w:sdtContent>
        </w:sdt>
        <w:sdt>
          <w:sdtPr>
            <w:alias w:val="23 p."/>
            <w:tag w:val="part_8f945ae8e8d048609d642937545c461a"/>
            <w:lock w:val="sdtLocked"/>
            <w:richText/>
          </w:sdtPr>
          <w:sdtContent>
            <w:p w14:paraId="2F120355" w14:textId="2DDFC0E0">
              <w:pPr>
                <w:ind w:firstLine="737"/>
                <w:jc w:val="both"/>
                <w:rPr>
                  <w:strike/>
                  <w:color w:val="FF0000"/>
                  <w:szCs w:val="24"/>
                  <w:lang w:eastAsia="lt-LT"/>
                </w:rPr>
              </w:pPr>
              <w:sdt>
                <w:sdtPr>
                  <w:alias w:val="Numeris"/>
                  <w:tag w:val="nr_8f945ae8e8d048609d642937545c461a"/>
                  <w:lock w:val="sdtLocked"/>
                  <w:richText/>
                </w:sdtPr>
                <w:sdtContent>
                  <w:r>
                    <w:rPr>
                      <w:szCs w:val="24"/>
                      <w:lang w:eastAsia="lt-LT"/>
                    </w:rPr>
                    <w:t>23</w:t>
                  </w:r>
                </w:sdtContent>
              </w:sdt>
              <w:r>
                <w:rPr>
                  <w:szCs w:val="24"/>
                  <w:lang w:eastAsia="lt-LT"/>
                </w:rPr>
                <w:t xml:space="preserve">. Šiaulių miesto savivaldybė, išnuomojusi valstybinės žemės sklypą ar jo dalį, gali atleisti valstybinės žemės nuomininkus nuo nuomos mokesčio mokėjimo. </w:t>
              </w:r>
            </w:p>
          </w:sdtContent>
        </w:sdt>
        <w:sdt>
          <w:sdtPr>
            <w:alias w:val="24 p."/>
            <w:tag w:val="part_12f4efd90154448aafe4474fa86a18d7"/>
            <w:lock w:val="sdtLocked"/>
            <w:richText/>
          </w:sdtPr>
          <w:sdtContent>
            <w:p w14:paraId="6116918B" w14:textId="77777777">
              <w:pPr>
                <w:ind w:firstLine="737"/>
                <w:jc w:val="both"/>
                <w:rPr>
                  <w:szCs w:val="24"/>
                  <w:lang w:eastAsia="lt-LT"/>
                </w:rPr>
              </w:pPr>
              <w:sdt>
                <w:sdtPr>
                  <w:alias w:val="Numeris"/>
                  <w:tag w:val="nr_12f4efd90154448aafe4474fa86a18d7"/>
                  <w:lock w:val="sdtLocked"/>
                  <w:richText/>
                </w:sdtPr>
                <w:sdtContent>
                  <w:r>
                    <w:rPr>
                      <w:szCs w:val="24"/>
                      <w:lang w:eastAsia="lt-LT"/>
                    </w:rPr>
                    <w:t>24</w:t>
                  </w:r>
                </w:sdtContent>
              </w:sdt>
              <w:r>
                <w:rPr>
                  <w:szCs w:val="24"/>
                  <w:lang w:eastAsia="lt-LT"/>
                </w:rPr>
                <w:t>. Prie šios sutarties pridedamas išnuomojamo žemės sklypo planas M 1:500, kaip neatskiriama sudedamoji šios sutarties dalis.</w:t>
              </w:r>
            </w:p>
          </w:sdtContent>
        </w:sdt>
        <w:sdt>
          <w:sdtPr>
            <w:alias w:val="25 p."/>
            <w:tag w:val="part_37e7ebaef1b3450eb4db89a76430db19"/>
            <w:lock w:val="sdtLocked"/>
            <w:richText/>
          </w:sdtPr>
          <w:sdtContent>
            <w:p w14:paraId="39DA6E25" w14:textId="10B07C8C">
              <w:pPr>
                <w:ind w:firstLine="737"/>
                <w:jc w:val="both"/>
                <w:rPr>
                  <w:szCs w:val="24"/>
                  <w:lang w:eastAsia="lt-LT"/>
                </w:rPr>
              </w:pPr>
              <w:sdt>
                <w:sdtPr>
                  <w:alias w:val="Numeris"/>
                  <w:tag w:val="nr_37e7ebaef1b3450eb4db89a76430db19"/>
                  <w:lock w:val="sdtLocked"/>
                  <w:richText/>
                </w:sdtPr>
                <w:sdtContent>
                  <w:r>
                    <w:rPr>
                      <w:szCs w:val="24"/>
                      <w:lang w:eastAsia="lt-LT"/>
                    </w:rPr>
                    <w:t>25</w:t>
                  </w:r>
                </w:sdtContent>
              </w:sdt>
              <w:r>
                <w:rPr>
                  <w:szCs w:val="24"/>
                  <w:lang w:eastAsia="lt-LT"/>
                </w:rPr>
                <w:t>. Juridinį faktą apie sudarytą sutartį nuomininkai savo lėšomis per 3 mėnesius įregistruoja Nekilnojamojo turto registre.</w:t>
              </w:r>
            </w:p>
          </w:sdtContent>
        </w:sdt>
        <w:sdt>
          <w:sdtPr>
            <w:alias w:val="26 p."/>
            <w:tag w:val="part_b7b8cb1b9eb5428d9b5e3d98e2b22904"/>
            <w:lock w:val="sdtLocked"/>
            <w:richText/>
          </w:sdtPr>
          <w:sdtContent>
            <w:p w14:paraId="0BC04375" w14:textId="3D4C03BF">
              <w:pPr>
                <w:ind w:firstLine="720"/>
                <w:jc w:val="both"/>
                <w:rPr>
                  <w:szCs w:val="24"/>
                  <w:lang w:eastAsia="lt-LT"/>
                </w:rPr>
              </w:pPr>
              <w:sdt>
                <w:sdtPr>
                  <w:alias w:val="Numeris"/>
                  <w:tag w:val="nr_b7b8cb1b9eb5428d9b5e3d98e2b22904"/>
                  <w:lock w:val="sdtLocked"/>
                  <w:richText/>
                </w:sdtPr>
                <w:sdtContent>
                  <w:r>
                    <w:rPr>
                      <w:szCs w:val="24"/>
                      <w:lang w:eastAsia="lt-LT"/>
                    </w:rPr>
                    <w:t>26</w:t>
                  </w:r>
                </w:sdtContent>
              </w:sdt>
              <w:r>
                <w:rPr>
                  <w:szCs w:val="24"/>
                  <w:lang w:eastAsia="lt-LT"/>
                </w:rPr>
                <w:t>. Sutartis įsigalioja nuo jos pasirašymo momento (pasirašymo momentu laikoma data, kai sutartį pasirašo paskutinė jos šalis) ir sudaryta 2 (dviem) egzemplioriais, kurių vienas paliekamas nuomotojui, kitas egzempliorius įteikiamas nuomininkams.</w:t>
              </w:r>
            </w:p>
            <w:p w14:paraId="3BE05881" w14:textId="77777777">
              <w:pPr>
                <w:ind w:firstLine="720"/>
                <w:jc w:val="both"/>
                <w:rPr>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79"/>
                <w:gridCol w:w="936"/>
                <w:gridCol w:w="2490"/>
                <w:gridCol w:w="237"/>
                <w:gridCol w:w="3596"/>
              </w:tblGrid>
              <w:tr w14:paraId="2FA2C0F3" w14:textId="77777777">
                <w:trPr>
                  <w:trHeight w:val="116"/>
                </w:trPr>
                <w:tc>
                  <w:tcPr>
                    <w:tcW w:w="2379" w:type="dxa"/>
                    <w:tcBorders>
                      <w:top w:val="nil"/>
                      <w:left w:val="nil"/>
                      <w:bottom w:val="nil"/>
                      <w:right w:val="nil"/>
                    </w:tcBorders>
                  </w:tcPr>
                  <w:p w14:paraId="20BE2659" w14:textId="77777777">
                    <w:pPr>
                      <w:jc w:val="both"/>
                      <w:rPr>
                        <w:szCs w:val="24"/>
                        <w:lang w:eastAsia="lt-LT"/>
                      </w:rPr>
                    </w:pPr>
                  </w:p>
                </w:tc>
                <w:tc>
                  <w:tcPr>
                    <w:tcW w:w="936" w:type="dxa"/>
                    <w:tcBorders>
                      <w:top w:val="nil"/>
                      <w:left w:val="nil"/>
                      <w:bottom w:val="nil"/>
                      <w:right w:val="nil"/>
                    </w:tcBorders>
                  </w:tcPr>
                  <w:p w14:paraId="39D1F242" w14:textId="77777777">
                    <w:pPr>
                      <w:ind w:firstLine="720"/>
                      <w:jc w:val="both"/>
                      <w:rPr>
                        <w:szCs w:val="24"/>
                        <w:lang w:eastAsia="lt-LT"/>
                      </w:rPr>
                    </w:pPr>
                  </w:p>
                </w:tc>
                <w:tc>
                  <w:tcPr>
                    <w:tcW w:w="2490" w:type="dxa"/>
                    <w:tcBorders>
                      <w:top w:val="nil"/>
                      <w:left w:val="nil"/>
                      <w:bottom w:val="nil"/>
                      <w:right w:val="nil"/>
                    </w:tcBorders>
                  </w:tcPr>
                  <w:p w14:paraId="4647A438" w14:textId="77777777">
                    <w:pPr>
                      <w:ind w:firstLine="720"/>
                      <w:jc w:val="both"/>
                      <w:rPr>
                        <w:szCs w:val="24"/>
                        <w:lang w:eastAsia="lt-LT"/>
                      </w:rPr>
                    </w:pPr>
                  </w:p>
                </w:tc>
                <w:tc>
                  <w:tcPr>
                    <w:tcW w:w="237" w:type="dxa"/>
                    <w:tcBorders>
                      <w:top w:val="nil"/>
                      <w:left w:val="nil"/>
                      <w:bottom w:val="nil"/>
                      <w:right w:val="nil"/>
                    </w:tcBorders>
                  </w:tcPr>
                  <w:p w14:paraId="4573D4CE" w14:textId="77777777">
                    <w:pPr>
                      <w:ind w:firstLine="720"/>
                      <w:jc w:val="both"/>
                      <w:rPr>
                        <w:szCs w:val="24"/>
                        <w:lang w:eastAsia="lt-LT"/>
                      </w:rPr>
                    </w:pPr>
                  </w:p>
                </w:tc>
                <w:tc>
                  <w:tcPr>
                    <w:tcW w:w="3596" w:type="dxa"/>
                    <w:tcBorders>
                      <w:top w:val="nil"/>
                      <w:left w:val="nil"/>
                      <w:bottom w:val="nil"/>
                      <w:right w:val="nil"/>
                    </w:tcBorders>
                  </w:tcPr>
                  <w:p w14:paraId="07B7C239" w14:textId="77777777">
                    <w:pPr>
                      <w:ind w:firstLine="720"/>
                      <w:jc w:val="both"/>
                      <w:rPr>
                        <w:szCs w:val="24"/>
                        <w:lang w:eastAsia="lt-LT"/>
                      </w:rPr>
                    </w:pPr>
                  </w:p>
                </w:tc>
              </w:tr>
            </w:tbl>
            <w:p w14:paraId="15156BB8" w14:textId="77777777">
              <w:pPr>
                <w:ind w:firstLine="720"/>
                <w:jc w:val="both"/>
                <w:rPr>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36"/>
                <w:gridCol w:w="350"/>
                <w:gridCol w:w="2607"/>
                <w:gridCol w:w="6"/>
                <w:gridCol w:w="233"/>
                <w:gridCol w:w="6"/>
                <w:gridCol w:w="3900"/>
              </w:tblGrid>
              <w:tr w14:paraId="71A22B50" w14:textId="77777777">
                <w:tc>
                  <w:tcPr>
                    <w:tcW w:w="2534" w:type="dxa"/>
                    <w:tcBorders>
                      <w:top w:val="nil"/>
                      <w:left w:val="nil"/>
                      <w:bottom w:val="nil"/>
                      <w:right w:val="nil"/>
                    </w:tcBorders>
                  </w:tcPr>
                  <w:p w14:paraId="717CC8E6" w14:textId="77777777">
                    <w:pPr>
                      <w:jc w:val="both"/>
                      <w:rPr>
                        <w:szCs w:val="24"/>
                        <w:lang w:eastAsia="lt-LT"/>
                      </w:rPr>
                    </w:pPr>
                  </w:p>
                  <w:p w14:paraId="5B34218E" w14:textId="77777777">
                    <w:pPr>
                      <w:jc w:val="both"/>
                      <w:rPr>
                        <w:szCs w:val="24"/>
                        <w:lang w:eastAsia="lt-LT"/>
                      </w:rPr>
                    </w:pPr>
                  </w:p>
                  <w:p w14:paraId="79F8241E" w14:textId="77777777">
                    <w:pPr>
                      <w:jc w:val="both"/>
                      <w:rPr>
                        <w:szCs w:val="24"/>
                        <w:lang w:eastAsia="lt-LT"/>
                      </w:rPr>
                    </w:pPr>
                    <w:r>
                      <w:rPr>
                        <w:szCs w:val="24"/>
                        <w:lang w:eastAsia="lt-LT"/>
                      </w:rPr>
                      <w:t>Nuomotojas</w:t>
                    </w:r>
                  </w:p>
                </w:tc>
                <w:tc>
                  <w:tcPr>
                    <w:tcW w:w="349" w:type="dxa"/>
                    <w:tcBorders>
                      <w:top w:val="nil"/>
                      <w:left w:val="nil"/>
                      <w:bottom w:val="nil"/>
                      <w:right w:val="nil"/>
                    </w:tcBorders>
                  </w:tcPr>
                  <w:p w14:paraId="3F8E8371" w14:textId="77777777">
                    <w:pPr>
                      <w:jc w:val="both"/>
                      <w:rPr>
                        <w:szCs w:val="24"/>
                        <w:lang w:eastAsia="lt-LT"/>
                      </w:rPr>
                    </w:pPr>
                  </w:p>
                </w:tc>
                <w:tc>
                  <w:tcPr>
                    <w:tcW w:w="2608" w:type="dxa"/>
                    <w:tcBorders>
                      <w:top w:val="nil"/>
                      <w:left w:val="nil"/>
                      <w:right w:val="nil"/>
                    </w:tcBorders>
                  </w:tcPr>
                  <w:p w14:paraId="5955594B" w14:textId="77777777">
                    <w:pPr>
                      <w:jc w:val="both"/>
                      <w:rPr>
                        <w:szCs w:val="24"/>
                        <w:lang w:eastAsia="lt-LT"/>
                      </w:rPr>
                    </w:pPr>
                  </w:p>
                </w:tc>
                <w:tc>
                  <w:tcPr>
                    <w:tcW w:w="239" w:type="dxa"/>
                    <w:gridSpan w:val="2"/>
                    <w:tcBorders>
                      <w:top w:val="nil"/>
                      <w:left w:val="nil"/>
                      <w:bottom w:val="nil"/>
                      <w:right w:val="nil"/>
                    </w:tcBorders>
                  </w:tcPr>
                  <w:p w14:paraId="3A4F8AE2" w14:textId="77777777">
                    <w:pPr>
                      <w:jc w:val="both"/>
                      <w:rPr>
                        <w:szCs w:val="24"/>
                        <w:lang w:eastAsia="lt-LT"/>
                      </w:rPr>
                    </w:pPr>
                  </w:p>
                </w:tc>
                <w:tc>
                  <w:tcPr>
                    <w:tcW w:w="3908" w:type="dxa"/>
                    <w:gridSpan w:val="2"/>
                    <w:tcBorders>
                      <w:top w:val="nil"/>
                      <w:left w:val="nil"/>
                      <w:bottom w:val="nil"/>
                      <w:right w:val="nil"/>
                    </w:tcBorders>
                  </w:tcPr>
                  <w:p w14:paraId="188FC484" w14:textId="77777777">
                    <w:pPr>
                      <w:jc w:val="right"/>
                      <w:rPr>
                        <w:szCs w:val="24"/>
                        <w:lang w:eastAsia="lt-LT"/>
                      </w:rPr>
                    </w:pPr>
                  </w:p>
                  <w:p w14:paraId="5E72A935" w14:textId="77777777">
                    <w:pPr>
                      <w:jc w:val="right"/>
                      <w:rPr>
                        <w:szCs w:val="24"/>
                        <w:lang w:eastAsia="lt-LT"/>
                      </w:rPr>
                    </w:pPr>
                  </w:p>
                  <w:p w14:paraId="6FD24B5D" w14:textId="77777777">
                    <w:pPr>
                      <w:jc w:val="right"/>
                      <w:rPr>
                        <w:szCs w:val="24"/>
                        <w:lang w:eastAsia="lt-LT"/>
                      </w:rPr>
                    </w:pPr>
                    <w:r>
                      <w:rPr>
                        <w:szCs w:val="24"/>
                        <w:lang w:eastAsia="lt-LT"/>
                      </w:rPr>
                      <w:t>Artūras Visockas</w:t>
                    </w:r>
                  </w:p>
                </w:tc>
              </w:tr>
              <w:tr w14:paraId="1C0914D9" w14:textId="77777777">
                <w:trPr>
                  <w:trHeight w:val="116"/>
                </w:trPr>
                <w:tc>
                  <w:tcPr>
                    <w:tcW w:w="2534" w:type="dxa"/>
                    <w:tcBorders>
                      <w:top w:val="nil"/>
                      <w:left w:val="nil"/>
                      <w:bottom w:val="nil"/>
                      <w:right w:val="nil"/>
                    </w:tcBorders>
                  </w:tcPr>
                  <w:p w14:paraId="75649811" w14:textId="77777777">
                    <w:pPr>
                      <w:jc w:val="center"/>
                      <w:rPr>
                        <w:szCs w:val="24"/>
                        <w:lang w:eastAsia="lt-LT"/>
                      </w:rPr>
                    </w:pPr>
                  </w:p>
                </w:tc>
                <w:tc>
                  <w:tcPr>
                    <w:tcW w:w="349" w:type="dxa"/>
                    <w:tcBorders>
                      <w:top w:val="nil"/>
                      <w:left w:val="nil"/>
                      <w:bottom w:val="nil"/>
                      <w:right w:val="nil"/>
                    </w:tcBorders>
                  </w:tcPr>
                  <w:p w14:paraId="2F2AB5B2" w14:textId="77777777">
                    <w:pPr>
                      <w:jc w:val="both"/>
                      <w:rPr>
                        <w:szCs w:val="24"/>
                        <w:lang w:eastAsia="lt-LT"/>
                      </w:rPr>
                    </w:pPr>
                  </w:p>
                </w:tc>
                <w:tc>
                  <w:tcPr>
                    <w:tcW w:w="2608" w:type="dxa"/>
                    <w:tcBorders>
                      <w:left w:val="nil"/>
                      <w:bottom w:val="nil"/>
                      <w:right w:val="nil"/>
                    </w:tcBorders>
                  </w:tcPr>
                  <w:p w14:paraId="14892856" w14:textId="77777777">
                    <w:pPr>
                      <w:jc w:val="center"/>
                      <w:rPr>
                        <w:szCs w:val="24"/>
                        <w:lang w:eastAsia="lt-LT"/>
                      </w:rPr>
                    </w:pPr>
                    <w:r>
                      <w:rPr>
                        <w:szCs w:val="24"/>
                        <w:lang w:eastAsia="lt-LT"/>
                      </w:rPr>
                      <w:t>(parašas)</w:t>
                    </w:r>
                  </w:p>
                </w:tc>
                <w:tc>
                  <w:tcPr>
                    <w:tcW w:w="239" w:type="dxa"/>
                    <w:gridSpan w:val="2"/>
                    <w:tcBorders>
                      <w:top w:val="nil"/>
                      <w:left w:val="nil"/>
                      <w:bottom w:val="nil"/>
                      <w:right w:val="nil"/>
                    </w:tcBorders>
                  </w:tcPr>
                  <w:p w14:paraId="6CDD2755" w14:textId="77777777">
                    <w:pPr>
                      <w:jc w:val="both"/>
                      <w:rPr>
                        <w:szCs w:val="24"/>
                        <w:lang w:eastAsia="lt-LT"/>
                      </w:rPr>
                    </w:pPr>
                  </w:p>
                </w:tc>
                <w:tc>
                  <w:tcPr>
                    <w:tcW w:w="3908" w:type="dxa"/>
                    <w:gridSpan w:val="2"/>
                    <w:tcBorders>
                      <w:top w:val="nil"/>
                      <w:left w:val="nil"/>
                      <w:bottom w:val="nil"/>
                      <w:right w:val="nil"/>
                    </w:tcBorders>
                  </w:tcPr>
                  <w:p w14:paraId="7B3ADBA4" w14:textId="77777777">
                    <w:pPr>
                      <w:jc w:val="both"/>
                      <w:rPr>
                        <w:szCs w:val="24"/>
                        <w:lang w:eastAsia="lt-LT"/>
                      </w:rPr>
                    </w:pPr>
                  </w:p>
                </w:tc>
              </w:tr>
              <w:tr w14:paraId="223493F5" w14:textId="77777777">
                <w:tc>
                  <w:tcPr>
                    <w:tcW w:w="2534" w:type="dxa"/>
                    <w:tcBorders>
                      <w:top w:val="nil"/>
                      <w:left w:val="nil"/>
                      <w:bottom w:val="nil"/>
                      <w:right w:val="nil"/>
                    </w:tcBorders>
                  </w:tcPr>
                  <w:p w14:paraId="23717C76" w14:textId="77777777">
                    <w:pPr>
                      <w:jc w:val="center"/>
                      <w:rPr>
                        <w:szCs w:val="24"/>
                        <w:lang w:eastAsia="lt-LT"/>
                      </w:rPr>
                    </w:pPr>
                    <w:r>
                      <w:rPr>
                        <w:szCs w:val="24"/>
                        <w:lang w:eastAsia="lt-LT"/>
                      </w:rPr>
                      <w:t>A.V.</w:t>
                    </w:r>
                  </w:p>
                </w:tc>
                <w:tc>
                  <w:tcPr>
                    <w:tcW w:w="349" w:type="dxa"/>
                    <w:tcBorders>
                      <w:top w:val="nil"/>
                      <w:left w:val="nil"/>
                      <w:bottom w:val="nil"/>
                      <w:right w:val="nil"/>
                    </w:tcBorders>
                  </w:tcPr>
                  <w:p w14:paraId="53C0741D" w14:textId="77777777">
                    <w:pPr>
                      <w:jc w:val="both"/>
                      <w:rPr>
                        <w:szCs w:val="24"/>
                        <w:lang w:eastAsia="lt-LT"/>
                      </w:rPr>
                    </w:pPr>
                  </w:p>
                </w:tc>
                <w:tc>
                  <w:tcPr>
                    <w:tcW w:w="2608" w:type="dxa"/>
                    <w:tcBorders>
                      <w:top w:val="nil"/>
                      <w:left w:val="nil"/>
                      <w:bottom w:val="nil"/>
                      <w:right w:val="nil"/>
                    </w:tcBorders>
                  </w:tcPr>
                  <w:p w14:paraId="19334DAF" w14:textId="77777777">
                    <w:pPr>
                      <w:jc w:val="both"/>
                      <w:rPr>
                        <w:szCs w:val="24"/>
                        <w:lang w:eastAsia="lt-LT"/>
                      </w:rPr>
                    </w:pPr>
                  </w:p>
                </w:tc>
                <w:tc>
                  <w:tcPr>
                    <w:tcW w:w="239" w:type="dxa"/>
                    <w:gridSpan w:val="2"/>
                    <w:tcBorders>
                      <w:top w:val="nil"/>
                      <w:left w:val="nil"/>
                      <w:bottom w:val="nil"/>
                      <w:right w:val="nil"/>
                    </w:tcBorders>
                  </w:tcPr>
                  <w:p w14:paraId="6038018C" w14:textId="77777777">
                    <w:pPr>
                      <w:jc w:val="both"/>
                      <w:rPr>
                        <w:szCs w:val="24"/>
                        <w:lang w:eastAsia="lt-LT"/>
                      </w:rPr>
                    </w:pPr>
                  </w:p>
                </w:tc>
                <w:tc>
                  <w:tcPr>
                    <w:tcW w:w="3908" w:type="dxa"/>
                    <w:gridSpan w:val="2"/>
                    <w:tcBorders>
                      <w:top w:val="nil"/>
                      <w:left w:val="nil"/>
                      <w:bottom w:val="nil"/>
                      <w:right w:val="nil"/>
                    </w:tcBorders>
                  </w:tcPr>
                  <w:p w14:paraId="5FA042EE" w14:textId="77777777">
                    <w:pPr>
                      <w:jc w:val="both"/>
                      <w:rPr>
                        <w:szCs w:val="24"/>
                        <w:lang w:eastAsia="lt-LT"/>
                      </w:rPr>
                    </w:pPr>
                  </w:p>
                </w:tc>
              </w:tr>
              <w:tr w14:paraId="53EE8DAB" w14:textId="77777777">
                <w:tc>
                  <w:tcPr>
                    <w:tcW w:w="2534" w:type="dxa"/>
                    <w:tcBorders>
                      <w:top w:val="nil"/>
                      <w:left w:val="nil"/>
                      <w:bottom w:val="nil"/>
                      <w:right w:val="nil"/>
                    </w:tcBorders>
                  </w:tcPr>
                  <w:p w14:paraId="561CDC45" w14:textId="77777777">
                    <w:pPr>
                      <w:jc w:val="both"/>
                      <w:rPr>
                        <w:szCs w:val="24"/>
                        <w:lang w:eastAsia="lt-LT"/>
                      </w:rPr>
                    </w:pPr>
                  </w:p>
                  <w:p w14:paraId="2C3B1ABC" w14:textId="77777777">
                    <w:pPr>
                      <w:jc w:val="both"/>
                      <w:rPr>
                        <w:szCs w:val="24"/>
                        <w:lang w:eastAsia="lt-LT"/>
                      </w:rPr>
                    </w:pPr>
                  </w:p>
                  <w:p w14:paraId="727D65B3" w14:textId="77777777">
                    <w:pPr>
                      <w:jc w:val="both"/>
                      <w:rPr>
                        <w:szCs w:val="24"/>
                        <w:lang w:eastAsia="lt-LT"/>
                      </w:rPr>
                    </w:pPr>
                    <w:r>
                      <w:rPr>
                        <w:szCs w:val="24"/>
                        <w:lang w:eastAsia="lt-LT"/>
                      </w:rPr>
                      <w:t>Nuomininkai</w:t>
                    </w:r>
                  </w:p>
                </w:tc>
                <w:tc>
                  <w:tcPr>
                    <w:tcW w:w="349" w:type="dxa"/>
                    <w:tcBorders>
                      <w:top w:val="nil"/>
                      <w:left w:val="nil"/>
                      <w:bottom w:val="nil"/>
                      <w:right w:val="nil"/>
                    </w:tcBorders>
                  </w:tcPr>
                  <w:p w14:paraId="4FB38833" w14:textId="77777777">
                    <w:pPr>
                      <w:jc w:val="both"/>
                      <w:rPr>
                        <w:szCs w:val="24"/>
                        <w:lang w:eastAsia="lt-LT"/>
                      </w:rPr>
                    </w:pPr>
                  </w:p>
                </w:tc>
                <w:tc>
                  <w:tcPr>
                    <w:tcW w:w="2608" w:type="dxa"/>
                    <w:tcBorders>
                      <w:top w:val="nil"/>
                      <w:left w:val="nil"/>
                      <w:right w:val="nil"/>
                    </w:tcBorders>
                  </w:tcPr>
                  <w:p w14:paraId="357CF641" w14:textId="77777777">
                    <w:pPr>
                      <w:jc w:val="both"/>
                      <w:rPr>
                        <w:szCs w:val="24"/>
                        <w:lang w:eastAsia="lt-LT"/>
                      </w:rPr>
                    </w:pPr>
                  </w:p>
                </w:tc>
                <w:tc>
                  <w:tcPr>
                    <w:tcW w:w="239" w:type="dxa"/>
                    <w:gridSpan w:val="2"/>
                    <w:tcBorders>
                      <w:top w:val="nil"/>
                      <w:left w:val="nil"/>
                      <w:bottom w:val="nil"/>
                      <w:right w:val="nil"/>
                    </w:tcBorders>
                  </w:tcPr>
                  <w:p w14:paraId="15FFDA68" w14:textId="77777777">
                    <w:pPr>
                      <w:jc w:val="both"/>
                      <w:rPr>
                        <w:szCs w:val="24"/>
                        <w:lang w:eastAsia="lt-LT"/>
                      </w:rPr>
                    </w:pPr>
                  </w:p>
                </w:tc>
                <w:tc>
                  <w:tcPr>
                    <w:tcW w:w="3908" w:type="dxa"/>
                    <w:gridSpan w:val="2"/>
                    <w:tcBorders>
                      <w:top w:val="nil"/>
                      <w:left w:val="nil"/>
                      <w:right w:val="nil"/>
                    </w:tcBorders>
                  </w:tcPr>
                  <w:p w14:paraId="136A8381" w14:textId="77777777">
                    <w:pPr>
                      <w:jc w:val="right"/>
                      <w:rPr>
                        <w:b/>
                        <w:bCs/>
                        <w:szCs w:val="24"/>
                        <w:lang w:eastAsia="lt-LT"/>
                      </w:rPr>
                    </w:pPr>
                  </w:p>
                  <w:p w14:paraId="7843966B" w14:textId="77777777">
                    <w:pPr>
                      <w:ind w:firstLine="62"/>
                      <w:jc w:val="right"/>
                      <w:rPr>
                        <w:b/>
                        <w:bCs/>
                        <w:szCs w:val="24"/>
                        <w:lang w:eastAsia="lt-LT"/>
                      </w:rPr>
                    </w:pPr>
                  </w:p>
                </w:tc>
              </w:tr>
              <w:tr w14:paraId="5981B0C9" w14:textId="77777777">
                <w:tc>
                  <w:tcPr>
                    <w:tcW w:w="2534" w:type="dxa"/>
                    <w:tcBorders>
                      <w:top w:val="nil"/>
                      <w:left w:val="nil"/>
                      <w:bottom w:val="nil"/>
                      <w:right w:val="nil"/>
                    </w:tcBorders>
                  </w:tcPr>
                  <w:p w14:paraId="01BDAA46" w14:textId="77777777">
                    <w:pPr>
                      <w:jc w:val="both"/>
                      <w:rPr>
                        <w:szCs w:val="24"/>
                        <w:lang w:eastAsia="lt-LT"/>
                      </w:rPr>
                    </w:pPr>
                  </w:p>
                  <w:p w14:paraId="6439E80A" w14:textId="77777777">
                    <w:pPr>
                      <w:jc w:val="both"/>
                      <w:rPr>
                        <w:szCs w:val="24"/>
                        <w:lang w:eastAsia="lt-LT"/>
                      </w:rPr>
                    </w:pPr>
                  </w:p>
                  <w:p w14:paraId="1C87B2B6" w14:textId="77777777">
                    <w:pPr>
                      <w:jc w:val="both"/>
                      <w:rPr>
                        <w:szCs w:val="24"/>
                        <w:lang w:eastAsia="lt-LT"/>
                      </w:rPr>
                    </w:pPr>
                  </w:p>
                </w:tc>
                <w:tc>
                  <w:tcPr>
                    <w:tcW w:w="349" w:type="dxa"/>
                    <w:tcBorders>
                      <w:top w:val="nil"/>
                      <w:left w:val="nil"/>
                      <w:bottom w:val="nil"/>
                      <w:right w:val="nil"/>
                    </w:tcBorders>
                  </w:tcPr>
                  <w:p w14:paraId="1CDFA9E4" w14:textId="77777777">
                    <w:pPr>
                      <w:ind w:firstLine="806"/>
                      <w:jc w:val="both"/>
                      <w:rPr>
                        <w:szCs w:val="24"/>
                        <w:lang w:eastAsia="lt-LT"/>
                      </w:rPr>
                    </w:pPr>
                  </w:p>
                </w:tc>
                <w:tc>
                  <w:tcPr>
                    <w:tcW w:w="2608" w:type="dxa"/>
                    <w:tcBorders>
                      <w:top w:val="nil"/>
                      <w:left w:val="nil"/>
                      <w:right w:val="nil"/>
                    </w:tcBorders>
                  </w:tcPr>
                  <w:p w14:paraId="4B854507" w14:textId="0BE46849">
                    <w:pPr>
                      <w:ind w:firstLine="806"/>
                      <w:jc w:val="both"/>
                      <w:rPr>
                        <w:szCs w:val="24"/>
                        <w:lang w:eastAsia="lt-LT"/>
                      </w:rPr>
                    </w:pPr>
                    <w:r>
                      <w:rPr>
                        <w:szCs w:val="24"/>
                        <w:lang w:eastAsia="lt-LT"/>
                      </w:rPr>
                      <w:t>(parašas)</w:t>
                    </w:r>
                  </w:p>
                </w:tc>
                <w:tc>
                  <w:tcPr>
                    <w:tcW w:w="239" w:type="dxa"/>
                    <w:gridSpan w:val="2"/>
                    <w:tcBorders>
                      <w:top w:val="nil"/>
                      <w:left w:val="nil"/>
                      <w:bottom w:val="nil"/>
                      <w:right w:val="nil"/>
                    </w:tcBorders>
                  </w:tcPr>
                  <w:p w14:paraId="52B5F608" w14:textId="77777777">
                    <w:pPr>
                      <w:jc w:val="both"/>
                      <w:rPr>
                        <w:szCs w:val="24"/>
                        <w:lang w:eastAsia="lt-LT"/>
                      </w:rPr>
                    </w:pPr>
                  </w:p>
                </w:tc>
                <w:tc>
                  <w:tcPr>
                    <w:tcW w:w="3908" w:type="dxa"/>
                    <w:gridSpan w:val="2"/>
                    <w:tcBorders>
                      <w:top w:val="nil"/>
                      <w:left w:val="nil"/>
                      <w:bottom w:val="single" w:sz="4" w:space="0" w:color="auto"/>
                      <w:right w:val="nil"/>
                    </w:tcBorders>
                  </w:tcPr>
                  <w:p w14:paraId="29AC7E9A" w14:textId="77777777">
                    <w:pPr>
                      <w:jc w:val="center"/>
                      <w:rPr>
                        <w:b/>
                        <w:bCs/>
                        <w:szCs w:val="24"/>
                        <w:lang w:eastAsia="lt-LT"/>
                      </w:rPr>
                    </w:pPr>
                    <w:r>
                      <w:rPr>
                        <w:szCs w:val="24"/>
                        <w:lang w:eastAsia="lt-LT"/>
                      </w:rPr>
                      <w:t xml:space="preserve">(vardas ir  pavardė)</w:t>
                    </w:r>
                  </w:p>
                </w:tc>
              </w:tr>
              <w:tr w14:paraId="23BFEC33" w14:textId="77777777">
                <w:trPr>
                  <w:trHeight w:val="116"/>
                </w:trPr>
                <w:tc>
                  <w:tcPr>
                    <w:tcW w:w="2534" w:type="dxa"/>
                    <w:tcBorders>
                      <w:top w:val="nil"/>
                      <w:left w:val="nil"/>
                      <w:bottom w:val="nil"/>
                      <w:right w:val="nil"/>
                    </w:tcBorders>
                  </w:tcPr>
                  <w:p w14:paraId="5F67FCDD" w14:textId="77777777">
                    <w:pPr>
                      <w:jc w:val="center"/>
                      <w:rPr>
                        <w:szCs w:val="24"/>
                        <w:lang w:eastAsia="lt-LT"/>
                      </w:rPr>
                    </w:pPr>
                  </w:p>
                </w:tc>
                <w:tc>
                  <w:tcPr>
                    <w:tcW w:w="349" w:type="dxa"/>
                    <w:tcBorders>
                      <w:top w:val="nil"/>
                      <w:left w:val="nil"/>
                      <w:bottom w:val="nil"/>
                      <w:right w:val="nil"/>
                    </w:tcBorders>
                  </w:tcPr>
                  <w:p w14:paraId="335C8F11" w14:textId="77777777">
                    <w:pPr>
                      <w:jc w:val="both"/>
                      <w:rPr>
                        <w:szCs w:val="24"/>
                        <w:lang w:eastAsia="lt-LT"/>
                      </w:rPr>
                    </w:pPr>
                  </w:p>
                </w:tc>
                <w:tc>
                  <w:tcPr>
                    <w:tcW w:w="2608" w:type="dxa"/>
                    <w:tcBorders>
                      <w:left w:val="nil"/>
                      <w:bottom w:val="nil"/>
                      <w:right w:val="nil"/>
                    </w:tcBorders>
                  </w:tcPr>
                  <w:p w14:paraId="00E93E6B" w14:textId="77777777">
                    <w:pPr>
                      <w:jc w:val="center"/>
                      <w:rPr>
                        <w:szCs w:val="24"/>
                        <w:lang w:eastAsia="lt-LT"/>
                      </w:rPr>
                    </w:pPr>
                    <w:r>
                      <w:rPr>
                        <w:szCs w:val="24"/>
                        <w:lang w:eastAsia="lt-LT"/>
                      </w:rPr>
                      <w:t>(parašas)</w:t>
                    </w:r>
                  </w:p>
                </w:tc>
                <w:tc>
                  <w:tcPr>
                    <w:tcW w:w="239" w:type="dxa"/>
                    <w:gridSpan w:val="2"/>
                    <w:tcBorders>
                      <w:top w:val="nil"/>
                      <w:left w:val="nil"/>
                      <w:bottom w:val="nil"/>
                      <w:right w:val="nil"/>
                    </w:tcBorders>
                  </w:tcPr>
                  <w:p w14:paraId="0F0C4E0A" w14:textId="77777777">
                    <w:pPr>
                      <w:jc w:val="both"/>
                      <w:rPr>
                        <w:szCs w:val="24"/>
                        <w:lang w:eastAsia="lt-LT"/>
                      </w:rPr>
                    </w:pPr>
                  </w:p>
                </w:tc>
                <w:tc>
                  <w:tcPr>
                    <w:tcW w:w="3908" w:type="dxa"/>
                    <w:gridSpan w:val="2"/>
                    <w:tcBorders>
                      <w:left w:val="nil"/>
                      <w:bottom w:val="nil"/>
                      <w:right w:val="nil"/>
                    </w:tcBorders>
                  </w:tcPr>
                  <w:p w14:paraId="661A8DD4" w14:textId="77777777">
                    <w:pPr>
                      <w:jc w:val="center"/>
                      <w:rPr>
                        <w:szCs w:val="24"/>
                        <w:lang w:eastAsia="lt-LT"/>
                      </w:rPr>
                    </w:pPr>
                    <w:r>
                      <w:rPr>
                        <w:szCs w:val="24"/>
                        <w:lang w:eastAsia="lt-LT"/>
                      </w:rPr>
                      <w:t xml:space="preserve">(vardas ir  pavardė)</w:t>
                    </w:r>
                  </w:p>
                </w:tc>
              </w:tr>
              <w:tr w14:paraId="1573BC26" w14:textId="77777777">
                <w:trPr>
                  <w:trHeight w:val="116"/>
                </w:trPr>
                <w:tc>
                  <w:tcPr>
                    <w:tcW w:w="2534" w:type="dxa"/>
                    <w:tcBorders>
                      <w:top w:val="nil"/>
                      <w:left w:val="nil"/>
                      <w:bottom w:val="nil"/>
                      <w:right w:val="nil"/>
                    </w:tcBorders>
                  </w:tcPr>
                  <w:p w14:paraId="14D52B29" w14:textId="77777777">
                    <w:pPr>
                      <w:jc w:val="center"/>
                      <w:rPr>
                        <w:szCs w:val="24"/>
                        <w:lang w:eastAsia="lt-LT"/>
                      </w:rPr>
                    </w:pPr>
                  </w:p>
                  <w:p w14:paraId="50E57413" w14:textId="77777777">
                    <w:pPr>
                      <w:jc w:val="center"/>
                      <w:rPr>
                        <w:szCs w:val="24"/>
                        <w:lang w:eastAsia="lt-LT"/>
                      </w:rPr>
                    </w:pPr>
                  </w:p>
                </w:tc>
                <w:tc>
                  <w:tcPr>
                    <w:tcW w:w="349" w:type="dxa"/>
                    <w:tcBorders>
                      <w:top w:val="nil"/>
                      <w:left w:val="nil"/>
                      <w:bottom w:val="nil"/>
                      <w:right w:val="nil"/>
                    </w:tcBorders>
                  </w:tcPr>
                  <w:p w14:paraId="0DA2CEE1" w14:textId="77777777">
                    <w:pPr>
                      <w:jc w:val="both"/>
                      <w:rPr>
                        <w:szCs w:val="24"/>
                        <w:lang w:eastAsia="lt-LT"/>
                      </w:rPr>
                    </w:pPr>
                  </w:p>
                </w:tc>
                <w:tc>
                  <w:tcPr>
                    <w:tcW w:w="2608" w:type="dxa"/>
                    <w:tcBorders>
                      <w:top w:val="nil"/>
                      <w:left w:val="nil"/>
                      <w:bottom w:val="nil"/>
                      <w:right w:val="nil"/>
                    </w:tcBorders>
                  </w:tcPr>
                  <w:p w14:paraId="39E73646" w14:textId="77777777">
                    <w:pPr>
                      <w:jc w:val="center"/>
                      <w:rPr>
                        <w:szCs w:val="24"/>
                        <w:lang w:eastAsia="lt-LT"/>
                      </w:rPr>
                    </w:pPr>
                  </w:p>
                </w:tc>
                <w:tc>
                  <w:tcPr>
                    <w:tcW w:w="239" w:type="dxa"/>
                    <w:gridSpan w:val="2"/>
                    <w:tcBorders>
                      <w:top w:val="nil"/>
                      <w:left w:val="nil"/>
                      <w:bottom w:val="nil"/>
                      <w:right w:val="nil"/>
                    </w:tcBorders>
                  </w:tcPr>
                  <w:p w14:paraId="7619FF88" w14:textId="77777777">
                    <w:pPr>
                      <w:jc w:val="both"/>
                      <w:rPr>
                        <w:szCs w:val="24"/>
                        <w:lang w:eastAsia="lt-LT"/>
                      </w:rPr>
                    </w:pPr>
                  </w:p>
                </w:tc>
                <w:tc>
                  <w:tcPr>
                    <w:tcW w:w="3908" w:type="dxa"/>
                    <w:gridSpan w:val="2"/>
                    <w:tcBorders>
                      <w:top w:val="nil"/>
                      <w:left w:val="nil"/>
                      <w:bottom w:val="nil"/>
                      <w:right w:val="nil"/>
                    </w:tcBorders>
                  </w:tcPr>
                  <w:p w14:paraId="5E6CF805" w14:textId="77777777">
                    <w:pPr>
                      <w:jc w:val="center"/>
                      <w:rPr>
                        <w:szCs w:val="24"/>
                        <w:lang w:eastAsia="lt-LT"/>
                      </w:rPr>
                    </w:pPr>
                  </w:p>
                </w:tc>
              </w:tr>
              <w:tr w14:paraId="004DA7A8" w14:textId="77777777">
                <w:tc>
                  <w:tcPr>
                    <w:tcW w:w="2536" w:type="dxa"/>
                    <w:tcBorders>
                      <w:top w:val="nil"/>
                      <w:left w:val="nil"/>
                      <w:bottom w:val="nil"/>
                      <w:right w:val="nil"/>
                    </w:tcBorders>
                  </w:tcPr>
                  <w:p w14:paraId="2E4D4524" w14:textId="3840DC91">
                    <w:pPr>
                      <w:jc w:val="both"/>
                      <w:rPr>
                        <w:szCs w:val="24"/>
                        <w:lang w:eastAsia="lt-LT"/>
                      </w:rPr>
                    </w:pPr>
                  </w:p>
                </w:tc>
                <w:tc>
                  <w:tcPr>
                    <w:tcW w:w="350" w:type="dxa"/>
                    <w:tcBorders>
                      <w:top w:val="nil"/>
                      <w:left w:val="nil"/>
                      <w:bottom w:val="nil"/>
                      <w:right w:val="nil"/>
                    </w:tcBorders>
                  </w:tcPr>
                  <w:p w14:paraId="65623A69" w14:textId="77777777">
                    <w:pPr>
                      <w:jc w:val="both"/>
                      <w:rPr>
                        <w:szCs w:val="24"/>
                        <w:lang w:eastAsia="lt-LT"/>
                      </w:rPr>
                    </w:pPr>
                  </w:p>
                </w:tc>
                <w:tc>
                  <w:tcPr>
                    <w:tcW w:w="2614" w:type="dxa"/>
                    <w:gridSpan w:val="2"/>
                    <w:tcBorders>
                      <w:top w:val="nil"/>
                      <w:left w:val="nil"/>
                      <w:bottom w:val="nil"/>
                      <w:right w:val="nil"/>
                    </w:tcBorders>
                  </w:tcPr>
                  <w:p w14:paraId="0467C12A" w14:textId="77777777">
                    <w:pPr>
                      <w:jc w:val="both"/>
                      <w:rPr>
                        <w:szCs w:val="24"/>
                        <w:lang w:eastAsia="lt-LT"/>
                      </w:rPr>
                    </w:pPr>
                  </w:p>
                </w:tc>
                <w:tc>
                  <w:tcPr>
                    <w:tcW w:w="239" w:type="dxa"/>
                    <w:gridSpan w:val="2"/>
                    <w:tcBorders>
                      <w:top w:val="nil"/>
                      <w:left w:val="nil"/>
                      <w:bottom w:val="nil"/>
                      <w:right w:val="nil"/>
                    </w:tcBorders>
                  </w:tcPr>
                  <w:p w14:paraId="1B6A14C5" w14:textId="77777777">
                    <w:pPr>
                      <w:jc w:val="both"/>
                      <w:rPr>
                        <w:szCs w:val="24"/>
                        <w:lang w:eastAsia="lt-LT"/>
                      </w:rPr>
                    </w:pPr>
                  </w:p>
                </w:tc>
                <w:tc>
                  <w:tcPr>
                    <w:tcW w:w="3899" w:type="dxa"/>
                    <w:tcBorders>
                      <w:top w:val="nil"/>
                      <w:left w:val="nil"/>
                      <w:bottom w:val="nil"/>
                      <w:right w:val="nil"/>
                    </w:tcBorders>
                  </w:tcPr>
                  <w:p w14:paraId="4FAB78FF" w14:textId="6137E45E">
                    <w:pPr>
                      <w:jc w:val="right"/>
                      <w:rPr>
                        <w:b/>
                        <w:bCs/>
                        <w:szCs w:val="24"/>
                        <w:lang w:eastAsia="lt-LT"/>
                      </w:rPr>
                    </w:pPr>
                  </w:p>
                </w:tc>
              </w:tr>
              <w:tr w14:paraId="3B058164" w14:textId="77777777">
                <w:trPr>
                  <w:trHeight w:val="116"/>
                </w:trPr>
                <w:tc>
                  <w:tcPr>
                    <w:tcW w:w="2536" w:type="dxa"/>
                    <w:tcBorders>
                      <w:top w:val="nil"/>
                      <w:left w:val="nil"/>
                      <w:bottom w:val="nil"/>
                      <w:right w:val="nil"/>
                    </w:tcBorders>
                  </w:tcPr>
                  <w:p w14:paraId="3E25836A" w14:textId="77777777">
                    <w:pPr>
                      <w:jc w:val="center"/>
                      <w:rPr>
                        <w:szCs w:val="24"/>
                        <w:lang w:eastAsia="lt-LT"/>
                      </w:rPr>
                    </w:pPr>
                  </w:p>
                </w:tc>
                <w:tc>
                  <w:tcPr>
                    <w:tcW w:w="350" w:type="dxa"/>
                    <w:tcBorders>
                      <w:top w:val="nil"/>
                      <w:left w:val="nil"/>
                      <w:bottom w:val="nil"/>
                      <w:right w:val="nil"/>
                    </w:tcBorders>
                  </w:tcPr>
                  <w:p w14:paraId="402F59DE" w14:textId="77777777">
                    <w:pPr>
                      <w:jc w:val="both"/>
                      <w:rPr>
                        <w:szCs w:val="24"/>
                        <w:lang w:eastAsia="lt-LT"/>
                      </w:rPr>
                    </w:pPr>
                  </w:p>
                </w:tc>
                <w:tc>
                  <w:tcPr>
                    <w:tcW w:w="2614" w:type="dxa"/>
                    <w:gridSpan w:val="2"/>
                    <w:tcBorders>
                      <w:top w:val="nil"/>
                      <w:left w:val="nil"/>
                      <w:bottom w:val="nil"/>
                      <w:right w:val="nil"/>
                    </w:tcBorders>
                  </w:tcPr>
                  <w:p w14:paraId="73977223" w14:textId="2B5A682A">
                    <w:pPr>
                      <w:jc w:val="center"/>
                      <w:rPr>
                        <w:szCs w:val="24"/>
                        <w:lang w:eastAsia="lt-LT"/>
                      </w:rPr>
                    </w:pPr>
                  </w:p>
                </w:tc>
                <w:tc>
                  <w:tcPr>
                    <w:tcW w:w="239" w:type="dxa"/>
                    <w:gridSpan w:val="2"/>
                    <w:tcBorders>
                      <w:top w:val="nil"/>
                      <w:left w:val="nil"/>
                      <w:bottom w:val="nil"/>
                      <w:right w:val="nil"/>
                    </w:tcBorders>
                  </w:tcPr>
                  <w:p w14:paraId="1402966A" w14:textId="77777777">
                    <w:pPr>
                      <w:jc w:val="both"/>
                      <w:rPr>
                        <w:szCs w:val="24"/>
                        <w:lang w:eastAsia="lt-LT"/>
                      </w:rPr>
                    </w:pPr>
                  </w:p>
                </w:tc>
                <w:tc>
                  <w:tcPr>
                    <w:tcW w:w="3899" w:type="dxa"/>
                    <w:tcBorders>
                      <w:top w:val="nil"/>
                      <w:left w:val="nil"/>
                      <w:bottom w:val="nil"/>
                      <w:right w:val="nil"/>
                    </w:tcBorders>
                  </w:tcPr>
                  <w:p w14:paraId="425110FD" w14:textId="77777777">
                    <w:pPr>
                      <w:jc w:val="both"/>
                      <w:rPr>
                        <w:szCs w:val="24"/>
                        <w:lang w:eastAsia="lt-LT"/>
                      </w:rPr>
                    </w:pPr>
                  </w:p>
                </w:tc>
              </w:tr>
              <w:tr w14:paraId="6F544FE4" w14:textId="77777777">
                <w:tc>
                  <w:tcPr>
                    <w:tcW w:w="2536" w:type="dxa"/>
                    <w:tcBorders>
                      <w:top w:val="nil"/>
                      <w:left w:val="nil"/>
                      <w:bottom w:val="nil"/>
                      <w:right w:val="nil"/>
                    </w:tcBorders>
                  </w:tcPr>
                  <w:p w14:paraId="5D41BE1B" w14:textId="465AE3A8">
                    <w:pPr>
                      <w:jc w:val="center"/>
                      <w:rPr>
                        <w:szCs w:val="24"/>
                        <w:lang w:eastAsia="lt-LT"/>
                      </w:rPr>
                    </w:pPr>
                  </w:p>
                </w:tc>
                <w:tc>
                  <w:tcPr>
                    <w:tcW w:w="350" w:type="dxa"/>
                    <w:tcBorders>
                      <w:top w:val="nil"/>
                      <w:left w:val="nil"/>
                      <w:bottom w:val="nil"/>
                      <w:right w:val="nil"/>
                    </w:tcBorders>
                  </w:tcPr>
                  <w:p w14:paraId="3E26F769" w14:textId="77777777">
                    <w:pPr>
                      <w:jc w:val="both"/>
                      <w:rPr>
                        <w:szCs w:val="24"/>
                        <w:lang w:eastAsia="lt-LT"/>
                      </w:rPr>
                    </w:pPr>
                  </w:p>
                </w:tc>
                <w:tc>
                  <w:tcPr>
                    <w:tcW w:w="2614" w:type="dxa"/>
                    <w:gridSpan w:val="2"/>
                    <w:tcBorders>
                      <w:top w:val="nil"/>
                      <w:left w:val="nil"/>
                      <w:bottom w:val="nil"/>
                      <w:right w:val="nil"/>
                    </w:tcBorders>
                  </w:tcPr>
                  <w:p w14:paraId="77EE5CAB" w14:textId="77777777">
                    <w:pPr>
                      <w:jc w:val="both"/>
                      <w:rPr>
                        <w:szCs w:val="24"/>
                        <w:lang w:eastAsia="lt-LT"/>
                      </w:rPr>
                    </w:pPr>
                  </w:p>
                </w:tc>
                <w:tc>
                  <w:tcPr>
                    <w:tcW w:w="239" w:type="dxa"/>
                    <w:gridSpan w:val="2"/>
                    <w:tcBorders>
                      <w:top w:val="nil"/>
                      <w:left w:val="nil"/>
                      <w:bottom w:val="nil"/>
                      <w:right w:val="nil"/>
                    </w:tcBorders>
                  </w:tcPr>
                  <w:p w14:paraId="0E66110C" w14:textId="77777777">
                    <w:pPr>
                      <w:jc w:val="both"/>
                      <w:rPr>
                        <w:szCs w:val="24"/>
                        <w:lang w:eastAsia="lt-LT"/>
                      </w:rPr>
                    </w:pPr>
                  </w:p>
                </w:tc>
                <w:tc>
                  <w:tcPr>
                    <w:tcW w:w="3899" w:type="dxa"/>
                    <w:tcBorders>
                      <w:top w:val="nil"/>
                      <w:left w:val="nil"/>
                      <w:bottom w:val="nil"/>
                      <w:right w:val="nil"/>
                    </w:tcBorders>
                  </w:tcPr>
                  <w:p w14:paraId="7CA8B5D3" w14:textId="77777777">
                    <w:pPr>
                      <w:jc w:val="both"/>
                      <w:rPr>
                        <w:szCs w:val="24"/>
                        <w:lang w:eastAsia="lt-LT"/>
                      </w:rPr>
                    </w:pPr>
                  </w:p>
                </w:tc>
              </w:tr>
            </w:tbl>
            <w:p w14:paraId="6241F03E" w14:textId="77777777">
              <w:pPr>
                <w:ind w:firstLine="720"/>
                <w:jc w:val="both"/>
                <w:rPr>
                  <w:sz w:val="22"/>
                  <w:szCs w:val="22"/>
                  <w:lang w:eastAsia="lt-LT"/>
                </w:rPr>
              </w:pP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626450D" w14:textId="77777777">
      <w:pPr>
        <w:rPr>
          <w:szCs w:val="24"/>
          <w:lang w:eastAsia="lt-LT"/>
        </w:rPr>
      </w:pPr>
      <w:r>
        <w:rPr>
          <w:szCs w:val="24"/>
          <w:lang w:eastAsia="lt-LT"/>
        </w:rPr>
        <w:separator/>
      </w:r>
    </w:p>
  </w:endnote>
  <w:endnote w:type="continuationSeparator" w:id="0">
    <w:p w14:paraId="255F85AD"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181C77" w14:textId="77777777">
    <w:pPr>
      <w:tabs>
        <w:tab w:val="center" w:pos="4986"/>
        <w:tab w:val="right" w:pos="9972"/>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7B4B32" w14:textId="77777777">
    <w:pPr>
      <w:tabs>
        <w:tab w:val="center" w:pos="4986"/>
        <w:tab w:val="right" w:pos="9972"/>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E2A92A" w14:textId="77777777">
    <w:pPr>
      <w:tabs>
        <w:tab w:val="center" w:pos="4986"/>
        <w:tab w:val="right" w:pos="9972"/>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2B066CF" w14:textId="77777777">
      <w:pPr>
        <w:rPr>
          <w:szCs w:val="24"/>
          <w:lang w:eastAsia="lt-LT"/>
        </w:rPr>
      </w:pPr>
      <w:r>
        <w:rPr>
          <w:szCs w:val="24"/>
          <w:lang w:eastAsia="lt-LT"/>
        </w:rPr>
        <w:separator/>
      </w:r>
    </w:p>
  </w:footnote>
  <w:footnote w:type="continuationSeparator" w:id="0">
    <w:p w14:paraId="0CB303A8"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A36E23" w14:textId="77777777">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269442" w14:textId="77777777">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4</w:t>
    </w:r>
    <w:r>
      <w:rPr>
        <w:szCs w:val="24"/>
        <w:lang w:eastAsia="lt-LT"/>
      </w:rPr>
      <w:fldChar w:fldCharType="end"/>
    </w:r>
  </w:p>
  <w:p w14:paraId="30126532" w14:textId="77777777">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D0FF86" w14:textId="77777777">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drawingGridHorizontalSpacing w:val="12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0E9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84A025F"/>
  <w14:defaultImageDpi w14:val="0"/>
  <w15:docId w15:val="{88CC0D6B-3583-412A-96F0-69FFD1D6FF0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1340566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5cbe178b44049ca92212a646df04dac" PartId="72bbfb51546f474a98b0a44bf674e541">
    <Part Type="preambule" DocPartId="2367d32e95d94610addff8f732dea4bf" PartId="0b39eae272014ab985f735d6291e0a8c"/>
    <Part Type="punktas" Nr="1" Abbr="1 p." DocPartId="4878e5a2ed4d43ec9bf9a43149e293b3" PartId="eb7ed5536d3a41b8902d0ab6a1fd6ad8"/>
    <Part Type="punktas" Nr="2" Abbr="2 p." DocPartId="9b7817c0b4ff45a8b196ae99755df819" PartId="9e2083b4eac6461db25998c8ff562d83"/>
    <Part Type="punktas" Nr="3" Abbr="3 p." DocPartId="fdc13a30d2354219a1f0893099db3c75" PartId="927aa50589ca48289df8d1bc923d8144"/>
    <Part Type="punktas" Nr="4" Abbr="4 p." DocPartId="a997026e7eea4ac4a85bc4058d97be4f" PartId="0e9e3623ac954e0ba1352f16624dd883"/>
    <Part Type="punktas" Nr="5" Abbr="5 p." DocPartId="d108becc2a624c58a8ba9bc4e239c9ff" PartId="0f73a8a864bf4e7184be155a02219ea4"/>
    <Part Type="punktas" Nr="6" Abbr="6 p." DocPartId="c666b4abcc304ae08194f5fd21615c94" PartId="294306d963bc4b59a4ad8b161355ef21"/>
    <Part Type="punktas" Nr="7" Abbr="7 p." DocPartId="8eefc2015ff94a888f88bef900ec3078" PartId="ee9346366e4646ef81fa7251890d7292"/>
    <Part Type="punktas" Nr="8" Abbr="8 p." DocPartId="65f97adedce547a0aa40df827aa223df" PartId="6b72f7c3825f427bb705dfef2f2f2c4b"/>
    <Part Type="punktas" Nr="9" Abbr="9 p." DocPartId="e85c14635bf84e6eb57dde4f07f32f6f" PartId="8f03ff9b29084495bf2335a5de84d735">
      <Part Type="papunktis" Nr="9.1" Abbr="9.1 pp." DocPartId="4facb390be994c06b5d34a90836912cd" PartId="abfb919fc8cb402db9ddc62fb302ae09"/>
      <Part Type="papunktis" Nr="9.2" Abbr="9.2 pp." DocPartId="fdd2dc19f74a4c9c88229396addddf01" PartId="2813f7f736a3479088eca9ccf46a620b"/>
    </Part>
    <Part Type="punktas" Nr="10" Abbr="10 p." DocPartId="0ac799558b934a3ca111ebe886f60138" PartId="ebacb3d0eb29494ea1aa0e5621bd4dc4"/>
    <Part Type="punktas" Nr="11" Abbr="11 p." DocPartId="bfeb0959214246d393d538f0c00a3e41" PartId="5fbb0e7286194e9b9897d870270b869b"/>
    <Part Type="punktas" Nr="12" Abbr="12 p." DocPartId="02f27fdb449540b4b51533b61ee85f4e" PartId="8f3c17d5336b428a988eaec6f13ce371"/>
    <Part Type="punktas" Nr="13" Abbr="13 p." DocPartId="0087726ac8844b50aba1ac836e8b5187" PartId="d9525f3aa84c4e44b08d5bc76d4be605">
      <Part Type="papunktis" Nr="13.1" Abbr="13.1 pp." DocPartId="ca314244016544648e7d8b66039a1243" PartId="54a66e468be04d00bde137bce82fc913"/>
      <Part Type="papunktis" Nr="13.2" Abbr="13.2 pp." DocPartId="ab286676203e43a48215affd898226f1" PartId="c9db2974c14648a88e9784bbf97fa063"/>
    </Part>
    <Part Type="punktas" Nr="14" Abbr="14 p." DocPartId="b44167d86f1d4a60b7bfbde657a496e0" PartId="e6f83c9c706045178459801cc3778871"/>
    <Part Type="punktas" Nr="15" Abbr="15 p." DocPartId="56d31a9dc80f4aaf9d52d4616fcc9d1b" PartId="0de4fc8e25ba4e53ba24f462eeac636c"/>
    <Part Type="punktas" Nr="16" Abbr="16 p." DocPartId="0f2ca190b2664cffaaf40ae93cf13077" PartId="276aa56d1f4d466dbf8a32298b037e8e"/>
    <Part Type="punktas" Nr="17" Abbr="17 p." DocPartId="8be32b7ef03a4caabffe1f305f2ba5f1" PartId="56e662f679704aeaa4951ffab77db0b3"/>
    <Part Type="punktas" Nr="18" Abbr="18 p." DocPartId="333d76f45fea429d8ffc81d37745b8a9" PartId="46822e80c09f4f43aefff610db54de87"/>
    <Part Type="punktas" Nr="19" Abbr="19 p." DocPartId="9f25bb02aef24067953d4a1d9310fc87" PartId="d0cd047906b44fc68fc4154fae93a0f0"/>
    <Part Type="punktas" Nr="20" Abbr="20 p." DocPartId="f5b8ff18432c4f489cbb1598c1a7f48a" PartId="2f7d85859a8d43a191dc0866ed1513da"/>
    <Part Type="punktas" Nr="21" Abbr="21 p." DocPartId="80fb4e53d4854d2bac3494e392c90504" PartId="b496bc8af8034588b2a7f12783e269aa">
      <Part Type="papunktis" Nr="21.1" Abbr="21.1 pp." DocPartId="40cc60e27dca41e2a65d5c21a4f78ea5" PartId="143c2191a3ca4a0c84eb30a95622aaa6"/>
      <Part Type="papunktis" Nr="21.2" Abbr="21.2 pp." DocPartId="17f3735767d64b33837124268db86a19" PartId="bc460ede0f844399a40b5827fb66aeb9"/>
      <Part Type="papunktis" Nr="21.3" Abbr="21.3 pp." DocPartId="33fb7e60ca4840c9b46d36dd72856382" PartId="0005c1850622425897a878da32815dda"/>
      <Part Type="papunktis" Nr="21.4" Abbr="21.4 pp." DocPartId="c52513013b124bb6a98122ce9096423f" PartId="458929bf94c54352bdf770f06b53f794"/>
      <Part Type="papunktis" Nr="21.5" Abbr="21.5 pp." DocPartId="b2213171195e420c80522ae9fda063bd" PartId="f9112aac524d44feb6187a8502658628"/>
      <Part Type="papunktis" Nr="21.6" Abbr="21.6 pp." DocPartId="a9a386496aa646428d516fa5de615e62" PartId="1d8229e69c544a63bb0d7e052e0722fa"/>
      <Part Type="papunktis" Nr="21.7" Abbr="21.7 pp." DocPartId="6f34ea54470f4dcc98bcf1a6ebd4e037" PartId="b169abe3e85948b095cac69c02b54102"/>
      <Part Type="papunktis" Nr="21.8" Abbr="21.8 pp." DocPartId="c65249adfd11417fbf080eb1888bb72e" PartId="fcf29a0fc42f43e4889ea3a5d3d6f641"/>
      <Part Type="papunktis" Nr="21.9" Abbr="21.9 pp." DocPartId="5a544438c8594262ada02c7f9eccf21f" PartId="f9488a0507d9421db12ed7f270a3f283"/>
    </Part>
    <Part Type="punktas" Nr="22" Abbr="22 p." DocPartId="f0ac98d60d9844e9ac4c41ee5dd42ecf" PartId="9220e304e2f4446ea50331fdd193296c"/>
    <Part Type="punktas" Nr="23" Abbr="23 p." DocPartId="f1c4c72ac7cb465bacb9ea54f1ac534d" PartId="8f945ae8e8d048609d642937545c461a"/>
    <Part Type="punktas" Nr="24" Abbr="24 p." DocPartId="e9bc43fb89c84fc6894b231d9dc749d8" PartId="12f4efd90154448aafe4474fa86a18d7"/>
    <Part Type="punktas" Nr="25" Abbr="25 p." DocPartId="5b8b0ae15284414b830fda041282f697" PartId="37e7ebaef1b3450eb4db89a76430db19"/>
    <Part Type="punktas" Nr="26" Abbr="26 p." DocPartId="a52e1212b125423bb5a19907dfbb1190" PartId="b7b8cb1b9eb5428d9b5e3d98e2b22904"/>
  </Part>
</Parts>
</file>

<file path=customXml/itemProps1.xml><?xml version="1.0" encoding="utf-8"?>
<ds:datastoreItem xmlns:ds="http://schemas.openxmlformats.org/officeDocument/2006/customXml" ds:itemID="{168C0E3A-202E-47D3-9EEF-280BCC83645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1646</Words>
  <Characters>11441</Characters>
  <Application>Microsoft Office Word</Application>
  <DocSecurity>4</DocSecurity>
  <Lines>233</Lines>
  <Paragraphs>68</Paragraphs>
  <ScaleCrop>false</ScaleCrop>
  <Company>Nameliai &amp; CO</Company>
  <LinksUpToDate>false</LinksUpToDate>
  <CharactersWithSpaces>13019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2025-07-09T11:45:00Z</dcterms:created>
  <dc:creator>Stepas Žutautas</dc:creator>
  <lastModifiedBy>adlibuser</lastModifiedBy>
  <lastPrinted>2025-06-17T07:26:00Z</lastPrinted>
  <dcterms:modified xsi:type="dcterms:W3CDTF">2025-07-09T11:45:00Z</dcterms:modified>
  <revision>2</revision>
  <dc:title>999999999</dc:title>
</coreProperties>
</file>