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6b5f03aa1d247169d16661e18b3850d"/>
        <w:lock w:val="sdtLocked"/>
        <w:richText/>
      </w:sdtPr>
      <w:sdtContent>
        <w:p>
          <w:pPr>
            <w:tabs>
              <w:tab w:val="center" w:pos="4819"/>
              <w:tab w:val="right" w:pos="9638"/>
            </w:tabs>
            <w:rPr>
              <w:szCs w:val="24"/>
            </w:rPr>
          </w:pPr>
        </w:p>
        <w:p>
          <w:pPr>
            <w:jc w:val="center"/>
            <w:rPr>
              <w:b/>
              <w:szCs w:val="24"/>
            </w:rPr>
          </w:pPr>
          <w:r>
            <w:rPr>
              <w:b/>
              <w:szCs w:val="24"/>
            </w:rPr>
            <w:t>AIŠKINAMASIS RAŠTAS</w:t>
          </w:r>
        </w:p>
        <w:p>
          <w:pPr>
            <w:jc w:val="center"/>
            <w:rPr>
              <w:b/>
              <w:caps/>
              <w:szCs w:val="24"/>
            </w:rPr>
          </w:pPr>
        </w:p>
        <w:p>
          <w:pPr>
            <w:jc w:val="center"/>
            <w:rPr>
              <w:b/>
              <w:caps/>
              <w:szCs w:val="24"/>
            </w:rPr>
          </w:pPr>
          <w:r>
            <w:rPr>
              <w:b/>
              <w:caps/>
              <w:szCs w:val="24"/>
            </w:rPr>
            <w:t>DĖL LIETUVOS RESPUBLIKOS VALSTYBINIŲ PENSIJŲ ĮSTATYMO NR. I-730 5 STRAIPSNIo PAKEITIMO ĮSTATYMO PROJEKTO</w:t>
          </w:r>
        </w:p>
        <w:p>
          <w:pPr>
            <w:spacing w:line="276" w:lineRule="auto"/>
            <w:ind w:firstLine="851"/>
            <w:jc w:val="both"/>
            <w:rPr>
              <w:b/>
              <w:bCs/>
              <w:color w:val="000000"/>
              <w:spacing w:val="-9"/>
              <w:szCs w:val="24"/>
            </w:rPr>
          </w:pPr>
        </w:p>
        <w:sdt>
          <w:sdtPr>
            <w:alias w:val="1 p."/>
            <w:tag w:val="part_a5d0635eb3754bbdb783025b4430060b"/>
            <w:lock w:val="sdtLocked"/>
            <w:richText/>
          </w:sdtPr>
          <w:sdtContent>
            <w:p>
              <w:pPr>
                <w:spacing w:line="276" w:lineRule="auto"/>
                <w:ind w:firstLine="851"/>
                <w:jc w:val="both"/>
                <w:rPr>
                  <w:b/>
                  <w:bCs/>
                  <w:color w:val="000000"/>
                  <w:szCs w:val="24"/>
                </w:rPr>
              </w:pPr>
              <w:sdt>
                <w:sdtPr>
                  <w:alias w:val="Numeris"/>
                  <w:tag w:val="nr_a5d0635eb3754bbdb783025b4430060b"/>
                  <w:lock w:val="sdtLocked"/>
                  <w:richText/>
                </w:sdtPr>
                <w:sdtContent>
                  <w:r>
                    <w:rPr>
                      <w:b/>
                      <w:bCs/>
                      <w:color w:val="000000"/>
                      <w:spacing w:val="-9"/>
                      <w:szCs w:val="24"/>
                    </w:rPr>
                    <w:t>1</w:t>
                  </w:r>
                </w:sdtContent>
              </w:sdt>
              <w:r>
                <w:rPr>
                  <w:b/>
                  <w:bCs/>
                  <w:color w:val="000000"/>
                  <w:spacing w:val="-9"/>
                  <w:szCs w:val="24"/>
                </w:rPr>
                <w:t>.</w:t>
              </w:r>
              <w:r>
                <w:rPr>
                  <w:b/>
                  <w:bCs/>
                  <w:color w:val="000000"/>
                  <w:szCs w:val="24"/>
                </w:rPr>
                <w:t xml:space="preserve"> Įstatymo projekto rengimą paskatinusios priežastys, parengto projekto tikslai ir uždaviniai.</w:t>
              </w:r>
            </w:p>
            <w:p>
              <w:pPr>
                <w:spacing w:line="276" w:lineRule="auto"/>
                <w:ind w:firstLine="851"/>
                <w:jc w:val="both"/>
                <w:rPr>
                  <w:i/>
                  <w:color w:val="000000"/>
                  <w:szCs w:val="24"/>
                </w:rPr>
              </w:pPr>
              <w:r>
                <w:rPr>
                  <w:i/>
                  <w:color w:val="000000"/>
                  <w:szCs w:val="24"/>
                </w:rPr>
                <w:t xml:space="preserve">Lietuvos Respublikos valstybinių pensijų įstatymo Nr. I-730  5 straipsnio pakeitimo įstatymo projekto rengimą paskatinusios priežastys:</w:t>
              </w:r>
            </w:p>
            <w:p>
              <w:pPr>
                <w:spacing w:line="276" w:lineRule="auto"/>
                <w:ind w:firstLine="851"/>
                <w:jc w:val="both"/>
                <w:rPr>
                  <w:color w:val="000000"/>
                  <w:szCs w:val="24"/>
                </w:rPr>
              </w:pPr>
              <w:r>
                <w:rPr>
                  <w:color w:val="000000"/>
                  <w:szCs w:val="24"/>
                </w:rPr>
                <w:t xml:space="preserve">2021 m. Seimas priėmė Laisvės gynėjo teisinio statuso įstatymą, kuriame numatyta, jog šis statusas suteikiamas asmenims, kurie nuo 1990-ųjų kovo 11-osios iki 1991-ųjų rugpjūčio 21-osios aktyviai dalyvavo atkuriant Lietuvos valstybingumą ar šalinant grėsmę jos valstybingumui bei teritoriniam vientisumui, įvairiomis nesmurtinio pasipriešinimo formomis priešinosi agresyviems SSRS ekonominiams ar kariniams veiksmams, saugojo ar gynė valstybės sieną, kitus valstybinės svarbos objektus, kūrė krašto apsaugos struktūras, muitines, padėjo atkurti Lietuvos Respublikos valstybingumą, tarnaudamas Aukščiausiosios Tarybos Apsaugos skyriuje, Krašto apsaugos departamente ir jo struktūriniuose padaliniuose, Pasienio apsaugos tarnyboje, Savanoriškoje krašto apsaugos tarnyboje, Valstybės saugumo departamente, Lietuvos policijoje, Šaulių sąjungoje. </w:t>
              </w:r>
            </w:p>
            <w:p>
              <w:pPr>
                <w:spacing w:line="276" w:lineRule="auto"/>
                <w:ind w:firstLine="851"/>
                <w:jc w:val="both"/>
                <w:rPr>
                  <w:color w:val="000000"/>
                  <w:szCs w:val="24"/>
                </w:rPr>
              </w:pPr>
              <w:r>
                <w:rPr>
                  <w:color w:val="000000"/>
                  <w:szCs w:val="24"/>
                </w:rPr>
                <w:t xml:space="preserve">Laisvės gynėjo statusas yra tam tikras garbės ženklas, valstybės padėka gynėjams. Laisvės gynėjo statusą patvirtina išduotas atitinkamas pažymėjimas. </w:t>
              </w:r>
            </w:p>
            <w:p>
              <w:pPr>
                <w:spacing w:line="276" w:lineRule="auto"/>
                <w:ind w:firstLine="851"/>
                <w:jc w:val="both"/>
                <w:rPr>
                  <w:color w:val="000000"/>
                  <w:szCs w:val="24"/>
                </w:rPr>
              </w:pPr>
              <w:r>
                <w:rPr>
                  <w:color w:val="000000"/>
                  <w:szCs w:val="24"/>
                </w:rPr>
                <w:t>Skirtingai nuo 2003 metais priimto Lietuvos nepriklausomybės akto signatarų ir Lietuvos laisvės kovos sąjūdžio tarybos 1949 m. vasario 16 d. deklaraciją pasirašiusių asmenų statuso įstatymo Nr. IX-1789, Laisvės gynėjo teisinio statuso įstatymas asmenims, kuriems nustatyta tvarka yra pripažintas laisvės gynėjo teisinis statusas, jokių socialinių garantijų nenumato, nors šie asmenys yra verti, kad būtų pagerbti ne tik jiems skiriant garbės ženklus ar organizuojant šventes ir renginius.</w:t>
              </w:r>
            </w:p>
            <w:p>
              <w:pPr>
                <w:spacing w:line="276" w:lineRule="auto"/>
                <w:ind w:firstLine="851"/>
                <w:jc w:val="both"/>
                <w:rPr>
                  <w:i/>
                  <w:color w:val="000000"/>
                  <w:szCs w:val="24"/>
                </w:rPr>
              </w:pPr>
              <w:r>
                <w:rPr>
                  <w:color w:val="000000"/>
                  <w:szCs w:val="24"/>
                </w:rPr>
                <w:t>Kaip liudija vieno laisvės gynėjo, tuo laikotarpiu tarnavusio Savanoriškoje krašto apsaugos tarnyboje, išpažintis „...</w:t>
              </w:r>
              <w:r>
                <w:rPr>
                  <w:i/>
                  <w:color w:val="000000"/>
                  <w:szCs w:val="24"/>
                </w:rPr>
                <w:t xml:space="preserve">Turėjom labai ribotą ginkluotę, labai mažai amunicijos, realiai savanoriai savo lėšomis ginklavosi (pirkome ginklus iš sovietinių dalinių iš medžiotojų,  kolekcionierių), vėliau buvo net bylų neva neteisėtai įsigijome ginklus (nors nebuvo per du metus nei vieno incidento apie ginklų panaudojimą) ... Pabrėžiu savanoriai jau vien per pirmus nepriklausomybės metus po du kartus neteko pragyvenimo šaltinių - darbų, pirma, kai ėjo savanoriauti, ir antra, po keistų reorganizacijų, buvo priversti įsijungti į darbo rinka tais 1990 metais, kai griuvo nuo TSRS likusi pramonė, kolūkiai, buvo labai sunkus išbandymas bedarbiams aplamai. Savanorių  už tai, kad jie buvo SKAT, nepriiminėjo niekur (oficialiai apie tai buvo tylima). Žmonės, aukoję savo sveikatą, kai kas net šeimomis (juk ne paslaptis, kad buvo ir visokių giminaičių, kurie dėl baimės būti išvežtam į Sibirą kaip pokary, atsisakė ir net  išsižadėjo jų, paliko, atstūmė). Taip buvo ir tokių, aš tai žinau… Buvo nusivylusių, kad jų niekas negina, man žinoma nemažai faktų apie šeimų skyrybas,  susietų su pasiaukojimu neapmokamu darbu Lietuvai, juk savanoriai mirties akivaizdoje už apmokymus iki atėjus sovietiniam karininkams už tarnybą negaudavo nieko. Tik pažymėjimas garantavo nemokamą pravažiavimą į apmokymus…, Realiai po reorganizacijų savanoriai patys paliko SKAT- dirbo, bet kokius darbus, stovėjo turguose, jiems nepriskaičiuoti darbiniai stažai, dinge jų bylos, priesaikos ...“ </w:t>
              </w:r>
              <w:r>
                <w:rPr>
                  <w:color w:val="000000"/>
                  <w:szCs w:val="24"/>
                </w:rPr>
                <w:t>– tokie asmenys yra nemažai paaukoję ir iškentėję.</w:t>
              </w:r>
            </w:p>
            <w:p>
              <w:pPr>
                <w:spacing w:line="276" w:lineRule="auto"/>
                <w:ind w:firstLine="851"/>
                <w:jc w:val="both"/>
                <w:rPr>
                  <w:color w:val="000000"/>
                  <w:szCs w:val="24"/>
                </w:rPr>
              </w:pPr>
              <w:r>
                <w:rPr>
                  <w:i/>
                  <w:color w:val="000000"/>
                  <w:szCs w:val="24"/>
                </w:rPr>
                <w:t>Įstatymo projekto tikslas</w:t>
              </w:r>
              <w:r>
                <w:rPr>
                  <w:color w:val="000000"/>
                  <w:szCs w:val="24"/>
                </w:rPr>
                <w:t xml:space="preserve"> – sudaryti teisines prielaidas, kad asmenims, kuriems įstatymo nustatyta tvarka yra pripažintas laisvės gynėjo teisinis statusas, teisės aktų nustatyta tvarka būtų skiriama ir mokama valstybinė pirmojo laipsnio pensija.</w:t>
              </w:r>
            </w:p>
            <w:p>
              <w:pPr>
                <w:spacing w:line="276" w:lineRule="auto"/>
                <w:ind w:firstLine="851"/>
                <w:jc w:val="both"/>
                <w:rPr>
                  <w:b/>
                  <w:bCs/>
                  <w:color w:val="000000"/>
                  <w:spacing w:val="-9"/>
                  <w:szCs w:val="24"/>
                </w:rPr>
              </w:pPr>
            </w:p>
          </w:sdtContent>
        </w:sdt>
        <w:sdt>
          <w:sdtPr>
            <w:alias w:val="2 p."/>
            <w:tag w:val="part_339ac27577834bd0a64fd3398cee65a2"/>
            <w:lock w:val="sdtLocked"/>
            <w:richText/>
          </w:sdtPr>
          <w:sdtContent>
            <w:p>
              <w:pPr>
                <w:spacing w:line="276" w:lineRule="auto"/>
                <w:ind w:firstLine="851"/>
                <w:jc w:val="both"/>
                <w:rPr>
                  <w:b/>
                  <w:bCs/>
                  <w:color w:val="000000"/>
                  <w:szCs w:val="24"/>
                </w:rPr>
              </w:pPr>
              <w:sdt>
                <w:sdtPr>
                  <w:alias w:val="Numeris"/>
                  <w:tag w:val="nr_339ac27577834bd0a64fd3398cee65a2"/>
                  <w:lock w:val="sdtLocked"/>
                  <w:richText/>
                </w:sdtPr>
                <w:sdtContent>
                  <w:r>
                    <w:rPr>
                      <w:b/>
                      <w:bCs/>
                      <w:color w:val="000000"/>
                      <w:spacing w:val="-9"/>
                      <w:szCs w:val="24"/>
                    </w:rPr>
                    <w:t>2</w:t>
                  </w:r>
                </w:sdtContent>
              </w:sdt>
              <w:r>
                <w:rPr>
                  <w:b/>
                  <w:bCs/>
                  <w:color w:val="000000"/>
                  <w:spacing w:val="-9"/>
                  <w:szCs w:val="24"/>
                </w:rPr>
                <w:t>.</w:t>
              </w:r>
              <w:r>
                <w:rPr>
                  <w:b/>
                  <w:bCs/>
                  <w:color w:val="000000"/>
                  <w:szCs w:val="24"/>
                </w:rPr>
                <w:t xml:space="preserve"> </w:t>
              </w:r>
              <w:r>
                <w:rPr>
                  <w:b/>
                  <w:color w:val="000000"/>
                  <w:szCs w:val="24"/>
                </w:rPr>
                <w:t>Įstatymo projekto iniciatoriai (institucija, asmenys ar piliečių įgalioti atstovai) ir rengėjai.</w:t>
              </w:r>
              <w:r>
                <w:rPr>
                  <w:b/>
                  <w:bCs/>
                  <w:color w:val="000000"/>
                  <w:szCs w:val="24"/>
                </w:rPr>
                <w:t xml:space="preserve"> </w:t>
              </w:r>
            </w:p>
            <w:p>
              <w:pPr>
                <w:spacing w:line="276" w:lineRule="auto"/>
                <w:ind w:firstLine="913"/>
                <w:jc w:val="both"/>
                <w:rPr>
                  <w:color w:val="000000"/>
                  <w:szCs w:val="24"/>
                </w:rPr>
              </w:pPr>
              <w:r>
                <w:rPr>
                  <w:color w:val="000000"/>
                  <w:szCs w:val="24"/>
                </w:rPr>
                <w:t>Lietuvos Respublikos Seimo narys Kęstutis Vilkauskas.</w:t>
              </w:r>
            </w:p>
            <w:p>
              <w:pPr>
                <w:rPr>
                  <w:sz w:val="20"/>
                </w:rPr>
              </w:pPr>
            </w:p>
          </w:sdtContent>
        </w:sdt>
        <w:sdt>
          <w:sdtPr>
            <w:alias w:val="3 p."/>
            <w:tag w:val="part_014c8349bddc4f54940c331cbfe847a9"/>
            <w:lock w:val="sdtLocked"/>
            <w:richText/>
          </w:sdtPr>
          <w:sdtContent>
            <w:p>
              <w:pPr>
                <w:spacing w:line="276" w:lineRule="auto"/>
                <w:ind w:firstLine="851"/>
                <w:jc w:val="both"/>
                <w:rPr>
                  <w:b/>
                  <w:bCs/>
                  <w:color w:val="000000"/>
                  <w:spacing w:val="-1"/>
                  <w:szCs w:val="24"/>
                </w:rPr>
              </w:pPr>
              <w:sdt>
                <w:sdtPr>
                  <w:alias w:val="Numeris"/>
                  <w:tag w:val="nr_014c8349bddc4f54940c331cbfe847a9"/>
                  <w:lock w:val="sdtLocked"/>
                  <w:richText/>
                </w:sdtPr>
                <w:sdtContent>
                  <w:r>
                    <w:rPr>
                      <w:b/>
                      <w:bCs/>
                      <w:color w:val="000000"/>
                      <w:spacing w:val="-9"/>
                      <w:szCs w:val="24"/>
                    </w:rPr>
                    <w:t>3</w:t>
                  </w:r>
                </w:sdtContent>
              </w:sdt>
              <w:r>
                <w:rPr>
                  <w:b/>
                  <w:bCs/>
                  <w:color w:val="000000"/>
                  <w:spacing w:val="-9"/>
                  <w:szCs w:val="24"/>
                </w:rPr>
                <w:t>.</w:t>
              </w:r>
              <w:r>
                <w:rPr>
                  <w:b/>
                  <w:bCs/>
                  <w:color w:val="000000"/>
                  <w:szCs w:val="24"/>
                </w:rPr>
                <w:t xml:space="preserve"> </w:t>
              </w:r>
              <w:r>
                <w:rPr>
                  <w:b/>
                  <w:color w:val="000000"/>
                  <w:szCs w:val="24"/>
                </w:rPr>
                <w:t>Kaip šiuo metu yra reguliuojami įstatymo projekte aptarti teisiniai santykiai.</w:t>
              </w:r>
              <w:r>
                <w:rPr>
                  <w:b/>
                  <w:bCs/>
                  <w:color w:val="000000"/>
                  <w:spacing w:val="-1"/>
                  <w:szCs w:val="24"/>
                </w:rPr>
                <w:t xml:space="preserve"> </w:t>
              </w:r>
            </w:p>
            <w:p>
              <w:pPr>
                <w:spacing w:line="276" w:lineRule="auto"/>
                <w:ind w:firstLine="851"/>
                <w:jc w:val="both"/>
                <w:rPr>
                  <w:color w:val="000000"/>
                  <w:szCs w:val="24"/>
                </w:rPr>
              </w:pPr>
              <w:r>
                <w:rPr>
                  <w:color w:val="000000"/>
                  <w:szCs w:val="24"/>
                </w:rPr>
                <w:t>Lietuvos Respublikos valstybinių pensijų įstatyme Nr. I-730 nėra nuostatų, kurių pagrindu asmenims, kuriems įstatymo nustatyta tvarka yra pripažintas laisvės gynėjo teisinis statusas, būtų skiriama ir mokama valstybinė pirmojo laipsnio pensija.</w:t>
              </w:r>
            </w:p>
            <w:p>
              <w:pPr>
                <w:spacing w:line="276" w:lineRule="auto"/>
                <w:ind w:firstLine="851"/>
                <w:jc w:val="both"/>
                <w:rPr>
                  <w:color w:val="000000"/>
                  <w:szCs w:val="24"/>
                </w:rPr>
              </w:pPr>
            </w:p>
          </w:sdtContent>
        </w:sdt>
        <w:sdt>
          <w:sdtPr>
            <w:alias w:val="4 p."/>
            <w:tag w:val="part_88f71c2edee545479a1910e05e903558"/>
            <w:lock w:val="sdtLocked"/>
            <w:richText/>
          </w:sdtPr>
          <w:sdtContent>
            <w:p>
              <w:pPr>
                <w:spacing w:line="276" w:lineRule="auto"/>
                <w:ind w:firstLine="851"/>
                <w:jc w:val="both"/>
                <w:rPr>
                  <w:b/>
                  <w:bCs/>
                  <w:color w:val="000000"/>
                  <w:szCs w:val="24"/>
                </w:rPr>
              </w:pPr>
              <w:sdt>
                <w:sdtPr>
                  <w:alias w:val="Numeris"/>
                  <w:tag w:val="nr_88f71c2edee545479a1910e05e903558"/>
                  <w:lock w:val="sdtLocked"/>
                  <w:richText/>
                </w:sdtPr>
                <w:sdtContent>
                  <w:r>
                    <w:rPr>
                      <w:b/>
                      <w:bCs/>
                      <w:color w:val="000000"/>
                      <w:szCs w:val="24"/>
                    </w:rPr>
                    <w:t>4</w:t>
                  </w:r>
                </w:sdtContent>
              </w:sdt>
              <w:r>
                <w:rPr>
                  <w:b/>
                  <w:bCs/>
                  <w:color w:val="000000"/>
                  <w:szCs w:val="24"/>
                </w:rPr>
                <w:t>.</w:t>
              </w:r>
              <w:r>
                <w:rPr>
                  <w:bCs/>
                  <w:color w:val="000000"/>
                  <w:szCs w:val="24"/>
                </w:rPr>
                <w:t xml:space="preserve"> </w:t>
              </w:r>
              <w:r>
                <w:rPr>
                  <w:b/>
                  <w:color w:val="000000"/>
                  <w:szCs w:val="24"/>
                </w:rPr>
                <w:t>Kokios siūlomos naujos teisinio reguliavimo nuostatos ir kokių teigiamų rezultatų laukiama.</w:t>
              </w:r>
              <w:r>
                <w:rPr>
                  <w:b/>
                  <w:bCs/>
                  <w:color w:val="000000"/>
                  <w:spacing w:val="-2"/>
                  <w:szCs w:val="24"/>
                </w:rPr>
                <w:t xml:space="preserve"> </w:t>
              </w:r>
            </w:p>
            <w:p>
              <w:pPr>
                <w:spacing w:line="276" w:lineRule="auto"/>
                <w:ind w:firstLine="851"/>
                <w:jc w:val="both"/>
                <w:rPr>
                  <w:color w:val="000000"/>
                  <w:szCs w:val="24"/>
                </w:rPr>
              </w:pPr>
              <w:r>
                <w:rPr>
                  <w:color w:val="000000"/>
                  <w:szCs w:val="24"/>
                </w:rPr>
                <w:t>Įstatymo projektu siūloma pakeisti Valstybinių pensijų įstatymo Nr. I-730 5 straipsnį ir nustatyti, kad teisę gauti pirmojo laipsnio valstybinę pensiją turi ir asmenys, kuriems įstatymo nustatyta tvarka yra pripažintas laisvės gynėjo teisinis statusas.</w:t>
              </w:r>
            </w:p>
            <w:p>
              <w:pPr>
                <w:spacing w:line="276" w:lineRule="auto"/>
                <w:ind w:firstLine="851"/>
                <w:jc w:val="both"/>
                <w:rPr>
                  <w:color w:val="000000"/>
                  <w:szCs w:val="24"/>
                </w:rPr>
              </w:pPr>
            </w:p>
          </w:sdtContent>
        </w:sdt>
        <w:sdt>
          <w:sdtPr>
            <w:alias w:val="5 p."/>
            <w:tag w:val="part_89732ea4822a47a3917edfc46935e97d"/>
            <w:lock w:val="sdtLocked"/>
            <w:richText/>
          </w:sdtPr>
          <w:sdtContent>
            <w:p>
              <w:pPr>
                <w:spacing w:line="276" w:lineRule="auto"/>
                <w:ind w:firstLine="851"/>
                <w:jc w:val="both"/>
                <w:rPr>
                  <w:b/>
                  <w:bCs/>
                  <w:color w:val="000000"/>
                  <w:szCs w:val="24"/>
                </w:rPr>
              </w:pPr>
              <w:sdt>
                <w:sdtPr>
                  <w:alias w:val="Numeris"/>
                  <w:tag w:val="nr_89732ea4822a47a3917edfc46935e97d"/>
                  <w:lock w:val="sdtLocked"/>
                  <w:richText/>
                </w:sdtPr>
                <w:sdtContent>
                  <w:r>
                    <w:rPr>
                      <w:b/>
                      <w:bCs/>
                      <w:color w:val="000000"/>
                      <w:spacing w:val="-11"/>
                      <w:szCs w:val="24"/>
                    </w:rPr>
                    <w:t>5</w:t>
                  </w:r>
                </w:sdtContent>
              </w:sdt>
              <w:r>
                <w:rPr>
                  <w:b/>
                  <w:bCs/>
                  <w:color w:val="000000"/>
                  <w:spacing w:val="-11"/>
                  <w:szCs w:val="24"/>
                </w:rPr>
                <w:t xml:space="preserve">. </w:t>
              </w:r>
              <w:r>
                <w:rPr>
                  <w:b/>
                  <w:color w:val="000000"/>
                  <w:szCs w:val="24"/>
                </w:rPr>
                <w:t>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r>
                <w:rPr>
                  <w:color w:val="000000"/>
                  <w:sz w:val="22"/>
                  <w:szCs w:val="22"/>
                </w:rPr>
                <w:t xml:space="preserve"> </w:t>
              </w:r>
            </w:p>
            <w:p>
              <w:pPr>
                <w:spacing w:line="276" w:lineRule="auto"/>
                <w:ind w:firstLine="851"/>
                <w:jc w:val="both"/>
                <w:rPr>
                  <w:color w:val="000000"/>
                  <w:szCs w:val="24"/>
                  <w:lang w:eastAsia="lt-LT"/>
                </w:rPr>
              </w:pPr>
              <w:r>
                <w:rPr>
                  <w:color w:val="000000"/>
                  <w:szCs w:val="24"/>
                  <w:lang w:eastAsia="lt-LT"/>
                </w:rPr>
                <w:t>Neigiamų pasekmių nenumatoma.</w:t>
              </w:r>
            </w:p>
            <w:p>
              <w:pPr>
                <w:spacing w:line="276" w:lineRule="auto"/>
                <w:ind w:firstLine="851"/>
                <w:jc w:val="both"/>
                <w:rPr>
                  <w:color w:val="000000"/>
                  <w:szCs w:val="24"/>
                  <w:lang w:eastAsia="lt-LT"/>
                </w:rPr>
              </w:pPr>
            </w:p>
          </w:sdtContent>
        </w:sdt>
        <w:sdt>
          <w:sdtPr>
            <w:alias w:val="6 p."/>
            <w:tag w:val="part_4cae2a536e3f45a9a5ba905d2e0615c9"/>
            <w:lock w:val="sdtLocked"/>
            <w:richText/>
          </w:sdtPr>
          <w:sdtContent>
            <w:p>
              <w:pPr>
                <w:spacing w:line="276" w:lineRule="auto"/>
                <w:ind w:firstLine="851"/>
                <w:jc w:val="both"/>
                <w:rPr>
                  <w:b/>
                  <w:bCs/>
                  <w:color w:val="000000"/>
                  <w:spacing w:val="-1"/>
                  <w:szCs w:val="24"/>
                </w:rPr>
              </w:pPr>
              <w:sdt>
                <w:sdtPr>
                  <w:alias w:val="Numeris"/>
                  <w:tag w:val="nr_4cae2a536e3f45a9a5ba905d2e0615c9"/>
                  <w:lock w:val="sdtLocked"/>
                  <w:richText/>
                </w:sdtPr>
                <w:sdtContent>
                  <w:r>
                    <w:rPr>
                      <w:b/>
                      <w:color w:val="000000"/>
                      <w:szCs w:val="24"/>
                    </w:rPr>
                    <w:t>6</w:t>
                  </w:r>
                </w:sdtContent>
              </w:sdt>
              <w:r>
                <w:rPr>
                  <w:b/>
                  <w:color w:val="000000"/>
                  <w:szCs w:val="24"/>
                </w:rPr>
                <w:t>.</w:t>
              </w:r>
              <w:r>
                <w:rPr>
                  <w:color w:val="000000"/>
                  <w:szCs w:val="24"/>
                </w:rPr>
                <w:t xml:space="preserve"> </w:t>
              </w:r>
              <w:r>
                <w:rPr>
                  <w:b/>
                  <w:color w:val="000000"/>
                  <w:szCs w:val="24"/>
                </w:rPr>
                <w:t>Kokią įtaką priimtas įstatymas turės kriminogeninei situacijai, korupcijai.</w:t>
              </w:r>
              <w:r>
                <w:rPr>
                  <w:b/>
                  <w:bCs/>
                  <w:color w:val="000000"/>
                  <w:spacing w:val="-1"/>
                  <w:szCs w:val="24"/>
                </w:rPr>
                <w:t xml:space="preserve"> </w:t>
              </w:r>
            </w:p>
            <w:p>
              <w:pPr>
                <w:spacing w:line="276" w:lineRule="auto"/>
                <w:ind w:firstLine="851"/>
                <w:jc w:val="both"/>
                <w:rPr>
                  <w:color w:val="000000"/>
                  <w:szCs w:val="24"/>
                </w:rPr>
              </w:pPr>
              <w:r>
                <w:rPr>
                  <w:color w:val="000000"/>
                  <w:szCs w:val="24"/>
                </w:rPr>
                <w:t>Įstatymų projektai įtakos korupcijai neturės.</w:t>
              </w:r>
            </w:p>
            <w:p>
              <w:pPr>
                <w:spacing w:line="276" w:lineRule="auto"/>
                <w:ind w:firstLine="851"/>
                <w:jc w:val="both"/>
                <w:rPr>
                  <w:color w:val="000000"/>
                  <w:szCs w:val="24"/>
                </w:rPr>
              </w:pPr>
            </w:p>
          </w:sdtContent>
        </w:sdt>
        <w:sdt>
          <w:sdtPr>
            <w:alias w:val="7 p."/>
            <w:tag w:val="part_b2fae07511a641ec8c70f6487f285a92"/>
            <w:lock w:val="sdtLocked"/>
            <w:richText/>
          </w:sdtPr>
          <w:sdtContent>
            <w:p>
              <w:pPr>
                <w:spacing w:line="276" w:lineRule="auto"/>
                <w:ind w:firstLine="851"/>
                <w:jc w:val="both"/>
                <w:rPr>
                  <w:color w:val="000000"/>
                  <w:szCs w:val="24"/>
                </w:rPr>
              </w:pPr>
              <w:sdt>
                <w:sdtPr>
                  <w:alias w:val="Numeris"/>
                  <w:tag w:val="nr_b2fae07511a641ec8c70f6487f285a92"/>
                  <w:lock w:val="sdtLocked"/>
                  <w:richText/>
                </w:sdtPr>
                <w:sdtContent>
                  <w:r>
                    <w:rPr>
                      <w:b/>
                      <w:bCs/>
                      <w:color w:val="000000"/>
                      <w:spacing w:val="-11"/>
                      <w:szCs w:val="24"/>
                    </w:rPr>
                    <w:t>7</w:t>
                  </w:r>
                </w:sdtContent>
              </w:sdt>
              <w:r>
                <w:rPr>
                  <w:b/>
                  <w:bCs/>
                  <w:color w:val="000000"/>
                  <w:spacing w:val="-11"/>
                  <w:szCs w:val="24"/>
                </w:rPr>
                <w:t>.</w:t>
              </w:r>
              <w:r>
                <w:rPr>
                  <w:b/>
                  <w:bCs/>
                  <w:color w:val="000000"/>
                  <w:szCs w:val="24"/>
                </w:rPr>
                <w:t xml:space="preserve"> Kaip įstatymo įgyvendinimas atsilieps verslo sąlygoms ir plėtrai.</w:t>
              </w:r>
            </w:p>
            <w:p>
              <w:pPr>
                <w:spacing w:line="276" w:lineRule="auto"/>
                <w:ind w:firstLine="851"/>
                <w:jc w:val="both"/>
                <w:rPr>
                  <w:color w:val="000000"/>
                  <w:szCs w:val="24"/>
                </w:rPr>
              </w:pPr>
              <w:r>
                <w:rPr>
                  <w:color w:val="000000"/>
                  <w:szCs w:val="24"/>
                </w:rPr>
                <w:t xml:space="preserve">Įstatymų projektai neturės įtakos verslo sąlygoms ir plėtrai. </w:t>
              </w:r>
            </w:p>
            <w:p>
              <w:pPr>
                <w:rPr>
                  <w:sz w:val="20"/>
                </w:rPr>
              </w:pPr>
            </w:p>
          </w:sdtContent>
        </w:sdt>
        <w:sdt>
          <w:sdtPr>
            <w:alias w:val="8 p."/>
            <w:tag w:val="part_4c4efeea373b44eba37cdfee452431a0"/>
            <w:lock w:val="sdtLocked"/>
            <w:richText/>
          </w:sdtPr>
          <w:sdtContent>
            <w:p>
              <w:pPr>
                <w:spacing w:line="276" w:lineRule="auto"/>
                <w:ind w:firstLine="851"/>
                <w:jc w:val="both"/>
                <w:rPr>
                  <w:b/>
                  <w:bCs/>
                  <w:szCs w:val="24"/>
                </w:rPr>
              </w:pPr>
              <w:sdt>
                <w:sdtPr>
                  <w:alias w:val="Numeris"/>
                  <w:tag w:val="nr_4c4efeea373b44eba37cdfee452431a0"/>
                  <w:lock w:val="sdtLocked"/>
                  <w:richText/>
                </w:sdtPr>
                <w:sdtContent>
                  <w:r>
                    <w:rPr>
                      <w:b/>
                      <w:bCs/>
                      <w:szCs w:val="24"/>
                    </w:rPr>
                    <w:t>8</w:t>
                  </w:r>
                </w:sdtContent>
              </w:sdt>
              <w:r>
                <w:rPr>
                  <w:b/>
                  <w:bCs/>
                  <w:szCs w:val="24"/>
                </w:rPr>
                <w:t>.</w:t>
              </w:r>
              <w:r>
                <w:rPr>
                  <w:bCs/>
                  <w:szCs w:val="24"/>
                </w:rPr>
                <w:t xml:space="preserve"> </w:t>
              </w:r>
              <w:r>
                <w:rPr>
                  <w:b/>
                  <w:bCs/>
                  <w:szCs w:val="24"/>
                </w:rPr>
                <w:t>Ar įstatymų projektai neprieštarauja strateginio lygmens planavimo dokumentams</w:t>
              </w:r>
            </w:p>
            <w:p>
              <w:pPr>
                <w:spacing w:line="276" w:lineRule="auto"/>
                <w:ind w:firstLine="851"/>
                <w:jc w:val="both"/>
                <w:rPr>
                  <w:bCs/>
                  <w:szCs w:val="24"/>
                </w:rPr>
              </w:pPr>
              <w:r>
                <w:rPr>
                  <w:bCs/>
                  <w:szCs w:val="24"/>
                </w:rPr>
                <w:t>Įstatymų projektais siūlomos nuostatos neprieštarauja strateginio lygmens planavimo dokumentams.</w:t>
              </w:r>
            </w:p>
            <w:p>
              <w:pPr>
                <w:spacing w:line="276" w:lineRule="auto"/>
                <w:ind w:firstLine="851"/>
                <w:jc w:val="both"/>
                <w:rPr>
                  <w:szCs w:val="24"/>
                </w:rPr>
              </w:pPr>
            </w:p>
          </w:sdtContent>
        </w:sdt>
        <w:sdt>
          <w:sdtPr>
            <w:alias w:val="9 p."/>
            <w:tag w:val="part_04bf48974bb942fabd3a5dc43e532f45"/>
            <w:lock w:val="sdtLocked"/>
            <w:richText/>
          </w:sdtPr>
          <w:sdtContent>
            <w:p>
              <w:pPr>
                <w:spacing w:line="276" w:lineRule="auto"/>
                <w:ind w:firstLine="851"/>
                <w:jc w:val="both"/>
                <w:rPr>
                  <w:b/>
                  <w:bCs/>
                  <w:color w:val="000000"/>
                  <w:szCs w:val="24"/>
                </w:rPr>
              </w:pPr>
              <w:sdt>
                <w:sdtPr>
                  <w:alias w:val="Numeris"/>
                  <w:tag w:val="nr_04bf48974bb942fabd3a5dc43e532f45"/>
                  <w:lock w:val="sdtLocked"/>
                  <w:richText/>
                </w:sdtPr>
                <w:sdtContent>
                  <w:r>
                    <w:rPr>
                      <w:b/>
                      <w:bCs/>
                      <w:color w:val="000000"/>
                      <w:spacing w:val="-9"/>
                      <w:szCs w:val="24"/>
                    </w:rPr>
                    <w:t>9</w:t>
                  </w:r>
                </w:sdtContent>
              </w:sdt>
              <w:r>
                <w:rPr>
                  <w:b/>
                  <w:bCs/>
                  <w:color w:val="000000"/>
                  <w:spacing w:val="-9"/>
                  <w:szCs w:val="24"/>
                </w:rPr>
                <w:t>.</w:t>
              </w:r>
              <w:r>
                <w:rPr>
                  <w:b/>
                  <w:bCs/>
                  <w:color w:val="000000"/>
                  <w:szCs w:val="24"/>
                </w:rPr>
                <w:t xml:space="preserve"> </w:t>
              </w:r>
              <w:r>
                <w:rPr>
                  <w:b/>
                  <w:color w:val="000000"/>
                  <w:szCs w:val="24"/>
                </w:rPr>
                <w:t>Įstatymo inkorporavimas į teisinę sistemą, kokius teisės aktus būtina priimti, kokius galiojančius teisės aktus reikia pakeisti ar pripažinti netekusiais galios.</w:t>
              </w:r>
              <w:r>
                <w:rPr>
                  <w:b/>
                  <w:bCs/>
                  <w:color w:val="000000"/>
                  <w:szCs w:val="24"/>
                </w:rPr>
                <w:t xml:space="preserve"> </w:t>
              </w:r>
            </w:p>
            <w:p>
              <w:pPr>
                <w:spacing w:line="276" w:lineRule="auto"/>
                <w:ind w:firstLine="851"/>
                <w:jc w:val="both"/>
                <w:rPr>
                  <w:bCs/>
                  <w:color w:val="000000"/>
                  <w:spacing w:val="-9"/>
                  <w:szCs w:val="24"/>
                </w:rPr>
              </w:pPr>
              <w:r>
                <w:rPr>
                  <w:bCs/>
                  <w:color w:val="000000"/>
                  <w:spacing w:val="-9"/>
                  <w:szCs w:val="24"/>
                </w:rPr>
                <w:t xml:space="preserve">Priėmus įstatymus reikės pakeisti Lietuvos Respublikos pirmojo ir antrojo laipsnių valstybinių pensijų skyrimo ir mokėjimo nuostatus, kuriuos nutarimu tvirtina Lietuvos Respublikos Vyriausybė. </w:t>
              </w:r>
            </w:p>
            <w:p>
              <w:pPr>
                <w:spacing w:line="360" w:lineRule="auto"/>
                <w:ind w:firstLine="851"/>
                <w:jc w:val="both"/>
                <w:rPr>
                  <w:bCs/>
                  <w:color w:val="000000"/>
                  <w:spacing w:val="-9"/>
                  <w:szCs w:val="24"/>
                </w:rPr>
              </w:pPr>
            </w:p>
          </w:sdtContent>
        </w:sdt>
        <w:sdt>
          <w:sdtPr>
            <w:alias w:val="10 p."/>
            <w:tag w:val="part_4b72802eb0bb41af9923d4ae840eebf4"/>
            <w:lock w:val="sdtLocked"/>
            <w:richText/>
          </w:sdtPr>
          <w:sdtContent>
            <w:p>
              <w:pPr>
                <w:spacing w:line="276" w:lineRule="auto"/>
                <w:ind w:firstLine="851"/>
                <w:jc w:val="both"/>
                <w:rPr>
                  <w:bCs/>
                  <w:color w:val="000000"/>
                  <w:szCs w:val="24"/>
                </w:rPr>
              </w:pPr>
              <w:sdt>
                <w:sdtPr>
                  <w:alias w:val="Numeris"/>
                  <w:tag w:val="nr_4b72802eb0bb41af9923d4ae840eebf4"/>
                  <w:lock w:val="sdtLocked"/>
                  <w:richText/>
                </w:sdtPr>
                <w:sdtContent>
                  <w:r>
                    <w:rPr>
                      <w:b/>
                      <w:bCs/>
                      <w:color w:val="000000"/>
                      <w:spacing w:val="-9"/>
                      <w:szCs w:val="24"/>
                    </w:rPr>
                    <w:t>10</w:t>
                  </w:r>
                </w:sdtContent>
              </w:sdt>
              <w:r>
                <w:rPr>
                  <w:b/>
                  <w:bCs/>
                  <w:color w:val="000000"/>
                  <w:spacing w:val="-9"/>
                  <w:szCs w:val="24"/>
                </w:rPr>
                <w:t>.</w:t>
              </w:r>
              <w:r>
                <w:rPr>
                  <w:b/>
                  <w:bCs/>
                  <w:color w:val="000000"/>
                  <w:szCs w:val="24"/>
                </w:rPr>
                <w:t xml:space="preserve"> </w:t>
              </w:r>
              <w:r>
                <w:rPr>
                  <w:b/>
                  <w:color w:val="000000"/>
                  <w:szCs w:val="24"/>
                </w:rPr>
                <w:t>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r>
                <w:rPr>
                  <w:bCs/>
                  <w:color w:val="000000"/>
                  <w:szCs w:val="24"/>
                </w:rPr>
                <w:t xml:space="preserve"> </w:t>
              </w:r>
            </w:p>
            <w:p>
              <w:pPr>
                <w:spacing w:line="276" w:lineRule="auto"/>
                <w:ind w:firstLine="851"/>
                <w:jc w:val="both"/>
                <w:rPr>
                  <w:color w:val="000000"/>
                  <w:szCs w:val="24"/>
                </w:rPr>
              </w:pPr>
              <w:r>
                <w:rPr>
                  <w:color w:val="000000"/>
                  <w:szCs w:val="24"/>
                </w:rPr>
                <w:t xml:space="preserve">Įstatymų projektai parengti laikantis Lietuvos Respublikos valstybinės kalbos įstatymo bei Lietuvos Respublikos įstatymų ir kitų teisės norminių aktų rengimo tvarkos įstatymo reikalavimų ir atitinka bendrinės lietuvių kalbos normas. </w:t>
              </w:r>
            </w:p>
            <w:p>
              <w:pPr>
                <w:spacing w:line="276" w:lineRule="auto"/>
                <w:ind w:firstLine="851"/>
                <w:jc w:val="both"/>
                <w:rPr>
                  <w:b/>
                  <w:bCs/>
                  <w:color w:val="000000"/>
                  <w:szCs w:val="24"/>
                </w:rPr>
              </w:pPr>
            </w:p>
          </w:sdtContent>
        </w:sdt>
        <w:sdt>
          <w:sdtPr>
            <w:alias w:val="11 p."/>
            <w:tag w:val="part_3e07775405654869b5c5af4981298c29"/>
            <w:lock w:val="sdtLocked"/>
            <w:richText/>
          </w:sdtPr>
          <w:sdtContent>
            <w:p>
              <w:pPr>
                <w:spacing w:line="276" w:lineRule="auto"/>
                <w:ind w:firstLine="851"/>
                <w:jc w:val="both"/>
                <w:rPr>
                  <w:b/>
                  <w:bCs/>
                  <w:color w:val="000000"/>
                  <w:szCs w:val="24"/>
                </w:rPr>
              </w:pPr>
              <w:sdt>
                <w:sdtPr>
                  <w:alias w:val="Numeris"/>
                  <w:tag w:val="nr_3e07775405654869b5c5af4981298c29"/>
                  <w:lock w:val="sdtLocked"/>
                  <w:richText/>
                </w:sdtPr>
                <w:sdtContent>
                  <w:r>
                    <w:rPr>
                      <w:b/>
                      <w:bCs/>
                      <w:color w:val="000000"/>
                      <w:szCs w:val="24"/>
                    </w:rPr>
                    <w:t>11</w:t>
                  </w:r>
                </w:sdtContent>
              </w:sdt>
              <w:r>
                <w:rPr>
                  <w:b/>
                  <w:bCs/>
                  <w:color w:val="000000"/>
                  <w:szCs w:val="24"/>
                </w:rPr>
                <w:t xml:space="preserve">. </w:t>
              </w:r>
              <w:r>
                <w:rPr>
                  <w:b/>
                  <w:color w:val="000000"/>
                  <w:szCs w:val="24"/>
                </w:rPr>
                <w:t>Ar įstatymo projektas atitinka Žmogaus teisių ir pagrindinių laisvių apsaugos konvencijos nuostatas ir Europos Sąjungos dokumentus.</w:t>
              </w:r>
              <w:r>
                <w:rPr>
                  <w:b/>
                  <w:bCs/>
                  <w:color w:val="000000"/>
                  <w:szCs w:val="24"/>
                </w:rPr>
                <w:t xml:space="preserve"> </w:t>
              </w:r>
            </w:p>
            <w:p>
              <w:pPr>
                <w:spacing w:line="276" w:lineRule="auto"/>
                <w:ind w:firstLine="851"/>
                <w:jc w:val="both"/>
                <w:rPr>
                  <w:color w:val="000000"/>
                  <w:szCs w:val="24"/>
                </w:rPr>
              </w:pPr>
              <w:r>
                <w:rPr>
                  <w:bCs/>
                  <w:color w:val="000000"/>
                  <w:szCs w:val="24"/>
                </w:rPr>
                <w:t>Įstatymų</w:t>
              </w:r>
              <w:r>
                <w:rPr>
                  <w:color w:val="000000"/>
                  <w:szCs w:val="24"/>
                </w:rPr>
                <w:t xml:space="preserve"> projektai atitinka Europos žmogaus teisių ir pagrindinių laisvių apsaugos konvenciją bei Europos Sąjungos dokumentus.</w:t>
              </w:r>
            </w:p>
            <w:p>
              <w:pPr>
                <w:spacing w:line="276" w:lineRule="auto"/>
                <w:ind w:firstLine="851"/>
                <w:jc w:val="both"/>
                <w:rPr>
                  <w:color w:val="000000"/>
                  <w:szCs w:val="24"/>
                </w:rPr>
              </w:pPr>
            </w:p>
          </w:sdtContent>
        </w:sdt>
        <w:sdt>
          <w:sdtPr>
            <w:alias w:val="12 p."/>
            <w:tag w:val="part_4cf1b9c39a304114be2d651f84451797"/>
            <w:lock w:val="sdtLocked"/>
            <w:richText/>
          </w:sdtPr>
          <w:sdtContent>
            <w:p>
              <w:pPr>
                <w:spacing w:line="276" w:lineRule="auto"/>
                <w:ind w:firstLine="851"/>
                <w:jc w:val="both"/>
                <w:rPr>
                  <w:b/>
                  <w:color w:val="000000"/>
                  <w:szCs w:val="24"/>
                </w:rPr>
              </w:pPr>
              <w:sdt>
                <w:sdtPr>
                  <w:alias w:val="Numeris"/>
                  <w:tag w:val="nr_4cf1b9c39a304114be2d651f84451797"/>
                  <w:lock w:val="sdtLocked"/>
                  <w:richText/>
                </w:sdtPr>
                <w:sdtContent>
                  <w:r>
                    <w:rPr>
                      <w:b/>
                      <w:color w:val="000000"/>
                      <w:spacing w:val="-8"/>
                      <w:szCs w:val="24"/>
                    </w:rPr>
                    <w:t>12</w:t>
                  </w:r>
                </w:sdtContent>
              </w:sdt>
              <w:r>
                <w:rPr>
                  <w:b/>
                  <w:color w:val="000000"/>
                  <w:spacing w:val="-8"/>
                  <w:szCs w:val="24"/>
                </w:rPr>
                <w:t>.</w:t>
              </w:r>
              <w:r>
                <w:rPr>
                  <w:b/>
                  <w:color w:val="000000"/>
                  <w:szCs w:val="24"/>
                </w:rPr>
                <w:t xml:space="preserve"> Jeigu įstatymui įgyvendinti reikia įstatymo lydimųjų aktų, – kas ir kada juos turėtų parengti, šių aktų metmenys.</w:t>
              </w:r>
            </w:p>
            <w:p>
              <w:pPr>
                <w:spacing w:line="276" w:lineRule="auto"/>
                <w:ind w:firstLine="851"/>
                <w:jc w:val="both"/>
                <w:rPr>
                  <w:bCs/>
                  <w:color w:val="000000"/>
                  <w:szCs w:val="24"/>
                </w:rPr>
              </w:pPr>
              <w:r>
                <w:rPr>
                  <w:bCs/>
                  <w:color w:val="000000"/>
                  <w:szCs w:val="24"/>
                </w:rPr>
                <w:t xml:space="preserve">Lietuvos Respublikos Vyriausybės įgaliota valstybės institucija turės parengti, o Lietuvos Respublikos Vyriausybė iki 2025 m. birželio 30 d. turės patvirtinti Lietuvos Respublikos pirmojo ir antrojo laipsnių valstybinių pensijų skyrimo ir mokėjimo nuostatų pakeitimus. </w:t>
              </w:r>
            </w:p>
            <w:p>
              <w:pPr>
                <w:spacing w:line="276" w:lineRule="auto"/>
                <w:ind w:firstLine="851"/>
                <w:jc w:val="both"/>
                <w:rPr>
                  <w:bCs/>
                  <w:color w:val="000000"/>
                  <w:szCs w:val="24"/>
                </w:rPr>
              </w:pPr>
            </w:p>
          </w:sdtContent>
        </w:sdt>
        <w:sdt>
          <w:sdtPr>
            <w:alias w:val="13 p."/>
            <w:tag w:val="part_f097644e58c5413aa6d8824568ffb9c1"/>
            <w:lock w:val="sdtLocked"/>
            <w:richText/>
          </w:sdtPr>
          <w:sdtContent>
            <w:p>
              <w:pPr>
                <w:spacing w:line="276" w:lineRule="auto"/>
                <w:ind w:firstLine="851"/>
                <w:jc w:val="both"/>
                <w:rPr>
                  <w:b/>
                  <w:bCs/>
                  <w:color w:val="000000"/>
                  <w:szCs w:val="24"/>
                </w:rPr>
              </w:pPr>
              <w:sdt>
                <w:sdtPr>
                  <w:alias w:val="Numeris"/>
                  <w:tag w:val="nr_f097644e58c5413aa6d8824568ffb9c1"/>
                  <w:lock w:val="sdtLocked"/>
                  <w:richText/>
                </w:sdtPr>
                <w:sdtContent>
                  <w:r>
                    <w:rPr>
                      <w:b/>
                      <w:bCs/>
                      <w:color w:val="000000"/>
                      <w:szCs w:val="24"/>
                    </w:rPr>
                    <w:t>13</w:t>
                  </w:r>
                </w:sdtContent>
              </w:sdt>
              <w:r>
                <w:rPr>
                  <w:b/>
                  <w:bCs/>
                  <w:color w:val="000000"/>
                  <w:szCs w:val="24"/>
                </w:rPr>
                <w:t xml:space="preserve">. </w:t>
              </w:r>
              <w:r>
                <w:rPr>
                  <w:b/>
                  <w:color w:val="000000"/>
                  <w:szCs w:val="24"/>
                </w:rPr>
                <w:t>Kiek valstybės, savivaldybių biudžetų ir kitų valstybės įsteigtų fondų lėšų prireiks įstatymui įgyvendinti, ar bus galima sutaupyti (pateikiami prognozuojami rodikliai einamaisiais ir artimiausiais 3 biudžetiniais metais).</w:t>
              </w:r>
              <w:r>
                <w:rPr>
                  <w:color w:val="000000"/>
                  <w:sz w:val="22"/>
                  <w:szCs w:val="22"/>
                </w:rPr>
                <w:t xml:space="preserve"> </w:t>
              </w:r>
            </w:p>
            <w:p>
              <w:pPr>
                <w:spacing w:line="276" w:lineRule="auto"/>
                <w:ind w:firstLine="851"/>
                <w:jc w:val="both"/>
                <w:rPr>
                  <w:color w:val="000000"/>
                  <w:szCs w:val="24"/>
                </w:rPr>
              </w:pPr>
              <w:r>
                <w:rPr>
                  <w:color w:val="000000"/>
                  <w:szCs w:val="24"/>
                </w:rPr>
                <w:t>Teikiamų įstatymų projektų nuostatoms įgyvendinti iš 2025 metų valstybės biudžeto reikės skirti asignavimus, kurių apimtis bus pagrįstai apskaičiuota, tikslinant 2025 metų valstybės ir savivaldybių biudžetų finansinių rodiklių įstatymo projektą. Preliminarus asignavimų poreikis – iki 500 tūkst. eurų vieneriems metams.</w:t>
              </w:r>
            </w:p>
            <w:p>
              <w:pPr>
                <w:spacing w:line="276" w:lineRule="auto"/>
                <w:ind w:firstLine="913"/>
                <w:jc w:val="both"/>
                <w:rPr>
                  <w:b/>
                  <w:bCs/>
                  <w:color w:val="000000"/>
                  <w:sz w:val="20"/>
                </w:rPr>
              </w:pPr>
            </w:p>
          </w:sdtContent>
        </w:sdt>
        <w:sdt>
          <w:sdtPr>
            <w:alias w:val="14 p."/>
            <w:tag w:val="part_47c885f7d7274abba71507ebcfe753c1"/>
            <w:lock w:val="sdtLocked"/>
            <w:richText/>
          </w:sdtPr>
          <w:sdtContent>
            <w:p>
              <w:pPr>
                <w:spacing w:line="276" w:lineRule="auto"/>
                <w:ind w:firstLine="851"/>
                <w:jc w:val="both"/>
                <w:rPr>
                  <w:b/>
                  <w:bCs/>
                  <w:color w:val="000000"/>
                  <w:szCs w:val="24"/>
                </w:rPr>
              </w:pPr>
              <w:sdt>
                <w:sdtPr>
                  <w:alias w:val="Numeris"/>
                  <w:tag w:val="nr_47c885f7d7274abba71507ebcfe753c1"/>
                  <w:lock w:val="sdtLocked"/>
                  <w:richText/>
                </w:sdtPr>
                <w:sdtContent>
                  <w:r>
                    <w:rPr>
                      <w:b/>
                      <w:bCs/>
                      <w:color w:val="000000"/>
                      <w:szCs w:val="24"/>
                    </w:rPr>
                    <w:t>14</w:t>
                  </w:r>
                </w:sdtContent>
              </w:sdt>
              <w:r>
                <w:rPr>
                  <w:b/>
                  <w:bCs/>
                  <w:color w:val="000000"/>
                  <w:szCs w:val="24"/>
                </w:rPr>
                <w:t>. Įstatymo projekto rengimo metu gauti specialistų vertinimai ir išvados.</w:t>
              </w:r>
            </w:p>
            <w:p>
              <w:pPr>
                <w:spacing w:line="276" w:lineRule="auto"/>
                <w:ind w:firstLine="851"/>
                <w:jc w:val="both"/>
                <w:rPr>
                  <w:bCs/>
                  <w:color w:val="000000"/>
                  <w:szCs w:val="24"/>
                </w:rPr>
              </w:pPr>
              <w:r>
                <w:rPr>
                  <w:bCs/>
                  <w:color w:val="000000"/>
                  <w:szCs w:val="24"/>
                </w:rPr>
                <w:t>Specialistų vertinimų ir išvadų Įstatymo projekto rengimo metu negauta.</w:t>
              </w:r>
            </w:p>
            <w:p>
              <w:pPr>
                <w:rPr>
                  <w:sz w:val="20"/>
                </w:rPr>
              </w:pPr>
            </w:p>
          </w:sdtContent>
        </w:sdt>
        <w:sdt>
          <w:sdtPr>
            <w:alias w:val="15 p."/>
            <w:tag w:val="part_b971c1078160488f804bd3d5cd150610"/>
            <w:lock w:val="sdtLocked"/>
            <w:richText/>
          </w:sdtPr>
          <w:sdtContent>
            <w:p>
              <w:pPr>
                <w:spacing w:line="276" w:lineRule="auto"/>
                <w:ind w:firstLine="851"/>
                <w:jc w:val="both"/>
                <w:rPr>
                  <w:b/>
                  <w:bCs/>
                  <w:color w:val="000000"/>
                  <w:szCs w:val="24"/>
                </w:rPr>
              </w:pPr>
              <w:sdt>
                <w:sdtPr>
                  <w:alias w:val="Numeris"/>
                  <w:tag w:val="nr_b971c1078160488f804bd3d5cd150610"/>
                  <w:lock w:val="sdtLocked"/>
                  <w:richText/>
                </w:sdtPr>
                <w:sdtContent>
                  <w:r>
                    <w:rPr>
                      <w:b/>
                      <w:bCs/>
                      <w:color w:val="000000"/>
                      <w:szCs w:val="24"/>
                    </w:rPr>
                    <w:t>15</w:t>
                  </w:r>
                </w:sdtContent>
              </w:sdt>
              <w:r>
                <w:rPr>
                  <w:b/>
                  <w:bCs/>
                  <w:color w:val="000000"/>
                  <w:szCs w:val="24"/>
                </w:rPr>
                <w:t>. Reikšminiai žodžiai, kurių reikia šiam projektui įtraukti į kompiuterinę paieškos sistemą, įskaitant Europos žodyno „Eurovoc“ terminus, temas bei sritis</w:t>
              </w:r>
            </w:p>
            <w:p>
              <w:pPr>
                <w:shd w:val="clear" w:color="auto" w:fill="FFFFFF"/>
                <w:spacing w:line="276" w:lineRule="auto"/>
                <w:ind w:firstLine="851"/>
                <w:jc w:val="both"/>
                <w:rPr>
                  <w:color w:val="000000"/>
                  <w:szCs w:val="24"/>
                </w:rPr>
              </w:pPr>
              <w:r>
                <w:rPr>
                  <w:color w:val="000000"/>
                  <w:szCs w:val="24"/>
                </w:rPr>
                <w:t>Nėra.</w:t>
              </w:r>
            </w:p>
            <w:p>
              <w:pPr>
                <w:shd w:val="clear" w:color="auto" w:fill="FFFFFF"/>
                <w:spacing w:line="360" w:lineRule="auto"/>
                <w:ind w:firstLine="851"/>
                <w:jc w:val="both"/>
                <w:rPr>
                  <w:color w:val="000000"/>
                  <w:szCs w:val="24"/>
                </w:rPr>
              </w:pPr>
            </w:p>
          </w:sdtContent>
        </w:sdt>
        <w:sdt>
          <w:sdtPr>
            <w:alias w:val="16 p."/>
            <w:tag w:val="part_a4bffe546c1c48ed9dfd1f9778b8ca56"/>
            <w:lock w:val="sdtLocked"/>
            <w:richText/>
          </w:sdtPr>
          <w:sdtContent>
            <w:p>
              <w:pPr>
                <w:shd w:val="clear" w:color="auto" w:fill="FFFFFF"/>
                <w:spacing w:line="360" w:lineRule="auto"/>
                <w:ind w:firstLine="851"/>
                <w:jc w:val="both"/>
                <w:rPr>
                  <w:b/>
                  <w:bCs/>
                  <w:color w:val="000000"/>
                  <w:spacing w:val="-1"/>
                  <w:szCs w:val="24"/>
                </w:rPr>
              </w:pPr>
              <w:sdt>
                <w:sdtPr>
                  <w:alias w:val="Numeris"/>
                  <w:tag w:val="nr_a4bffe546c1c48ed9dfd1f9778b8ca56"/>
                  <w:lock w:val="sdtLocked"/>
                  <w:richText/>
                </w:sdtPr>
                <w:sdtContent>
                  <w:r>
                    <w:rPr>
                      <w:b/>
                      <w:bCs/>
                      <w:color w:val="000000"/>
                      <w:szCs w:val="24"/>
                    </w:rPr>
                    <w:t>16</w:t>
                  </w:r>
                </w:sdtContent>
              </w:sdt>
              <w:r>
                <w:rPr>
                  <w:b/>
                  <w:bCs/>
                  <w:color w:val="000000"/>
                  <w:szCs w:val="24"/>
                </w:rPr>
                <w:t>.</w:t>
              </w:r>
              <w:r>
                <w:rPr>
                  <w:b/>
                  <w:bCs/>
                  <w:color w:val="000000"/>
                  <w:spacing w:val="-1"/>
                  <w:szCs w:val="24"/>
                </w:rPr>
                <w:t xml:space="preserve"> Kiti, iniciatorių nuomone, reikalingi pagrindimai ir paaiškinimai.</w:t>
              </w:r>
            </w:p>
            <w:p>
              <w:pPr>
                <w:spacing w:line="360" w:lineRule="auto"/>
                <w:ind w:firstLine="851"/>
                <w:jc w:val="both"/>
                <w:rPr>
                  <w:bCs/>
                  <w:color w:val="000000"/>
                  <w:szCs w:val="24"/>
                </w:rPr>
              </w:pPr>
              <w:r>
                <w:rPr>
                  <w:bCs/>
                  <w:color w:val="000000"/>
                  <w:szCs w:val="24"/>
                </w:rPr>
                <w:t>Nėra.</w:t>
              </w:r>
            </w:p>
            <w:p>
              <w:pPr>
                <w:rPr>
                  <w:sz w:val="20"/>
                </w:rPr>
              </w:pPr>
            </w:p>
          </w:sdtContent>
        </w:sdt>
        <w:sdt>
          <w:sdtPr>
            <w:alias w:val="signatura"/>
            <w:tag w:val="part_d7a9290e2a5d44fba6f43e4e182ccc4b"/>
            <w:lock w:val="sdtLocked"/>
            <w:richText/>
          </w:sdtPr>
          <w:sdtContent>
            <w:p>
              <w:pPr>
                <w:spacing w:line="360" w:lineRule="auto"/>
                <w:rPr>
                  <w:szCs w:val="24"/>
                  <w:lang w:eastAsia="lt-LT"/>
                </w:rPr>
              </w:pPr>
              <w:r>
                <w:rPr>
                  <w:szCs w:val="24"/>
                  <w:lang w:eastAsia="lt-LT"/>
                </w:rPr>
                <w:t xml:space="preserve">Teikia: </w:t>
              </w:r>
            </w:p>
            <w:p>
              <w:pPr>
                <w:spacing w:line="360" w:lineRule="auto"/>
                <w:rPr>
                  <w:color w:val="000000"/>
                  <w:szCs w:val="24"/>
                </w:rPr>
              </w:pPr>
              <w:r>
                <w:rPr>
                  <w:szCs w:val="24"/>
                  <w:lang w:eastAsia="lt-LT"/>
                </w:rPr>
                <w:t>Seimo narys</w:t>
                <w:tab/>
                <w:tab/>
                <w:tab/>
                <w:tab/>
                <w:tab/>
                <w:t>Kęstutis Vilkauskas</w:t>
                <w:tab/>
              </w:r>
            </w:p>
            <w:p>
              <w:pPr>
                <w:spacing w:line="360" w:lineRule="auto"/>
                <w:jc w:val="center"/>
                <w:rPr>
                  <w:szCs w:val="24"/>
                </w:rPr>
              </w:pPr>
              <w:r>
                <w:rPr>
                  <w:szCs w:val="24"/>
                </w:rPr>
                <w:t>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9" w:h="16834" w:code="9"/>
      <w:pgMar w:top="1134" w:right="567" w:bottom="709" w:left="1701" w:header="570"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panose1 w:val="00000000000000000000"/>
    <w:charset w:val="80"/>
    <w:family w:val="roman"/>
    <w:notTrueType/>
    <w:pitch w:val="default"/>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end"/>
    </w:r>
  </w:p>
  <w:p>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67C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CF311E8B-2D9D-4B2B-90CF-7A32B4DA989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0270536">
      <w:bodyDiv w:val="1"/>
      <w:marLeft w:val="0"/>
      <w:marRight w:val="0"/>
      <w:marTop w:val="0"/>
      <w:marBottom w:val="0"/>
      <w:divBdr>
        <w:top w:val="none" w:sz="0" w:space="0" w:color="auto"/>
        <w:left w:val="none" w:sz="0" w:space="0" w:color="auto"/>
        <w:bottom w:val="none" w:sz="0" w:space="0" w:color="auto"/>
        <w:right w:val="none" w:sz="0" w:space="0" w:color="auto"/>
      </w:divBdr>
    </w:div>
    <w:div w:id="233204683">
      <w:bodyDiv w:val="1"/>
      <w:marLeft w:val="0"/>
      <w:marRight w:val="0"/>
      <w:marTop w:val="0"/>
      <w:marBottom w:val="0"/>
      <w:divBdr>
        <w:top w:val="none" w:sz="0" w:space="0" w:color="auto"/>
        <w:left w:val="none" w:sz="0" w:space="0" w:color="auto"/>
        <w:bottom w:val="none" w:sz="0" w:space="0" w:color="auto"/>
        <w:right w:val="none" w:sz="0" w:space="0" w:color="auto"/>
      </w:divBdr>
      <w:divsChild>
        <w:div w:id="365833159">
          <w:marLeft w:val="600"/>
          <w:marRight w:val="0"/>
          <w:marTop w:val="0"/>
          <w:marBottom w:val="0"/>
          <w:divBdr>
            <w:top w:val="none" w:sz="0" w:space="0" w:color="auto"/>
            <w:left w:val="none" w:sz="0" w:space="0" w:color="auto"/>
            <w:bottom w:val="none" w:sz="0" w:space="0" w:color="auto"/>
            <w:right w:val="none" w:sz="0" w:space="0" w:color="auto"/>
          </w:divBdr>
          <w:divsChild>
            <w:div w:id="33708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9578986">
      <w:bodyDiv w:val="1"/>
      <w:marLeft w:val="0"/>
      <w:marRight w:val="0"/>
      <w:marTop w:val="0"/>
      <w:marBottom w:val="0"/>
      <w:divBdr>
        <w:top w:val="none" w:sz="0" w:space="0" w:color="auto"/>
        <w:left w:val="none" w:sz="0" w:space="0" w:color="auto"/>
        <w:bottom w:val="none" w:sz="0" w:space="0" w:color="auto"/>
        <w:right w:val="none" w:sz="0" w:space="0" w:color="auto"/>
      </w:divBdr>
    </w:div>
    <w:div w:id="383673750">
      <w:bodyDiv w:val="1"/>
      <w:marLeft w:val="0"/>
      <w:marRight w:val="0"/>
      <w:marTop w:val="0"/>
      <w:marBottom w:val="0"/>
      <w:divBdr>
        <w:top w:val="none" w:sz="0" w:space="0" w:color="auto"/>
        <w:left w:val="none" w:sz="0" w:space="0" w:color="auto"/>
        <w:bottom w:val="none" w:sz="0" w:space="0" w:color="auto"/>
        <w:right w:val="none" w:sz="0" w:space="0" w:color="auto"/>
      </w:divBdr>
    </w:div>
    <w:div w:id="383917122">
      <w:bodyDiv w:val="1"/>
      <w:marLeft w:val="0"/>
      <w:marRight w:val="0"/>
      <w:marTop w:val="0"/>
      <w:marBottom w:val="0"/>
      <w:divBdr>
        <w:top w:val="none" w:sz="0" w:space="0" w:color="auto"/>
        <w:left w:val="none" w:sz="0" w:space="0" w:color="auto"/>
        <w:bottom w:val="none" w:sz="0" w:space="0" w:color="auto"/>
        <w:right w:val="none" w:sz="0" w:space="0" w:color="auto"/>
      </w:divBdr>
    </w:div>
    <w:div w:id="599483454">
      <w:bodyDiv w:val="1"/>
      <w:marLeft w:val="0"/>
      <w:marRight w:val="0"/>
      <w:marTop w:val="0"/>
      <w:marBottom w:val="0"/>
      <w:divBdr>
        <w:top w:val="none" w:sz="0" w:space="0" w:color="auto"/>
        <w:left w:val="none" w:sz="0" w:space="0" w:color="auto"/>
        <w:bottom w:val="none" w:sz="0" w:space="0" w:color="auto"/>
        <w:right w:val="none" w:sz="0" w:space="0" w:color="auto"/>
      </w:divBdr>
    </w:div>
    <w:div w:id="695353215">
      <w:bodyDiv w:val="1"/>
      <w:marLeft w:val="0"/>
      <w:marRight w:val="0"/>
      <w:marTop w:val="0"/>
      <w:marBottom w:val="0"/>
      <w:divBdr>
        <w:top w:val="none" w:sz="0" w:space="0" w:color="auto"/>
        <w:left w:val="none" w:sz="0" w:space="0" w:color="auto"/>
        <w:bottom w:val="none" w:sz="0" w:space="0" w:color="auto"/>
        <w:right w:val="none" w:sz="0" w:space="0" w:color="auto"/>
      </w:divBdr>
    </w:div>
    <w:div w:id="778061714">
      <w:bodyDiv w:val="1"/>
      <w:marLeft w:val="0"/>
      <w:marRight w:val="0"/>
      <w:marTop w:val="0"/>
      <w:marBottom w:val="0"/>
      <w:divBdr>
        <w:top w:val="none" w:sz="0" w:space="0" w:color="auto"/>
        <w:left w:val="none" w:sz="0" w:space="0" w:color="auto"/>
        <w:bottom w:val="none" w:sz="0" w:space="0" w:color="auto"/>
        <w:right w:val="none" w:sz="0" w:space="0" w:color="auto"/>
      </w:divBdr>
    </w:div>
    <w:div w:id="1126895786">
      <w:bodyDiv w:val="1"/>
      <w:marLeft w:val="0"/>
      <w:marRight w:val="0"/>
      <w:marTop w:val="0"/>
      <w:marBottom w:val="0"/>
      <w:divBdr>
        <w:top w:val="none" w:sz="0" w:space="0" w:color="auto"/>
        <w:left w:val="none" w:sz="0" w:space="0" w:color="auto"/>
        <w:bottom w:val="none" w:sz="0" w:space="0" w:color="auto"/>
        <w:right w:val="none" w:sz="0" w:space="0" w:color="auto"/>
      </w:divBdr>
    </w:div>
    <w:div w:id="1178541874">
      <w:bodyDiv w:val="1"/>
      <w:marLeft w:val="0"/>
      <w:marRight w:val="0"/>
      <w:marTop w:val="0"/>
      <w:marBottom w:val="0"/>
      <w:divBdr>
        <w:top w:val="none" w:sz="0" w:space="0" w:color="auto"/>
        <w:left w:val="none" w:sz="0" w:space="0" w:color="auto"/>
        <w:bottom w:val="none" w:sz="0" w:space="0" w:color="auto"/>
        <w:right w:val="none" w:sz="0" w:space="0" w:color="auto"/>
      </w:divBdr>
    </w:div>
    <w:div w:id="1277516881">
      <w:bodyDiv w:val="1"/>
      <w:marLeft w:val="0"/>
      <w:marRight w:val="0"/>
      <w:marTop w:val="0"/>
      <w:marBottom w:val="0"/>
      <w:divBdr>
        <w:top w:val="none" w:sz="0" w:space="0" w:color="auto"/>
        <w:left w:val="none" w:sz="0" w:space="0" w:color="auto"/>
        <w:bottom w:val="none" w:sz="0" w:space="0" w:color="auto"/>
        <w:right w:val="none" w:sz="0" w:space="0" w:color="auto"/>
      </w:divBdr>
    </w:div>
    <w:div w:id="1284842941">
      <w:bodyDiv w:val="1"/>
      <w:marLeft w:val="0"/>
      <w:marRight w:val="0"/>
      <w:marTop w:val="0"/>
      <w:marBottom w:val="0"/>
      <w:divBdr>
        <w:top w:val="none" w:sz="0" w:space="0" w:color="auto"/>
        <w:left w:val="none" w:sz="0" w:space="0" w:color="auto"/>
        <w:bottom w:val="none" w:sz="0" w:space="0" w:color="auto"/>
        <w:right w:val="none" w:sz="0" w:space="0" w:color="auto"/>
      </w:divBdr>
    </w:div>
    <w:div w:id="1341275888">
      <w:bodyDiv w:val="1"/>
      <w:marLeft w:val="0"/>
      <w:marRight w:val="0"/>
      <w:marTop w:val="0"/>
      <w:marBottom w:val="0"/>
      <w:divBdr>
        <w:top w:val="none" w:sz="0" w:space="0" w:color="auto"/>
        <w:left w:val="none" w:sz="0" w:space="0" w:color="auto"/>
        <w:bottom w:val="none" w:sz="0" w:space="0" w:color="auto"/>
        <w:right w:val="none" w:sz="0" w:space="0" w:color="auto"/>
      </w:divBdr>
    </w:div>
    <w:div w:id="1508132948">
      <w:bodyDiv w:val="1"/>
      <w:marLeft w:val="0"/>
      <w:marRight w:val="0"/>
      <w:marTop w:val="0"/>
      <w:marBottom w:val="0"/>
      <w:divBdr>
        <w:top w:val="none" w:sz="0" w:space="0" w:color="auto"/>
        <w:left w:val="none" w:sz="0" w:space="0" w:color="auto"/>
        <w:bottom w:val="none" w:sz="0" w:space="0" w:color="auto"/>
        <w:right w:val="none" w:sz="0" w:space="0" w:color="auto"/>
      </w:divBdr>
    </w:div>
    <w:div w:id="1550724814">
      <w:bodyDiv w:val="1"/>
      <w:marLeft w:val="0"/>
      <w:marRight w:val="0"/>
      <w:marTop w:val="0"/>
      <w:marBottom w:val="0"/>
      <w:divBdr>
        <w:top w:val="none" w:sz="0" w:space="0" w:color="auto"/>
        <w:left w:val="none" w:sz="0" w:space="0" w:color="auto"/>
        <w:bottom w:val="none" w:sz="0" w:space="0" w:color="auto"/>
        <w:right w:val="none" w:sz="0" w:space="0" w:color="auto"/>
      </w:divBdr>
    </w:div>
    <w:div w:id="1991515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2fbbdf9097b4b6e89c811a6e1b24784" PartId="66b5f03aa1d247169d16661e18b3850d">
    <Part Type="punktas" Nr="1" Abbr="1 p." DocPartId="7a95a1501bc04a9f9bc81d5ddd26bd88" PartId="a5d0635eb3754bbdb783025b4430060b"/>
    <Part Type="punktas" Nr="2" Abbr="2 p." DocPartId="9c12b76577f5432fa9229a64e6274d9b" PartId="339ac27577834bd0a64fd3398cee65a2"/>
    <Part Type="punktas" Nr="3" Abbr="3 p." DocPartId="340acd9798a0404cb50ad0d32eedc0dc" PartId="014c8349bddc4f54940c331cbfe847a9"/>
    <Part Type="punktas" Nr="4" Abbr="4 p." DocPartId="5d87a6b581c243eea4da8cc61e49f19c" PartId="88f71c2edee545479a1910e05e903558"/>
    <Part Type="punktas" Nr="5" Abbr="5 p." DocPartId="1583dc9a66ae406aa1116a1322fd79b5" PartId="89732ea4822a47a3917edfc46935e97d"/>
    <Part Type="punktas" Nr="6" Abbr="6 p." DocPartId="59d3177e955a40c6b5ef7f620912c8f0" PartId="4cae2a536e3f45a9a5ba905d2e0615c9"/>
    <Part Type="punktas" Nr="7" Abbr="7 p." DocPartId="36932a9cd5fc4e80b1be258292f0573b" PartId="b2fae07511a641ec8c70f6487f285a92"/>
    <Part Type="punktas" Nr="8" Abbr="8 p." DocPartId="0d7a1be5f62741ba9dd187d3dbb278af" PartId="4c4efeea373b44eba37cdfee452431a0"/>
    <Part Type="punktas" Nr="9" Abbr="9 p." DocPartId="2db1d0b8a0fe4bb68dc3e3fe40123a50" PartId="04bf48974bb942fabd3a5dc43e532f45"/>
    <Part Type="punktas" Nr="10" Abbr="10 p." DocPartId="b7bb2a008002499698475017a8557eb6" PartId="4b72802eb0bb41af9923d4ae840eebf4"/>
    <Part Type="punktas" Nr="11" Abbr="11 p." DocPartId="12acda03bdc8458d85f8e13248f0440a" PartId="3e07775405654869b5c5af4981298c29"/>
    <Part Type="punktas" Nr="12" Abbr="12 p." DocPartId="45f4364ed48d4474ad778abd7a428a97" PartId="4cf1b9c39a304114be2d651f84451797"/>
    <Part Type="punktas" Nr="13" Abbr="13 p." DocPartId="41f44fc0f89a436fa2b5ba8a90336eeb" PartId="f097644e58c5413aa6d8824568ffb9c1"/>
    <Part Type="punktas" Nr="14" Abbr="14 p." DocPartId="e42974617d254a189038465eeb400452" PartId="47c885f7d7274abba71507ebcfe753c1"/>
    <Part Type="punktas" Nr="15" Abbr="15 p." DocPartId="6414c2d971db4d2fafc46a31dca369e7" PartId="b971c1078160488f804bd3d5cd150610"/>
    <Part Type="punktas" Nr="16" Abbr="16 p." DocPartId="7e173c9a17de4e7186e43942fc83ba90" PartId="a4bffe546c1c48ed9dfd1f9778b8ca56"/>
    <Part Type="signatura" DocPartId="02b2751c2a4b4419ab836c143daca349" PartId="d7a9290e2a5d44fba6f43e4e182ccc4b"/>
  </Part>
</Parts>
</file>

<file path=customXml/itemProps1.xml><?xml version="1.0" encoding="utf-8"?>
<ds:datastoreItem xmlns:ds="http://schemas.openxmlformats.org/officeDocument/2006/customXml" ds:itemID="{41E51EA3-6AB3-4185-ADA2-7F80C721C22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975</Words>
  <Characters>6851</Characters>
  <Application>Microsoft Office Word</Application>
  <DocSecurity>4</DocSecurity>
  <Lines>118</Lines>
  <Paragraphs>48</Paragraphs>
  <ScaleCrop>false</ScaleCrop>
  <HeadingPairs>
    <vt:vector size="2" baseType="variant">
      <vt:variant>
        <vt:lpstr>Pavadinimas</vt:lpstr>
      </vt:variant>
      <vt:variant>
        <vt:i4>1</vt:i4>
      </vt:variant>
    </vt:vector>
  </HeadingPairs>
  <TitlesOfParts>
    <vt:vector size="1" baseType="lpstr">
      <vt:lpstr>AIŠKINAMASIS RAŠTAS</vt:lpstr>
    </vt:vector>
  </TitlesOfParts>
  <Company>LR Sveikatos apsaugos ministerija</Company>
  <LinksUpToDate>false</LinksUpToDate>
  <CharactersWithSpaces>7778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2025-11-28T12:18:00Z</dcterms:created>
  <dc:creator>Rasa</dc:creator>
  <lastModifiedBy>adlibuser</lastModifiedBy>
  <lastPrinted>2019-12-10T07:32:00Z</lastPrinted>
  <dcterms:modified xsi:type="dcterms:W3CDTF">2025-11-28T12:18:00Z</dcterms:modified>
  <revision>2</revision>
  <dc:title>AIŠKINAMASIS RAŠTAS</dc:title>
</coreProperties>
</file>