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79e0d44d19c417eb6b1236c9293baa4"/>
        <w:lock w:val="sdtLocked"/>
        <w:richText/>
      </w:sdtPr>
      <w:sdtContent>
        <w:p w14:paraId="5B498AFB" w14:textId="77777777">
          <w:pPr>
            <w:tabs>
              <w:tab w:val="center" w:pos="4680"/>
              <w:tab w:val="right" w:pos="9360"/>
            </w:tabs>
            <w:rPr>
              <w:sz w:val="22"/>
              <w:szCs w:val="22"/>
              <w:lang w:eastAsia="lt-LT"/>
            </w:rPr>
          </w:pPr>
        </w:p>
      </w:sdtContent>
    </w:sdt>
    <w:sdt>
      <w:sdtPr>
        <w:alias w:val="patvirtinta"/>
        <w:tag w:val="part_64bc6b0a3f3a4b10a902c2f65d58a064"/>
        <w:lock w:val="sdtLocked"/>
        <w:richText/>
      </w:sdtPr>
      <w:sdtContent>
        <w:p w14:paraId="73DA3ECC" w14:textId="77777777">
          <w:pPr>
            <w:ind w:firstLine="5332"/>
            <w:rPr>
              <w:color w:val="000000"/>
              <w:szCs w:val="24"/>
              <w:lang w:eastAsia="lt-LT"/>
            </w:rPr>
          </w:pPr>
          <w:r>
            <w:rPr>
              <w:color w:val="000000"/>
              <w:szCs w:val="24"/>
              <w:lang w:eastAsia="lt-LT"/>
            </w:rPr>
            <w:t>PATVIRTINTA</w:t>
          </w:r>
        </w:p>
        <w:p w14:paraId="4ABC3B2B" w14:textId="3BE88421">
          <w:pPr>
            <w:ind w:firstLine="5332"/>
            <w:rPr>
              <w:szCs w:val="24"/>
              <w:lang w:eastAsia="lt-LT"/>
            </w:rPr>
          </w:pPr>
          <w:r>
            <w:rPr>
              <w:szCs w:val="24"/>
              <w:lang w:eastAsia="lt-LT"/>
            </w:rPr>
            <w:t>Šiaulių miesto savivaldybės tarybos</w:t>
          </w:r>
        </w:p>
        <w:p w14:paraId="3236CDB8" w14:textId="0273DB25">
          <w:pPr>
            <w:ind w:firstLine="5332"/>
            <w:rPr>
              <w:szCs w:val="24"/>
              <w:lang w:eastAsia="lt-LT"/>
            </w:rPr>
          </w:pPr>
          <w:r>
            <w:rPr>
              <w:szCs w:val="24"/>
              <w:lang w:eastAsia="lt-LT"/>
            </w:rPr>
            <w:t xml:space="preserve">2024 m.              d. sprendimu Nr. </w:t>
          </w:r>
        </w:p>
        <w:p w14:paraId="7B7ED14D" w14:textId="77777777">
          <w:pPr>
            <w:jc w:val="center"/>
            <w:rPr>
              <w:b/>
              <w:bCs/>
              <w:caps/>
              <w:color w:val="000000"/>
              <w:szCs w:val="24"/>
              <w:lang w:eastAsia="lt-LT"/>
            </w:rPr>
          </w:pPr>
        </w:p>
        <w:p w14:paraId="4B305F6C" w14:textId="77777777">
          <w:pPr>
            <w:jc w:val="center"/>
            <w:rPr>
              <w:b/>
              <w:bCs/>
              <w:caps/>
              <w:color w:val="000000"/>
              <w:szCs w:val="24"/>
              <w:lang w:eastAsia="lt-LT"/>
            </w:rPr>
          </w:pPr>
        </w:p>
        <w:p w14:paraId="6545F89B" w14:textId="3819E774">
          <w:pPr>
            <w:tabs>
              <w:tab w:val="left" w:pos="2835"/>
              <w:tab w:val="left" w:pos="3261"/>
            </w:tabs>
            <w:jc w:val="center"/>
            <w:rPr>
              <w:b/>
              <w:bCs/>
              <w:color w:val="000000"/>
              <w:szCs w:val="24"/>
              <w:lang w:eastAsia="lt-LT"/>
            </w:rPr>
          </w:pPr>
          <w:sdt>
            <w:sdtPr>
              <w:alias w:val="Pavadinimas"/>
              <w:tag w:val="title_64bc6b0a3f3a4b10a902c2f65d58a064"/>
              <w:lock w:val="sdtLocked"/>
              <w:richText/>
            </w:sdtPr>
            <w:sdtContent>
              <w:r>
                <w:rPr>
                  <w:b/>
                  <w:bCs/>
                  <w:szCs w:val="24"/>
                </w:rPr>
                <w:t xml:space="preserve">LĖŠŲ </w:t>
              </w:r>
              <w:r>
                <w:rPr>
                  <w:b/>
                  <w:bCs/>
                </w:rPr>
                <w:t>KARJEROS SPECIALISTŲ ETATAMS FINANSUOTI ŠIAULIŲ MIESTO SAVIVALDYBĖS ŠVIETIMO ĮSTAIGOSE IR NEVALSTYBINĖSE MOKYKLOSE PASKIRSTYMO IR PANAUDOJIMO TVARKOS APRAŠAS</w:t>
              </w:r>
            </w:sdtContent>
          </w:sdt>
        </w:p>
        <w:p w14:paraId="485F3AFC" w14:textId="77777777">
          <w:pPr>
            <w:tabs>
              <w:tab w:val="left" w:pos="2835"/>
              <w:tab w:val="left" w:pos="3261"/>
            </w:tabs>
            <w:jc w:val="center"/>
            <w:rPr>
              <w:b/>
              <w:bCs/>
              <w:color w:val="000000"/>
              <w:szCs w:val="24"/>
              <w:lang w:eastAsia="lt-LT"/>
            </w:rPr>
          </w:pPr>
        </w:p>
        <w:sdt>
          <w:sdtPr>
            <w:alias w:val="skyrius"/>
            <w:tag w:val="part_451104ee8fc041169475efc3ee35f780"/>
            <w:lock w:val="sdtLocked"/>
            <w:richText/>
          </w:sdtPr>
          <w:sdtContent>
            <w:p w14:paraId="0866A5E0" w14:textId="77777777">
              <w:pPr>
                <w:tabs>
                  <w:tab w:val="left" w:pos="2835"/>
                  <w:tab w:val="left" w:pos="3261"/>
                </w:tabs>
                <w:ind w:left="1080" w:hanging="720"/>
                <w:jc w:val="center"/>
                <w:rPr>
                  <w:b/>
                  <w:bCs/>
                  <w:color w:val="000000"/>
                  <w:szCs w:val="24"/>
                  <w:lang w:eastAsia="lt-LT"/>
                </w:rPr>
              </w:pPr>
              <w:sdt>
                <w:sdtPr>
                  <w:alias w:val="Numeris"/>
                  <w:tag w:val="nr_451104ee8fc041169475efc3ee35f780"/>
                  <w:lock w:val="sdtLocked"/>
                  <w:richText/>
                </w:sdtPr>
                <w:sdtContent>
                  <w:r>
                    <w:rPr>
                      <w:b/>
                      <w:bCs/>
                      <w:color w:val="000000"/>
                      <w:szCs w:val="24"/>
                      <w:lang w:eastAsia="lt-LT"/>
                    </w:rPr>
                    <w:t>I</w:t>
                  </w:r>
                </w:sdtContent>
              </w:sdt>
              <w:r>
                <w:rPr>
                  <w:b/>
                  <w:bCs/>
                  <w:color w:val="000000"/>
                  <w:szCs w:val="24"/>
                  <w:lang w:eastAsia="lt-LT"/>
                </w:rPr>
                <w:t xml:space="preserve"> SKYRIUS</w:t>
              </w:r>
            </w:p>
            <w:p w14:paraId="64F62B0F" w14:textId="77777777">
              <w:pPr>
                <w:tabs>
                  <w:tab w:val="left" w:pos="2835"/>
                  <w:tab w:val="left" w:pos="3261"/>
                </w:tabs>
                <w:ind w:left="1080" w:hanging="720"/>
                <w:jc w:val="center"/>
                <w:rPr>
                  <w:b/>
                  <w:bCs/>
                  <w:color w:val="000000"/>
                  <w:szCs w:val="24"/>
                  <w:lang w:eastAsia="lt-LT"/>
                </w:rPr>
              </w:pPr>
              <w:sdt>
                <w:sdtPr>
                  <w:alias w:val="Pavadinimas"/>
                  <w:tag w:val="title_451104ee8fc041169475efc3ee35f780"/>
                  <w:lock w:val="sdtLocked"/>
                  <w:richText/>
                </w:sdtPr>
                <w:sdtContent>
                  <w:r>
                    <w:rPr>
                      <w:b/>
                      <w:bCs/>
                      <w:color w:val="000000"/>
                      <w:szCs w:val="24"/>
                      <w:lang w:eastAsia="lt-LT"/>
                    </w:rPr>
                    <w:t>BENDROSIOS NUOSTATOS</w:t>
                  </w:r>
                </w:sdtContent>
              </w:sdt>
            </w:p>
            <w:p w14:paraId="52DED07D" w14:textId="77777777">
              <w:pPr>
                <w:tabs>
                  <w:tab w:val="left" w:pos="2835"/>
                  <w:tab w:val="left" w:pos="3261"/>
                </w:tabs>
                <w:jc w:val="center"/>
                <w:rPr>
                  <w:color w:val="000000"/>
                  <w:szCs w:val="24"/>
                  <w:lang w:eastAsia="lt-LT"/>
                </w:rPr>
              </w:pPr>
            </w:p>
            <w:sdt>
              <w:sdtPr>
                <w:alias w:val="1 p."/>
                <w:tag w:val="part_2299d325e08a4bca83dc8064f8cc73ba"/>
                <w:lock w:val="sdtLocked"/>
                <w:richText/>
              </w:sdtPr>
              <w:sdtContent>
                <w:p w14:paraId="48F136C8" w14:textId="423D0C55">
                  <w:pPr>
                    <w:ind w:firstLine="851"/>
                    <w:jc w:val="both"/>
                    <w:rPr>
                      <w:color w:val="000000"/>
                      <w:szCs w:val="24"/>
                      <w:lang w:eastAsia="lt-LT"/>
                    </w:rPr>
                  </w:pPr>
                  <w:sdt>
                    <w:sdtPr>
                      <w:alias w:val="Numeris"/>
                      <w:tag w:val="nr_2299d325e08a4bca83dc8064f8cc73ba"/>
                      <w:lock w:val="sdtLocked"/>
                      <w:richText/>
                    </w:sdtPr>
                    <w:sdtContent>
                      <w:r>
                        <w:rPr>
                          <w:color w:val="000000"/>
                          <w:szCs w:val="24"/>
                          <w:lang w:eastAsia="lt-LT"/>
                        </w:rPr>
                        <w:t>1</w:t>
                      </w:r>
                    </w:sdtContent>
                  </w:sdt>
                  <w:r>
                    <w:rPr>
                      <w:color w:val="000000"/>
                      <w:szCs w:val="24"/>
                      <w:lang w:eastAsia="lt-LT"/>
                    </w:rPr>
                    <w:t>.</w:t>
                    <w:tab/>
                  </w:r>
                  <w:r>
                    <w:rPr>
                      <w:szCs w:val="24"/>
                    </w:rPr>
                    <w:t xml:space="preserve">Lėšų </w:t>
                  </w:r>
                  <w:r>
                    <w:t>karjeros specialistų etatams finansuoti Šiaulių miesto savivaldybės švietimo įstaigose ir nevalstybinėse mokyklose paskirstymo ir panaudojimo tvarkos aprašo</w:t>
                  </w:r>
                  <w:r>
                    <w:rPr>
                      <w:b/>
                      <w:bCs/>
                    </w:rPr>
                    <w:t xml:space="preserve"> </w:t>
                  </w:r>
                  <w:r>
                    <w:rPr>
                      <w:color w:val="000000"/>
                      <w:szCs w:val="24"/>
                      <w:lang w:eastAsia="lt-LT"/>
                    </w:rPr>
                    <w:t xml:space="preserve">(toliau – Aprašas) paskirtis – nustatyti lėšų, skirtų, profesiniam orientavimui užtikrinti Šiaulių miesto savivaldybės (toliau – Savivaldybė) švietimo įstaigose, paskirstymo, panaudojimo ir atsiskaitymo tvarką. </w:t>
                  </w:r>
                </w:p>
              </w:sdtContent>
            </w:sdt>
            <w:sdt>
              <w:sdtPr>
                <w:alias w:val="2 p."/>
                <w:tag w:val="part_735a798128094e17954480c45a8b3a23"/>
                <w:lock w:val="sdtLocked"/>
                <w:richText/>
              </w:sdtPr>
              <w:sdtContent>
                <w:p w14:paraId="3BD175D9" w14:textId="2F46975A">
                  <w:pPr>
                    <w:ind w:firstLine="851"/>
                    <w:jc w:val="both"/>
                    <w:rPr>
                      <w:color w:val="00B0F0"/>
                      <w:szCs w:val="24"/>
                      <w:lang w:eastAsia="lt-LT"/>
                    </w:rPr>
                  </w:pPr>
                  <w:sdt>
                    <w:sdtPr>
                      <w:alias w:val="Numeris"/>
                      <w:tag w:val="nr_735a798128094e17954480c45a8b3a23"/>
                      <w:lock w:val="sdtLocked"/>
                      <w:richText/>
                    </w:sdtPr>
                    <w:sdtContent>
                      <w:r>
                        <w:rPr>
                          <w:szCs w:val="24"/>
                        </w:rPr>
                        <w:t>2</w:t>
                      </w:r>
                    </w:sdtContent>
                  </w:sdt>
                  <w:r>
                    <w:rPr>
                      <w:szCs w:val="24"/>
                    </w:rPr>
                    <w:t>. Savivaldybei skiriamos lėšos apima lėšas, skiriamas Savivaldybės švietimo įstaigoms ir nevalstybinėms mokykloms, kurioms Savivaldybė skiria mokymo lėšas pagal Mokymo lėšų apskaičiavimo, paskirstymo ir panaudojimo tvarkos aprašą, patvirtintą Lietuvos Respublikos Vyriausybės 2018 m. liepos 11 d. nutarimu Nr. 679 „Dėl Mokymo lėšų apskaičiavimo, paskirstymo ir panaudojimo tvarkos aprašo patvirtinimo“.</w:t>
                  </w:r>
                </w:p>
              </w:sdtContent>
            </w:sdt>
            <w:sdt>
              <w:sdtPr>
                <w:alias w:val="3 p."/>
                <w:tag w:val="part_16168cc8cba24b31acb17993256f4e17"/>
                <w:lock w:val="sdtLocked"/>
                <w:richText/>
              </w:sdtPr>
              <w:sdtContent>
                <w:p w14:paraId="7AC7D689" w14:textId="7A45DC93">
                  <w:pPr>
                    <w:ind w:firstLine="851"/>
                    <w:jc w:val="both"/>
                    <w:rPr>
                      <w:color w:val="000000"/>
                      <w:szCs w:val="24"/>
                      <w:lang w:eastAsia="lt-LT"/>
                    </w:rPr>
                  </w:pPr>
                  <w:sdt>
                    <w:sdtPr>
                      <w:alias w:val="Numeris"/>
                      <w:tag w:val="nr_16168cc8cba24b31acb17993256f4e17"/>
                      <w:lock w:val="sdtLocked"/>
                      <w:richText/>
                    </w:sdtPr>
                    <w:sdtContent>
                      <w:r>
                        <w:rPr>
                          <w:color w:val="000000"/>
                          <w:szCs w:val="24"/>
                          <w:lang w:eastAsia="lt-LT"/>
                        </w:rPr>
                        <w:t>3</w:t>
                      </w:r>
                    </w:sdtContent>
                  </w:sdt>
                  <w:r>
                    <w:rPr>
                      <w:color w:val="000000"/>
                      <w:szCs w:val="24"/>
                      <w:lang w:eastAsia="lt-LT"/>
                    </w:rPr>
                    <w:t xml:space="preserve">. Lėšų skyrimo tikslas – </w:t>
                  </w:r>
                  <w:r>
                    <w:rPr>
                      <w:szCs w:val="24"/>
                      <w:lang w:eastAsia="lt-LT"/>
                    </w:rPr>
                    <w:t xml:space="preserve">karjeros specialistų etatų, įsteigtų vadovaujantis </w:t>
                  </w:r>
                  <w:r>
                    <w:t>Profesinio orientavimo teikimo tvarkos aprašu, patvirtintu Lietuvos Respublikos Vyriausybės 2022 m. rugpjūčio 24 d. nutarimu Nr. 847 „Dėl Profesinio orientavimo teikimo tvarkos aprašo patvirtinimo“,</w:t>
                  </w:r>
                  <w:r>
                    <w:rPr>
                      <w:szCs w:val="24"/>
                      <w:lang w:eastAsia="lt-LT"/>
                    </w:rPr>
                    <w:t xml:space="preserve"> finansavimas.</w:t>
                  </w:r>
                </w:p>
                <w:p w14:paraId="5F7E454C" w14:textId="10D4B5FB">
                  <w:pPr>
                    <w:ind w:firstLine="851"/>
                    <w:jc w:val="both"/>
                    <w:rPr>
                      <w:color w:val="000000"/>
                      <w:szCs w:val="24"/>
                      <w:lang w:eastAsia="lt-LT"/>
                    </w:rPr>
                  </w:pPr>
                </w:p>
              </w:sdtContent>
            </w:sdt>
          </w:sdtContent>
        </w:sdt>
        <w:sdt>
          <w:sdtPr>
            <w:alias w:val="skyrius"/>
            <w:tag w:val="part_3daa189dad6542989e74acde6de171b5"/>
            <w:lock w:val="sdtLocked"/>
            <w:richText/>
          </w:sdtPr>
          <w:sdtContent>
            <w:p w14:paraId="4787F1A7" w14:textId="77777777">
              <w:pPr>
                <w:tabs>
                  <w:tab w:val="left" w:pos="2835"/>
                  <w:tab w:val="left" w:pos="3261"/>
                </w:tabs>
                <w:ind w:left="1080" w:hanging="720"/>
                <w:jc w:val="center"/>
                <w:rPr>
                  <w:b/>
                  <w:bCs/>
                  <w:lang w:eastAsia="lt-LT"/>
                </w:rPr>
              </w:pPr>
              <w:sdt>
                <w:sdtPr>
                  <w:alias w:val="Numeris"/>
                  <w:tag w:val="nr_3daa189dad6542989e74acde6de171b5"/>
                  <w:lock w:val="sdtLocked"/>
                  <w:richText/>
                </w:sdtPr>
                <w:sdtContent>
                  <w:r>
                    <w:rPr>
                      <w:b/>
                      <w:bCs/>
                      <w:lang w:eastAsia="lt-LT"/>
                    </w:rPr>
                    <w:t>II</w:t>
                  </w:r>
                </w:sdtContent>
              </w:sdt>
              <w:r>
                <w:rPr>
                  <w:b/>
                  <w:bCs/>
                  <w:lang w:eastAsia="lt-LT"/>
                </w:rPr>
                <w:t xml:space="preserve"> SKYRIUS</w:t>
              </w:r>
            </w:p>
            <w:p w14:paraId="4323AC11" w14:textId="753DDD3D">
              <w:pPr>
                <w:tabs>
                  <w:tab w:val="left" w:pos="2835"/>
                  <w:tab w:val="left" w:pos="3261"/>
                </w:tabs>
                <w:jc w:val="center"/>
                <w:rPr>
                  <w:b/>
                  <w:bCs/>
                  <w:szCs w:val="24"/>
                  <w:lang w:eastAsia="lt-LT"/>
                </w:rPr>
              </w:pPr>
              <w:sdt>
                <w:sdtPr>
                  <w:alias w:val="Pavadinimas"/>
                  <w:tag w:val="title_3daa189dad6542989e74acde6de171b5"/>
                  <w:lock w:val="sdtLocked"/>
                  <w:richText/>
                </w:sdtPr>
                <w:sdtContent>
                  <w:r>
                    <w:rPr>
                      <w:b/>
                      <w:bCs/>
                      <w:szCs w:val="24"/>
                      <w:lang w:eastAsia="lt-LT"/>
                    </w:rPr>
                    <w:t>LĖŠŲ PASKIRSTYMAS</w:t>
                  </w:r>
                </w:sdtContent>
              </w:sdt>
            </w:p>
            <w:p w14:paraId="4E6BA35A" w14:textId="77777777">
              <w:pPr>
                <w:tabs>
                  <w:tab w:val="left" w:pos="2835"/>
                  <w:tab w:val="left" w:pos="3261"/>
                </w:tabs>
                <w:jc w:val="center"/>
                <w:rPr>
                  <w:b/>
                  <w:color w:val="000000"/>
                  <w:szCs w:val="24"/>
                  <w:lang w:eastAsia="lt-LT"/>
                </w:rPr>
              </w:pPr>
            </w:p>
            <w:sdt>
              <w:sdtPr>
                <w:alias w:val="4 p."/>
                <w:tag w:val="part_12a73f61c22142e2b9f2328c982ea63b"/>
                <w:lock w:val="sdtLocked"/>
                <w:richText/>
              </w:sdtPr>
              <w:sdtContent>
                <w:p w14:paraId="497FDCA4" w14:textId="472372C9">
                  <w:pPr>
                    <w:ind w:firstLine="851"/>
                    <w:jc w:val="both"/>
                    <w:textAlignment w:val="baseline"/>
                    <w:rPr>
                      <w:color w:val="000000"/>
                      <w:szCs w:val="24"/>
                      <w:lang w:eastAsia="lt-LT"/>
                    </w:rPr>
                  </w:pPr>
                  <w:sdt>
                    <w:sdtPr>
                      <w:alias w:val="Numeris"/>
                      <w:tag w:val="nr_12a73f61c22142e2b9f2328c982ea63b"/>
                      <w:lock w:val="sdtLocked"/>
                      <w:richText/>
                    </w:sdtPr>
                    <w:sdtContent>
                      <w:r>
                        <w:rPr>
                          <w:color w:val="000000"/>
                          <w:szCs w:val="24"/>
                          <w:lang w:eastAsia="lt-LT"/>
                        </w:rPr>
                        <w:t>4</w:t>
                      </w:r>
                    </w:sdtContent>
                  </w:sdt>
                  <w:r>
                    <w:rPr>
                      <w:color w:val="000000"/>
                      <w:szCs w:val="24"/>
                      <w:lang w:eastAsia="lt-LT"/>
                    </w:rPr>
                    <w:t>. Lėšos karjeros specialistų etatams finansuoti mokykloms paskirstomos vadovaujantis Profesinio orientavimo teikimo tvarkos apraše reglamentuotu etatų pasiskirstymo santykiu:</w:t>
                  </w:r>
                </w:p>
                <w:sdt>
                  <w:sdtPr>
                    <w:alias w:val="4.1 pp."/>
                    <w:tag w:val="part_2a2332ce71284fb3969c7c134568db10"/>
                    <w:lock w:val="sdtLocked"/>
                    <w:richText/>
                  </w:sdtPr>
                  <w:sdtContent>
                    <w:p w14:paraId="4940505A" w14:textId="48675E9F">
                      <w:pPr>
                        <w:ind w:firstLine="851"/>
                        <w:jc w:val="both"/>
                        <w:textAlignment w:val="baseline"/>
                        <w:rPr>
                          <w:color w:val="000000"/>
                          <w:szCs w:val="24"/>
                          <w:lang w:eastAsia="lt-LT"/>
                        </w:rPr>
                      </w:pPr>
                      <w:sdt>
                        <w:sdtPr>
                          <w:alias w:val="Numeris"/>
                          <w:tag w:val="nr_2a2332ce71284fb3969c7c134568db10"/>
                          <w:lock w:val="sdtLocked"/>
                          <w:richText/>
                        </w:sdtPr>
                        <w:sdtContent>
                          <w:r>
                            <w:rPr>
                              <w:color w:val="000000"/>
                              <w:szCs w:val="24"/>
                              <w:lang w:eastAsia="lt-LT"/>
                            </w:rPr>
                            <w:t>4.1</w:t>
                          </w:r>
                        </w:sdtContent>
                      </w:sdt>
                      <w:r>
                        <w:rPr>
                          <w:color w:val="000000"/>
                          <w:szCs w:val="24"/>
                          <w:lang w:eastAsia="lt-LT"/>
                        </w:rPr>
                        <w:t>. dirbančiųjų su 1–4 klasių mokiniais – 1:1 500 (1 karjeros specialistas 1 500 mokinių);</w:t>
                      </w:r>
                    </w:p>
                  </w:sdtContent>
                </w:sdt>
                <w:sdt>
                  <w:sdtPr>
                    <w:alias w:val="4.2 pp."/>
                    <w:tag w:val="part_fd4ed7bd304b4cc8a5172d5e5cff753d"/>
                    <w:lock w:val="sdtLocked"/>
                    <w:richText/>
                  </w:sdtPr>
                  <w:sdtContent>
                    <w:p w14:paraId="43575F31" w14:textId="35CD3FF2">
                      <w:pPr>
                        <w:ind w:firstLine="851"/>
                        <w:jc w:val="both"/>
                        <w:textAlignment w:val="baseline"/>
                        <w:rPr>
                          <w:color w:val="000000"/>
                          <w:szCs w:val="24"/>
                          <w:lang w:eastAsia="lt-LT"/>
                        </w:rPr>
                      </w:pPr>
                      <w:sdt>
                        <w:sdtPr>
                          <w:alias w:val="Numeris"/>
                          <w:tag w:val="nr_fd4ed7bd304b4cc8a5172d5e5cff753d"/>
                          <w:lock w:val="sdtLocked"/>
                          <w:richText/>
                        </w:sdtPr>
                        <w:sdtContent>
                          <w:r>
                            <w:rPr>
                              <w:color w:val="000000"/>
                              <w:szCs w:val="24"/>
                              <w:lang w:eastAsia="lt-LT"/>
                            </w:rPr>
                            <w:t>4.2</w:t>
                          </w:r>
                        </w:sdtContent>
                      </w:sdt>
                      <w:r>
                        <w:rPr>
                          <w:color w:val="000000"/>
                          <w:szCs w:val="24"/>
                          <w:lang w:eastAsia="lt-LT"/>
                        </w:rPr>
                        <w:t>. dirbančiųjų su 5–8 klasių mokiniais – 1:800 (1 karjeros specialistas 800 mokinių);</w:t>
                      </w:r>
                    </w:p>
                  </w:sdtContent>
                </w:sdt>
                <w:sdt>
                  <w:sdtPr>
                    <w:alias w:val="4.3 pp."/>
                    <w:tag w:val="part_c0389d448812487ea6b5b7a5321eb890"/>
                    <w:lock w:val="sdtLocked"/>
                    <w:richText/>
                  </w:sdtPr>
                  <w:sdtContent>
                    <w:p w14:paraId="523FAB2E" w14:textId="09DF617C">
                      <w:pPr>
                        <w:overflowPunct w:val="0"/>
                        <w:ind w:firstLine="851"/>
                        <w:jc w:val="both"/>
                        <w:textAlignment w:val="baseline"/>
                        <w:rPr>
                          <w:color w:val="000000"/>
                          <w:szCs w:val="24"/>
                          <w:lang w:eastAsia="lt-LT"/>
                        </w:rPr>
                      </w:pPr>
                      <w:sdt>
                        <w:sdtPr>
                          <w:alias w:val="Numeris"/>
                          <w:tag w:val="nr_c0389d448812487ea6b5b7a5321eb890"/>
                          <w:lock w:val="sdtLocked"/>
                          <w:richText/>
                        </w:sdtPr>
                        <w:sdtContent>
                          <w:r>
                            <w:rPr>
                              <w:color w:val="000000"/>
                              <w:szCs w:val="24"/>
                              <w:lang w:eastAsia="lt-LT"/>
                            </w:rPr>
                            <w:t>4.3</w:t>
                          </w:r>
                        </w:sdtContent>
                      </w:sdt>
                      <w:r>
                        <w:rPr>
                          <w:color w:val="000000"/>
                          <w:szCs w:val="24"/>
                          <w:lang w:eastAsia="lt-LT"/>
                        </w:rPr>
                        <w:t>. dirbančiųjų su 9–12 klasių mokiniais – 1:600 (1 karjeros specialistas 600 mokinių);</w:t>
                      </w:r>
                    </w:p>
                  </w:sdtContent>
                </w:sdt>
              </w:sdtContent>
            </w:sdt>
            <w:sdt>
              <w:sdtPr>
                <w:alias w:val="5 p."/>
                <w:tag w:val="part_241d6d2c33d64e319e8e682b1cca5628"/>
                <w:lock w:val="sdtLocked"/>
                <w:richText/>
              </w:sdtPr>
              <w:sdtContent>
                <w:p w14:paraId="43B70E29" w14:textId="4B9A7A51">
                  <w:pPr>
                    <w:ind w:firstLine="851"/>
                    <w:jc w:val="both"/>
                    <w:rPr>
                      <w:szCs w:val="24"/>
                    </w:rPr>
                  </w:pPr>
                  <w:sdt>
                    <w:sdtPr>
                      <w:alias w:val="Numeris"/>
                      <w:tag w:val="nr_241d6d2c33d64e319e8e682b1cca5628"/>
                      <w:lock w:val="sdtLocked"/>
                      <w:richText/>
                    </w:sdtPr>
                    <w:sdtContent>
                      <w:r>
                        <w:rPr>
                          <w:rFonts w:eastAsia="Calibri"/>
                          <w:szCs w:val="24"/>
                        </w:rPr>
                        <w:t>5</w:t>
                      </w:r>
                    </w:sdtContent>
                  </w:sdt>
                  <w:r>
                    <w:rPr>
                      <w:rFonts w:eastAsia="Calibri"/>
                      <w:szCs w:val="24"/>
                    </w:rPr>
                    <w:t xml:space="preserve">. </w:t>
                  </w:r>
                  <w:r>
                    <w:rPr>
                      <w:szCs w:val="24"/>
                    </w:rPr>
                    <w:t>Lėšas pagal Savivaldybės administracijos Švietimo skyriaus pateiktą informaciją mokykloms paskirsto Savivaldybės administracijos Strateginio planavimo ir finansų skyrius.</w:t>
                  </w:r>
                </w:p>
                <w:p w14:paraId="344710A0" w14:textId="77777777">
                  <w:pPr>
                    <w:spacing w:line="276" w:lineRule="auto"/>
                    <w:ind w:firstLine="851"/>
                    <w:jc w:val="both"/>
                    <w:rPr>
                      <w:b/>
                      <w:bCs/>
                      <w:color w:val="000000"/>
                      <w:szCs w:val="24"/>
                      <w:lang w:eastAsia="lt-LT"/>
                    </w:rPr>
                  </w:pPr>
                </w:p>
              </w:sdtContent>
            </w:sdt>
          </w:sdtContent>
        </w:sdt>
        <w:sdt>
          <w:sdtPr>
            <w:alias w:val="skyrius"/>
            <w:tag w:val="part_0c8152c02cfa4c21974227a839a52f27"/>
            <w:lock w:val="sdtLocked"/>
            <w:richText/>
          </w:sdtPr>
          <w:sdtContent>
            <w:p w14:paraId="49F06149" w14:textId="77777777">
              <w:pPr>
                <w:tabs>
                  <w:tab w:val="left" w:pos="2835"/>
                  <w:tab w:val="left" w:pos="3261"/>
                </w:tabs>
                <w:ind w:left="1080" w:hanging="720"/>
                <w:jc w:val="center"/>
                <w:rPr>
                  <w:b/>
                  <w:bCs/>
                  <w:lang w:eastAsia="lt-LT"/>
                </w:rPr>
              </w:pPr>
              <w:sdt>
                <w:sdtPr>
                  <w:alias w:val="Numeris"/>
                  <w:tag w:val="nr_0c8152c02cfa4c21974227a839a52f27"/>
                  <w:lock w:val="sdtLocked"/>
                  <w:richText/>
                </w:sdtPr>
                <w:sdtContent>
                  <w:r>
                    <w:rPr>
                      <w:b/>
                      <w:bCs/>
                      <w:lang w:eastAsia="lt-LT"/>
                    </w:rPr>
                    <w:t>III</w:t>
                  </w:r>
                </w:sdtContent>
              </w:sdt>
              <w:r>
                <w:rPr>
                  <w:b/>
                  <w:bCs/>
                  <w:lang w:eastAsia="lt-LT"/>
                </w:rPr>
                <w:t xml:space="preserve"> SKYRIUS</w:t>
              </w:r>
            </w:p>
            <w:p w14:paraId="25D112F9" w14:textId="77777777">
              <w:pPr>
                <w:tabs>
                  <w:tab w:val="left" w:pos="2835"/>
                  <w:tab w:val="left" w:pos="3261"/>
                </w:tabs>
                <w:jc w:val="center"/>
                <w:rPr>
                  <w:b/>
                  <w:bCs/>
                  <w:szCs w:val="24"/>
                  <w:lang w:eastAsia="lt-LT"/>
                </w:rPr>
              </w:pPr>
              <w:sdt>
                <w:sdtPr>
                  <w:alias w:val="Pavadinimas"/>
                  <w:tag w:val="title_0c8152c02cfa4c21974227a839a52f27"/>
                  <w:lock w:val="sdtLocked"/>
                  <w:richText/>
                </w:sdtPr>
                <w:sdtContent>
                  <w:r>
                    <w:rPr>
                      <w:b/>
                      <w:bCs/>
                      <w:szCs w:val="24"/>
                      <w:lang w:eastAsia="lt-LT"/>
                    </w:rPr>
                    <w:t>LĖŠŲ NAUDOJIMAS IR ATSISKAITYMAS</w:t>
                  </w:r>
                </w:sdtContent>
              </w:sdt>
            </w:p>
            <w:p w14:paraId="60D1B20C" w14:textId="77777777">
              <w:pPr>
                <w:overflowPunct w:val="0"/>
                <w:ind w:firstLine="1276"/>
                <w:textAlignment w:val="baseline"/>
                <w:rPr>
                  <w:szCs w:val="24"/>
                  <w:lang w:eastAsia="lt-LT"/>
                </w:rPr>
              </w:pPr>
            </w:p>
            <w:sdt>
              <w:sdtPr>
                <w:alias w:val="6 p."/>
                <w:tag w:val="part_af0875d140b44e3aa8ba2e9af52555d6"/>
                <w:lock w:val="sdtLocked"/>
                <w:richText/>
              </w:sdtPr>
              <w:sdtContent>
                <w:p w14:paraId="67A85D29" w14:textId="06D74182">
                  <w:pPr>
                    <w:overflowPunct w:val="0"/>
                    <w:ind w:firstLine="851"/>
                    <w:jc w:val="both"/>
                    <w:textAlignment w:val="center"/>
                    <w:rPr>
                      <w:szCs w:val="24"/>
                    </w:rPr>
                  </w:pPr>
                  <w:sdt>
                    <w:sdtPr>
                      <w:alias w:val="Numeris"/>
                      <w:tag w:val="nr_af0875d140b44e3aa8ba2e9af52555d6"/>
                      <w:lock w:val="sdtLocked"/>
                      <w:richText/>
                    </w:sdtPr>
                    <w:sdtContent>
                      <w:r>
                        <w:rPr>
                          <w:szCs w:val="24"/>
                          <w:lang w:eastAsia="lt-LT"/>
                        </w:rPr>
                        <w:t>6</w:t>
                      </w:r>
                    </w:sdtContent>
                  </w:sdt>
                  <w:r>
                    <w:rPr>
                      <w:szCs w:val="24"/>
                      <w:lang w:eastAsia="lt-LT"/>
                    </w:rPr>
                    <w:t xml:space="preserve">. Lėšos gali būti naudojamos karjeros specialistų </w:t>
                  </w:r>
                  <w:r>
                    <w:rPr>
                      <w:szCs w:val="24"/>
                    </w:rPr>
                    <w:t xml:space="preserve">darbo užmokesčiui, valstybinio socialinio draudimo įmokoms, kitoms su darbo santykiais susijusioms įmokoms, išmokoms ir kompensacijoms mokėti. </w:t>
                  </w:r>
                </w:p>
              </w:sdtContent>
            </w:sdt>
            <w:sdt>
              <w:sdtPr>
                <w:alias w:val="7 p."/>
                <w:tag w:val="part_e544443e613b407f811692100a9e2462"/>
                <w:lock w:val="sdtLocked"/>
                <w:richText/>
              </w:sdtPr>
              <w:sdtContent>
                <w:p w14:paraId="410ACFD3" w14:textId="24BBEC21">
                  <w:pPr>
                    <w:overflowPunct w:val="0"/>
                    <w:ind w:firstLine="851"/>
                    <w:jc w:val="both"/>
                    <w:textAlignment w:val="baseline"/>
                    <w:rPr>
                      <w:szCs w:val="24"/>
                    </w:rPr>
                  </w:pPr>
                  <w:sdt>
                    <w:sdtPr>
                      <w:alias w:val="Numeris"/>
                      <w:tag w:val="nr_e544443e613b407f811692100a9e2462"/>
                      <w:lock w:val="sdtLocked"/>
                      <w:richText/>
                    </w:sdtPr>
                    <w:sdtContent>
                      <w:r>
                        <w:rPr>
                          <w:szCs w:val="24"/>
                        </w:rPr>
                        <w:t>7</w:t>
                      </w:r>
                    </w:sdtContent>
                  </w:sdt>
                  <w:r>
                    <w:rPr>
                      <w:szCs w:val="24"/>
                    </w:rPr>
                    <w:t xml:space="preserve">. Savivaldybė už lėšų panaudojimą Švietimo, mokslo ir sporto ministerijai atsiskaito Lietuvos Respublikos </w:t>
                  </w:r>
                  <w:r>
                    <w:t>Valstybės biudžeto lėšų profesiniam orientavimui apskaičiavimo, paskirstymo ir panaudojimo tvarkos apraše, patvirtintame Lietuvos Respublikos švietimo, mokslo ir sporto ministro 2024 m. sausio 26 d. įsakymu Nr. V-84 „Dėl Lietuvos Respublikos valstybės biudžeto lėšų profesiniam orientavimui apskaičiavimo, paskirstymo ir panaudojimo tvarkos aprašo patvirtinimo“ (toliau – Valstybės biudžeto lėšų profesiniam orientavimui apskaičiavimo, paskirstymo ir panaudojimo tvarkos aprašas), nustatyta</w:t>
                  </w:r>
                  <w:r>
                    <w:rPr>
                      <w:szCs w:val="24"/>
                    </w:rPr>
                    <w:t xml:space="preserve"> tvarka ir terminais.</w:t>
                  </w:r>
                </w:p>
              </w:sdtContent>
            </w:sdt>
            <w:sdt>
              <w:sdtPr>
                <w:alias w:val="8 p."/>
                <w:tag w:val="part_359ac3ee0bcb46ff8ec0d95485a20f52"/>
                <w:lock w:val="sdtLocked"/>
                <w:richText/>
              </w:sdtPr>
              <w:sdtContent>
                <w:p w14:paraId="07F127F3" w14:textId="02E73D30">
                  <w:pPr>
                    <w:overflowPunct w:val="0"/>
                    <w:ind w:firstLine="851"/>
                    <w:jc w:val="both"/>
                    <w:textAlignment w:val="baseline"/>
                    <w:rPr>
                      <w:szCs w:val="24"/>
                    </w:rPr>
                  </w:pPr>
                  <w:sdt>
                    <w:sdtPr>
                      <w:alias w:val="Numeris"/>
                      <w:tag w:val="nr_359ac3ee0bcb46ff8ec0d95485a20f52"/>
                      <w:lock w:val="sdtLocked"/>
                      <w:richText/>
                    </w:sdtPr>
                    <w:sdtContent>
                      <w:r>
                        <w:rPr>
                          <w:szCs w:val="24"/>
                        </w:rPr>
                        <w:t>8</w:t>
                      </w:r>
                    </w:sdtContent>
                  </w:sdt>
                  <w:r>
                    <w:rPr>
                      <w:szCs w:val="24"/>
                    </w:rPr>
                    <w:t xml:space="preserve">. Savivaldybė nepanaudotų lėšų likutį grąžina į </w:t>
                  </w:r>
                  <w:r>
                    <w:t>Valstybės biudžeto lėšų profesiniam orientavimui apskaičiavimo, paskirstymo ir panaudojimo tvarkos aprašo 12.1.4. papunktyje nurodytą banko sąskaitą</w:t>
                  </w:r>
                  <w:r>
                    <w:rPr>
                      <w:lang w:eastAsia="lt-LT"/>
                    </w:rPr>
                    <w:t>.</w:t>
                  </w:r>
                </w:p>
                <w:p w14:paraId="34512D08" w14:textId="77777777">
                  <w:pPr>
                    <w:overflowPunct w:val="0"/>
                    <w:ind w:firstLine="1276"/>
                    <w:textAlignment w:val="baseline"/>
                    <w:rPr>
                      <w:szCs w:val="24"/>
                      <w:lang w:eastAsia="lt-LT"/>
                    </w:rPr>
                  </w:pPr>
                </w:p>
              </w:sdtContent>
            </w:sdt>
          </w:sdtContent>
        </w:sdt>
        <w:sdt>
          <w:sdtPr>
            <w:alias w:val="skyrius"/>
            <w:tag w:val="part_aa25f6b4b97247b594417a8a34f32919"/>
            <w:lock w:val="sdtLocked"/>
            <w:richText/>
          </w:sdtPr>
          <w:sdtContent>
            <w:p w14:paraId="05AE0312" w14:textId="77777777">
              <w:pPr>
                <w:tabs>
                  <w:tab w:val="left" w:pos="2835"/>
                  <w:tab w:val="left" w:pos="3261"/>
                </w:tabs>
                <w:ind w:left="1080" w:hanging="720"/>
                <w:jc w:val="center"/>
                <w:rPr>
                  <w:b/>
                  <w:bCs/>
                  <w:lang w:eastAsia="lt-LT"/>
                </w:rPr>
              </w:pPr>
              <w:sdt>
                <w:sdtPr>
                  <w:alias w:val="Numeris"/>
                  <w:tag w:val="nr_aa25f6b4b97247b594417a8a34f32919"/>
                  <w:lock w:val="sdtLocked"/>
                  <w:richText/>
                </w:sdtPr>
                <w:sdtContent>
                  <w:r>
                    <w:rPr>
                      <w:b/>
                      <w:bCs/>
                      <w:lang w:eastAsia="lt-LT"/>
                    </w:rPr>
                    <w:t>IV</w:t>
                  </w:r>
                </w:sdtContent>
              </w:sdt>
              <w:r>
                <w:rPr>
                  <w:b/>
                  <w:bCs/>
                  <w:lang w:eastAsia="lt-LT"/>
                </w:rPr>
                <w:t xml:space="preserve"> SKYRIUS</w:t>
              </w:r>
            </w:p>
            <w:p w14:paraId="7FB88195" w14:textId="77777777">
              <w:pPr>
                <w:overflowPunct w:val="0"/>
                <w:ind w:firstLine="993"/>
                <w:jc w:val="center"/>
                <w:textAlignment w:val="baseline"/>
                <w:rPr>
                  <w:b/>
                  <w:bCs/>
                  <w:szCs w:val="24"/>
                  <w:lang w:eastAsia="lt-LT"/>
                </w:rPr>
              </w:pPr>
              <w:sdt>
                <w:sdtPr>
                  <w:alias w:val="Pavadinimas"/>
                  <w:tag w:val="title_aa25f6b4b97247b594417a8a34f32919"/>
                  <w:lock w:val="sdtLocked"/>
                  <w:richText/>
                </w:sdtPr>
                <w:sdtContent>
                  <w:r>
                    <w:rPr>
                      <w:b/>
                      <w:bCs/>
                      <w:szCs w:val="24"/>
                      <w:lang w:eastAsia="lt-LT"/>
                    </w:rPr>
                    <w:t>BAIGIAMOSIOS NUOSTATOS</w:t>
                  </w:r>
                </w:sdtContent>
              </w:sdt>
            </w:p>
            <w:p w14:paraId="64502C3C" w14:textId="77777777">
              <w:pPr>
                <w:ind w:firstLine="351"/>
                <w:rPr>
                  <w:szCs w:val="24"/>
                  <w:lang w:eastAsia="lt-LT"/>
                </w:rPr>
              </w:pPr>
            </w:p>
            <w:sdt>
              <w:sdtPr>
                <w:alias w:val="9 p."/>
                <w:tag w:val="part_26c6f670639d426486728221c518d9b7"/>
                <w:lock w:val="sdtLocked"/>
                <w:richText/>
              </w:sdtPr>
              <w:sdtContent>
                <w:p w14:paraId="72BDE46B" w14:textId="10BE9071">
                  <w:pPr>
                    <w:suppressAutoHyphens/>
                    <w:ind w:firstLine="851"/>
                    <w:jc w:val="both"/>
                    <w:textAlignment w:val="center"/>
                    <w:rPr>
                      <w:szCs w:val="24"/>
                      <w:lang w:eastAsia="lt-LT"/>
                    </w:rPr>
                  </w:pPr>
                  <w:sdt>
                    <w:sdtPr>
                      <w:alias w:val="Numeris"/>
                      <w:tag w:val="nr_26c6f670639d426486728221c518d9b7"/>
                      <w:lock w:val="sdtLocked"/>
                      <w:richText/>
                    </w:sdtPr>
                    <w:sdtContent>
                      <w:r>
                        <w:rPr>
                          <w:szCs w:val="24"/>
                          <w:lang w:eastAsia="lt-LT"/>
                        </w:rPr>
                        <w:t>9</w:t>
                      </w:r>
                    </w:sdtContent>
                  </w:sdt>
                  <w:r>
                    <w:rPr>
                      <w:szCs w:val="24"/>
                      <w:lang w:eastAsia="lt-LT"/>
                    </w:rPr>
                    <w:t>. K</w:t>
                  </w:r>
                  <w:r>
                    <w:rPr>
                      <w:szCs w:val="24"/>
                    </w:rPr>
                    <w:t>arjeros specialistų etatų skaičius einamiesiems metams nustatomas pagal Mokinių registro duomenis apie mokinių skaičių praėjusių metų rugsėjo 1 d.</w:t>
                  </w:r>
                </w:p>
              </w:sdtContent>
            </w:sdt>
            <w:sdt>
              <w:sdtPr>
                <w:alias w:val="10 p."/>
                <w:tag w:val="part_e47ba48e34f34074bfa6341401cd3c33"/>
                <w:lock w:val="sdtLocked"/>
                <w:richText/>
              </w:sdtPr>
              <w:sdtContent>
                <w:p w14:paraId="1622CD1B" w14:textId="49A3A91F">
                  <w:pPr>
                    <w:spacing w:line="256" w:lineRule="auto"/>
                    <w:ind w:firstLine="851"/>
                    <w:jc w:val="both"/>
                    <w:rPr>
                      <w:szCs w:val="24"/>
                    </w:rPr>
                  </w:pPr>
                  <w:sdt>
                    <w:sdtPr>
                      <w:alias w:val="Numeris"/>
                      <w:tag w:val="nr_e47ba48e34f34074bfa6341401cd3c33"/>
                      <w:lock w:val="sdtLocked"/>
                      <w:richText/>
                    </w:sdtPr>
                    <w:sdtContent>
                      <w:r>
                        <w:rPr>
                          <w:szCs w:val="24"/>
                        </w:rPr>
                        <w:t>10</w:t>
                      </w:r>
                    </w:sdtContent>
                  </w:sdt>
                  <w:r>
                    <w:rPr>
                      <w:szCs w:val="24"/>
                    </w:rPr>
                    <w:t>. Aprašas keičiamas, pripažįstamas netekusiu galios ar stabdomas jo galiojimas Savivaldybės tarybos sprendimu.</w:t>
                  </w:r>
                </w:p>
                <w:p w14:paraId="49EB0F06" w14:textId="502344A6">
                  <w:pPr>
                    <w:spacing w:line="256" w:lineRule="auto"/>
                    <w:ind w:firstLine="709"/>
                    <w:jc w:val="center"/>
                    <w:rPr>
                      <w:sz w:val="22"/>
                      <w:szCs w:val="22"/>
                    </w:rPr>
                  </w:pPr>
                  <w:r>
                    <w:rPr>
                      <w:sz w:val="22"/>
                      <w:szCs w:val="22"/>
                    </w:rPr>
                    <w:t>____________________________________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5" w:right="567" w:bottom="1140" w:left="1701" w:header="561" w:footer="561"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97E25E" w14:textId="77777777">
      <w:pPr>
        <w:rPr>
          <w:sz w:val="20"/>
          <w:lang w:eastAsia="lt-LT"/>
        </w:rPr>
      </w:pPr>
      <w:r>
        <w:rPr>
          <w:sz w:val="20"/>
          <w:lang w:eastAsia="lt-LT"/>
        </w:rPr>
        <w:separator/>
      </w:r>
    </w:p>
  </w:endnote>
  <w:endnote w:type="continuationSeparator" w:id="0">
    <w:p w14:paraId="59174603" w14:textId="77777777">
      <w:pPr>
        <w:rPr>
          <w:sz w:val="20"/>
          <w:lang w:eastAsia="lt-LT"/>
        </w:rPr>
      </w:pPr>
      <w:r>
        <w:rPr>
          <w:sz w:val="20"/>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algun Gothic">
    <w:altName w:val="맑은 고딕"/>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E6AC4A" w14:textId="77777777">
    <w:pPr>
      <w:tabs>
        <w:tab w:val="center" w:pos="4819"/>
        <w:tab w:val="right" w:pos="9638"/>
      </w:tabs>
      <w:rPr>
        <w:sz w:val="20"/>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5A74F9" w14:textId="77777777">
    <w:pPr>
      <w:tabs>
        <w:tab w:val="center" w:pos="4819"/>
        <w:tab w:val="right" w:pos="9638"/>
      </w:tabs>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C7FBA0" w14:textId="77777777">
    <w:pPr>
      <w:tabs>
        <w:tab w:val="center" w:pos="4819"/>
        <w:tab w:val="right" w:pos="9638"/>
      </w:tabs>
      <w:rPr>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71CBE8" w14:textId="77777777">
      <w:pPr>
        <w:rPr>
          <w:sz w:val="20"/>
          <w:lang w:eastAsia="lt-LT"/>
        </w:rPr>
      </w:pPr>
      <w:r>
        <w:rPr>
          <w:sz w:val="20"/>
          <w:lang w:eastAsia="lt-LT"/>
        </w:rPr>
        <w:separator/>
      </w:r>
    </w:p>
  </w:footnote>
  <w:footnote w:type="continuationSeparator" w:id="0">
    <w:p w14:paraId="2CE101BF" w14:textId="77777777">
      <w:pPr>
        <w:rPr>
          <w:sz w:val="20"/>
          <w:lang w:eastAsia="lt-LT"/>
        </w:rPr>
      </w:pPr>
      <w:r>
        <w:rPr>
          <w:sz w:val="20"/>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C34072" w14:textId="77777777">
    <w:pPr>
      <w:tabs>
        <w:tab w:val="center" w:pos="4819"/>
        <w:tab w:val="right" w:pos="9638"/>
      </w:tabs>
      <w:rPr>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0F69F8" w14:textId="1D63086E">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522DFC58" w14:textId="77777777">
    <w:pPr>
      <w:tabs>
        <w:tab w:val="center" w:pos="4819"/>
        <w:tab w:val="right" w:pos="9638"/>
      </w:tabs>
      <w:rPr>
        <w:sz w:val="20"/>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3C8B54"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8"/>
  <w:hyphenationZone w:val="396"/>
  <w:doNotHyphenateCaps/>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7E1F"/>
  </w:rsids>
  <m:mathPr>
    <m:mathFont m:val="Cambria Math"/>
    <m:brkBin m:val="before"/>
    <m:brkBinSub m:val="--"/>
    <m:smallFrac/>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C483221"/>
  <w15:docId w15:val="{D405276E-5C63-4956-B14B-F76690C71A0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19053404">
      <w:bodyDiv w:val="1"/>
      <w:marLeft w:val="0"/>
      <w:marRight w:val="0"/>
      <w:marTop w:val="0"/>
      <w:marBottom w:val="0"/>
      <w:divBdr>
        <w:top w:val="none" w:sz="0" w:space="0" w:color="auto"/>
        <w:left w:val="none" w:sz="0" w:space="0" w:color="auto"/>
        <w:bottom w:val="none" w:sz="0" w:space="0" w:color="auto"/>
        <w:right w:val="none" w:sz="0" w:space="0" w:color="auto"/>
      </w:divBdr>
    </w:div>
    <w:div w:id="285354584">
      <w:bodyDiv w:val="1"/>
      <w:marLeft w:val="0"/>
      <w:marRight w:val="0"/>
      <w:marTop w:val="0"/>
      <w:marBottom w:val="0"/>
      <w:divBdr>
        <w:top w:val="none" w:sz="0" w:space="0" w:color="auto"/>
        <w:left w:val="none" w:sz="0" w:space="0" w:color="auto"/>
        <w:bottom w:val="none" w:sz="0" w:space="0" w:color="auto"/>
        <w:right w:val="none" w:sz="0" w:space="0" w:color="auto"/>
      </w:divBdr>
    </w:div>
    <w:div w:id="542443348">
      <w:bodyDiv w:val="1"/>
      <w:marLeft w:val="0"/>
      <w:marRight w:val="0"/>
      <w:marTop w:val="0"/>
      <w:marBottom w:val="0"/>
      <w:divBdr>
        <w:top w:val="none" w:sz="0" w:space="0" w:color="auto"/>
        <w:left w:val="none" w:sz="0" w:space="0" w:color="auto"/>
        <w:bottom w:val="none" w:sz="0" w:space="0" w:color="auto"/>
        <w:right w:val="none" w:sz="0" w:space="0" w:color="auto"/>
      </w:divBdr>
    </w:div>
    <w:div w:id="630207811">
      <w:bodyDiv w:val="1"/>
      <w:marLeft w:val="0"/>
      <w:marRight w:val="0"/>
      <w:marTop w:val="0"/>
      <w:marBottom w:val="0"/>
      <w:divBdr>
        <w:top w:val="none" w:sz="0" w:space="0" w:color="auto"/>
        <w:left w:val="none" w:sz="0" w:space="0" w:color="auto"/>
        <w:bottom w:val="none" w:sz="0" w:space="0" w:color="auto"/>
        <w:right w:val="none" w:sz="0" w:space="0" w:color="auto"/>
      </w:divBdr>
      <w:divsChild>
        <w:div w:id="678702941">
          <w:marLeft w:val="0"/>
          <w:marRight w:val="0"/>
          <w:marTop w:val="0"/>
          <w:marBottom w:val="0"/>
          <w:divBdr>
            <w:top w:val="none" w:sz="0" w:space="0" w:color="auto"/>
            <w:left w:val="none" w:sz="0" w:space="0" w:color="auto"/>
            <w:bottom w:val="none" w:sz="0" w:space="0" w:color="auto"/>
            <w:right w:val="none" w:sz="0" w:space="0" w:color="auto"/>
          </w:divBdr>
          <w:divsChild>
            <w:div w:id="1166895486">
              <w:marLeft w:val="0"/>
              <w:marRight w:val="0"/>
              <w:marTop w:val="0"/>
              <w:marBottom w:val="0"/>
              <w:divBdr>
                <w:top w:val="none" w:sz="0" w:space="0" w:color="auto"/>
                <w:left w:val="none" w:sz="0" w:space="0" w:color="auto"/>
                <w:bottom w:val="none" w:sz="0" w:space="0" w:color="auto"/>
                <w:right w:val="none" w:sz="0" w:space="0" w:color="auto"/>
              </w:divBdr>
              <w:divsChild>
                <w:div w:id="344284298">
                  <w:marLeft w:val="0"/>
                  <w:marRight w:val="0"/>
                  <w:marTop w:val="0"/>
                  <w:marBottom w:val="0"/>
                  <w:divBdr>
                    <w:top w:val="none" w:sz="0" w:space="0" w:color="auto"/>
                    <w:left w:val="none" w:sz="0" w:space="0" w:color="auto"/>
                    <w:bottom w:val="none" w:sz="0" w:space="0" w:color="auto"/>
                    <w:right w:val="none" w:sz="0" w:space="0" w:color="auto"/>
                  </w:divBdr>
                  <w:divsChild>
                    <w:div w:id="354427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1155860">
      <w:bodyDiv w:val="1"/>
      <w:marLeft w:val="0"/>
      <w:marRight w:val="0"/>
      <w:marTop w:val="0"/>
      <w:marBottom w:val="0"/>
      <w:divBdr>
        <w:top w:val="none" w:sz="0" w:space="0" w:color="auto"/>
        <w:left w:val="none" w:sz="0" w:space="0" w:color="auto"/>
        <w:bottom w:val="none" w:sz="0" w:space="0" w:color="auto"/>
        <w:right w:val="none" w:sz="0" w:space="0" w:color="auto"/>
      </w:divBdr>
    </w:div>
    <w:div w:id="785197126">
      <w:bodyDiv w:val="1"/>
      <w:marLeft w:val="0"/>
      <w:marRight w:val="0"/>
      <w:marTop w:val="0"/>
      <w:marBottom w:val="0"/>
      <w:divBdr>
        <w:top w:val="none" w:sz="0" w:space="0" w:color="auto"/>
        <w:left w:val="none" w:sz="0" w:space="0" w:color="auto"/>
        <w:bottom w:val="none" w:sz="0" w:space="0" w:color="auto"/>
        <w:right w:val="none" w:sz="0" w:space="0" w:color="auto"/>
      </w:divBdr>
    </w:div>
    <w:div w:id="960114626">
      <w:bodyDiv w:val="1"/>
      <w:marLeft w:val="0"/>
      <w:marRight w:val="0"/>
      <w:marTop w:val="0"/>
      <w:marBottom w:val="0"/>
      <w:divBdr>
        <w:top w:val="none" w:sz="0" w:space="0" w:color="auto"/>
        <w:left w:val="none" w:sz="0" w:space="0" w:color="auto"/>
        <w:bottom w:val="none" w:sz="0" w:space="0" w:color="auto"/>
        <w:right w:val="none" w:sz="0" w:space="0" w:color="auto"/>
      </w:divBdr>
    </w:div>
    <w:div w:id="966425545">
      <w:bodyDiv w:val="1"/>
      <w:marLeft w:val="0"/>
      <w:marRight w:val="0"/>
      <w:marTop w:val="0"/>
      <w:marBottom w:val="0"/>
      <w:divBdr>
        <w:top w:val="none" w:sz="0" w:space="0" w:color="auto"/>
        <w:left w:val="none" w:sz="0" w:space="0" w:color="auto"/>
        <w:bottom w:val="none" w:sz="0" w:space="0" w:color="auto"/>
        <w:right w:val="none" w:sz="0" w:space="0" w:color="auto"/>
      </w:divBdr>
    </w:div>
    <w:div w:id="1084690656">
      <w:bodyDiv w:val="1"/>
      <w:marLeft w:val="0"/>
      <w:marRight w:val="0"/>
      <w:marTop w:val="0"/>
      <w:marBottom w:val="0"/>
      <w:divBdr>
        <w:top w:val="none" w:sz="0" w:space="0" w:color="auto"/>
        <w:left w:val="none" w:sz="0" w:space="0" w:color="auto"/>
        <w:bottom w:val="none" w:sz="0" w:space="0" w:color="auto"/>
        <w:right w:val="none" w:sz="0" w:space="0" w:color="auto"/>
      </w:divBdr>
    </w:div>
    <w:div w:id="1102991757">
      <w:bodyDiv w:val="1"/>
      <w:marLeft w:val="0"/>
      <w:marRight w:val="0"/>
      <w:marTop w:val="0"/>
      <w:marBottom w:val="0"/>
      <w:divBdr>
        <w:top w:val="none" w:sz="0" w:space="0" w:color="auto"/>
        <w:left w:val="none" w:sz="0" w:space="0" w:color="auto"/>
        <w:bottom w:val="none" w:sz="0" w:space="0" w:color="auto"/>
        <w:right w:val="none" w:sz="0" w:space="0" w:color="auto"/>
      </w:divBdr>
    </w:div>
    <w:div w:id="1143814616">
      <w:bodyDiv w:val="1"/>
      <w:marLeft w:val="0"/>
      <w:marRight w:val="0"/>
      <w:marTop w:val="0"/>
      <w:marBottom w:val="0"/>
      <w:divBdr>
        <w:top w:val="none" w:sz="0" w:space="0" w:color="auto"/>
        <w:left w:val="none" w:sz="0" w:space="0" w:color="auto"/>
        <w:bottom w:val="none" w:sz="0" w:space="0" w:color="auto"/>
        <w:right w:val="none" w:sz="0" w:space="0" w:color="auto"/>
      </w:divBdr>
    </w:div>
    <w:div w:id="1207644304">
      <w:bodyDiv w:val="1"/>
      <w:marLeft w:val="0"/>
      <w:marRight w:val="0"/>
      <w:marTop w:val="0"/>
      <w:marBottom w:val="0"/>
      <w:divBdr>
        <w:top w:val="none" w:sz="0" w:space="0" w:color="auto"/>
        <w:left w:val="none" w:sz="0" w:space="0" w:color="auto"/>
        <w:bottom w:val="none" w:sz="0" w:space="0" w:color="auto"/>
        <w:right w:val="none" w:sz="0" w:space="0" w:color="auto"/>
      </w:divBdr>
    </w:div>
    <w:div w:id="1290626010">
      <w:bodyDiv w:val="1"/>
      <w:marLeft w:val="0"/>
      <w:marRight w:val="0"/>
      <w:marTop w:val="0"/>
      <w:marBottom w:val="0"/>
      <w:divBdr>
        <w:top w:val="none" w:sz="0" w:space="0" w:color="auto"/>
        <w:left w:val="none" w:sz="0" w:space="0" w:color="auto"/>
        <w:bottom w:val="none" w:sz="0" w:space="0" w:color="auto"/>
        <w:right w:val="none" w:sz="0" w:space="0" w:color="auto"/>
      </w:divBdr>
    </w:div>
    <w:div w:id="1592928246">
      <w:bodyDiv w:val="1"/>
      <w:marLeft w:val="0"/>
      <w:marRight w:val="0"/>
      <w:marTop w:val="0"/>
      <w:marBottom w:val="0"/>
      <w:divBdr>
        <w:top w:val="none" w:sz="0" w:space="0" w:color="auto"/>
        <w:left w:val="none" w:sz="0" w:space="0" w:color="auto"/>
        <w:bottom w:val="none" w:sz="0" w:space="0" w:color="auto"/>
        <w:right w:val="none" w:sz="0" w:space="0" w:color="auto"/>
      </w:divBdr>
    </w:div>
    <w:div w:id="1687242762">
      <w:bodyDiv w:val="1"/>
      <w:marLeft w:val="0"/>
      <w:marRight w:val="0"/>
      <w:marTop w:val="0"/>
      <w:marBottom w:val="0"/>
      <w:divBdr>
        <w:top w:val="none" w:sz="0" w:space="0" w:color="auto"/>
        <w:left w:val="none" w:sz="0" w:space="0" w:color="auto"/>
        <w:bottom w:val="none" w:sz="0" w:space="0" w:color="auto"/>
        <w:right w:val="none" w:sz="0" w:space="0" w:color="auto"/>
      </w:divBdr>
    </w:div>
    <w:div w:id="1816339722">
      <w:bodyDiv w:val="1"/>
      <w:marLeft w:val="0"/>
      <w:marRight w:val="0"/>
      <w:marTop w:val="0"/>
      <w:marBottom w:val="0"/>
      <w:divBdr>
        <w:top w:val="none" w:sz="0" w:space="0" w:color="auto"/>
        <w:left w:val="none" w:sz="0" w:space="0" w:color="auto"/>
        <w:bottom w:val="none" w:sz="0" w:space="0" w:color="auto"/>
        <w:right w:val="none" w:sz="0" w:space="0" w:color="auto"/>
      </w:divBdr>
    </w:div>
    <w:div w:id="1991666503">
      <w:bodyDiv w:val="1"/>
      <w:marLeft w:val="0"/>
      <w:marRight w:val="0"/>
      <w:marTop w:val="0"/>
      <w:marBottom w:val="0"/>
      <w:divBdr>
        <w:top w:val="none" w:sz="0" w:space="0" w:color="auto"/>
        <w:left w:val="none" w:sz="0" w:space="0" w:color="auto"/>
        <w:bottom w:val="none" w:sz="0" w:space="0" w:color="auto"/>
        <w:right w:val="none" w:sz="0" w:space="0" w:color="auto"/>
      </w:divBdr>
    </w:div>
    <w:div w:id="2022900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297092557c5341a696889d7906f929ba" PartId="279e0d44d19c417eb6b1236c9293baa4"/>
  <Part Type="patvirtinta" Title="LĖŠŲ KARJEROS SPECIALISTŲ ETATAMS FINANSUOTI ŠIAULIŲ MIESTO SAVIVALDYBĖS ŠVIETIMO ĮSTAIGOSE IR NEVALSTYBINĖSE MOKYKLOSE PASKIRSTYMO IR PANAUDOJIMO TVARKOS APRAŠAS" DocPartId="1334477a62154588880aebb2c9fb1271" PartId="64bc6b0a3f3a4b10a902c2f65d58a064">
    <Part Type="skyrius" Nr="1" Title="BENDROSIOS NUOSTATOS" DocPartId="97ec1f050196418fa435b9a765440505" PartId="451104ee8fc041169475efc3ee35f780">
      <Part Type="punktas" Nr="1" Abbr="1 p." DocPartId="d8ca145b4314441282c3bb8e9c1f4c6c" PartId="2299d325e08a4bca83dc8064f8cc73ba"/>
      <Part Type="punktas" Nr="2" Abbr="2 p." DocPartId="a118754bca4d47deb481f5e7413ae462" PartId="735a798128094e17954480c45a8b3a23"/>
      <Part Type="punktas" Nr="3" Abbr="3 p." DocPartId="87f87f0a36f1423d8b39873d8ee78664" PartId="16168cc8cba24b31acb17993256f4e17"/>
    </Part>
    <Part Type="skyrius" Nr="2" Title="LĖŠŲ PASKIRSTYMAS" DocPartId="6a2f0ff915cb42f7b205daa0a2fe880f" PartId="3daa189dad6542989e74acde6de171b5">
      <Part Type="punktas" Nr="4" Abbr="4 p." DocPartId="28c53746f5324f04a6602d9c046a750d" PartId="12a73f61c22142e2b9f2328c982ea63b">
        <Part Type="papunktis" Nr="4.1" Abbr="4.1 pp." DocPartId="960d70a0f2bf4035b06f51cf7e324915" PartId="2a2332ce71284fb3969c7c134568db10"/>
        <Part Type="papunktis" Nr="4.2" Abbr="4.2 pp." DocPartId="359d81827e7b4b5e82d18b4b3ec6b51c" PartId="fd4ed7bd304b4cc8a5172d5e5cff753d"/>
        <Part Type="papunktis" Nr="4.3" Abbr="4.3 pp." DocPartId="643e61f524604a2a927b0c1fd213c3e0" PartId="c0389d448812487ea6b5b7a5321eb890"/>
      </Part>
      <Part Type="punktas" Nr="5" Abbr="5 p." DocPartId="1d4993b79eff41ed88c62d94dbbaee61" PartId="241d6d2c33d64e319e8e682b1cca5628"/>
    </Part>
    <Part Type="skyrius" Nr="3" Title="LĖŠŲ NAUDOJIMAS IR ATSISKAITYMAS" DocPartId="e5a1396ae5f243f19b1d5588b43c275c" PartId="0c8152c02cfa4c21974227a839a52f27">
      <Part Type="punktas" Nr="6" Abbr="6 p." DocPartId="3cb4b2e2f77348519cc0cb218474002b" PartId="af0875d140b44e3aa8ba2e9af52555d6"/>
      <Part Type="punktas" Nr="7" Abbr="7 p." DocPartId="e766f81e32684e0babb6fbbc89b29cfc" PartId="e544443e613b407f811692100a9e2462"/>
      <Part Type="punktas" Nr="8" Abbr="8 p." DocPartId="5f6c198edfdf4d068f2865d134740ab8" PartId="359ac3ee0bcb46ff8ec0d95485a20f52"/>
    </Part>
    <Part Type="skyrius" Nr="4" Title="BAIGIAMOSIOS NUOSTATOS" DocPartId="d99c72a806d148179d4e9c00fd23d7b3" PartId="aa25f6b4b97247b594417a8a34f32919">
      <Part Type="punktas" Nr="9" Abbr="9 p." DocPartId="edca46cf56004db09ea5f03e22f1e7c5" PartId="26c6f670639d426486728221c518d9b7"/>
      <Part Type="punktas" Nr="10" Abbr="10 p." DocPartId="d6ca55e5c0104daeac7c816b12899082" PartId="e47ba48e34f34074bfa6341401cd3c33"/>
    </Part>
  </Part>
</Parts>
</file>

<file path=customXml/itemProps1.xml><?xml version="1.0" encoding="utf-8"?>
<ds:datastoreItem xmlns:ds="http://schemas.openxmlformats.org/officeDocument/2006/customXml" ds:itemID="{E7C9E735-FB64-4810-9100-5336A2789437}">
  <ds:schemaRefs>
    <ds:schemaRef ds:uri="http://schemas.openxmlformats.org/officeDocument/2006/bibliography"/>
  </ds:schemaRefs>
</ds:datastoreItem>
</file>

<file path=customXml/itemProps2.xml><?xml version="1.0" encoding="utf-8"?>
<ds:datastoreItem xmlns:ds="http://schemas.openxmlformats.org/officeDocument/2006/customXml" ds:itemID="{1E4C5129-EC92-4236-BE9D-C9EBC0898D7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400</Words>
  <Characters>3004</Characters>
  <Application>Microsoft Office Word</Application>
  <DocSecurity>4</DocSecurity>
  <Lines>62</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Svietimo ir Mokslo Ministerija</Company>
  <LinksUpToDate>false</LinksUpToDate>
  <CharactersWithSpaces>3375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2024-02-14T09:12:00Z</dcterms:created>
  <dc:creator>Svietimo ir Mokslo</dc:creator>
  <lastModifiedBy>adlibuser</lastModifiedBy>
  <lastPrinted>2024-02-06T14:22:00Z</lastPrinted>
  <dcterms:modified xsi:type="dcterms:W3CDTF">2024-02-14T09:12:00Z</dcterms:modified>
  <revision>2</revision>
</coreProperties>
</file>