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72c1b50a2794d6b91ce7df177afd670"/>
        <w:lock w:val="sdtLocked"/>
        <w:richText/>
      </w:sdtPr>
      <w:sdtContent>
        <w:p>
          <w:pPr>
            <w:jc w:val="center"/>
            <w:rPr>
              <w:b/>
              <w:caps/>
              <w:color w:val="333333"/>
              <w:szCs w:val="24"/>
              <w:shd w:val="clear" w:color="auto" w:fill="FFFFFF"/>
            </w:rPr>
          </w:pPr>
          <w:r>
            <w:rPr>
              <w:b/>
              <w:caps/>
              <w:color w:val="333333"/>
              <w:szCs w:val="24"/>
              <w:shd w:val="clear" w:color="auto" w:fill="FFFFFF"/>
            </w:rPr>
            <w:t xml:space="preserve">Lietuvos Respublikos </w:t>
          </w:r>
        </w:p>
        <w:p>
          <w:pPr>
            <w:jc w:val="center"/>
            <w:rPr>
              <w:b/>
              <w:color w:val="000000"/>
              <w:szCs w:val="24"/>
              <w:lang w:val="en-US"/>
            </w:rPr>
          </w:pPr>
          <w:r>
            <w:rPr>
              <w:b/>
              <w:caps/>
              <w:color w:val="333333"/>
              <w:szCs w:val="24"/>
              <w:shd w:val="clear" w:color="auto" w:fill="FFFFFF"/>
            </w:rPr>
            <w:t xml:space="preserve">administracinių nusižengimų kodekso </w:t>
          </w:r>
          <w:r>
            <w:rPr>
              <w:b/>
              <w:color w:val="333333"/>
              <w:szCs w:val="24"/>
              <w:shd w:val="clear" w:color="auto" w:fill="FFFFFF"/>
            </w:rPr>
            <w:t>264</w:t>
          </w:r>
          <w:r>
            <w:rPr>
              <w:b/>
              <w:szCs w:val="24"/>
            </w:rPr>
            <w:t xml:space="preserve"> </w:t>
          </w:r>
          <w:r>
            <w:rPr>
              <w:b/>
              <w:caps/>
              <w:color w:val="000000"/>
              <w:szCs w:val="24"/>
            </w:rPr>
            <w:t xml:space="preserve">STRAIPSNIO </w:t>
          </w:r>
        </w:p>
        <w:p>
          <w:pPr>
            <w:spacing w:line="259" w:lineRule="auto"/>
            <w:jc w:val="center"/>
            <w:rPr>
              <w:b/>
              <w:bCs/>
              <w:color w:val="000000"/>
              <w:szCs w:val="24"/>
              <w:shd w:val="clear" w:color="auto" w:fill="FFFFFF"/>
            </w:rPr>
          </w:pPr>
          <w:r>
            <w:rPr>
              <w:b/>
              <w:bCs/>
              <w:color w:val="000000"/>
              <w:szCs w:val="24"/>
              <w:shd w:val="clear" w:color="auto" w:fill="FFFFFF"/>
            </w:rPr>
            <w:t>PAKEITIMO ĮSTATYMO PROJEKTO</w:t>
          </w:r>
        </w:p>
        <w:p>
          <w:pPr>
            <w:shd w:val="clear" w:color="auto" w:fill="FFFFFF"/>
            <w:ind w:right="99"/>
            <w:jc w:val="center"/>
            <w:rPr>
              <w:b/>
              <w:bCs/>
              <w:szCs w:val="24"/>
              <w:lang w:eastAsia="lt-LT"/>
            </w:rPr>
          </w:pPr>
          <w:r>
            <w:rPr>
              <w:b/>
              <w:bCs/>
              <w:szCs w:val="24"/>
              <w:lang w:eastAsia="lt-LT"/>
            </w:rPr>
            <w:t>AIŠKINAMASIS RAŠTAS</w:t>
          </w:r>
        </w:p>
        <w:p>
          <w:pPr>
            <w:shd w:val="clear" w:color="auto" w:fill="FFFFFF"/>
            <w:ind w:right="99"/>
            <w:rPr>
              <w:szCs w:val="24"/>
              <w:lang w:eastAsia="lt-LT"/>
            </w:rPr>
          </w:pPr>
        </w:p>
        <w:p>
          <w:pPr>
            <w:shd w:val="clear" w:color="auto" w:fill="FFFFFF"/>
            <w:ind w:firstLine="62"/>
            <w:rPr>
              <w:szCs w:val="24"/>
              <w:lang w:eastAsia="lt-LT"/>
            </w:rPr>
          </w:pPr>
        </w:p>
        <w:sdt>
          <w:sdtPr>
            <w:alias w:val="1 p."/>
            <w:tag w:val="part_7285ec60d55a4c91b2a73f5f22784d83"/>
            <w:lock w:val="sdtLocked"/>
            <w:richText/>
          </w:sdtPr>
          <w:sdtContent>
            <w:p>
              <w:pPr>
                <w:shd w:val="clear" w:color="auto" w:fill="FFFFFF"/>
                <w:spacing w:line="259" w:lineRule="auto"/>
                <w:ind w:left="927" w:hanging="360"/>
                <w:jc w:val="both"/>
                <w:rPr>
                  <w:b/>
                  <w:bCs/>
                  <w:sz w:val="22"/>
                  <w:szCs w:val="24"/>
                  <w:lang w:eastAsia="lt-LT"/>
                </w:rPr>
              </w:pPr>
              <w:sdt>
                <w:sdtPr>
                  <w:alias w:val="Numeris"/>
                  <w:tag w:val="nr_7285ec60d55a4c91b2a73f5f22784d83"/>
                  <w:lock w:val="sdtLocked"/>
                  <w:richText/>
                </w:sdtPr>
                <w:sdtContent>
                  <w:r>
                    <w:rPr>
                      <w:b/>
                      <w:bCs/>
                      <w:szCs w:val="24"/>
                      <w:lang w:eastAsia="lt-LT"/>
                    </w:rPr>
                    <w:t>1</w:t>
                  </w:r>
                </w:sdtContent>
              </w:sdt>
              <w:r>
                <w:rPr>
                  <w:b/>
                  <w:bCs/>
                  <w:szCs w:val="24"/>
                  <w:lang w:eastAsia="lt-LT"/>
                </w:rPr>
                <w:t>.</w:t>
                <w:tab/>
              </w:r>
              <w:r>
                <w:rPr>
                  <w:b/>
                  <w:bCs/>
                  <w:sz w:val="22"/>
                  <w:szCs w:val="24"/>
                  <w:lang w:eastAsia="lt-LT"/>
                </w:rPr>
                <w:t>Įstatymo projekto rengimą paskatinusios priežastys, parengto projekto tikslai ir uždaviniai</w:t>
              </w:r>
            </w:p>
            <w:p>
              <w:pPr>
                <w:rPr>
                  <w:sz w:val="14"/>
                  <w:szCs w:val="14"/>
                </w:rPr>
              </w:pPr>
            </w:p>
            <w:p>
              <w:pPr>
                <w:spacing w:line="259" w:lineRule="auto"/>
                <w:ind w:firstLine="248"/>
                <w:jc w:val="center"/>
                <w:rPr>
                  <w:b/>
                  <w:bCs/>
                  <w:color w:val="000000"/>
                  <w:szCs w:val="24"/>
                  <w:shd w:val="clear" w:color="auto" w:fill="FFFFFF"/>
                </w:rPr>
              </w:pPr>
            </w:p>
            <w:p>
              <w:pPr>
                <w:spacing w:line="276" w:lineRule="auto"/>
                <w:ind w:firstLine="567"/>
                <w:jc w:val="both"/>
                <w:rPr>
                  <w:color w:val="000000"/>
                  <w:szCs w:val="24"/>
                </w:rPr>
              </w:pPr>
              <w:r>
                <w:rPr>
                  <w:color w:val="000000"/>
                  <w:szCs w:val="24"/>
                </w:rPr>
                <w:t xml:space="preserve">Administracinių nusižengimų kodekso 264 straipsnio pakeitimą paskatino visuomenės pasipiktinimas dėl fizinių ar juridinių nekilnojamojo turto savininkų užtvertų priėjimų prie vandens telkinių.  </w:t>
              </w:r>
            </w:p>
            <w:p>
              <w:pPr>
                <w:spacing w:line="276" w:lineRule="auto"/>
                <w:ind w:firstLine="567"/>
                <w:jc w:val="both"/>
                <w:rPr>
                  <w:color w:val="333333"/>
                  <w:szCs w:val="24"/>
                  <w:shd w:val="clear" w:color="auto" w:fill="FFFFFF"/>
                </w:rPr>
              </w:pPr>
              <w:r>
                <w:rPr>
                  <w:color w:val="333333"/>
                  <w:szCs w:val="24"/>
                  <w:shd w:val="clear" w:color="auto" w:fill="FFFFFF"/>
                </w:rPr>
                <w:t xml:space="preserve">Tvoros prie ežerų, upių ne tik trukdo žmonėms ilsėtis, bet ir laisvai judėti vandens telkinio pakrante. </w:t>
              </w:r>
            </w:p>
            <w:p>
              <w:pPr>
                <w:spacing w:line="276" w:lineRule="auto"/>
                <w:ind w:firstLine="567"/>
                <w:jc w:val="both"/>
                <w:rPr>
                  <w:szCs w:val="24"/>
                </w:rPr>
              </w:pPr>
              <w:r>
                <w:rPr>
                  <w:color w:val="000000"/>
                  <w:szCs w:val="24"/>
                </w:rPr>
                <w:t xml:space="preserve">Remiantis, Aplinkos apsaugos departamento gautų pranešimų statistika, per 2020 metus gauti mažiausiai 328 pranešimai apie </w:t>
              </w:r>
              <w:r>
                <w:rPr>
                  <w:szCs w:val="24"/>
                </w:rPr>
                <w:t xml:space="preserve">pakrantės apsaugos juostų pažeidimus. Ypatingai pranešimų skaičius išauga vasaros mėnesiais, kai prie vandens telkinių norintys poilsiaujanti asmenys, aptinka tvoras, kurios užkerta jiems patekimą prie vandens telkinio. </w:t>
              </w:r>
            </w:p>
            <w:p>
              <w:pPr>
                <w:spacing w:line="276" w:lineRule="auto"/>
                <w:ind w:firstLine="567"/>
                <w:jc w:val="both"/>
                <w:rPr>
                  <w:color w:val="000000"/>
                  <w:szCs w:val="24"/>
                </w:rPr>
              </w:pPr>
              <w:r>
                <w:rPr>
                  <w:szCs w:val="24"/>
                </w:rPr>
                <w:t xml:space="preserve">Dažnai atvykus aplinkos apsaugos valstybinės kontrolės pareigūnui, tvoras įrengę asmenys vengia šalinti nelegalias tvoras arba susimoka baudas, tvoras nugriauna, tačiau po kurio laiko jas  vėl atstato. </w:t>
              </w:r>
            </w:p>
            <w:p>
              <w:pPr>
                <w:shd w:val="clear" w:color="auto" w:fill="FFFFFF"/>
                <w:spacing w:line="276" w:lineRule="auto"/>
                <w:ind w:firstLine="720"/>
                <w:jc w:val="both"/>
                <w:rPr>
                  <w:bCs/>
                  <w:color w:val="222222"/>
                  <w:szCs w:val="24"/>
                </w:rPr>
              </w:pPr>
              <w:r>
                <w:rPr>
                  <w:color w:val="000000"/>
                  <w:szCs w:val="24"/>
                </w:rPr>
                <w:t xml:space="preserve">Projekto tikslas – užtikrinti laisvą priėjimą prie vandens telkinių ir sugriežtinti atsakomybę už </w:t>
              </w:r>
              <w:r>
                <w:rPr>
                  <w:bCs/>
                  <w:color w:val="000000"/>
                  <w:szCs w:val="24"/>
                </w:rPr>
                <w:t xml:space="preserve">paviršinių vandens telkinių apsaugos zonų ar pakrančių apsaugos juostų apsaugos ir naudojimo režimo pažeidimą tveriant tvoras ar kitaip ribojant praėjimą. </w:t>
              </w:r>
            </w:p>
            <w:p>
              <w:pPr>
                <w:spacing w:line="276" w:lineRule="auto"/>
                <w:ind w:firstLine="567"/>
                <w:jc w:val="both"/>
                <w:rPr>
                  <w:color w:val="000000"/>
                  <w:szCs w:val="24"/>
                </w:rPr>
              </w:pPr>
            </w:p>
            <w:p>
              <w:pPr>
                <w:shd w:val="clear" w:color="auto" w:fill="FFFFFF"/>
                <w:jc w:val="both"/>
                <w:rPr>
                  <w:spacing w:val="14"/>
                  <w:szCs w:val="24"/>
                  <w:shd w:val="clear" w:color="auto" w:fill="FFFFFF"/>
                </w:rPr>
              </w:pPr>
            </w:p>
          </w:sdtContent>
        </w:sdt>
        <w:sdt>
          <w:sdtPr>
            <w:alias w:val="2 p."/>
            <w:tag w:val="part_aa7644293d8845ae8808028c90bfd066"/>
            <w:lock w:val="sdtLocked"/>
            <w:richText/>
          </w:sdtPr>
          <w:sdtContent>
            <w:p>
              <w:pPr>
                <w:shd w:val="clear" w:color="auto" w:fill="FFFFFF"/>
                <w:spacing w:line="259" w:lineRule="auto"/>
                <w:ind w:left="927" w:hanging="360"/>
                <w:jc w:val="both"/>
                <w:rPr>
                  <w:b/>
                  <w:bCs/>
                  <w:sz w:val="22"/>
                  <w:szCs w:val="24"/>
                  <w:lang w:eastAsia="lt-LT"/>
                </w:rPr>
              </w:pPr>
              <w:sdt>
                <w:sdtPr>
                  <w:alias w:val="Numeris"/>
                  <w:tag w:val="nr_aa7644293d8845ae8808028c90bfd066"/>
                  <w:lock w:val="sdtLocked"/>
                  <w:richText/>
                </w:sdtPr>
                <w:sdtContent>
                  <w:r>
                    <w:rPr>
                      <w:b/>
                      <w:bCs/>
                      <w:szCs w:val="24"/>
                      <w:lang w:eastAsia="lt-LT"/>
                    </w:rPr>
                    <w:t>2</w:t>
                  </w:r>
                </w:sdtContent>
              </w:sdt>
              <w:r>
                <w:rPr>
                  <w:b/>
                  <w:bCs/>
                  <w:szCs w:val="24"/>
                  <w:lang w:eastAsia="lt-LT"/>
                </w:rPr>
                <w:t>.</w:t>
                <w:tab/>
              </w:r>
              <w:r>
                <w:rPr>
                  <w:b/>
                  <w:bCs/>
                  <w:sz w:val="22"/>
                  <w:szCs w:val="24"/>
                  <w:lang w:eastAsia="lt-LT"/>
                </w:rPr>
                <w:t>Įstatymo projekto iniciatoriai (institucija, asmenys ar piliečių įgalioti atstovai) ir rengėjai</w:t>
              </w:r>
            </w:p>
            <w:p>
              <w:pPr>
                <w:rPr>
                  <w:sz w:val="14"/>
                  <w:szCs w:val="14"/>
                </w:rPr>
              </w:pPr>
            </w:p>
            <w:p>
              <w:pPr>
                <w:shd w:val="clear" w:color="auto" w:fill="FFFFFF"/>
                <w:ind w:left="927"/>
                <w:jc w:val="both"/>
                <w:rPr>
                  <w:szCs w:val="24"/>
                  <w:lang w:eastAsia="lt-LT"/>
                </w:rPr>
              </w:pPr>
            </w:p>
            <w:p>
              <w:pPr>
                <w:shd w:val="clear" w:color="auto" w:fill="FFFFFF"/>
                <w:ind w:firstLine="558"/>
                <w:jc w:val="both"/>
                <w:rPr>
                  <w:szCs w:val="24"/>
                  <w:lang w:eastAsia="lt-LT"/>
                </w:rPr>
              </w:pPr>
              <w:r>
                <w:rPr>
                  <w:szCs w:val="24"/>
                  <w:lang w:eastAsia="lt-LT"/>
                </w:rPr>
                <w:t>Įstatymo projekto iniciatorius – Lietuvos Respublikos Seimo narys Linas Jonauskas.</w:t>
              </w:r>
            </w:p>
            <w:p>
              <w:pPr>
                <w:shd w:val="clear" w:color="auto" w:fill="FFFFFF"/>
                <w:ind w:firstLine="62"/>
                <w:jc w:val="both"/>
                <w:rPr>
                  <w:szCs w:val="24"/>
                  <w:lang w:eastAsia="lt-LT"/>
                </w:rPr>
              </w:pPr>
            </w:p>
          </w:sdtContent>
        </w:sdt>
        <w:sdt>
          <w:sdtPr>
            <w:alias w:val="3 p."/>
            <w:tag w:val="part_7a038194d9f949b3ba6927769cd9cbff"/>
            <w:lock w:val="sdtLocked"/>
            <w:richText/>
          </w:sdtPr>
          <w:sdtContent>
            <w:p>
              <w:pPr>
                <w:shd w:val="clear" w:color="auto" w:fill="FFFFFF"/>
                <w:spacing w:line="259" w:lineRule="auto"/>
                <w:ind w:left="927" w:hanging="360"/>
                <w:jc w:val="both"/>
                <w:rPr>
                  <w:b/>
                  <w:bCs/>
                  <w:sz w:val="22"/>
                  <w:szCs w:val="24"/>
                  <w:lang w:eastAsia="lt-LT"/>
                </w:rPr>
              </w:pPr>
              <w:sdt>
                <w:sdtPr>
                  <w:alias w:val="Numeris"/>
                  <w:tag w:val="nr_7a038194d9f949b3ba6927769cd9cbff"/>
                  <w:lock w:val="sdtLocked"/>
                  <w:richText/>
                </w:sdtPr>
                <w:sdtContent>
                  <w:r>
                    <w:rPr>
                      <w:b/>
                      <w:bCs/>
                      <w:szCs w:val="24"/>
                      <w:lang w:eastAsia="lt-LT"/>
                    </w:rPr>
                    <w:t>3</w:t>
                  </w:r>
                </w:sdtContent>
              </w:sdt>
              <w:r>
                <w:rPr>
                  <w:b/>
                  <w:bCs/>
                  <w:szCs w:val="24"/>
                  <w:lang w:eastAsia="lt-LT"/>
                </w:rPr>
                <w:t>.</w:t>
                <w:tab/>
              </w:r>
              <w:r>
                <w:rPr>
                  <w:b/>
                  <w:bCs/>
                  <w:sz w:val="22"/>
                  <w:szCs w:val="24"/>
                  <w:lang w:eastAsia="lt-LT"/>
                </w:rPr>
                <w:t>Kaip šiuo metu yra reguliuojami įstatymo projekte aptarti teisiniai santykiai</w:t>
              </w:r>
            </w:p>
            <w:p>
              <w:pPr>
                <w:rPr>
                  <w:sz w:val="14"/>
                  <w:szCs w:val="14"/>
                </w:rPr>
              </w:pPr>
            </w:p>
            <w:p>
              <w:pPr>
                <w:shd w:val="clear" w:color="auto" w:fill="FFFFFF"/>
                <w:ind w:left="927"/>
                <w:jc w:val="both"/>
                <w:rPr>
                  <w:b/>
                  <w:bCs/>
                  <w:szCs w:val="24"/>
                  <w:lang w:eastAsia="lt-LT"/>
                </w:rPr>
              </w:pPr>
            </w:p>
            <w:p>
              <w:pPr>
                <w:shd w:val="clear" w:color="auto" w:fill="FFFFFF"/>
                <w:spacing w:line="276" w:lineRule="auto"/>
                <w:ind w:firstLine="558"/>
                <w:jc w:val="both"/>
                <w:rPr>
                  <w:color w:val="000000"/>
                  <w:szCs w:val="24"/>
                </w:rPr>
              </w:pPr>
              <w:r>
                <w:rPr>
                  <w:color w:val="000000"/>
                  <w:szCs w:val="24"/>
                </w:rPr>
                <w:t>Šiuo Administracinių nusižengimų kodekso 264 straipsniu numatyta, kad:</w:t>
              </w:r>
            </w:p>
          </w:sdtContent>
        </w:sdt>
        <w:sdt>
          <w:sdtPr>
            <w:alias w:val="1 p."/>
            <w:tag w:val="part_36c05954f3a64f0caace206b61daa88c"/>
            <w:lock w:val="sdtLocked"/>
            <w:richText/>
          </w:sdtPr>
          <w:sdtContent>
            <w:p>
              <w:pPr>
                <w:shd w:val="clear" w:color="auto" w:fill="FFFFFF"/>
                <w:spacing w:line="276" w:lineRule="auto"/>
                <w:ind w:firstLine="720"/>
                <w:jc w:val="both"/>
                <w:rPr>
                  <w:rFonts w:ascii="Calibri" w:hAnsi="Calibri" w:cs="Calibri"/>
                  <w:color w:val="222222"/>
                  <w:sz w:val="22"/>
                  <w:szCs w:val="22"/>
                </w:rPr>
              </w:pPr>
              <w:sdt>
                <w:sdtPr>
                  <w:alias w:val="Numeris"/>
                  <w:tag w:val="nr_36c05954f3a64f0caace206b61daa88c"/>
                  <w:lock w:val="sdtLocked"/>
                  <w:richText/>
                </w:sdtPr>
                <w:sdtContent>
                  <w:r>
                    <w:rPr>
                      <w:color w:val="000000"/>
                      <w:szCs w:val="24"/>
                    </w:rPr>
                    <w:t>1</w:t>
                  </w:r>
                </w:sdtContent>
              </w:sdt>
              <w:r>
                <w:rPr>
                  <w:color w:val="000000"/>
                  <w:szCs w:val="24"/>
                </w:rPr>
                <w:t>. Paviršinių vandens telkinių apsaugos zonų ar pakrančių apsaugos juostų apsaugos ir naudojimo režimo pažeidimas</w:t>
              </w:r>
              <w:r>
                <w:rPr>
                  <w:rFonts w:ascii="Calibri" w:hAnsi="Calibri" w:cs="Calibri"/>
                  <w:color w:val="222222"/>
                  <w:sz w:val="22"/>
                  <w:szCs w:val="22"/>
                </w:rPr>
                <w:t xml:space="preserve"> </w:t>
              </w:r>
              <w:r>
                <w:rPr>
                  <w:color w:val="000000"/>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 p."/>
            <w:tag w:val="part_ba12c781df594648b10ff3f565f3ee37"/>
            <w:lock w:val="sdtLocked"/>
            <w:richText/>
          </w:sdtPr>
          <w:sdtContent>
            <w:p>
              <w:pPr>
                <w:shd w:val="clear" w:color="auto" w:fill="FFFFFF"/>
                <w:spacing w:line="276" w:lineRule="auto"/>
                <w:ind w:firstLine="720"/>
                <w:jc w:val="both"/>
                <w:rPr>
                  <w:rFonts w:ascii="Calibri" w:hAnsi="Calibri" w:cs="Calibri"/>
                  <w:color w:val="222222"/>
                  <w:sz w:val="22"/>
                  <w:szCs w:val="22"/>
                </w:rPr>
              </w:pPr>
              <w:sdt>
                <w:sdtPr>
                  <w:alias w:val="Numeris"/>
                  <w:tag w:val="nr_ba12c781df594648b10ff3f565f3ee37"/>
                  <w:lock w:val="sdtLocked"/>
                  <w:richText/>
                </w:sdtPr>
                <w:sdtContent>
                  <w:r>
                    <w:rPr>
                      <w:color w:val="000000"/>
                      <w:szCs w:val="24"/>
                    </w:rPr>
                    <w:t>2</w:t>
                  </w:r>
                </w:sdtContent>
              </w:sdt>
              <w:r>
                <w:rPr>
                  <w:color w:val="000000"/>
                  <w:szCs w:val="24"/>
                </w:rPr>
                <w:t>. Šio straipsnio 1 dalyje numatytas administracinis nusižengimas, padarytas pakartotinai,</w:t>
              </w:r>
            </w:p>
            <w:p>
              <w:pPr>
                <w:shd w:val="clear" w:color="auto" w:fill="FFFFFF"/>
                <w:spacing w:line="276" w:lineRule="auto"/>
                <w:jc w:val="both"/>
                <w:rPr>
                  <w:color w:val="000000"/>
                  <w:szCs w:val="24"/>
                </w:rPr>
              </w:pPr>
              <w:r>
                <w:rPr>
                  <w:color w:val="000000"/>
                  <w:szCs w:val="24"/>
                </w:rPr>
                <w:t>užtraukia baudą asmenims nuo penkiasdešimt iki trijų šimtų eurų ir juridinių asmenų vadovams ar kitiems atsakingiems asmenims – nuo dviejų šimtų iki penkių šimtų penkiasdešimt eurų.</w:t>
              </w:r>
            </w:p>
            <w:p>
              <w:pPr>
                <w:shd w:val="clear" w:color="auto" w:fill="FFFFFF"/>
                <w:spacing w:line="276" w:lineRule="auto"/>
                <w:ind w:firstLine="720"/>
                <w:jc w:val="both"/>
                <w:rPr>
                  <w:rFonts w:ascii="Calibri" w:hAnsi="Calibri" w:cs="Calibri"/>
                  <w:color w:val="222222"/>
                  <w:sz w:val="22"/>
                  <w:szCs w:val="22"/>
                </w:rPr>
              </w:pPr>
              <w:r>
                <w:rPr>
                  <w:color w:val="000000"/>
                  <w:szCs w:val="24"/>
                </w:rPr>
                <w:t xml:space="preserve">Tokia administracinė atsakomybė numatyta įvairaus pobūdžio paviršinių vandens telkinių apsaugos zonų ar pakrančių apsaugos juostų apsaugos ir naudojimo režimo pažeidimams, tarp kurių yra ir tvorų tvėrimas. </w:t>
              </w:r>
            </w:p>
            <w:p>
              <w:pPr>
                <w:shd w:val="clear" w:color="auto" w:fill="FFFFFF"/>
                <w:spacing w:line="276" w:lineRule="auto"/>
                <w:ind w:firstLine="720"/>
                <w:jc w:val="both"/>
                <w:rPr>
                  <w:color w:val="222222"/>
                  <w:szCs w:val="24"/>
                </w:rPr>
              </w:pPr>
              <w:r>
                <w:rPr>
                  <w:color w:val="333333"/>
                  <w:szCs w:val="24"/>
                  <w:shd w:val="clear" w:color="auto" w:fill="FFFFFF"/>
                </w:rPr>
                <w:t xml:space="preserve">Saugomų teritorijų įstatymas ir Paviršinių vandens telkinių apsaugos zonų, ir pakrančių apsaugos juostų nustatymo tvarkos aprašas įpareigoja tvoros statytoją palikti laisvą praėjimą pakrante. Priklausomai nuo vandens telkinio dydžio, jis turi būti 5 – 25 metrai. Reikalavimai taikomi tam, kad visuomenė turėtų laisvą priėjimą prie valstybinių vandens telkinių bei todėl, kad per arti vandens pastatyta tvora gali padaryti žalos upės vagai, jei į ją įtvirtinama tvora. </w:t>
              </w:r>
            </w:p>
            <w:p>
              <w:pPr>
                <w:shd w:val="clear" w:color="auto" w:fill="FFFFFF"/>
                <w:ind w:left="927" w:hanging="360"/>
                <w:jc w:val="both"/>
                <w:rPr>
                  <w:color w:val="000000"/>
                  <w:sz w:val="22"/>
                  <w:szCs w:val="22"/>
                </w:rPr>
              </w:pPr>
            </w:p>
          </w:sdtContent>
        </w:sdt>
        <w:sdt>
          <w:sdtPr>
            <w:alias w:val="4 p."/>
            <w:tag w:val="part_45be132c66294c479c329092279e437a"/>
            <w:lock w:val="sdtLocked"/>
            <w:richText/>
          </w:sdtPr>
          <w:sdtContent>
            <w:p>
              <w:pPr>
                <w:shd w:val="clear" w:color="auto" w:fill="FFFFFF"/>
                <w:spacing w:line="259" w:lineRule="auto"/>
                <w:ind w:left="927" w:hanging="360"/>
                <w:jc w:val="both"/>
                <w:rPr>
                  <w:b/>
                  <w:bCs/>
                  <w:sz w:val="22"/>
                  <w:szCs w:val="24"/>
                  <w:lang w:eastAsia="lt-LT"/>
                </w:rPr>
              </w:pPr>
              <w:sdt>
                <w:sdtPr>
                  <w:alias w:val="Numeris"/>
                  <w:tag w:val="nr_45be132c66294c479c329092279e437a"/>
                  <w:lock w:val="sdtLocked"/>
                  <w:richText/>
                </w:sdtPr>
                <w:sdtContent>
                  <w:r>
                    <w:rPr>
                      <w:b/>
                      <w:bCs/>
                      <w:szCs w:val="24"/>
                      <w:lang w:eastAsia="lt-LT"/>
                    </w:rPr>
                    <w:t>4</w:t>
                  </w:r>
                </w:sdtContent>
              </w:sdt>
              <w:r>
                <w:rPr>
                  <w:b/>
                  <w:bCs/>
                  <w:szCs w:val="24"/>
                  <w:lang w:eastAsia="lt-LT"/>
                </w:rPr>
                <w:t>.</w:t>
                <w:tab/>
              </w:r>
              <w:r>
                <w:rPr>
                  <w:b/>
                  <w:bCs/>
                  <w:sz w:val="22"/>
                  <w:szCs w:val="24"/>
                  <w:lang w:eastAsia="lt-LT"/>
                </w:rPr>
                <w:t>Kokios siūlomos naujos teisinio reguliavimo nuostatos ir kokių teigiamų rezultatų laukiama</w:t>
              </w:r>
            </w:p>
            <w:p>
              <w:pPr>
                <w:rPr>
                  <w:sz w:val="14"/>
                  <w:szCs w:val="14"/>
                </w:rPr>
              </w:pPr>
            </w:p>
            <w:p>
              <w:pPr>
                <w:shd w:val="clear" w:color="auto" w:fill="FFFFFF"/>
                <w:ind w:left="927"/>
                <w:jc w:val="both"/>
                <w:rPr>
                  <w:b/>
                  <w:bCs/>
                  <w:szCs w:val="24"/>
                  <w:lang w:eastAsia="lt-LT"/>
                </w:rPr>
              </w:pPr>
            </w:p>
            <w:p>
              <w:pPr>
                <w:shd w:val="clear" w:color="auto" w:fill="FFFFFF"/>
                <w:spacing w:line="276" w:lineRule="auto"/>
                <w:ind w:firstLine="720"/>
                <w:jc w:val="both"/>
                <w:rPr>
                  <w:b/>
                  <w:color w:val="000000"/>
                  <w:szCs w:val="24"/>
                </w:rPr>
              </w:pPr>
              <w:r>
                <w:rPr>
                  <w:color w:val="000000"/>
                  <w:szCs w:val="24"/>
                </w:rPr>
                <w:t xml:space="preserve">Administracinių nusižengimų kodekso 264 straipsnio pakeitimu, papildant straipsnį 3 dalimi,  siūloma atskirai numatyti atsakomybę už </w:t>
              </w:r>
              <w:r>
                <w:rPr>
                  <w:bCs/>
                  <w:color w:val="000000"/>
                  <w:szCs w:val="24"/>
                </w:rPr>
                <w:t>paviršinių vandens telkinių apsaugos zonų ar pakrančių apsaugos juostų apsaugos ir naudojimo režimo pažeidimą tveriant tvoras ar kitaip ribojant praėjimą.</w:t>
              </w:r>
              <w:r>
                <w:rPr>
                  <w:b/>
                  <w:color w:val="000000"/>
                  <w:szCs w:val="24"/>
                </w:rPr>
                <w:t xml:space="preserve"> </w:t>
              </w:r>
            </w:p>
            <w:p>
              <w:pPr>
                <w:shd w:val="clear" w:color="auto" w:fill="FFFFFF"/>
                <w:spacing w:line="276" w:lineRule="auto"/>
                <w:ind w:firstLine="720"/>
                <w:jc w:val="both"/>
                <w:rPr>
                  <w:bCs/>
                  <w:color w:val="000000"/>
                  <w:szCs w:val="24"/>
                </w:rPr>
              </w:pPr>
              <w:r>
                <w:rPr>
                  <w:bCs/>
                  <w:color w:val="000000"/>
                  <w:szCs w:val="24"/>
                </w:rPr>
                <w:t xml:space="preserve">Siūloma už paviršinių vandens telkinių apsaugos zonų ar pakrančių apsaugos juostų apsaugos ir naudojimo režimo pažeidimą tveriant tvoras ar kitaip ribojant praėjimą numatyti dešimt kartų didesnę baudą nei šiuo metu galiojanti: nuo trijų šimtų iki šešių šimtų eurų ir baudą juridinių asmenų vadovams ar kitiems atsakingiems asmenims – nuo keturių šimtų penkiasdešimties iki septynių šimtų penkiasdešimties eurų. </w:t>
              </w:r>
            </w:p>
            <w:p>
              <w:pPr>
                <w:shd w:val="clear" w:color="auto" w:fill="FFFFFF"/>
                <w:spacing w:line="276" w:lineRule="auto"/>
                <w:ind w:firstLine="720"/>
                <w:jc w:val="both"/>
                <w:rPr>
                  <w:b/>
                  <w:color w:val="222222"/>
                  <w:szCs w:val="24"/>
                </w:rPr>
              </w:pPr>
              <w:r>
                <w:rPr>
                  <w:bCs/>
                  <w:color w:val="222222"/>
                  <w:szCs w:val="24"/>
                </w:rPr>
                <w:t xml:space="preserve">Tikimasi, kad dešimt kartų didesnės baudos, numatytos už tvorų tvėrimą </w:t>
              </w:r>
              <w:r>
                <w:rPr>
                  <w:bCs/>
                  <w:color w:val="000000"/>
                  <w:szCs w:val="24"/>
                </w:rPr>
                <w:t xml:space="preserve">paviršinių vandens telkinių apsaugos zonose ar pakrančių apsaugos juostose </w:t>
              </w:r>
              <w:r>
                <w:rPr>
                  <w:bCs/>
                  <w:color w:val="222222"/>
                  <w:szCs w:val="24"/>
                </w:rPr>
                <w:t>leis maksimaliai sumažinti tokių pažeidimų skaičių bei užtikrins</w:t>
              </w:r>
              <w:r>
                <w:rPr>
                  <w:b/>
                  <w:color w:val="222222"/>
                  <w:szCs w:val="24"/>
                </w:rPr>
                <w:t xml:space="preserve"> </w:t>
              </w:r>
              <w:r>
                <w:rPr>
                  <w:color w:val="333333"/>
                  <w:szCs w:val="24"/>
                  <w:shd w:val="clear" w:color="auto" w:fill="FFFFFF"/>
                </w:rPr>
                <w:t>visuomenei galimybę laisvai prieiti prie valstybinių vandens telkinių.</w:t>
              </w:r>
            </w:p>
            <w:p>
              <w:pPr>
                <w:shd w:val="clear" w:color="auto" w:fill="FFFFFF"/>
                <w:spacing w:line="276" w:lineRule="auto"/>
                <w:ind w:firstLine="567"/>
                <w:jc w:val="both"/>
                <w:rPr>
                  <w:b/>
                  <w:bCs/>
                  <w:szCs w:val="24"/>
                  <w:lang w:eastAsia="lt-LT"/>
                </w:rPr>
              </w:pPr>
            </w:p>
            <w:p>
              <w:pPr>
                <w:jc w:val="both"/>
                <w:rPr>
                  <w:b/>
                  <w:bCs/>
                  <w:szCs w:val="24"/>
                  <w:lang w:eastAsia="lt-LT"/>
                </w:rPr>
              </w:pPr>
            </w:p>
          </w:sdtContent>
        </w:sdt>
        <w:sdt>
          <w:sdtPr>
            <w:alias w:val="5 p."/>
            <w:tag w:val="part_fc500235214e4e82b28eb14d77c51ede"/>
            <w:lock w:val="sdtLocked"/>
            <w:richText/>
          </w:sdtPr>
          <w:sdtContent>
            <w:p>
              <w:pPr>
                <w:shd w:val="clear" w:color="auto" w:fill="FFFFFF"/>
                <w:ind w:firstLine="567"/>
                <w:jc w:val="both"/>
                <w:rPr>
                  <w:b/>
                  <w:bCs/>
                  <w:szCs w:val="24"/>
                  <w:lang w:eastAsia="lt-LT"/>
                </w:rPr>
              </w:pPr>
              <w:sdt>
                <w:sdtPr>
                  <w:alias w:val="Numeris"/>
                  <w:tag w:val="nr_fc500235214e4e82b28eb14d77c51ede"/>
                  <w:lock w:val="sdtLocked"/>
                  <w:richText/>
                </w:sdtPr>
                <w:sdtContent>
                  <w:r>
                    <w:rPr>
                      <w:b/>
                      <w:bCs/>
                      <w:szCs w:val="24"/>
                      <w:lang w:eastAsia="lt-LT"/>
                    </w:rPr>
                    <w:t>5</w:t>
                  </w:r>
                </w:sdtContent>
              </w:sdt>
              <w:r>
                <w:rPr>
                  <w:b/>
                  <w:bCs/>
                  <w:szCs w:val="24"/>
                  <w:lang w:eastAsia="lt-LT"/>
                </w:rPr>
                <w:t xml:space="preserve">.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 </w:t>
              </w:r>
            </w:p>
            <w:p>
              <w:pPr>
                <w:shd w:val="clear" w:color="auto" w:fill="FFFFFF"/>
                <w:ind w:firstLine="567"/>
                <w:jc w:val="both"/>
                <w:rPr>
                  <w:szCs w:val="24"/>
                  <w:lang w:eastAsia="lt-LT"/>
                </w:rPr>
              </w:pPr>
              <w:r>
                <w:rPr>
                  <w:szCs w:val="24"/>
                  <w:lang w:eastAsia="lt-LT"/>
                </w:rPr>
                <w:t xml:space="preserve">Neigiamų priimto įstatymo pasekmių nenumatoma. </w:t>
              </w:r>
            </w:p>
            <w:p>
              <w:pPr>
                <w:shd w:val="clear" w:color="auto" w:fill="FFFFFF"/>
                <w:ind w:firstLine="567"/>
                <w:jc w:val="both"/>
                <w:rPr>
                  <w:szCs w:val="24"/>
                  <w:lang w:eastAsia="lt-LT"/>
                </w:rPr>
              </w:pPr>
            </w:p>
          </w:sdtContent>
        </w:sdt>
        <w:sdt>
          <w:sdtPr>
            <w:alias w:val="6 p."/>
            <w:tag w:val="part_21e3124745e7444ca6de64d56af092d5"/>
            <w:lock w:val="sdtLocked"/>
            <w:richText/>
          </w:sdtPr>
          <w:sdtContent>
            <w:p>
              <w:pPr>
                <w:shd w:val="clear" w:color="auto" w:fill="FFFFFF"/>
                <w:ind w:firstLine="567"/>
                <w:jc w:val="both"/>
                <w:rPr>
                  <w:szCs w:val="24"/>
                  <w:lang w:eastAsia="lt-LT"/>
                </w:rPr>
              </w:pPr>
              <w:sdt>
                <w:sdtPr>
                  <w:alias w:val="Numeris"/>
                  <w:tag w:val="nr_21e3124745e7444ca6de64d56af092d5"/>
                  <w:lock w:val="sdtLocked"/>
                  <w:richText/>
                </w:sdtPr>
                <w:sdtContent>
                  <w:r>
                    <w:rPr>
                      <w:b/>
                      <w:bCs/>
                      <w:szCs w:val="24"/>
                      <w:lang w:eastAsia="lt-LT"/>
                    </w:rPr>
                    <w:t>6</w:t>
                  </w:r>
                </w:sdtContent>
              </w:sdt>
              <w:r>
                <w:rPr>
                  <w:b/>
                  <w:bCs/>
                  <w:szCs w:val="24"/>
                  <w:lang w:eastAsia="lt-LT"/>
                </w:rPr>
                <w:t>. Kokią įtaką priimtas įstatymas turės kriminogeninei situacijai, korupcijai</w:t>
              </w:r>
            </w:p>
            <w:p>
              <w:pPr>
                <w:shd w:val="clear" w:color="auto" w:fill="FFFFFF"/>
                <w:spacing w:line="276" w:lineRule="auto"/>
                <w:ind w:left="360" w:firstLine="207"/>
                <w:jc w:val="both"/>
                <w:rPr>
                  <w:szCs w:val="24"/>
                  <w:lang w:eastAsia="lt-LT"/>
                </w:rPr>
              </w:pPr>
              <w:r>
                <w:rPr>
                  <w:szCs w:val="24"/>
                  <w:lang w:eastAsia="lt-LT"/>
                </w:rPr>
                <w:t xml:space="preserve">Priimtas Įstatymo projektas neigiamos įtakos kriminogeninei situacijai ir korupcijai neturės. </w:t>
              </w:r>
            </w:p>
            <w:p>
              <w:pPr>
                <w:shd w:val="clear" w:color="auto" w:fill="FFFFFF"/>
                <w:ind w:left="360" w:firstLine="269"/>
                <w:jc w:val="both"/>
                <w:rPr>
                  <w:szCs w:val="24"/>
                  <w:lang w:eastAsia="lt-LT"/>
                </w:rPr>
              </w:pPr>
            </w:p>
          </w:sdtContent>
        </w:sdt>
        <w:sdt>
          <w:sdtPr>
            <w:alias w:val="7 p."/>
            <w:tag w:val="part_498f840f68eb42ecb779c16fb12cfa5d"/>
            <w:lock w:val="sdtLocked"/>
            <w:richText/>
          </w:sdtPr>
          <w:sdtContent>
            <w:p>
              <w:pPr>
                <w:shd w:val="clear" w:color="auto" w:fill="FFFFFF"/>
                <w:ind w:firstLine="620"/>
                <w:jc w:val="both"/>
                <w:rPr>
                  <w:szCs w:val="24"/>
                  <w:lang w:eastAsia="lt-LT"/>
                </w:rPr>
              </w:pPr>
              <w:sdt>
                <w:sdtPr>
                  <w:alias w:val="Numeris"/>
                  <w:tag w:val="nr_498f840f68eb42ecb779c16fb12cfa5d"/>
                  <w:lock w:val="sdtLocked"/>
                  <w:richText/>
                </w:sdtPr>
                <w:sdtContent>
                  <w:r>
                    <w:rPr>
                      <w:b/>
                      <w:bCs/>
                      <w:szCs w:val="24"/>
                      <w:lang w:eastAsia="lt-LT"/>
                    </w:rPr>
                    <w:t>7</w:t>
                  </w:r>
                </w:sdtContent>
              </w:sdt>
              <w:r>
                <w:rPr>
                  <w:b/>
                  <w:bCs/>
                  <w:szCs w:val="24"/>
                  <w:lang w:eastAsia="lt-LT"/>
                </w:rPr>
                <w:t>. Kaip įstatymo įgyvendinimas atsilieps verslo sąlygoms ir jo plėtrai</w:t>
              </w:r>
            </w:p>
            <w:p>
              <w:pPr>
                <w:shd w:val="clear" w:color="auto" w:fill="FFFFFF"/>
                <w:ind w:left="360" w:firstLine="207"/>
                <w:jc w:val="both"/>
                <w:rPr>
                  <w:szCs w:val="24"/>
                  <w:lang w:eastAsia="lt-LT"/>
                </w:rPr>
              </w:pPr>
              <w:r>
                <w:rPr>
                  <w:szCs w:val="24"/>
                  <w:lang w:eastAsia="lt-LT"/>
                </w:rPr>
                <w:t xml:space="preserve">Priimtas Įstatymo projektas neturės įtakos verslo sąlygoms ir jų plėtrai. </w:t>
              </w:r>
            </w:p>
            <w:p>
              <w:pPr>
                <w:shd w:val="clear" w:color="auto" w:fill="FFFFFF"/>
                <w:jc w:val="both"/>
                <w:rPr>
                  <w:szCs w:val="24"/>
                  <w:lang w:eastAsia="lt-LT"/>
                </w:rPr>
              </w:pPr>
            </w:p>
          </w:sdtContent>
        </w:sdt>
        <w:sdt>
          <w:sdtPr>
            <w:alias w:val="8 p."/>
            <w:tag w:val="part_3176621986544368adef0fcf31094e35"/>
            <w:lock w:val="sdtLocked"/>
            <w:richText/>
          </w:sdtPr>
          <w:sdtContent>
            <w:p>
              <w:pPr>
                <w:shd w:val="clear" w:color="auto" w:fill="FFFFFF"/>
                <w:ind w:firstLine="620"/>
                <w:jc w:val="both"/>
                <w:rPr>
                  <w:szCs w:val="24"/>
                  <w:lang w:eastAsia="lt-LT"/>
                </w:rPr>
              </w:pPr>
              <w:sdt>
                <w:sdtPr>
                  <w:alias w:val="Numeris"/>
                  <w:tag w:val="nr_3176621986544368adef0fcf31094e35"/>
                  <w:lock w:val="sdtLocked"/>
                  <w:richText/>
                </w:sdtPr>
                <w:sdtContent>
                  <w:r>
                    <w:rPr>
                      <w:b/>
                      <w:bCs/>
                      <w:szCs w:val="24"/>
                      <w:lang w:eastAsia="lt-LT"/>
                    </w:rPr>
                    <w:t>8</w:t>
                  </w:r>
                </w:sdtContent>
              </w:sdt>
              <w:r>
                <w:rPr>
                  <w:b/>
                  <w:bCs/>
                  <w:szCs w:val="24"/>
                  <w:lang w:eastAsia="lt-LT"/>
                </w:rPr>
                <w:t>. Įstatymo inkorporavimas į teisinę sistemą, kokius teisės aktus būtina priimti, kokius galiojančius teisės aktus reikia pakeisti ar pripažinti netekusiais galios:</w:t>
              </w:r>
            </w:p>
            <w:p>
              <w:pPr>
                <w:shd w:val="clear" w:color="auto" w:fill="FFFFFF"/>
                <w:ind w:firstLine="868"/>
                <w:jc w:val="both"/>
                <w:rPr>
                  <w:szCs w:val="24"/>
                  <w:lang w:eastAsia="lt-LT"/>
                </w:rPr>
              </w:pPr>
              <w:r>
                <w:rPr>
                  <w:szCs w:val="24"/>
                  <w:lang w:eastAsia="lt-LT"/>
                </w:rPr>
                <w:t xml:space="preserve">Nereikės. </w:t>
              </w:r>
            </w:p>
            <w:p>
              <w:pPr>
                <w:shd w:val="clear" w:color="auto" w:fill="FFFFFF"/>
                <w:jc w:val="both"/>
                <w:rPr>
                  <w:szCs w:val="24"/>
                  <w:lang w:eastAsia="lt-LT"/>
                </w:rPr>
              </w:pPr>
            </w:p>
          </w:sdtContent>
        </w:sdt>
        <w:sdt>
          <w:sdtPr>
            <w:alias w:val="9 p."/>
            <w:tag w:val="part_31f787a53bfb4eda9bcaa68fd1a20e19"/>
            <w:lock w:val="sdtLocked"/>
            <w:richText/>
          </w:sdtPr>
          <w:sdtContent>
            <w:p>
              <w:pPr>
                <w:shd w:val="clear" w:color="auto" w:fill="FFFFFF"/>
                <w:ind w:firstLine="620"/>
                <w:jc w:val="both"/>
                <w:rPr>
                  <w:szCs w:val="24"/>
                  <w:lang w:eastAsia="lt-LT"/>
                </w:rPr>
              </w:pPr>
              <w:sdt>
                <w:sdtPr>
                  <w:alias w:val="Numeris"/>
                  <w:tag w:val="nr_31f787a53bfb4eda9bcaa68fd1a20e19"/>
                  <w:lock w:val="sdtLocked"/>
                  <w:richText/>
                </w:sdtPr>
                <w:sdtContent>
                  <w:r>
                    <w:rPr>
                      <w:b/>
                      <w:bCs/>
                      <w:szCs w:val="24"/>
                      <w:lang w:eastAsia="lt-LT"/>
                    </w:rPr>
                    <w:t>9</w:t>
                  </w:r>
                </w:sdtContent>
              </w:sdt>
              <w:r>
                <w:rPr>
                  <w:b/>
                  <w:bCs/>
                  <w:szCs w:val="24"/>
                  <w:lang w:eastAsia="lt-LT"/>
                </w:rPr>
                <w:t>. 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pPr>
                <w:shd w:val="clear" w:color="auto" w:fill="FFFFFF"/>
                <w:spacing w:line="276" w:lineRule="auto"/>
                <w:ind w:firstLine="620"/>
                <w:jc w:val="both"/>
                <w:rPr>
                  <w:szCs w:val="24"/>
                  <w:lang w:eastAsia="lt-LT"/>
                </w:rPr>
              </w:pPr>
              <w:r>
                <w:rPr>
                  <w:szCs w:val="24"/>
                  <w:lang w:eastAsia="lt-LT"/>
                </w:rPr>
                <w:t>Įstatymo projektas atitinka Lietuvos Respublikos valstybinės kalbos įstatymo ir Lietuvos Respublikos teisėkūros pagrindų įstatymo reikalavimus.</w:t>
              </w:r>
            </w:p>
            <w:p>
              <w:pPr>
                <w:shd w:val="clear" w:color="auto" w:fill="FFFFFF"/>
                <w:spacing w:line="276" w:lineRule="auto"/>
                <w:ind w:firstLine="62"/>
                <w:jc w:val="both"/>
                <w:rPr>
                  <w:szCs w:val="24"/>
                  <w:lang w:eastAsia="lt-LT"/>
                </w:rPr>
              </w:pPr>
            </w:p>
          </w:sdtContent>
        </w:sdt>
        <w:sdt>
          <w:sdtPr>
            <w:alias w:val="10 p."/>
            <w:tag w:val="part_f996c73716ef4573b9879b115c365e01"/>
            <w:lock w:val="sdtLocked"/>
            <w:richText/>
          </w:sdtPr>
          <w:sdtContent>
            <w:p>
              <w:pPr>
                <w:shd w:val="clear" w:color="auto" w:fill="FFFFFF"/>
                <w:ind w:firstLine="567"/>
                <w:jc w:val="both"/>
                <w:rPr>
                  <w:szCs w:val="24"/>
                  <w:lang w:eastAsia="lt-LT"/>
                </w:rPr>
              </w:pPr>
              <w:sdt>
                <w:sdtPr>
                  <w:alias w:val="Numeris"/>
                  <w:tag w:val="nr_f996c73716ef4573b9879b115c365e01"/>
                  <w:lock w:val="sdtLocked"/>
                  <w:richText/>
                </w:sdtPr>
                <w:sdtContent>
                  <w:r>
                    <w:rPr>
                      <w:b/>
                      <w:bCs/>
                      <w:szCs w:val="24"/>
                      <w:lang w:eastAsia="lt-LT"/>
                    </w:rPr>
                    <w:t>10</w:t>
                  </w:r>
                </w:sdtContent>
              </w:sdt>
              <w:r>
                <w:rPr>
                  <w:b/>
                  <w:bCs/>
                  <w:szCs w:val="24"/>
                  <w:lang w:eastAsia="lt-LT"/>
                </w:rPr>
                <w:t>. Ar įstatymo projektas atitinka Žmogaus teisių ir pagrindinių laisvių apsaugos konvencijos nuostatas ir Europos Sąjungos dokumentus</w:t>
              </w:r>
            </w:p>
            <w:p>
              <w:pPr>
                <w:shd w:val="clear" w:color="auto" w:fill="FFFFFF"/>
                <w:ind w:firstLine="567"/>
                <w:jc w:val="both"/>
                <w:rPr>
                  <w:szCs w:val="24"/>
                  <w:lang w:eastAsia="lt-LT"/>
                </w:rPr>
              </w:pPr>
              <w:r>
                <w:rPr>
                  <w:szCs w:val="24"/>
                  <w:lang w:eastAsia="lt-LT"/>
                </w:rPr>
                <w:t>Įstatymo projektas neprieštarauja Europos žmogaus teisių ir pagrindinių laisvių apsaugos konvencijos nuostatoms ir Europos Sąjungos teisės aktams.</w:t>
              </w:r>
            </w:p>
            <w:p>
              <w:pPr>
                <w:shd w:val="clear" w:color="auto" w:fill="FFFFFF"/>
                <w:ind w:firstLine="629"/>
                <w:jc w:val="both"/>
                <w:rPr>
                  <w:szCs w:val="24"/>
                  <w:lang w:eastAsia="lt-LT"/>
                </w:rPr>
              </w:pPr>
            </w:p>
          </w:sdtContent>
        </w:sdt>
        <w:sdt>
          <w:sdtPr>
            <w:alias w:val="11 p."/>
            <w:tag w:val="part_8c58c84aea074996b57bc6e94969ca60"/>
            <w:lock w:val="sdtLocked"/>
            <w:richText/>
          </w:sdtPr>
          <w:sdtContent>
            <w:p>
              <w:pPr>
                <w:shd w:val="clear" w:color="auto" w:fill="FFFFFF"/>
                <w:ind w:firstLine="567"/>
                <w:jc w:val="both"/>
                <w:rPr>
                  <w:szCs w:val="24"/>
                  <w:lang w:eastAsia="lt-LT"/>
                </w:rPr>
              </w:pPr>
              <w:sdt>
                <w:sdtPr>
                  <w:alias w:val="Numeris"/>
                  <w:tag w:val="nr_8c58c84aea074996b57bc6e94969ca60"/>
                  <w:lock w:val="sdtLocked"/>
                  <w:richText/>
                </w:sdtPr>
                <w:sdtContent>
                  <w:r>
                    <w:rPr>
                      <w:b/>
                      <w:bCs/>
                      <w:szCs w:val="24"/>
                      <w:lang w:eastAsia="lt-LT"/>
                    </w:rPr>
                    <w:t>11</w:t>
                  </w:r>
                </w:sdtContent>
              </w:sdt>
              <w:r>
                <w:rPr>
                  <w:b/>
                  <w:bCs/>
                  <w:szCs w:val="24"/>
                  <w:lang w:eastAsia="lt-LT"/>
                </w:rPr>
                <w:t>. Jeigu įstatymui įgyvendinti reikia įgyvendinamųjų teisės aktų, – kas ir kada juos turėtų priimti</w:t>
              </w:r>
            </w:p>
            <w:p>
              <w:pPr>
                <w:shd w:val="clear" w:color="auto" w:fill="FFFFFF"/>
                <w:ind w:firstLine="682"/>
                <w:jc w:val="both"/>
                <w:rPr>
                  <w:b/>
                  <w:bCs/>
                  <w:szCs w:val="24"/>
                  <w:lang w:eastAsia="lt-LT"/>
                </w:rPr>
              </w:pPr>
              <w:r>
                <w:rPr>
                  <w:szCs w:val="24"/>
                  <w:lang w:eastAsia="lt-LT"/>
                </w:rPr>
                <w:t xml:space="preserve">Lietuvos Respublikos Vyriausybė arba jos įgaliota institucija.  </w:t>
              </w:r>
            </w:p>
            <w:p>
              <w:pPr>
                <w:shd w:val="clear" w:color="auto" w:fill="FFFFFF"/>
                <w:ind w:right="100" w:firstLine="62"/>
                <w:rPr>
                  <w:szCs w:val="24"/>
                  <w:lang w:eastAsia="lt-LT"/>
                </w:rPr>
              </w:pPr>
            </w:p>
          </w:sdtContent>
        </w:sdt>
        <w:sdt>
          <w:sdtPr>
            <w:alias w:val="12 p."/>
            <w:tag w:val="part_5ca28af825224edca47b825fb9370b98"/>
            <w:lock w:val="sdtLocked"/>
            <w:richText/>
          </w:sdtPr>
          <w:sdtContent>
            <w:p>
              <w:pPr>
                <w:shd w:val="clear" w:color="auto" w:fill="FFFFFF"/>
                <w:ind w:firstLine="567"/>
                <w:jc w:val="both"/>
                <w:rPr>
                  <w:b/>
                  <w:bCs/>
                  <w:szCs w:val="24"/>
                  <w:lang w:eastAsia="lt-LT"/>
                </w:rPr>
              </w:pPr>
              <w:sdt>
                <w:sdtPr>
                  <w:alias w:val="Numeris"/>
                  <w:tag w:val="nr_5ca28af825224edca47b825fb9370b98"/>
                  <w:lock w:val="sdtLocked"/>
                  <w:richText/>
                </w:sdtPr>
                <w:sdtContent>
                  <w:r>
                    <w:rPr>
                      <w:b/>
                      <w:bCs/>
                      <w:szCs w:val="24"/>
                      <w:lang w:eastAsia="lt-LT"/>
                    </w:rPr>
                    <w:t>12</w:t>
                  </w:r>
                </w:sdtContent>
              </w:sdt>
              <w:r>
                <w:rPr>
                  <w:b/>
                  <w:bCs/>
                  <w:szCs w:val="24"/>
                  <w:lang w:eastAsia="lt-LT"/>
                </w:rPr>
                <w:t>. Kiek valstybės, savivaldybių biudžetų ir kitų valstybės įsteigtų fondų lėšų prireiks įstatymui įgyvendinti, ar bus galima sutaupyti (pateikiami prognozuojami rodikliai einamaisiais ir artimiausiais 3 biudžetiniais metais)</w:t>
              </w:r>
            </w:p>
            <w:p>
              <w:pPr>
                <w:shd w:val="clear" w:color="auto" w:fill="FFFFFF"/>
                <w:ind w:firstLine="629"/>
                <w:jc w:val="both"/>
                <w:rPr>
                  <w:szCs w:val="24"/>
                  <w:lang w:eastAsia="lt-LT"/>
                </w:rPr>
              </w:pPr>
              <w:r>
                <w:rPr>
                  <w:szCs w:val="24"/>
                  <w:lang w:eastAsia="lt-LT"/>
                </w:rPr>
                <w:t xml:space="preserve">Įstatymo įgyvendinimui neprireiks valstybės biudžeto lėšų. </w:t>
              </w:r>
            </w:p>
            <w:p>
              <w:pPr>
                <w:shd w:val="clear" w:color="auto" w:fill="FFFFFF"/>
                <w:ind w:firstLine="567"/>
                <w:jc w:val="both"/>
                <w:rPr>
                  <w:szCs w:val="24"/>
                  <w:lang w:eastAsia="lt-LT"/>
                </w:rPr>
              </w:pPr>
            </w:p>
          </w:sdtContent>
        </w:sdt>
        <w:sdt>
          <w:sdtPr>
            <w:alias w:val="13 p."/>
            <w:tag w:val="part_63ab6b5257ed4454aca83789d1a5436e"/>
            <w:lock w:val="sdtLocked"/>
            <w:richText/>
          </w:sdtPr>
          <w:sdtContent>
            <w:p>
              <w:pPr>
                <w:shd w:val="clear" w:color="auto" w:fill="FFFFFF"/>
                <w:ind w:firstLine="567"/>
                <w:jc w:val="both"/>
                <w:rPr>
                  <w:szCs w:val="24"/>
                  <w:lang w:eastAsia="lt-LT"/>
                </w:rPr>
              </w:pPr>
              <w:sdt>
                <w:sdtPr>
                  <w:alias w:val="Numeris"/>
                  <w:tag w:val="nr_63ab6b5257ed4454aca83789d1a5436e"/>
                  <w:lock w:val="sdtLocked"/>
                  <w:richText/>
                </w:sdtPr>
                <w:sdtContent>
                  <w:r>
                    <w:rPr>
                      <w:b/>
                      <w:bCs/>
                      <w:szCs w:val="24"/>
                      <w:lang w:eastAsia="lt-LT"/>
                    </w:rPr>
                    <w:t>13</w:t>
                  </w:r>
                </w:sdtContent>
              </w:sdt>
              <w:r>
                <w:rPr>
                  <w:b/>
                  <w:bCs/>
                  <w:szCs w:val="24"/>
                  <w:lang w:eastAsia="lt-LT"/>
                </w:rPr>
                <w:t>.</w:t>
              </w:r>
              <w:r>
                <w:rPr>
                  <w:szCs w:val="24"/>
                  <w:lang w:eastAsia="lt-LT"/>
                </w:rPr>
                <w:t> </w:t>
              </w:r>
              <w:r>
                <w:rPr>
                  <w:b/>
                  <w:bCs/>
                  <w:szCs w:val="24"/>
                  <w:lang w:eastAsia="lt-LT"/>
                </w:rPr>
                <w:t>Įstatymo projekto rengimo metu gauti specialistų vertinimai ir išvados</w:t>
              </w:r>
            </w:p>
            <w:p>
              <w:pPr>
                <w:shd w:val="clear" w:color="auto" w:fill="FFFFFF"/>
                <w:ind w:firstLine="567"/>
                <w:jc w:val="both"/>
                <w:rPr>
                  <w:szCs w:val="24"/>
                  <w:lang w:eastAsia="lt-LT"/>
                </w:rPr>
              </w:pPr>
              <w:r>
                <w:rPr>
                  <w:szCs w:val="24"/>
                  <w:lang w:eastAsia="lt-LT"/>
                </w:rPr>
                <w:t>Nėra gauta.</w:t>
              </w:r>
            </w:p>
            <w:p>
              <w:pPr>
                <w:shd w:val="clear" w:color="auto" w:fill="FFFFFF"/>
                <w:ind w:firstLine="629"/>
                <w:jc w:val="both"/>
                <w:rPr>
                  <w:szCs w:val="24"/>
                  <w:lang w:eastAsia="lt-LT"/>
                </w:rPr>
              </w:pPr>
            </w:p>
          </w:sdtContent>
        </w:sdt>
        <w:sdt>
          <w:sdtPr>
            <w:alias w:val="14 p."/>
            <w:tag w:val="part_905ac566fe9d461595cf8c0474bf7d82"/>
            <w:lock w:val="sdtLocked"/>
            <w:richText/>
          </w:sdtPr>
          <w:sdtContent>
            <w:p>
              <w:pPr>
                <w:shd w:val="clear" w:color="auto" w:fill="FFFFFF"/>
                <w:ind w:firstLine="567"/>
                <w:jc w:val="both"/>
                <w:rPr>
                  <w:szCs w:val="24"/>
                  <w:lang w:eastAsia="lt-LT"/>
                </w:rPr>
              </w:pPr>
              <w:sdt>
                <w:sdtPr>
                  <w:alias w:val="Numeris"/>
                  <w:tag w:val="nr_905ac566fe9d461595cf8c0474bf7d82"/>
                  <w:lock w:val="sdtLocked"/>
                  <w:richText/>
                </w:sdtPr>
                <w:sdtContent>
                  <w:r>
                    <w:rPr>
                      <w:b/>
                      <w:bCs/>
                      <w:szCs w:val="24"/>
                      <w:lang w:eastAsia="lt-LT"/>
                    </w:rPr>
                    <w:t>14</w:t>
                  </w:r>
                </w:sdtContent>
              </w:sdt>
              <w:r>
                <w:rPr>
                  <w:b/>
                  <w:bCs/>
                  <w:szCs w:val="24"/>
                  <w:lang w:eastAsia="lt-LT"/>
                </w:rPr>
                <w:t>. Reikšminiai žodžiai, kurių reikia šiam projektui įtraukti į kompiuterinę paieškos sistemą, įskaitant Europos žodyno „Eurovoc“ terminus, temas bei sritis</w:t>
              </w:r>
            </w:p>
            <w:p>
              <w:pPr>
                <w:shd w:val="clear" w:color="auto" w:fill="FFFFFF"/>
                <w:ind w:firstLine="629"/>
                <w:jc w:val="both"/>
                <w:rPr>
                  <w:szCs w:val="24"/>
                  <w:lang w:eastAsia="lt-LT"/>
                </w:rPr>
              </w:pPr>
            </w:p>
            <w:p>
              <w:pPr>
                <w:shd w:val="clear" w:color="auto" w:fill="FFFFFF"/>
                <w:ind w:firstLine="567"/>
                <w:jc w:val="both"/>
                <w:rPr>
                  <w:szCs w:val="24"/>
                  <w:lang w:eastAsia="lt-LT"/>
                </w:rPr>
              </w:pPr>
              <w:r>
                <w:rPr>
                  <w:szCs w:val="24"/>
                  <w:lang w:eastAsia="lt-LT"/>
                </w:rPr>
                <w:t>„</w:t>
              </w:r>
              <w:r>
                <w:rPr>
                  <w:bCs/>
                  <w:color w:val="000000"/>
                  <w:szCs w:val="24"/>
                </w:rPr>
                <w:t>Paviršinių vandens telkinių apsaugos zonos pažeidimai</w:t>
              </w:r>
              <w:r>
                <w:rPr>
                  <w:szCs w:val="24"/>
                  <w:lang w:eastAsia="lt-LT"/>
                </w:rPr>
                <w:t>“, „</w:t>
              </w:r>
              <w:r>
                <w:rPr>
                  <w:bCs/>
                  <w:color w:val="000000"/>
                  <w:szCs w:val="24"/>
                </w:rPr>
                <w:t>paviršinių vandens telkinių pakrančių apsaugos juostos apsaugos pažeidimai</w:t>
              </w:r>
              <w:r>
                <w:rPr>
                  <w:szCs w:val="24"/>
                  <w:lang w:eastAsia="lt-LT"/>
                </w:rPr>
                <w:t>“, „Nelegalus tvorų tvėrimas vandens telkinių pakrantėse“.</w:t>
              </w:r>
            </w:p>
            <w:p>
              <w:pPr>
                <w:shd w:val="clear" w:color="auto" w:fill="FFFFFF"/>
                <w:ind w:firstLine="629"/>
                <w:jc w:val="both"/>
                <w:rPr>
                  <w:szCs w:val="24"/>
                  <w:lang w:eastAsia="lt-LT"/>
                </w:rPr>
              </w:pPr>
            </w:p>
          </w:sdtContent>
        </w:sdt>
        <w:sdt>
          <w:sdtPr>
            <w:alias w:val="15 p."/>
            <w:tag w:val="part_76ab367da49b4edca6b3afb2c08393a2"/>
            <w:lock w:val="sdtLocked"/>
            <w:richText/>
          </w:sdtPr>
          <w:sdtContent>
            <w:p>
              <w:pPr>
                <w:shd w:val="clear" w:color="auto" w:fill="FFFFFF"/>
                <w:ind w:firstLine="567"/>
                <w:jc w:val="both"/>
                <w:rPr>
                  <w:szCs w:val="24"/>
                  <w:lang w:eastAsia="lt-LT"/>
                </w:rPr>
              </w:pPr>
              <w:sdt>
                <w:sdtPr>
                  <w:alias w:val="Numeris"/>
                  <w:tag w:val="nr_76ab367da49b4edca6b3afb2c08393a2"/>
                  <w:lock w:val="sdtLocked"/>
                  <w:richText/>
                </w:sdtPr>
                <w:sdtContent>
                  <w:r>
                    <w:rPr>
                      <w:b/>
                      <w:bCs/>
                      <w:szCs w:val="24"/>
                      <w:lang w:eastAsia="lt-LT"/>
                    </w:rPr>
                    <w:t>15</w:t>
                  </w:r>
                </w:sdtContent>
              </w:sdt>
              <w:r>
                <w:rPr>
                  <w:b/>
                  <w:bCs/>
                  <w:szCs w:val="24"/>
                  <w:lang w:eastAsia="lt-LT"/>
                </w:rPr>
                <w:t>. Kiti, iniciatorių nuomone, reikalingi pagrindimai ir paaiškinimai</w:t>
              </w:r>
            </w:p>
            <w:p>
              <w:pPr>
                <w:shd w:val="clear" w:color="auto" w:fill="FFFFFF"/>
                <w:ind w:firstLine="567"/>
                <w:jc w:val="both"/>
                <w:rPr>
                  <w:szCs w:val="24"/>
                  <w:lang w:eastAsia="lt-LT"/>
                </w:rPr>
              </w:pPr>
              <w:r>
                <w:rPr>
                  <w:szCs w:val="24"/>
                  <w:lang w:eastAsia="lt-LT"/>
                </w:rPr>
                <w:t>Nėra.</w:t>
              </w:r>
            </w:p>
            <w:p>
              <w:pPr>
                <w:shd w:val="clear" w:color="auto" w:fill="FFFFFF"/>
                <w:ind w:firstLine="629"/>
                <w:jc w:val="both"/>
                <w:rPr>
                  <w:szCs w:val="24"/>
                  <w:lang w:eastAsia="lt-LT"/>
                </w:rPr>
              </w:pPr>
            </w:p>
            <w:p>
              <w:pPr>
                <w:shd w:val="clear" w:color="auto" w:fill="FFFFFF"/>
                <w:ind w:firstLine="567"/>
                <w:jc w:val="both"/>
                <w:rPr>
                  <w:szCs w:val="24"/>
                  <w:lang w:eastAsia="lt-LT"/>
                </w:rPr>
              </w:pPr>
              <w:r>
                <w:rPr>
                  <w:szCs w:val="24"/>
                  <w:lang w:eastAsia="lt-LT"/>
                </w:rPr>
                <w:t>Teikia Seimo nariai:</w:t>
              </w:r>
            </w:p>
            <w:p>
              <w:pPr>
                <w:shd w:val="clear" w:color="auto" w:fill="FFFFFF"/>
                <w:ind w:firstLine="629"/>
                <w:jc w:val="both"/>
                <w:rPr>
                  <w:szCs w:val="24"/>
                  <w:lang w:eastAsia="lt-LT"/>
                </w:rPr>
              </w:pPr>
              <w:r>
                <w:rPr>
                  <w:szCs w:val="24"/>
                  <w:lang w:eastAsia="lt-LT"/>
                </w:rPr>
                <w:t>Linas Jonauskas</w:t>
              </w:r>
            </w:p>
            <w:p>
              <w:pPr>
                <w:shd w:val="clear" w:color="auto" w:fill="FFFFFF"/>
                <w:ind w:firstLine="567"/>
                <w:rPr>
                  <w:szCs w:val="24"/>
                  <w:lang w:eastAsia="lt-LT"/>
                </w:rPr>
              </w:pP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24BA"/>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85873340">
      <w:bodyDiv w:val="1"/>
      <w:marLeft w:val="0"/>
      <w:marRight w:val="0"/>
      <w:marTop w:val="0"/>
      <w:marBottom w:val="0"/>
      <w:divBdr>
        <w:top w:val="none" w:sz="0" w:space="0" w:color="auto"/>
        <w:left w:val="none" w:sz="0" w:space="0" w:color="auto"/>
        <w:bottom w:val="none" w:sz="0" w:space="0" w:color="auto"/>
        <w:right w:val="none" w:sz="0" w:space="0" w:color="auto"/>
      </w:divBdr>
    </w:div>
    <w:div w:id="294679661">
      <w:bodyDiv w:val="1"/>
      <w:marLeft w:val="0"/>
      <w:marRight w:val="0"/>
      <w:marTop w:val="0"/>
      <w:marBottom w:val="0"/>
      <w:divBdr>
        <w:top w:val="none" w:sz="0" w:space="0" w:color="auto"/>
        <w:left w:val="none" w:sz="0" w:space="0" w:color="auto"/>
        <w:bottom w:val="none" w:sz="0" w:space="0" w:color="auto"/>
        <w:right w:val="none" w:sz="0" w:space="0" w:color="auto"/>
      </w:divBdr>
    </w:div>
    <w:div w:id="422338612">
      <w:bodyDiv w:val="1"/>
      <w:marLeft w:val="0"/>
      <w:marRight w:val="0"/>
      <w:marTop w:val="0"/>
      <w:marBottom w:val="0"/>
      <w:divBdr>
        <w:top w:val="none" w:sz="0" w:space="0" w:color="auto"/>
        <w:left w:val="none" w:sz="0" w:space="0" w:color="auto"/>
        <w:bottom w:val="none" w:sz="0" w:space="0" w:color="auto"/>
        <w:right w:val="none" w:sz="0" w:space="0" w:color="auto"/>
      </w:divBdr>
    </w:div>
    <w:div w:id="580457084">
      <w:bodyDiv w:val="1"/>
      <w:marLeft w:val="0"/>
      <w:marRight w:val="0"/>
      <w:marTop w:val="0"/>
      <w:marBottom w:val="0"/>
      <w:divBdr>
        <w:top w:val="none" w:sz="0" w:space="0" w:color="auto"/>
        <w:left w:val="none" w:sz="0" w:space="0" w:color="auto"/>
        <w:bottom w:val="none" w:sz="0" w:space="0" w:color="auto"/>
        <w:right w:val="none" w:sz="0" w:space="0" w:color="auto"/>
      </w:divBdr>
    </w:div>
    <w:div w:id="840973292">
      <w:bodyDiv w:val="1"/>
      <w:marLeft w:val="0"/>
      <w:marRight w:val="0"/>
      <w:marTop w:val="0"/>
      <w:marBottom w:val="0"/>
      <w:divBdr>
        <w:top w:val="none" w:sz="0" w:space="0" w:color="auto"/>
        <w:left w:val="none" w:sz="0" w:space="0" w:color="auto"/>
        <w:bottom w:val="none" w:sz="0" w:space="0" w:color="auto"/>
        <w:right w:val="none" w:sz="0" w:space="0" w:color="auto"/>
      </w:divBdr>
    </w:div>
    <w:div w:id="860165479">
      <w:bodyDiv w:val="1"/>
      <w:marLeft w:val="0"/>
      <w:marRight w:val="0"/>
      <w:marTop w:val="0"/>
      <w:marBottom w:val="0"/>
      <w:divBdr>
        <w:top w:val="none" w:sz="0" w:space="0" w:color="auto"/>
        <w:left w:val="none" w:sz="0" w:space="0" w:color="auto"/>
        <w:bottom w:val="none" w:sz="0" w:space="0" w:color="auto"/>
        <w:right w:val="none" w:sz="0" w:space="0" w:color="auto"/>
      </w:divBdr>
      <w:divsChild>
        <w:div w:id="934291008">
          <w:marLeft w:val="0"/>
          <w:marRight w:val="0"/>
          <w:marTop w:val="120"/>
          <w:marBottom w:val="0"/>
          <w:divBdr>
            <w:top w:val="none" w:sz="0" w:space="0" w:color="auto"/>
            <w:left w:val="none" w:sz="0" w:space="0" w:color="auto"/>
            <w:bottom w:val="none" w:sz="0" w:space="0" w:color="auto"/>
            <w:right w:val="none" w:sz="0" w:space="0" w:color="auto"/>
          </w:divBdr>
          <w:divsChild>
            <w:div w:id="918170615">
              <w:marLeft w:val="0"/>
              <w:marRight w:val="0"/>
              <w:marTop w:val="0"/>
              <w:marBottom w:val="0"/>
              <w:divBdr>
                <w:top w:val="none" w:sz="0" w:space="0" w:color="auto"/>
                <w:left w:val="none" w:sz="0" w:space="0" w:color="auto"/>
                <w:bottom w:val="none" w:sz="0" w:space="0" w:color="auto"/>
                <w:right w:val="none" w:sz="0" w:space="0" w:color="auto"/>
              </w:divBdr>
            </w:div>
          </w:divsChild>
        </w:div>
        <w:div w:id="1899168485">
          <w:marLeft w:val="0"/>
          <w:marRight w:val="0"/>
          <w:marTop w:val="120"/>
          <w:marBottom w:val="0"/>
          <w:divBdr>
            <w:top w:val="none" w:sz="0" w:space="0" w:color="auto"/>
            <w:left w:val="none" w:sz="0" w:space="0" w:color="auto"/>
            <w:bottom w:val="none" w:sz="0" w:space="0" w:color="auto"/>
            <w:right w:val="none" w:sz="0" w:space="0" w:color="auto"/>
          </w:divBdr>
          <w:divsChild>
            <w:div w:id="81731546">
              <w:marLeft w:val="0"/>
              <w:marRight w:val="0"/>
              <w:marTop w:val="0"/>
              <w:marBottom w:val="0"/>
              <w:divBdr>
                <w:top w:val="none" w:sz="0" w:space="0" w:color="auto"/>
                <w:left w:val="none" w:sz="0" w:space="0" w:color="auto"/>
                <w:bottom w:val="none" w:sz="0" w:space="0" w:color="auto"/>
                <w:right w:val="none" w:sz="0" w:space="0" w:color="auto"/>
              </w:divBdr>
            </w:div>
          </w:divsChild>
        </w:div>
        <w:div w:id="731579525">
          <w:marLeft w:val="0"/>
          <w:marRight w:val="0"/>
          <w:marTop w:val="120"/>
          <w:marBottom w:val="0"/>
          <w:divBdr>
            <w:top w:val="none" w:sz="0" w:space="0" w:color="auto"/>
            <w:left w:val="none" w:sz="0" w:space="0" w:color="auto"/>
            <w:bottom w:val="none" w:sz="0" w:space="0" w:color="auto"/>
            <w:right w:val="none" w:sz="0" w:space="0" w:color="auto"/>
          </w:divBdr>
          <w:divsChild>
            <w:div w:id="655299423">
              <w:marLeft w:val="0"/>
              <w:marRight w:val="0"/>
              <w:marTop w:val="0"/>
              <w:marBottom w:val="0"/>
              <w:divBdr>
                <w:top w:val="none" w:sz="0" w:space="0" w:color="auto"/>
                <w:left w:val="none" w:sz="0" w:space="0" w:color="auto"/>
                <w:bottom w:val="none" w:sz="0" w:space="0" w:color="auto"/>
                <w:right w:val="none" w:sz="0" w:space="0" w:color="auto"/>
              </w:divBdr>
            </w:div>
          </w:divsChild>
        </w:div>
        <w:div w:id="70588762">
          <w:marLeft w:val="0"/>
          <w:marRight w:val="0"/>
          <w:marTop w:val="120"/>
          <w:marBottom w:val="0"/>
          <w:divBdr>
            <w:top w:val="none" w:sz="0" w:space="0" w:color="auto"/>
            <w:left w:val="none" w:sz="0" w:space="0" w:color="auto"/>
            <w:bottom w:val="none" w:sz="0" w:space="0" w:color="auto"/>
            <w:right w:val="none" w:sz="0" w:space="0" w:color="auto"/>
          </w:divBdr>
          <w:divsChild>
            <w:div w:id="1952738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2516964">
      <w:bodyDiv w:val="1"/>
      <w:marLeft w:val="0"/>
      <w:marRight w:val="0"/>
      <w:marTop w:val="0"/>
      <w:marBottom w:val="0"/>
      <w:divBdr>
        <w:top w:val="none" w:sz="0" w:space="0" w:color="auto"/>
        <w:left w:val="none" w:sz="0" w:space="0" w:color="auto"/>
        <w:bottom w:val="none" w:sz="0" w:space="0" w:color="auto"/>
        <w:right w:val="none" w:sz="0" w:space="0" w:color="auto"/>
      </w:divBdr>
    </w:div>
    <w:div w:id="1461221289">
      <w:bodyDiv w:val="1"/>
      <w:marLeft w:val="0"/>
      <w:marRight w:val="0"/>
      <w:marTop w:val="0"/>
      <w:marBottom w:val="0"/>
      <w:divBdr>
        <w:top w:val="none" w:sz="0" w:space="0" w:color="auto"/>
        <w:left w:val="none" w:sz="0" w:space="0" w:color="auto"/>
        <w:bottom w:val="none" w:sz="0" w:space="0" w:color="auto"/>
        <w:right w:val="none" w:sz="0" w:space="0" w:color="auto"/>
      </w:divBdr>
    </w:div>
    <w:div w:id="1994865640">
      <w:bodyDiv w:val="1"/>
      <w:marLeft w:val="0"/>
      <w:marRight w:val="0"/>
      <w:marTop w:val="0"/>
      <w:marBottom w:val="0"/>
      <w:divBdr>
        <w:top w:val="none" w:sz="0" w:space="0" w:color="auto"/>
        <w:left w:val="none" w:sz="0" w:space="0" w:color="auto"/>
        <w:bottom w:val="none" w:sz="0" w:space="0" w:color="auto"/>
        <w:right w:val="none" w:sz="0" w:space="0" w:color="auto"/>
      </w:divBdr>
    </w:div>
    <w:div w:id="2066878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0d53bb4707d4211a1867e0ed3c411d6" PartId="072c1b50a2794d6b91ce7df177afd670">
    <Part Type="punktas" Nr="1" Abbr="1 p." DocPartId="3e64c96607bd4dda9727f7e2d46017a8" PartId="7285ec60d55a4c91b2a73f5f22784d83"/>
    <Part Type="punktas" Nr="2" Abbr="2 p." DocPartId="31877ed2826549fba6606b8c825c8b3b" PartId="aa7644293d8845ae8808028c90bfd066"/>
    <Part Type="punktas" Nr="3" Abbr="3 p." DocPartId="4e9446fccd45482a9878ed2417573500" PartId="7a038194d9f949b3ba6927769cd9cbff"/>
    <Part Type="punktas" Nr="1" Abbr="1 p." Notes="Numeris ne iš eilės. Trūksta dalių? [DocDalys]" DocPartId="29bbae554ee74146bb78a1d64c6d17a3" PartId="36c05954f3a64f0caace206b61daa88c"/>
    <Part Type="punktas" Nr="2" Abbr="2 p." DocPartId="6827dd60d6764bfbb9d9b7a1454a5898" PartId="ba12c781df594648b10ff3f565f3ee37"/>
    <Part Type="punktas" Nr="4" Abbr="4 p." Notes="Numeris ne iš eilės. Trūksta dalių? [DocDalys]" DocPartId="9f2022bbba5442e5aa0961ce84c0d8a1" PartId="45be132c66294c479c329092279e437a"/>
    <Part Type="punktas" Nr="5" Abbr="5 p." DocPartId="d37ea39c44bd428db10a088e2dd851c0" PartId="fc500235214e4e82b28eb14d77c51ede"/>
    <Part Type="punktas" Nr="6" Abbr="6 p." DocPartId="13fc4c410ce34fba9023ff347138772a" PartId="21e3124745e7444ca6de64d56af092d5"/>
    <Part Type="punktas" Nr="7" Abbr="7 p." DocPartId="85bc7d17f13348e399ee3fbd45b05324" PartId="498f840f68eb42ecb779c16fb12cfa5d"/>
    <Part Type="punktas" Nr="8" Abbr="8 p." DocPartId="344b5d549a3b469e948e623bc2ace4bd" PartId="3176621986544368adef0fcf31094e35"/>
    <Part Type="punktas" Nr="9" Abbr="9 p." DocPartId="280ef55072724901a42dfbb6ae9907e0" PartId="31f787a53bfb4eda9bcaa68fd1a20e19"/>
    <Part Type="punktas" Nr="10" Abbr="10 p." DocPartId="c32f8e03ff5742deaec8c4c13488f4d4" PartId="f996c73716ef4573b9879b115c365e01"/>
    <Part Type="punktas" Nr="11" Abbr="11 p." DocPartId="334fd1375df5456c9bb445f44aff847d" PartId="8c58c84aea074996b57bc6e94969ca60"/>
    <Part Type="punktas" Nr="12" Abbr="12 p." DocPartId="9b3bf689866448b2b74c07df75d54426" PartId="5ca28af825224edca47b825fb9370b98"/>
    <Part Type="punktas" Nr="13" Abbr="13 p." DocPartId="e86e31987c65493da8d73bda0bd15007" PartId="63ab6b5257ed4454aca83789d1a5436e"/>
    <Part Type="punktas" Nr="14" Abbr="14 p." DocPartId="02f3cf5ddfb04f8385e442536a4555d7" PartId="905ac566fe9d461595cf8c0474bf7d82"/>
    <Part Type="punktas" Nr="15" Abbr="15 p." DocPartId="b55a11451fd44306915c2a568ee93076" PartId="76ab367da49b4edca6b3afb2c08393a2"/>
  </Part>
</Parts>
</file>

<file path=customXml/itemProps1.xml><?xml version="1.0" encoding="utf-8"?>
<ds:datastoreItem xmlns:ds="http://schemas.openxmlformats.org/officeDocument/2006/customXml" ds:itemID="{7F747617-E21C-4656-934D-2F3152D8930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818</Words>
  <Characters>5751</Characters>
  <Application>Microsoft Office Word</Application>
  <DocSecurity>4</DocSecurity>
  <Lines>117</Lines>
  <Paragraphs>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6516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2021-04-28T13:40:00Z</dcterms:created>
  <dc:creator>Sonata Dirsyte</dc:creator>
  <lastModifiedBy>adlibuser</lastModifiedBy>
  <lastPrinted>2018-08-20T10:55:00Z</lastPrinted>
  <dcterms:modified xsi:type="dcterms:W3CDTF">2021-04-28T13:40:00Z</dcterms:modified>
  <revision>2</revision>
</coreProperties>
</file>