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f1db86407d94486b28bf7eb638c317e"/>
        <w:lock w:val="sdtLocked"/>
        <w:richText/>
      </w:sdtPr>
      <w:sdtContent>
        <w:p w14:paraId="5D33C73B" w14:textId="77777777">
          <w:pPr>
            <w:widowControl w:val="0"/>
            <w:tabs>
              <w:tab w:val="center" w:pos="4819"/>
              <w:tab w:val="right" w:pos="9638"/>
            </w:tabs>
            <w:suppressAutoHyphens/>
            <w:ind w:left="142"/>
            <w:rPr>
              <w:rFonts w:eastAsia="Andale Sans UI"/>
              <w:color w:val="FF0000"/>
              <w:kern w:val="2"/>
              <w:szCs w:val="24"/>
              <w:lang w:eastAsia="ar-SA"/>
            </w:rPr>
          </w:pPr>
        </w:p>
        <w:p w14:paraId="334BCCC4" w14:textId="20EEFC1B">
          <w:pPr>
            <w:widowControl w:val="0"/>
            <w:suppressAutoHyphens/>
            <w:jc w:val="right"/>
            <w:rPr>
              <w:rFonts w:eastAsia="Andale Sans UI"/>
              <w:b/>
              <w:kern w:val="2"/>
              <w:szCs w:val="24"/>
              <w:lang w:eastAsia="ar-SA"/>
            </w:rPr>
          </w:pPr>
          <w:r>
            <w:rPr>
              <w:rFonts w:eastAsia="Andale Sans UI"/>
              <w:b/>
              <w:kern w:val="2"/>
              <w:szCs w:val="24"/>
              <w:lang w:eastAsia="ar-SA"/>
            </w:rPr>
            <w:t>Projekto lyginamasis variantas</w:t>
          </w:r>
        </w:p>
        <w:p w14:paraId="66D31197" w14:textId="77777777">
          <w:pPr>
            <w:widowControl w:val="0"/>
            <w:suppressAutoHyphens/>
            <w:jc w:val="center"/>
            <w:rPr>
              <w:rFonts w:eastAsia="Andale Sans UI"/>
              <w:b/>
              <w:kern w:val="2"/>
              <w:szCs w:val="24"/>
              <w:lang w:eastAsia="ar-SA"/>
            </w:rPr>
          </w:pPr>
        </w:p>
        <w:p w14:paraId="7BE3C7AD" w14:textId="1FF3CB83">
          <w:pPr>
            <w:widowControl w:val="0"/>
            <w:suppressAutoHyphens/>
            <w:jc w:val="center"/>
            <w:rPr>
              <w:rFonts w:eastAsia="Andale Sans UI"/>
              <w:b/>
              <w:kern w:val="2"/>
              <w:szCs w:val="24"/>
              <w:lang w:eastAsia="ar-SA"/>
            </w:rPr>
          </w:pPr>
          <w:r>
            <w:rPr>
              <w:rFonts w:eastAsia="Andale Sans UI"/>
              <w:b/>
              <w:kern w:val="2"/>
              <w:szCs w:val="24"/>
              <w:lang w:eastAsia="ar-SA"/>
            </w:rPr>
            <w:t>ŠIAULIŲ MIESTO SAVIVALDYBĖS TARYBA</w:t>
          </w:r>
        </w:p>
        <w:p w14:paraId="6C703892" w14:textId="77777777">
          <w:pPr>
            <w:widowControl w:val="0"/>
            <w:suppressAutoHyphens/>
            <w:jc w:val="center"/>
            <w:rPr>
              <w:rFonts w:eastAsia="Andale Sans UI"/>
              <w:b/>
              <w:kern w:val="2"/>
              <w:szCs w:val="24"/>
              <w:lang w:eastAsia="ar-SA"/>
            </w:rPr>
          </w:pPr>
        </w:p>
        <w:p w14:paraId="28373BA4" w14:textId="77777777">
          <w:pPr>
            <w:widowControl w:val="0"/>
            <w:suppressAutoHyphens/>
            <w:jc w:val="center"/>
            <w:rPr>
              <w:rFonts w:eastAsia="Andale Sans UI"/>
              <w:b/>
              <w:kern w:val="2"/>
              <w:szCs w:val="24"/>
              <w:lang w:eastAsia="ar-SA"/>
            </w:rPr>
          </w:pPr>
          <w:r>
            <w:rPr>
              <w:rFonts w:eastAsia="Andale Sans UI"/>
              <w:b/>
              <w:kern w:val="2"/>
              <w:szCs w:val="24"/>
              <w:lang w:eastAsia="ar-SA"/>
            </w:rPr>
            <w:t>SPRENDIMAS</w:t>
          </w:r>
        </w:p>
        <w:p w14:paraId="69F7CD21" w14:textId="491B6ABB">
          <w:pPr>
            <w:widowControl w:val="0"/>
            <w:suppressAutoHyphens/>
            <w:jc w:val="center"/>
            <w:rPr>
              <w:rFonts w:eastAsia="Andale Sans UI"/>
              <w:b/>
              <w:kern w:val="2"/>
              <w:szCs w:val="24"/>
              <w:lang w:eastAsia="ar-SA"/>
            </w:rPr>
          </w:pPr>
          <w:r>
            <w:rPr>
              <w:rFonts w:eastAsia="Andale Sans UI"/>
              <w:b/>
              <w:kern w:val="2"/>
              <w:szCs w:val="24"/>
              <w:lang w:eastAsia="ar-SA"/>
            </w:rPr>
            <w:t>DĖL ŠIAULIŲ MIESTO SAVIVALDYBĖS TARYBOS 2023 M. VASARIO 2 D. SPRENDIMO NR. T-30 „DĖL ŠIAULIŲ MIESTO SAVIVALDYBĖS TARYBOS VEIKLOS REGLAMENTO PATVIRTINIMO“ PAKEITIMO</w:t>
          </w:r>
        </w:p>
        <w:p w14:paraId="628560EC" w14:textId="77777777">
          <w:pPr>
            <w:jc w:val="center"/>
            <w:rPr>
              <w:rFonts w:eastAsia="Arial Unicode MS"/>
              <w:bCs/>
              <w:szCs w:val="24"/>
            </w:rPr>
          </w:pPr>
        </w:p>
        <w:p w14:paraId="31E43A31" w14:textId="4319A3C9">
          <w:pPr>
            <w:widowControl w:val="0"/>
            <w:suppressAutoHyphens/>
            <w:jc w:val="center"/>
            <w:rPr>
              <w:rFonts w:eastAsia="Andale Sans UI"/>
              <w:bCs/>
              <w:kern w:val="2"/>
              <w:szCs w:val="24"/>
              <w:lang w:eastAsia="ar-SA"/>
            </w:rPr>
          </w:pPr>
          <w:r>
            <w:rPr>
              <w:rFonts w:eastAsia="Andale Sans UI"/>
              <w:bCs/>
              <w:kern w:val="2"/>
              <w:szCs w:val="24"/>
              <w:lang w:eastAsia="ar-SA"/>
            </w:rPr>
            <w:t xml:space="preserve">2023 m.           d. Nr. T-</w:t>
          </w:r>
        </w:p>
        <w:p w14:paraId="1B993854" w14:textId="77777777">
          <w:pPr>
            <w:widowControl w:val="0"/>
            <w:suppressAutoHyphens/>
            <w:jc w:val="center"/>
            <w:rPr>
              <w:rFonts w:eastAsia="Andale Sans UI"/>
              <w:bCs/>
              <w:kern w:val="2"/>
              <w:szCs w:val="24"/>
              <w:lang w:eastAsia="ar-SA"/>
            </w:rPr>
          </w:pPr>
          <w:r>
            <w:rPr>
              <w:rFonts w:eastAsia="Andale Sans UI"/>
              <w:bCs/>
              <w:kern w:val="2"/>
              <w:szCs w:val="24"/>
              <w:lang w:eastAsia="ar-SA"/>
            </w:rPr>
            <w:t>Šiauliai</w:t>
          </w:r>
        </w:p>
        <w:p w14:paraId="47EE4726" w14:textId="77777777">
          <w:pPr>
            <w:widowControl w:val="0"/>
            <w:suppressAutoHyphens/>
            <w:ind w:firstLine="709"/>
            <w:jc w:val="both"/>
            <w:rPr>
              <w:rFonts w:eastAsia="Andale Sans UI"/>
              <w:bCs/>
              <w:kern w:val="2"/>
              <w:szCs w:val="24"/>
              <w:lang w:eastAsia="ar-SA"/>
            </w:rPr>
          </w:pPr>
        </w:p>
        <w:sdt>
          <w:sdtPr>
            <w:alias w:val="preambule"/>
            <w:tag w:val="part_e72fce2c9dcb42f8bcd3f60e0747ed68"/>
            <w:lock w:val="sdtLocked"/>
            <w:richText/>
          </w:sdtPr>
          <w:sdtContent>
            <w:p w14:paraId="1B2C5F30" w14:textId="30191026">
              <w:pPr>
                <w:widowControl w:val="0"/>
                <w:suppressAutoHyphens/>
                <w:ind w:firstLine="851"/>
                <w:jc w:val="both"/>
                <w:rPr>
                  <w:rFonts w:eastAsia="Andale Sans UI"/>
                  <w:bCs/>
                  <w:kern w:val="2"/>
                  <w:szCs w:val="24"/>
                  <w:shd w:val="clear" w:color="auto" w:fill="FFFFFF"/>
                  <w:lang w:eastAsia="ar-SA"/>
                </w:rPr>
              </w:pPr>
              <w:r>
                <w:rPr>
                  <w:rFonts w:eastAsia="Andale Sans UI"/>
                  <w:bCs/>
                  <w:kern w:val="2"/>
                  <w:szCs w:val="24"/>
                  <w:lang w:eastAsia="ar-SA"/>
                </w:rPr>
                <w:t xml:space="preserve">Vadovaudamasi Lietuvos Respublikos vietos savivaldos įstatymo 15 straipsnio 2 dalies 1 punktu, Šiaulių miesto savivaldybės taryba  </w:t>
              </w:r>
              <w:r>
                <w:rPr>
                  <w:rFonts w:eastAsia="Andale Sans UI"/>
                  <w:bCs/>
                  <w:spacing w:val="80"/>
                  <w:kern w:val="2"/>
                  <w:szCs w:val="24"/>
                  <w:shd w:val="clear" w:color="auto" w:fill="FFFFFF"/>
                  <w:lang w:eastAsia="ar-SA"/>
                </w:rPr>
                <w:t>nusprendži</w:t>
              </w:r>
              <w:r>
                <w:rPr>
                  <w:rFonts w:eastAsia="Andale Sans UI"/>
                  <w:bCs/>
                  <w:kern w:val="2"/>
                  <w:szCs w:val="24"/>
                  <w:shd w:val="clear" w:color="auto" w:fill="FFFFFF"/>
                  <w:lang w:eastAsia="ar-SA"/>
                </w:rPr>
                <w:t>a:</w:t>
              </w:r>
            </w:p>
          </w:sdtContent>
        </w:sdt>
        <w:sdt>
          <w:sdtPr>
            <w:alias w:val="pastraipa"/>
            <w:tag w:val="part_079c807665004d93b976b963b0e59686"/>
            <w:lock w:val="sdtLocked"/>
            <w:richText/>
          </w:sdtPr>
          <w:sdtContent>
            <w:p w14:paraId="3DF3C385" w14:textId="14AB40EE">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Pakeisti Šiaulių miesto savivaldybės tarybos veiklos reglamentą, patvirtintą Šiaulių miesto savivaldybės tarybos 2023 m. vasario 2 d. sprendimu Nr. T-30 „Dėl Šiaulių miesto savivaldybės tarybos veiklos reglamento patvirtinimo“:</w:t>
              </w:r>
            </w:p>
          </w:sdtContent>
        </w:sdt>
        <w:sdt>
          <w:sdtPr>
            <w:alias w:val="1 p."/>
            <w:tag w:val="part_49445ac22c644e99825177b9c51fe9f1"/>
            <w:lock w:val="sdtLocked"/>
            <w:richText/>
          </w:sdtPr>
          <w:sdtContent>
            <w:p w14:paraId="5414E701" w14:textId="6DD72728">
              <w:pPr>
                <w:widowControl w:val="0"/>
                <w:suppressAutoHyphens/>
                <w:ind w:firstLine="709"/>
                <w:jc w:val="both"/>
                <w:rPr>
                  <w:rFonts w:eastAsia="Andale Sans UI"/>
                  <w:bCs/>
                  <w:kern w:val="2"/>
                  <w:szCs w:val="24"/>
                  <w:vertAlign w:val="superscript"/>
                  <w:lang w:eastAsia="ar-SA"/>
                </w:rPr>
              </w:pPr>
              <w:sdt>
                <w:sdtPr>
                  <w:alias w:val="Numeris"/>
                  <w:tag w:val="nr_49445ac22c644e99825177b9c51fe9f1"/>
                  <w:lock w:val="sdtLocked"/>
                  <w:richText/>
                </w:sdtPr>
                <w:sdtContent>
                  <w:r>
                    <w:rPr>
                      <w:rFonts w:eastAsia="Andale Sans UI"/>
                      <w:bCs/>
                      <w:kern w:val="2"/>
                      <w:szCs w:val="24"/>
                      <w:shd w:val="clear" w:color="auto" w:fill="FFFFFF"/>
                      <w:lang w:eastAsia="ar-SA"/>
                    </w:rPr>
                    <w:t>1</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8 punktą ir jį išdėstyti taip:</w:t>
              </w:r>
            </w:p>
            <w:sdt>
              <w:sdtPr>
                <w:alias w:val="citata"/>
                <w:tag w:val="part_a5556ea7162c46df8a66c253035d6ec0"/>
                <w:lock w:val="sdtLocked"/>
                <w:richText/>
              </w:sdtPr>
              <w:sdtContent>
                <w:sdt>
                  <w:sdtPr>
                    <w:alias w:val="8 p."/>
                    <w:tag w:val="part_fa93240a2c03449894a226a21a0b6d3d"/>
                    <w:lock w:val="sdtLocked"/>
                    <w:richText/>
                  </w:sdtPr>
                  <w:sdtContent>
                    <w:p w14:paraId="4B4E2283" w14:textId="55B8C853">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w:t>
                      </w:r>
                      <w:sdt>
                        <w:sdtPr>
                          <w:alias w:val="Numeris"/>
                          <w:tag w:val="nr_fa93240a2c03449894a226a21a0b6d3d"/>
                          <w:lock w:val="sdtLocked"/>
                          <w:richText/>
                        </w:sdtPr>
                        <w:sdtContent>
                          <w:r>
                            <w:rPr>
                              <w:rFonts w:eastAsia="Andale Sans UI"/>
                              <w:bCs/>
                              <w:kern w:val="2"/>
                              <w:szCs w:val="24"/>
                              <w:shd w:val="clear" w:color="auto" w:fill="FFFFFF"/>
                              <w:lang w:eastAsia="ar-SA"/>
                            </w:rPr>
                            <w:t>8</w:t>
                          </w:r>
                        </w:sdtContent>
                      </w:sdt>
                      <w:r>
                        <w:rPr>
                          <w:rFonts w:eastAsia="Andale Sans UI"/>
                          <w:bCs/>
                          <w:kern w:val="2"/>
                          <w:szCs w:val="24"/>
                          <w:shd w:val="clear" w:color="auto" w:fill="FFFFFF"/>
                          <w:lang w:eastAsia="ar-SA"/>
                        </w:rPr>
                        <w:t xml:space="preserve">. Frakciją gali sudaryti ne mažiau kaip </w:t>
                      </w:r>
                      <w:r>
                        <w:rPr>
                          <w:rFonts w:eastAsia="Andale Sans UI"/>
                          <w:bCs/>
                          <w:strike/>
                          <w:kern w:val="2"/>
                          <w:szCs w:val="24"/>
                          <w:shd w:val="clear" w:color="auto" w:fill="FFFFFF"/>
                          <w:lang w:eastAsia="ar-SA"/>
                        </w:rPr>
                        <w:t>4</w:t>
                      </w:r>
                      <w:r>
                        <w:rPr>
                          <w:rFonts w:eastAsia="Andale Sans UI"/>
                          <w:bCs/>
                          <w:kern w:val="2"/>
                          <w:szCs w:val="24"/>
                          <w:shd w:val="clear" w:color="auto" w:fill="FFFFFF"/>
                          <w:lang w:eastAsia="ar-SA"/>
                        </w:rPr>
                        <w:t xml:space="preserve"> </w:t>
                      </w:r>
                      <w:r>
                        <w:rPr>
                          <w:rFonts w:eastAsia="Andale Sans UI"/>
                          <w:b/>
                          <w:bCs/>
                          <w:kern w:val="2"/>
                          <w:szCs w:val="24"/>
                          <w:shd w:val="clear" w:color="auto" w:fill="FFFFFF"/>
                          <w:lang w:eastAsia="ar-SA"/>
                        </w:rPr>
                        <w:t>3</w:t>
                      </w:r>
                      <w:r>
                        <w:rPr>
                          <w:rFonts w:eastAsia="Andale Sans UI"/>
                          <w:bCs/>
                          <w:kern w:val="2"/>
                          <w:szCs w:val="24"/>
                          <w:shd w:val="clear" w:color="auto" w:fill="FFFFFF"/>
                          <w:lang w:eastAsia="ar-SA"/>
                        </w:rPr>
                        <w:t xml:space="preserve"> Tarybos nariai. Tarybos narys gali būti tik vienos frakcijos nariu ir tuo pačiu metu negali būti Tarybos grupės nariu.“</w:t>
                      </w:r>
                    </w:p>
                  </w:sdtContent>
                </w:sdt>
              </w:sdtContent>
            </w:sdt>
          </w:sdtContent>
        </w:sdt>
        <w:sdt>
          <w:sdtPr>
            <w:alias w:val="2 p."/>
            <w:tag w:val="part_7902455b6a8f44129cb2152f8461bba8"/>
            <w:lock w:val="sdtLocked"/>
            <w:richText/>
          </w:sdtPr>
          <w:sdtContent>
            <w:p w14:paraId="4F230EB1" w14:textId="47454BB2">
              <w:pPr>
                <w:widowControl w:val="0"/>
                <w:suppressAutoHyphens/>
                <w:ind w:firstLine="709"/>
                <w:jc w:val="both"/>
                <w:rPr>
                  <w:rFonts w:eastAsia="Andale Sans UI"/>
                  <w:bCs/>
                  <w:kern w:val="2"/>
                  <w:szCs w:val="24"/>
                  <w:vertAlign w:val="superscript"/>
                  <w:lang w:eastAsia="ar-SA"/>
                </w:rPr>
              </w:pPr>
              <w:sdt>
                <w:sdtPr>
                  <w:alias w:val="Numeris"/>
                  <w:tag w:val="nr_7902455b6a8f44129cb2152f8461bba8"/>
                  <w:lock w:val="sdtLocked"/>
                  <w:richText/>
                </w:sdtPr>
                <w:sdtContent>
                  <w:r>
                    <w:rPr>
                      <w:rFonts w:eastAsia="Andale Sans UI"/>
                      <w:bCs/>
                      <w:kern w:val="2"/>
                      <w:szCs w:val="24"/>
                      <w:shd w:val="clear" w:color="auto" w:fill="FFFFFF"/>
                      <w:lang w:eastAsia="ar-SA"/>
                    </w:rPr>
                    <w:t>2</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111 punktą ir jį išdėstyti taip:</w:t>
              </w:r>
            </w:p>
            <w:sdt>
              <w:sdtPr>
                <w:alias w:val="citata"/>
                <w:tag w:val="part_40ad06329bfd483bbb6fca590c59621d"/>
                <w:lock w:val="sdtLocked"/>
                <w:richText/>
              </w:sdtPr>
              <w:sdtContent>
                <w:sdt>
                  <w:sdtPr>
                    <w:alias w:val="111 p."/>
                    <w:tag w:val="part_371809c92e63422ca357e2389d133b7e"/>
                    <w:lock w:val="sdtLocked"/>
                    <w:richText/>
                  </w:sdtPr>
                  <w:sdtContent>
                    <w:p w14:paraId="54B5C4C1" w14:textId="05A003B3">
                      <w:pPr>
                        <w:widowControl w:val="0"/>
                        <w:suppressAutoHyphens/>
                        <w:ind w:firstLine="709"/>
                        <w:jc w:val="both"/>
                        <w:rPr>
                          <w:rFonts w:eastAsia="Andale Sans UI"/>
                          <w:b/>
                          <w:kern w:val="2"/>
                          <w:szCs w:val="24"/>
                          <w:shd w:val="clear" w:color="auto" w:fill="FFFFFF"/>
                          <w:lang w:eastAsia="ar-SA"/>
                        </w:rPr>
                      </w:pPr>
                      <w:r>
                        <w:rPr>
                          <w:rFonts w:eastAsia="Andale Sans UI"/>
                          <w:bCs/>
                          <w:kern w:val="2"/>
                          <w:szCs w:val="24"/>
                          <w:shd w:val="clear" w:color="auto" w:fill="FFFFFF"/>
                          <w:lang w:eastAsia="ar-SA"/>
                        </w:rPr>
                        <w:t>„</w:t>
                      </w:r>
                      <w:sdt>
                        <w:sdtPr>
                          <w:alias w:val="Numeris"/>
                          <w:tag w:val="nr_371809c92e63422ca357e2389d133b7e"/>
                          <w:lock w:val="sdtLocked"/>
                          <w:richText/>
                        </w:sdtPr>
                        <w:sdtContent>
                          <w:r>
                            <w:rPr>
                              <w:rFonts w:eastAsia="Andale Sans UI"/>
                              <w:bCs/>
                              <w:kern w:val="2"/>
                              <w:szCs w:val="24"/>
                              <w:shd w:val="clear" w:color="auto" w:fill="FFFFFF"/>
                              <w:lang w:eastAsia="ar-SA"/>
                            </w:rPr>
                            <w:t>111</w:t>
                          </w:r>
                        </w:sdtContent>
                      </w:sdt>
                      <w:r>
                        <w:rPr>
                          <w:rFonts w:eastAsia="Andale Sans UI"/>
                          <w:bCs/>
                          <w:kern w:val="2"/>
                          <w:szCs w:val="24"/>
                          <w:shd w:val="clear" w:color="auto" w:fill="FFFFFF"/>
                          <w:lang w:eastAsia="ar-SA"/>
                        </w:rPr>
                        <w:t xml:space="preserve">. Sudarant komitetus, laikomasi proporcinio daugumos ir mažumos atstovavimo principo. Tarybos narių delegavimas į Regiono plėtros tarybos kolegiją, įstatymų nustatytas komisijas ir pan. taip pat vyksta laikantis proporcinio daugumos ir </w:t>
                      </w:r>
                      <w:r>
                        <w:rPr>
                          <w:rFonts w:eastAsia="Andale Sans UI"/>
                          <w:bCs/>
                          <w:strike/>
                          <w:kern w:val="2"/>
                          <w:szCs w:val="24"/>
                          <w:shd w:val="clear" w:color="auto" w:fill="FFFFFF"/>
                          <w:lang w:eastAsia="ar-SA"/>
                        </w:rPr>
                        <w:t>opozicijos</w:t>
                      </w:r>
                      <w:r>
                        <w:rPr>
                          <w:rFonts w:eastAsia="Andale Sans UI"/>
                          <w:bCs/>
                          <w:kern w:val="2"/>
                          <w:szCs w:val="24"/>
                          <w:shd w:val="clear" w:color="auto" w:fill="FFFFFF"/>
                          <w:lang w:eastAsia="ar-SA"/>
                        </w:rPr>
                        <w:t xml:space="preserve"> </w:t>
                      </w:r>
                      <w:r>
                        <w:rPr>
                          <w:rFonts w:eastAsia="Andale Sans UI"/>
                          <w:b/>
                          <w:bCs/>
                          <w:kern w:val="2"/>
                          <w:szCs w:val="24"/>
                          <w:shd w:val="clear" w:color="auto" w:fill="FFFFFF"/>
                          <w:lang w:eastAsia="ar-SA"/>
                        </w:rPr>
                        <w:t>mažumos</w:t>
                      </w:r>
                      <w:r>
                        <w:rPr>
                          <w:rFonts w:eastAsia="Andale Sans UI"/>
                          <w:bCs/>
                          <w:kern w:val="2"/>
                          <w:szCs w:val="24"/>
                          <w:shd w:val="clear" w:color="auto" w:fill="FFFFFF"/>
                          <w:lang w:eastAsia="ar-SA"/>
                        </w:rPr>
                        <w:t xml:space="preserve"> atstovavimo principo. </w:t>
                      </w:r>
                      <w:r>
                        <w:rPr>
                          <w:b/>
                          <w:bCs/>
                          <w:kern w:val="2"/>
                          <w:szCs w:val="24"/>
                          <w:lang w:eastAsia="lt-LT"/>
                        </w:rPr>
                        <w:t xml:space="preserve">Jei Taryboje daugumos nėra, į Tarybos sprendimo projektą dėl Tarybos narių delegavimo į </w:t>
                      </w:r>
                      <w:r>
                        <w:rPr>
                          <w:rFonts w:eastAsia="Andale Sans UI"/>
                          <w:b/>
                          <w:kern w:val="2"/>
                          <w:szCs w:val="24"/>
                          <w:shd w:val="clear" w:color="auto" w:fill="FFFFFF"/>
                          <w:lang w:eastAsia="ar-SA"/>
                        </w:rPr>
                        <w:t>Regiono plėtros tarybos kolegiją</w:t>
                      </w:r>
                      <w:r>
                        <w:rPr>
                          <w:b/>
                          <w:kern w:val="2"/>
                          <w:szCs w:val="24"/>
                          <w:lang w:eastAsia="lt-LT"/>
                        </w:rPr>
                        <w:t xml:space="preserve"> įrašomi mero siūlomi Tarybos nariai, o į </w:t>
                      </w:r>
                      <w:r>
                        <w:rPr>
                          <w:b/>
                          <w:bCs/>
                          <w:kern w:val="2"/>
                          <w:szCs w:val="24"/>
                          <w:lang w:eastAsia="lt-LT"/>
                        </w:rPr>
                        <w:t>Tarybos sprendimo projektą dėl komitetų sudarymo įrašomi Tarybos sekretoriaus siūlomi Tarybos nariai, atsižvelgiant į frakcijos, Tarybos narių grupės, į jokią frakciją ar grupę nesusivienijusių Tarybos narių siūlymus bei laikantis visų Tarybos narių įtraukimo į komitetų veiklą, principo.</w:t>
                      </w:r>
                    </w:p>
                  </w:sdtContent>
                </w:sdt>
                <w:sdt>
                  <w:sdtPr>
                    <w:alias w:val="2 p."/>
                    <w:tag w:val="part_d49590684c634790a5731e8c88baea74"/>
                    <w:lock w:val="sdtLocked"/>
                    <w:richText/>
                  </w:sdtPr>
                  <w:sdtContent>
                    <w:p w14:paraId="1E2F1528" w14:textId="624B8317">
                      <w:pPr>
                        <w:widowControl w:val="0"/>
                        <w:suppressAutoHyphens/>
                        <w:ind w:firstLine="709"/>
                        <w:jc w:val="both"/>
                        <w:rPr>
                          <w:rFonts w:eastAsia="Andale Sans UI"/>
                          <w:bCs/>
                          <w:kern w:val="2"/>
                          <w:szCs w:val="24"/>
                          <w:vertAlign w:val="superscript"/>
                          <w:lang w:eastAsia="ar-SA"/>
                        </w:rPr>
                      </w:pPr>
                      <w:sdt>
                        <w:sdtPr>
                          <w:alias w:val="Numeris"/>
                          <w:tag w:val="nr_d49590684c634790a5731e8c88baea74"/>
                          <w:lock w:val="sdtLocked"/>
                          <w:richText/>
                        </w:sdtPr>
                        <w:sdtContent>
                          <w:r>
                            <w:rPr>
                              <w:rFonts w:eastAsia="Andale Sans UI"/>
                              <w:bCs/>
                              <w:kern w:val="2"/>
                              <w:szCs w:val="24"/>
                              <w:shd w:val="clear" w:color="auto" w:fill="FFFFFF"/>
                              <w:lang w:eastAsia="ar-SA"/>
                            </w:rPr>
                            <w:t>2</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143 punktą ir jį išdėstyti taip:</w:t>
                      </w:r>
                    </w:p>
                    <w:p w14:paraId="1BADCFDA" w14:textId="77777777">
                      <w:pPr>
                        <w:widowControl w:val="0"/>
                        <w:suppressAutoHyphens/>
                        <w:ind w:firstLine="709"/>
                        <w:jc w:val="both"/>
                        <w:rPr>
                          <w:color w:val="000000"/>
                          <w:kern w:val="2"/>
                          <w:szCs w:val="24"/>
                          <w:lang w:eastAsia="lt-LT"/>
                        </w:rPr>
                      </w:pPr>
                      <w:r>
                        <w:rPr>
                          <w:color w:val="000000"/>
                          <w:kern w:val="2"/>
                          <w:szCs w:val="24"/>
                          <w:lang w:eastAsia="lt-LT"/>
                        </w:rPr>
                        <w:t xml:space="preserve">„143. Jei į komisijas ar kitus Tarybos darinius įtraukiami Tarybos nariai, jie įtraukiami laikantis proporcinio daugumos ir mažumos atstovavimo principo. </w:t>
                      </w:r>
                      <w:r>
                        <w:rPr>
                          <w:strike/>
                          <w:color w:val="000000"/>
                          <w:kern w:val="2"/>
                          <w:szCs w:val="24"/>
                          <w:lang w:eastAsia="lt-LT"/>
                        </w:rPr>
                        <w:t>Tokiu atveju</w:t>
                      </w:r>
                      <w:r>
                        <w:rPr>
                          <w:color w:val="000000"/>
                          <w:kern w:val="2"/>
                          <w:szCs w:val="24"/>
                          <w:lang w:eastAsia="lt-LT"/>
                        </w:rPr>
                        <w:t xml:space="preserve"> </w:t>
                      </w:r>
                      <w:r>
                        <w:rPr>
                          <w:b/>
                          <w:bCs/>
                          <w:kern w:val="2"/>
                          <w:szCs w:val="24"/>
                          <w:lang w:eastAsia="lt-LT"/>
                        </w:rPr>
                        <w:t>Jei Taryboje daugumos nėra</w:t>
                      </w:r>
                      <w:r>
                        <w:rPr>
                          <w:color w:val="000000"/>
                          <w:kern w:val="2"/>
                          <w:szCs w:val="24"/>
                          <w:lang w:eastAsia="lt-LT"/>
                        </w:rPr>
                        <w:t xml:space="preserve">, </w:t>
                      </w:r>
                      <w:r>
                        <w:rPr>
                          <w:bCs/>
                          <w:kern w:val="2"/>
                          <w:szCs w:val="24"/>
                          <w:lang w:eastAsia="lt-LT"/>
                        </w:rPr>
                        <w:t>Tarybos</w:t>
                      </w:r>
                      <w:r>
                        <w:rPr>
                          <w:b/>
                          <w:bCs/>
                          <w:kern w:val="2"/>
                          <w:szCs w:val="24"/>
                          <w:lang w:eastAsia="lt-LT"/>
                        </w:rPr>
                        <w:t xml:space="preserve"> </w:t>
                      </w:r>
                      <w:r>
                        <w:rPr>
                          <w:strike/>
                          <w:color w:val="000000"/>
                          <w:kern w:val="2"/>
                          <w:szCs w:val="24"/>
                          <w:lang w:eastAsia="lt-LT"/>
                        </w:rPr>
                        <w:t>narius deleguoja</w:t>
                      </w:r>
                      <w:r>
                        <w:rPr>
                          <w:color w:val="000000"/>
                          <w:kern w:val="2"/>
                          <w:szCs w:val="24"/>
                          <w:lang w:eastAsia="lt-LT"/>
                        </w:rPr>
                        <w:t> </w:t>
                      </w:r>
                      <w:r>
                        <w:rPr>
                          <w:b/>
                          <w:bCs/>
                          <w:kern w:val="2"/>
                          <w:szCs w:val="24"/>
                          <w:lang w:eastAsia="lt-LT"/>
                        </w:rPr>
                        <w:t xml:space="preserve"> narių kandidatūras pateikia Tarybos sekretorius, atsižvelgdamas į</w:t>
                      </w:r>
                      <w:r>
                        <w:rPr>
                          <w:kern w:val="2"/>
                          <w:szCs w:val="24"/>
                          <w:lang w:eastAsia="lt-LT"/>
                        </w:rPr>
                        <w:t> </w:t>
                      </w:r>
                      <w:r>
                        <w:rPr>
                          <w:color w:val="000000"/>
                          <w:kern w:val="2"/>
                          <w:szCs w:val="24"/>
                          <w:lang w:eastAsia="lt-LT"/>
                        </w:rPr>
                        <w:t xml:space="preserve">frakcijos, Tarybos narių grupės, į jokią frakciją ar grupę </w:t>
                      </w:r>
                      <w:r>
                        <w:rPr>
                          <w:rFonts w:eastAsia="Andale Sans UI"/>
                          <w:strike/>
                          <w:color w:val="000000"/>
                          <w:kern w:val="2"/>
                          <w:szCs w:val="24"/>
                          <w:lang w:eastAsia="ar-SA"/>
                        </w:rPr>
                        <w:t>nesusivieniję</w:t>
                      </w:r>
                      <w:r>
                        <w:rPr>
                          <w:rFonts w:eastAsia="Andale Sans UI"/>
                          <w:color w:val="000000"/>
                          <w:kern w:val="2"/>
                          <w:szCs w:val="24"/>
                          <w:lang w:eastAsia="ar-SA"/>
                        </w:rPr>
                        <w:t xml:space="preserve"> </w:t>
                      </w:r>
                      <w:r>
                        <w:rPr>
                          <w:b/>
                          <w:color w:val="000000"/>
                          <w:kern w:val="2"/>
                          <w:szCs w:val="24"/>
                          <w:lang w:eastAsia="lt-LT"/>
                        </w:rPr>
                        <w:t>nesusivienijusių</w:t>
                      </w:r>
                      <w:r>
                        <w:rPr>
                          <w:color w:val="000000"/>
                          <w:kern w:val="2"/>
                          <w:szCs w:val="24"/>
                          <w:lang w:eastAsia="lt-LT"/>
                        </w:rPr>
                        <w:t xml:space="preserve"> Tarybos  </w:t>
                      </w:r>
                      <w:r>
                        <w:rPr>
                          <w:rFonts w:eastAsia="Andale Sans UI"/>
                          <w:strike/>
                          <w:color w:val="000000"/>
                          <w:kern w:val="2"/>
                          <w:szCs w:val="24"/>
                          <w:lang w:eastAsia="ar-SA"/>
                        </w:rPr>
                        <w:t>nariai.</w:t>
                      </w:r>
                      <w:r>
                        <w:rPr>
                          <w:color w:val="000000"/>
                          <w:kern w:val="2"/>
                          <w:szCs w:val="24"/>
                          <w:lang w:eastAsia="lt-LT"/>
                        </w:rPr>
                        <w:t xml:space="preserve"> </w:t>
                      </w:r>
                      <w:r>
                        <w:rPr>
                          <w:b/>
                          <w:color w:val="000000"/>
                          <w:kern w:val="2"/>
                          <w:szCs w:val="24"/>
                          <w:lang w:eastAsia="lt-LT"/>
                        </w:rPr>
                        <w:t>narių siūlymus</w:t>
                      </w:r>
                      <w:r>
                        <w:rPr>
                          <w:color w:val="000000"/>
                          <w:kern w:val="2"/>
                          <w:szCs w:val="24"/>
                          <w:lang w:eastAsia="lt-LT"/>
                        </w:rPr>
                        <w:t xml:space="preserve"> </w:t>
                      </w:r>
                      <w:r>
                        <w:rPr>
                          <w:b/>
                          <w:color w:val="000000"/>
                          <w:kern w:val="2"/>
                          <w:szCs w:val="24"/>
                          <w:lang w:eastAsia="lt-LT"/>
                        </w:rPr>
                        <w:t>bei</w:t>
                      </w:r>
                      <w:r>
                        <w:rPr>
                          <w:color w:val="000000"/>
                          <w:kern w:val="2"/>
                          <w:szCs w:val="24"/>
                          <w:lang w:eastAsia="lt-LT"/>
                        </w:rPr>
                        <w:t xml:space="preserve"> </w:t>
                      </w:r>
                      <w:r>
                        <w:rPr>
                          <w:b/>
                          <w:color w:val="000000"/>
                          <w:kern w:val="2"/>
                          <w:szCs w:val="24"/>
                          <w:lang w:eastAsia="lt-LT"/>
                        </w:rPr>
                        <w:t>frakcijos, Tarybos narių grupės, į jokią frakciją ar grupę nesusivienijusių Tarybos narių</w:t>
                      </w:r>
                      <w:r>
                        <w:rPr>
                          <w:b/>
                          <w:bCs/>
                          <w:color w:val="FF0000"/>
                          <w:kern w:val="2"/>
                          <w:szCs w:val="24"/>
                          <w:lang w:eastAsia="lt-LT"/>
                        </w:rPr>
                        <w:t xml:space="preserve"> </w:t>
                      </w:r>
                      <w:r>
                        <w:rPr>
                          <w:b/>
                          <w:bCs/>
                          <w:kern w:val="2"/>
                          <w:szCs w:val="24"/>
                          <w:lang w:eastAsia="lt-LT"/>
                        </w:rPr>
                        <w:t>dalyvavimą jau Tarybos sudarytuose dariniuose, laikantis kuo platesnio Tarybos narių įtraukimo į Tarybos sudaromų darinių veiklą, principo</w:t>
                      </w:r>
                      <w:r>
                        <w:rPr>
                          <w:kern w:val="2"/>
                          <w:szCs w:val="24"/>
                          <w:lang w:eastAsia="lt-LT"/>
                        </w:rPr>
                        <w:t xml:space="preserve">. </w:t>
                      </w:r>
                      <w:r>
                        <w:rPr>
                          <w:rFonts w:eastAsia="Andale Sans UI"/>
                          <w:color w:val="000000"/>
                          <w:kern w:val="2"/>
                          <w:szCs w:val="24"/>
                          <w:lang w:eastAsia="ar-SA"/>
                        </w:rPr>
                        <w:t xml:space="preserve">Nepateikus </w:t>
                      </w:r>
                      <w:r>
                        <w:rPr>
                          <w:b/>
                          <w:bCs/>
                          <w:kern w:val="2"/>
                          <w:szCs w:val="24"/>
                          <w:lang w:eastAsia="lt-LT"/>
                        </w:rPr>
                        <w:t>siūlymo dėl</w:t>
                      </w:r>
                      <w:r>
                        <w:rPr>
                          <w:kern w:val="2"/>
                          <w:szCs w:val="24"/>
                          <w:lang w:eastAsia="lt-LT"/>
                        </w:rPr>
                        <w:t xml:space="preserve"> </w:t>
                      </w:r>
                      <w:r>
                        <w:rPr>
                          <w:color w:val="000000"/>
                          <w:kern w:val="2"/>
                          <w:szCs w:val="24"/>
                          <w:lang w:eastAsia="lt-LT"/>
                        </w:rPr>
                        <w:t>savo deleguojamo nario kandidatūros, laikoma, kad frakcija, Tarybos narių grupė ar į jokią frakciją ar grupę nesusivieniję Tarybos nariai atsisakė teisės deleguoti savo atstovą (-us). Komisijų sudėtis viešinama Savivaldybės interneto svetainėje jų galiojimo laikotarpiu. Šis punktas netaikomas sudarant Etikos ir Antikorupcijos komisijas.“</w:t>
                      </w:r>
                    </w:p>
                  </w:sdtContent>
                </w:sdt>
              </w:sdtContent>
            </w:sdt>
          </w:sdtContent>
        </w:sdt>
        <w:sdt>
          <w:sdtPr>
            <w:alias w:val="3 p."/>
            <w:tag w:val="part_4d1d35dd69f54312bbc349d29ab57fa0"/>
            <w:lock w:val="sdtLocked"/>
            <w:richText/>
          </w:sdtPr>
          <w:sdtContent>
            <w:p w14:paraId="190457B7" w14:textId="760BA141">
              <w:pPr>
                <w:widowControl w:val="0"/>
                <w:suppressAutoHyphens/>
                <w:ind w:firstLine="709"/>
                <w:jc w:val="both"/>
                <w:rPr>
                  <w:color w:val="000000"/>
                  <w:kern w:val="2"/>
                  <w:szCs w:val="24"/>
                  <w:lang w:eastAsia="lt-LT"/>
                </w:rPr>
              </w:pPr>
              <w:sdt>
                <w:sdtPr>
                  <w:alias w:val="Numeris"/>
                  <w:tag w:val="nr_4d1d35dd69f54312bbc349d29ab57fa0"/>
                  <w:lock w:val="sdtLocked"/>
                  <w:richText/>
                </w:sdtPr>
                <w:sdtContent>
                  <w:r>
                    <w:rPr>
                      <w:rFonts w:eastAsia="Andale Sans UI"/>
                      <w:bCs/>
                      <w:kern w:val="2"/>
                      <w:szCs w:val="24"/>
                      <w:lang w:eastAsia="ar-SA"/>
                    </w:rPr>
                    <w:t>3</w:t>
                  </w:r>
                </w:sdtContent>
              </w:sdt>
              <w:r>
                <w:rPr>
                  <w:rFonts w:eastAsia="Andale Sans UI"/>
                  <w:bCs/>
                  <w:kern w:val="2"/>
                  <w:szCs w:val="24"/>
                  <w:lang w:eastAsia="ar-SA"/>
                </w:rPr>
                <w:t>. Pakeisti 152.2 papunktį ir jį išdėstyti taip:</w:t>
              </w:r>
            </w:p>
            <w:sdt>
              <w:sdtPr>
                <w:alias w:val="citata"/>
                <w:tag w:val="part_353ccbd083944464a3c93ad22173481f"/>
                <w:lock w:val="sdtLocked"/>
                <w:richText/>
              </w:sdtPr>
              <w:sdtContent>
                <w:sdt>
                  <w:sdtPr>
                    <w:alias w:val="152.2 pp."/>
                    <w:tag w:val="part_99b1300d5b8d4810910c7600aed34e87"/>
                    <w:lock w:val="sdtLocked"/>
                    <w:richText/>
                  </w:sdtPr>
                  <w:sdtContent>
                    <w:p w14:paraId="56A5B4BC" w14:textId="528CC82A">
                      <w:pPr>
                        <w:widowControl w:val="0"/>
                        <w:suppressAutoHyphens/>
                        <w:ind w:firstLine="709"/>
                        <w:jc w:val="both"/>
                        <w:rPr>
                          <w:bCs/>
                          <w:strike/>
                          <w:kern w:val="2"/>
                          <w:szCs w:val="24"/>
                          <w:lang w:eastAsia="lt-LT"/>
                        </w:rPr>
                      </w:pPr>
                      <w:r>
                        <w:rPr>
                          <w:bCs/>
                          <w:kern w:val="2"/>
                          <w:szCs w:val="24"/>
                          <w:lang w:eastAsia="lt-LT"/>
                        </w:rPr>
                        <w:t>„</w:t>
                      </w:r>
                      <w:sdt>
                        <w:sdtPr>
                          <w:alias w:val="Numeris"/>
                          <w:tag w:val="nr_99b1300d5b8d4810910c7600aed34e87"/>
                          <w:lock w:val="sdtLocked"/>
                          <w:richText/>
                        </w:sdtPr>
                        <w:sdtContent>
                          <w:r>
                            <w:rPr>
                              <w:rFonts w:eastAsia="Andale Sans UI"/>
                              <w:color w:val="000000"/>
                              <w:kern w:val="2"/>
                              <w:szCs w:val="24"/>
                              <w:lang w:eastAsia="ar-SA"/>
                            </w:rPr>
                            <w:t>152.2</w:t>
                          </w:r>
                        </w:sdtContent>
                      </w:sdt>
                      <w:r>
                        <w:rPr>
                          <w:rFonts w:eastAsia="Andale Sans UI"/>
                          <w:color w:val="000000"/>
                          <w:kern w:val="2"/>
                          <w:szCs w:val="24"/>
                          <w:lang w:eastAsia="ar-SA"/>
                        </w:rPr>
                        <w:t xml:space="preserve">. laikas, </w:t>
                      </w:r>
                      <w:r>
                        <w:rPr>
                          <w:rFonts w:eastAsia="Andale Sans UI"/>
                          <w:b/>
                          <w:color w:val="000000"/>
                          <w:kern w:val="2"/>
                          <w:szCs w:val="24"/>
                          <w:lang w:eastAsia="ar-SA"/>
                        </w:rPr>
                        <w:t xml:space="preserve">ne daugiau kaip </w:t>
                      </w:r>
                      <w:r>
                        <w:rPr>
                          <w:rFonts w:eastAsia="Andale Sans UI"/>
                          <w:b/>
                          <w:kern w:val="2"/>
                          <w:szCs w:val="24"/>
                          <w:lang w:eastAsia="ar-SA"/>
                        </w:rPr>
                        <w:t xml:space="preserve">50 </w:t>
                      </w:r>
                      <w:r>
                        <w:rPr>
                          <w:rFonts w:eastAsia="Andale Sans UI"/>
                          <w:b/>
                          <w:color w:val="000000"/>
                          <w:kern w:val="2"/>
                          <w:szCs w:val="24"/>
                          <w:lang w:eastAsia="ar-SA"/>
                        </w:rPr>
                        <w:t>val. per mėnesį</w:t>
                      </w:r>
                      <w:r>
                        <w:rPr>
                          <w:rFonts w:eastAsia="Andale Sans UI"/>
                          <w:color w:val="000000"/>
                          <w:kern w:val="2"/>
                          <w:szCs w:val="24"/>
                          <w:lang w:eastAsia="ar-SA"/>
                        </w:rPr>
                        <w:t xml:space="preserve">, sugaištas ruošiantis Tarybos, komitetų, komisijų ir darbo grupių posėdžiams, priimant gyventojus </w:t>
                      </w:r>
                      <w:r>
                        <w:rPr>
                          <w:rFonts w:eastAsia="Andale Sans UI"/>
                          <w:b/>
                          <w:bCs/>
                          <w:kern w:val="2"/>
                          <w:szCs w:val="24"/>
                          <w:lang w:eastAsia="ar-SA"/>
                        </w:rPr>
                        <w:t>ir sprendžiant jų keliamus klausimus</w:t>
                      </w:r>
                      <w:r>
                        <w:rPr>
                          <w:rFonts w:eastAsia="Andale Sans UI"/>
                          <w:color w:val="000000"/>
                          <w:kern w:val="2"/>
                          <w:szCs w:val="24"/>
                          <w:lang w:eastAsia="ar-SA"/>
                        </w:rPr>
                        <w:t>. Jį Tarybos narys deklaruoja asmeniškai ne vėliau kaip paskutinę einamojo mėnesio dieną.</w:t>
                      </w:r>
                      <w:r>
                        <w:rPr>
                          <w:rFonts w:eastAsia="Andale Sans UI"/>
                          <w:bCs/>
                          <w:kern w:val="2"/>
                          <w:szCs w:val="24"/>
                          <w:lang w:eastAsia="ar-SA"/>
                        </w:rPr>
                        <w:t>“</w:t>
                      </w:r>
                    </w:p>
                  </w:sdtContent>
                </w:sdt>
              </w:sdtContent>
            </w:sdt>
          </w:sdtContent>
        </w:sdt>
        <w:sdt>
          <w:sdtPr>
            <w:alias w:val="4 p."/>
            <w:tag w:val="part_064e0cd69a3445ec93a7c7489bca86e8"/>
            <w:lock w:val="sdtLocked"/>
            <w:richText/>
          </w:sdtPr>
          <w:sdtContent>
            <w:p w14:paraId="75F53B75" w14:textId="72B51833">
              <w:pPr>
                <w:widowControl w:val="0"/>
                <w:suppressAutoHyphens/>
                <w:ind w:firstLine="709"/>
                <w:jc w:val="both"/>
                <w:rPr>
                  <w:rFonts w:eastAsia="Andale Sans UI"/>
                  <w:bCs/>
                  <w:kern w:val="2"/>
                  <w:szCs w:val="24"/>
                  <w:vertAlign w:val="superscript"/>
                  <w:lang w:eastAsia="ar-SA"/>
                </w:rPr>
              </w:pPr>
              <w:sdt>
                <w:sdtPr>
                  <w:alias w:val="Numeris"/>
                  <w:tag w:val="nr_064e0cd69a3445ec93a7c7489bca86e8"/>
                  <w:lock w:val="sdtLocked"/>
                  <w:richText/>
                </w:sdtPr>
                <w:sdtContent>
                  <w:r>
                    <w:rPr>
                      <w:rFonts w:eastAsia="Andale Sans UI"/>
                      <w:bCs/>
                      <w:kern w:val="2"/>
                      <w:szCs w:val="24"/>
                      <w:lang w:eastAsia="ar-SA"/>
                    </w:rPr>
                    <w:t>4</w:t>
                  </w:r>
                </w:sdtContent>
              </w:sdt>
              <w:r>
                <w:rPr>
                  <w:rFonts w:eastAsia="Andale Sans UI"/>
                  <w:bCs/>
                  <w:kern w:val="2"/>
                  <w:szCs w:val="24"/>
                  <w:lang w:eastAsia="ar-SA"/>
                </w:rPr>
                <w:t>. Pakeisti 153 punktą ir jį išdėstyti taip:</w:t>
              </w:r>
            </w:p>
            <w:sdt>
              <w:sdtPr>
                <w:alias w:val="citata"/>
                <w:tag w:val="part_b337c1b23a0f49af9ad13baf0cbe7345"/>
                <w:lock w:val="sdtLocked"/>
                <w:richText/>
              </w:sdtPr>
              <w:sdtContent>
                <w:sdt>
                  <w:sdtPr>
                    <w:alias w:val="153 p."/>
                    <w:tag w:val="part_cb526f07eb5f44c98fcbc637055e4976"/>
                    <w:lock w:val="sdtLocked"/>
                    <w:richText/>
                  </w:sdtPr>
                  <w:sdtContent>
                    <w:p w14:paraId="5BF6FF46" w14:textId="35B57B62">
                      <w:pPr>
                        <w:widowControl w:val="0"/>
                        <w:suppressAutoHyphens/>
                        <w:ind w:firstLine="709"/>
                        <w:jc w:val="both"/>
                        <w:rPr>
                          <w:rFonts w:eastAsia="Andale Sans UI"/>
                          <w:bCs/>
                          <w:kern w:val="2"/>
                          <w:szCs w:val="24"/>
                          <w:lang w:eastAsia="ar-SA"/>
                        </w:rPr>
                      </w:pPr>
                      <w:r>
                        <w:rPr>
                          <w:bCs/>
                          <w:kern w:val="2"/>
                          <w:szCs w:val="24"/>
                          <w:lang w:eastAsia="lt-LT"/>
                        </w:rPr>
                        <w:t>„</w:t>
                      </w:r>
                      <w:sdt>
                        <w:sdtPr>
                          <w:alias w:val="Numeris"/>
                          <w:tag w:val="nr_cb526f07eb5f44c98fcbc637055e4976"/>
                          <w:lock w:val="sdtLocked"/>
                          <w:richText/>
                        </w:sdtPr>
                        <w:sdtContent>
                          <w:r>
                            <w:rPr>
                              <w:rFonts w:eastAsia="Andale Sans UI"/>
                              <w:color w:val="000000"/>
                              <w:kern w:val="2"/>
                              <w:szCs w:val="24"/>
                              <w:lang w:eastAsia="ar-SA"/>
                            </w:rPr>
                            <w:t>153</w:t>
                          </w:r>
                        </w:sdtContent>
                      </w:sdt>
                      <w:r>
                        <w:rPr>
                          <w:rFonts w:eastAsia="Andale Sans UI"/>
                          <w:color w:val="000000"/>
                          <w:kern w:val="2"/>
                          <w:szCs w:val="24"/>
                          <w:lang w:eastAsia="ar-SA"/>
                        </w:rPr>
                        <w:t>. Už šį faktiškai sugaištą laiką mokamas 1 VMDU dydžio atlyginimas proporcingai dirbtam laikui,</w:t>
                      </w:r>
                      <w:r>
                        <w:rPr>
                          <w:rFonts w:eastAsia="Andale Sans UI"/>
                          <w:strike/>
                          <w:color w:val="000000"/>
                          <w:kern w:val="2"/>
                          <w:szCs w:val="24"/>
                          <w:lang w:eastAsia="ar-SA"/>
                        </w:rPr>
                        <w:t xml:space="preserve"> bet ne daugiau kaip už 40 val. per mėnesį.</w:t>
                      </w:r>
                      <w:r>
                        <w:rPr>
                          <w:rFonts w:eastAsia="Andale Sans UI"/>
                          <w:color w:val="000000"/>
                          <w:kern w:val="2"/>
                          <w:szCs w:val="24"/>
                          <w:lang w:eastAsia="ar-SA"/>
                        </w:rPr>
                        <w:t xml:space="preserve">  Tarybos opozicijos lyderiui ir nuolatinių Tarybos komitetų ir komisijų pirmininkams bei jų pavaduotojams mokamas didesnis, Vietos savivaldos įstatyme nustatyto dydžio užmokestis. Tarybos nario asmeniškai deklaruojamo laiko formą tvirtina direktorius. </w:t>
                      </w:r>
                      <w:r>
                        <w:rPr>
                          <w:rFonts w:eastAsia="Andale Sans UI"/>
                          <w:b/>
                          <w:color w:val="000000"/>
                          <w:kern w:val="2"/>
                          <w:szCs w:val="24"/>
                          <w:lang w:eastAsia="ar-SA"/>
                        </w:rPr>
                        <w:t>Informacija apie Tarybos narių gautą atlyginimą yra vieša ir skelbiama Savivaldybės interneto svetainėje ne vėliau kaip iki kito ketvirčio pirmojo mėnesio 20 dienos</w:t>
                      </w:r>
                      <w:r>
                        <w:rPr>
                          <w:rFonts w:eastAsia="Andale Sans UI"/>
                          <w:color w:val="000000"/>
                          <w:kern w:val="2"/>
                          <w:szCs w:val="24"/>
                          <w:lang w:eastAsia="ar-SA"/>
                        </w:rPr>
                        <w:t>.</w:t>
                      </w:r>
                      <w:r>
                        <w:rPr>
                          <w:rFonts w:eastAsia="Andale Sans UI"/>
                          <w:bCs/>
                          <w:kern w:val="2"/>
                          <w:szCs w:val="24"/>
                          <w:lang w:eastAsia="ar-SA"/>
                        </w:rPr>
                        <w:t>“</w:t>
                      </w:r>
                    </w:p>
                  </w:sdtContent>
                </w:sdt>
              </w:sdtContent>
            </w:sdt>
          </w:sdtContent>
        </w:sdt>
        <w:sdt>
          <w:sdtPr>
            <w:alias w:val="5 p."/>
            <w:tag w:val="part_cc74779f06444b5b98cbecc1a9d8b763"/>
            <w:lock w:val="sdtLocked"/>
            <w:richText/>
          </w:sdtPr>
          <w:sdtContent>
            <w:p w14:paraId="0C41634D" w14:textId="2AC05C83">
              <w:pPr>
                <w:widowControl w:val="0"/>
                <w:suppressAutoHyphens/>
                <w:ind w:firstLine="709"/>
                <w:jc w:val="both"/>
                <w:rPr>
                  <w:rFonts w:eastAsia="Andale Sans UI"/>
                  <w:bCs/>
                  <w:kern w:val="2"/>
                  <w:szCs w:val="24"/>
                  <w:vertAlign w:val="superscript"/>
                  <w:lang w:eastAsia="ar-SA"/>
                </w:rPr>
              </w:pPr>
              <w:sdt>
                <w:sdtPr>
                  <w:alias w:val="Numeris"/>
                  <w:tag w:val="nr_cc74779f06444b5b98cbecc1a9d8b763"/>
                  <w:lock w:val="sdtLocked"/>
                  <w:richText/>
                </w:sdtPr>
                <w:sdtContent>
                  <w:r>
                    <w:rPr>
                      <w:rFonts w:eastAsia="Andale Sans UI"/>
                      <w:bCs/>
                      <w:kern w:val="2"/>
                      <w:szCs w:val="24"/>
                      <w:lang w:eastAsia="ar-SA"/>
                    </w:rPr>
                    <w:t>5</w:t>
                  </w:r>
                </w:sdtContent>
              </w:sdt>
              <w:r>
                <w:rPr>
                  <w:rFonts w:eastAsia="Andale Sans UI"/>
                  <w:bCs/>
                  <w:kern w:val="2"/>
                  <w:szCs w:val="24"/>
                  <w:lang w:eastAsia="ar-SA"/>
                </w:rPr>
                <w:t>. Pakeisti 158.3. papunktį ir jį išdėstyti taip:</w:t>
              </w:r>
            </w:p>
            <w:sdt>
              <w:sdtPr>
                <w:alias w:val="citata"/>
                <w:tag w:val="part_e1cb4091cb23468986493ea82448e8fa"/>
                <w:lock w:val="sdtLocked"/>
                <w:richText/>
              </w:sdtPr>
              <w:sdtContent>
                <w:sdt>
                  <w:sdtPr>
                    <w:alias w:val="158.3 pp."/>
                    <w:tag w:val="part_96a52a4b497f4d80919058892e6190c4"/>
                    <w:lock w:val="sdtLocked"/>
                    <w:richText/>
                  </w:sdtPr>
                  <w:sdtContent>
                    <w:p w14:paraId="438B2E4E" w14:textId="38CB37D7">
                      <w:pPr>
                        <w:widowControl w:val="0"/>
                        <w:suppressAutoHyphens/>
                        <w:ind w:firstLine="720"/>
                        <w:jc w:val="both"/>
                        <w:rPr>
                          <w:bCs/>
                          <w:kern w:val="2"/>
                          <w:szCs w:val="24"/>
                          <w:lang w:eastAsia="lt-LT"/>
                        </w:rPr>
                      </w:pPr>
                      <w:r>
                        <w:rPr>
                          <w:bCs/>
                          <w:kern w:val="2"/>
                          <w:szCs w:val="24"/>
                          <w:shd w:val="clear" w:color="auto" w:fill="FFFFFF"/>
                          <w:lang w:eastAsia="lt-LT"/>
                        </w:rPr>
                        <w:t>„</w:t>
                      </w:r>
                      <w:sdt>
                        <w:sdtPr>
                          <w:alias w:val="Numeris"/>
                          <w:tag w:val="nr_96a52a4b497f4d80919058892e6190c4"/>
                          <w:lock w:val="sdtLocked"/>
                          <w:richText/>
                        </w:sdtPr>
                        <w:sdtContent>
                          <w:r>
                            <w:rPr>
                              <w:rFonts w:eastAsia="Andale Sans UI"/>
                              <w:color w:val="000000"/>
                              <w:kern w:val="2"/>
                              <w:szCs w:val="24"/>
                              <w:lang w:eastAsia="ar-SA"/>
                            </w:rPr>
                            <w:t>158.3</w:t>
                          </w:r>
                        </w:sdtContent>
                      </w:sdt>
                      <w:r>
                        <w:rPr>
                          <w:rFonts w:eastAsia="Andale Sans UI"/>
                          <w:color w:val="000000"/>
                          <w:kern w:val="2"/>
                          <w:szCs w:val="24"/>
                          <w:lang w:eastAsia="ar-SA"/>
                        </w:rPr>
                        <w:t>. telefono </w:t>
                      </w:r>
                      <w:r>
                        <w:rPr>
                          <w:rFonts w:eastAsia="Andale Sans UI"/>
                          <w:color w:val="262626"/>
                          <w:kern w:val="2"/>
                          <w:szCs w:val="24"/>
                          <w:lang w:eastAsia="ar-SA"/>
                        </w:rPr>
                        <w:t xml:space="preserve">ryšio </w:t>
                      </w:r>
                      <w:r>
                        <w:rPr>
                          <w:rFonts w:eastAsia="Andale Sans UI"/>
                          <w:b/>
                          <w:color w:val="262626"/>
                          <w:kern w:val="2"/>
                          <w:szCs w:val="24"/>
                          <w:lang w:eastAsia="ar-SA"/>
                        </w:rPr>
                        <w:t xml:space="preserve">paslaugų, </w:t>
                      </w:r>
                      <w:r>
                        <w:rPr>
                          <w:rFonts w:eastAsia="Andale Sans UI"/>
                          <w:color w:val="262626"/>
                          <w:kern w:val="2"/>
                          <w:szCs w:val="24"/>
                          <w:lang w:eastAsia="ar-SA"/>
                        </w:rPr>
                        <w:t xml:space="preserve">įrangos </w:t>
                      </w:r>
                      <w:r>
                        <w:rPr>
                          <w:rFonts w:eastAsia="Andale Sans UI"/>
                          <w:b/>
                          <w:bCs/>
                          <w:kern w:val="2"/>
                          <w:szCs w:val="24"/>
                          <w:lang w:eastAsia="ar-SA"/>
                        </w:rPr>
                        <w:t>įsigijimo</w:t>
                      </w:r>
                      <w:r>
                        <w:rPr>
                          <w:rFonts w:eastAsia="Andale Sans UI"/>
                          <w:color w:val="262626"/>
                          <w:kern w:val="2"/>
                          <w:szCs w:val="24"/>
                          <w:lang w:eastAsia="ar-SA"/>
                        </w:rPr>
                        <w:t xml:space="preserve"> </w:t>
                      </w:r>
                      <w:r>
                        <w:rPr>
                          <w:rFonts w:eastAsia="Andale Sans UI"/>
                          <w:b/>
                          <w:color w:val="262626"/>
                          <w:kern w:val="2"/>
                          <w:szCs w:val="24"/>
                          <w:lang w:eastAsia="ar-SA"/>
                        </w:rPr>
                        <w:t>ir</w:t>
                      </w:r>
                      <w:r>
                        <w:rPr>
                          <w:rFonts w:eastAsia="Andale Sans UI"/>
                          <w:color w:val="262626"/>
                          <w:kern w:val="2"/>
                          <w:szCs w:val="24"/>
                          <w:lang w:eastAsia="ar-SA"/>
                        </w:rPr>
                        <w:t xml:space="preserve"> jos draudimo,</w:t>
                      </w:r>
                      <w:r>
                        <w:rPr>
                          <w:rFonts w:eastAsia="Andale Sans UI"/>
                          <w:color w:val="000000"/>
                          <w:kern w:val="2"/>
                          <w:szCs w:val="24"/>
                          <w:lang w:eastAsia="ar-SA"/>
                        </w:rPr>
                        <w:t xml:space="preserve"> </w:t>
                      </w:r>
                      <w:r>
                        <w:rPr>
                          <w:rFonts w:eastAsia="Andale Sans UI"/>
                          <w:strike/>
                          <w:color w:val="000000"/>
                          <w:kern w:val="2"/>
                          <w:szCs w:val="24"/>
                          <w:lang w:eastAsia="ar-SA"/>
                        </w:rPr>
                        <w:t>pokalbių ir</w:t>
                      </w:r>
                      <w:r>
                        <w:rPr>
                          <w:rFonts w:eastAsia="Andale Sans UI"/>
                          <w:strike/>
                          <w:color w:val="262626"/>
                          <w:kern w:val="2"/>
                          <w:szCs w:val="24"/>
                          <w:lang w:eastAsia="ar-SA"/>
                        </w:rPr>
                        <w:t xml:space="preserve"> kitoms paslaugoms</w:t>
                      </w:r>
                      <w:r>
                        <w:rPr>
                          <w:rFonts w:eastAsia="Andale Sans UI"/>
                          <w:color w:val="262626"/>
                          <w:kern w:val="2"/>
                          <w:szCs w:val="24"/>
                          <w:lang w:eastAsia="ar-SA"/>
                        </w:rPr>
                        <w:t> </w:t>
                      </w:r>
                      <w:r>
                        <w:rPr>
                          <w:rFonts w:eastAsia="Andale Sans UI"/>
                          <w:b/>
                          <w:color w:val="000000"/>
                          <w:kern w:val="2"/>
                          <w:szCs w:val="24"/>
                          <w:lang w:eastAsia="ar-SA"/>
                        </w:rPr>
                        <w:t>išlaidoms</w:t>
                      </w:r>
                      <w:r>
                        <w:rPr>
                          <w:rFonts w:eastAsia="Andale Sans UI"/>
                          <w:color w:val="000000"/>
                          <w:kern w:val="2"/>
                          <w:szCs w:val="24"/>
                          <w:lang w:eastAsia="ar-SA"/>
                        </w:rPr>
                        <w:t xml:space="preserve"> apmokėti;</w:t>
                      </w:r>
                      <w:r>
                        <w:rPr>
                          <w:bCs/>
                          <w:kern w:val="2"/>
                          <w:szCs w:val="24"/>
                          <w:lang w:eastAsia="lt-LT"/>
                        </w:rPr>
                        <w:t>“</w:t>
                      </w:r>
                    </w:p>
                  </w:sdtContent>
                </w:sdt>
              </w:sdtContent>
            </w:sdt>
          </w:sdtContent>
        </w:sdt>
        <w:sdt>
          <w:sdtPr>
            <w:alias w:val="6 p."/>
            <w:tag w:val="part_97ca7415851743dc9e100c0e88c4029a"/>
            <w:lock w:val="sdtLocked"/>
            <w:richText/>
          </w:sdtPr>
          <w:sdtContent>
            <w:p w14:paraId="6E501EDE" w14:textId="7FF26635">
              <w:pPr>
                <w:widowControl w:val="0"/>
                <w:suppressAutoHyphens/>
                <w:ind w:firstLine="709"/>
                <w:jc w:val="both"/>
                <w:rPr>
                  <w:rFonts w:eastAsia="Andale Sans UI"/>
                  <w:bCs/>
                  <w:kern w:val="2"/>
                  <w:szCs w:val="24"/>
                  <w:vertAlign w:val="superscript"/>
                  <w:lang w:eastAsia="ar-SA"/>
                </w:rPr>
              </w:pPr>
              <w:sdt>
                <w:sdtPr>
                  <w:alias w:val="Numeris"/>
                  <w:tag w:val="nr_97ca7415851743dc9e100c0e88c4029a"/>
                  <w:lock w:val="sdtLocked"/>
                  <w:richText/>
                </w:sdtPr>
                <w:sdtContent>
                  <w:r>
                    <w:rPr>
                      <w:rFonts w:eastAsia="Andale Sans UI"/>
                      <w:bCs/>
                      <w:kern w:val="2"/>
                      <w:szCs w:val="24"/>
                      <w:lang w:eastAsia="ar-SA"/>
                    </w:rPr>
                    <w:t>6</w:t>
                  </w:r>
                </w:sdtContent>
              </w:sdt>
              <w:r>
                <w:rPr>
                  <w:rFonts w:eastAsia="Andale Sans UI"/>
                  <w:bCs/>
                  <w:kern w:val="2"/>
                  <w:szCs w:val="24"/>
                  <w:lang w:eastAsia="ar-SA"/>
                </w:rPr>
                <w:t>. Pakeisti 158.5. papunktį ir jį išdėstyti taip:</w:t>
              </w:r>
            </w:p>
            <w:sdt>
              <w:sdtPr>
                <w:alias w:val="citata"/>
                <w:tag w:val="part_4ddd1eca19674c88a524bf82a5a91847"/>
                <w:lock w:val="sdtLocked"/>
                <w:richText/>
              </w:sdtPr>
              <w:sdtContent>
                <w:sdt>
                  <w:sdtPr>
                    <w:alias w:val="158.5 pp."/>
                    <w:tag w:val="part_ca40773f59e8497ab7b0362e5f27d261"/>
                    <w:lock w:val="sdtLocked"/>
                    <w:richText/>
                  </w:sdtPr>
                  <w:sdtContent>
                    <w:p w14:paraId="3D4E4C99" w14:textId="23DF8267">
                      <w:pPr>
                        <w:widowControl w:val="0"/>
                        <w:suppressAutoHyphens/>
                        <w:ind w:firstLine="771"/>
                        <w:jc w:val="both"/>
                        <w:rPr>
                          <w:bCs/>
                          <w:kern w:val="2"/>
                          <w:szCs w:val="24"/>
                          <w:lang w:eastAsia="lt-LT"/>
                        </w:rPr>
                      </w:pPr>
                      <w:r>
                        <w:rPr>
                          <w:bCs/>
                          <w:kern w:val="2"/>
                          <w:szCs w:val="24"/>
                          <w:lang w:eastAsia="lt-LT"/>
                        </w:rPr>
                        <w:t>„</w:t>
                      </w:r>
                      <w:sdt>
                        <w:sdtPr>
                          <w:alias w:val="Numeris"/>
                          <w:tag w:val="nr_ca40773f59e8497ab7b0362e5f27d261"/>
                          <w:lock w:val="sdtLocked"/>
                          <w:richText/>
                        </w:sdtPr>
                        <w:sdtContent>
                          <w:r>
                            <w:rPr>
                              <w:rFonts w:eastAsia="Andale Sans UI"/>
                              <w:color w:val="000000"/>
                              <w:kern w:val="2"/>
                              <w:szCs w:val="24"/>
                              <w:lang w:eastAsia="ar-SA"/>
                            </w:rPr>
                            <w:t>158.5</w:t>
                          </w:r>
                        </w:sdtContent>
                      </w:sdt>
                      <w:r>
                        <w:rPr>
                          <w:rFonts w:eastAsia="Andale Sans UI"/>
                          <w:color w:val="000000"/>
                          <w:kern w:val="2"/>
                          <w:szCs w:val="24"/>
                          <w:lang w:eastAsia="ar-SA"/>
                        </w:rPr>
                        <w:t xml:space="preserve">. Tarybos nario veiklai naudojamos transporto priemonės </w:t>
                      </w:r>
                      <w:r>
                        <w:rPr>
                          <w:rFonts w:eastAsia="Andale Sans UI"/>
                          <w:strike/>
                          <w:color w:val="000000"/>
                          <w:kern w:val="2"/>
                          <w:szCs w:val="24"/>
                          <w:lang w:eastAsia="ar-SA"/>
                        </w:rPr>
                        <w:t>nuomai,</w:t>
                      </w:r>
                      <w:r>
                        <w:rPr>
                          <w:rFonts w:eastAsia="Andale Sans UI"/>
                          <w:color w:val="000000"/>
                          <w:kern w:val="2"/>
                          <w:szCs w:val="24"/>
                          <w:lang w:eastAsia="ar-SA"/>
                        </w:rPr>
                        <w:t xml:space="preserve"> </w:t>
                      </w:r>
                      <w:r>
                        <w:rPr>
                          <w:rFonts w:eastAsia="Andale Sans UI"/>
                          <w:strike/>
                          <w:color w:val="000000"/>
                          <w:kern w:val="2"/>
                          <w:szCs w:val="24"/>
                          <w:lang w:eastAsia="ar-SA"/>
                        </w:rPr>
                        <w:t>techninei priežiūrai, remontui, atsarginėms dalims, padangoms, akumuliatoriams, kitoms transporto priemonės priežiūros prekėms ir paslaugoms, draudimui (neviršijant Tarybos nario kadencijos laikotarpio), degalams</w:t>
                      </w:r>
                      <w:r>
                        <w:rPr>
                          <w:rFonts w:eastAsia="Andale Sans UI"/>
                          <w:color w:val="000000"/>
                          <w:kern w:val="2"/>
                          <w:szCs w:val="24"/>
                          <w:lang w:eastAsia="ar-SA"/>
                        </w:rPr>
                        <w:t xml:space="preserve"> </w:t>
                      </w:r>
                      <w:r>
                        <w:rPr>
                          <w:rFonts w:eastAsia="Andale Sans UI"/>
                          <w:b/>
                          <w:color w:val="000000"/>
                          <w:kern w:val="2"/>
                          <w:szCs w:val="24"/>
                          <w:lang w:eastAsia="ar-SA"/>
                        </w:rPr>
                        <w:t xml:space="preserve">kurui, </w:t>
                      </w:r>
                      <w:r>
                        <w:rPr>
                          <w:rFonts w:eastAsia="Andale Sans UI"/>
                          <w:color w:val="000000"/>
                          <w:kern w:val="2"/>
                          <w:szCs w:val="24"/>
                          <w:lang w:eastAsia="ar-SA"/>
                        </w:rPr>
                        <w:t xml:space="preserve">transporto priemonės stovėjimo </w:t>
                      </w:r>
                      <w:r>
                        <w:rPr>
                          <w:rFonts w:eastAsia="Andale Sans UI"/>
                          <w:strike/>
                          <w:color w:val="000000"/>
                          <w:kern w:val="2"/>
                          <w:szCs w:val="24"/>
                          <w:lang w:eastAsia="ar-SA"/>
                        </w:rPr>
                        <w:t>ir saugojimo aikštelėse</w:t>
                      </w:r>
                      <w:r>
                        <w:rPr>
                          <w:rFonts w:eastAsia="Andale Sans UI"/>
                          <w:color w:val="000000"/>
                          <w:kern w:val="2"/>
                          <w:szCs w:val="24"/>
                          <w:lang w:eastAsia="ar-SA"/>
                        </w:rPr>
                        <w:t xml:space="preserve"> išlaidoms, taksi paslaugoms apmokėti, viešojo transporto bilietams įsigyti;</w:t>
                      </w:r>
                      <w:r>
                        <w:rPr>
                          <w:bCs/>
                          <w:kern w:val="2"/>
                          <w:szCs w:val="24"/>
                          <w:lang w:eastAsia="lt-LT"/>
                        </w:rPr>
                        <w:t>“</w:t>
                      </w:r>
                    </w:p>
                  </w:sdtContent>
                </w:sdt>
              </w:sdtContent>
            </w:sdt>
          </w:sdtContent>
        </w:sdt>
        <w:sdt>
          <w:sdtPr>
            <w:alias w:val="7 p."/>
            <w:tag w:val="part_8612b24191d845d582cc8a5e8f1a5c5f"/>
            <w:lock w:val="sdtLocked"/>
            <w:richText/>
          </w:sdtPr>
          <w:sdtContent>
            <w:p w14:paraId="7937DE8A" w14:textId="13A9CB76">
              <w:pPr>
                <w:widowControl w:val="0"/>
                <w:suppressAutoHyphens/>
                <w:ind w:firstLine="709"/>
                <w:jc w:val="both"/>
                <w:rPr>
                  <w:rFonts w:eastAsia="Andale Sans UI"/>
                  <w:bCs/>
                  <w:kern w:val="2"/>
                  <w:szCs w:val="24"/>
                  <w:vertAlign w:val="superscript"/>
                  <w:lang w:eastAsia="ar-SA"/>
                </w:rPr>
              </w:pPr>
              <w:sdt>
                <w:sdtPr>
                  <w:alias w:val="Numeris"/>
                  <w:tag w:val="nr_8612b24191d845d582cc8a5e8f1a5c5f"/>
                  <w:lock w:val="sdtLocked"/>
                  <w:richText/>
                </w:sdtPr>
                <w:sdtContent>
                  <w:r>
                    <w:rPr>
                      <w:bCs/>
                      <w:kern w:val="2"/>
                      <w:szCs w:val="24"/>
                      <w:lang w:eastAsia="lt-LT"/>
                    </w:rPr>
                    <w:t>7</w:t>
                  </w:r>
                </w:sdtContent>
              </w:sdt>
              <w:r>
                <w:rPr>
                  <w:bCs/>
                  <w:kern w:val="2"/>
                  <w:szCs w:val="24"/>
                  <w:lang w:eastAsia="lt-LT"/>
                </w:rPr>
                <w:t xml:space="preserve">. </w:t>
              </w:r>
              <w:r>
                <w:rPr>
                  <w:rFonts w:eastAsia="Andale Sans UI"/>
                  <w:bCs/>
                  <w:kern w:val="2"/>
                  <w:szCs w:val="24"/>
                  <w:lang w:eastAsia="ar-SA"/>
                </w:rPr>
                <w:t>Pakeisti 160 punktą ir jį išdėstyti taip:</w:t>
              </w:r>
            </w:p>
            <w:sdt>
              <w:sdtPr>
                <w:alias w:val="citata"/>
                <w:tag w:val="part_0faa7202035949008d27ccae109ca0ec"/>
                <w:lock w:val="sdtLocked"/>
                <w:richText/>
              </w:sdtPr>
              <w:sdtContent>
                <w:sdt>
                  <w:sdtPr>
                    <w:alias w:val="160 p."/>
                    <w:tag w:val="part_52fa6b359463402daca7192aa0820230"/>
                    <w:lock w:val="sdtLocked"/>
                    <w:richText/>
                  </w:sdtPr>
                  <w:sdtContent>
                    <w:p w14:paraId="509A72C6" w14:textId="57087121">
                      <w:pPr>
                        <w:widowControl w:val="0"/>
                        <w:suppressAutoHyphens/>
                        <w:ind w:firstLine="709"/>
                        <w:jc w:val="both"/>
                        <w:rPr>
                          <w:rFonts w:eastAsia="Andale Sans UI"/>
                          <w:b/>
                          <w:bCs/>
                          <w:kern w:val="2"/>
                          <w:szCs w:val="24"/>
                          <w:lang w:eastAsia="lt-LT"/>
                        </w:rPr>
                      </w:pPr>
                      <w:r>
                        <w:rPr>
                          <w:rFonts w:eastAsia="Andale Sans UI"/>
                          <w:color w:val="000000"/>
                          <w:kern w:val="2"/>
                          <w:szCs w:val="24"/>
                          <w:lang w:eastAsia="ar-SA"/>
                        </w:rPr>
                        <w:t>„</w:t>
                      </w:r>
                      <w:sdt>
                        <w:sdtPr>
                          <w:alias w:val="Numeris"/>
                          <w:tag w:val="nr_52fa6b359463402daca7192aa0820230"/>
                          <w:lock w:val="sdtLocked"/>
                          <w:richText/>
                        </w:sdtPr>
                        <w:sdtContent>
                          <w:r>
                            <w:rPr>
                              <w:rFonts w:eastAsia="Andale Sans UI"/>
                              <w:color w:val="000000"/>
                              <w:kern w:val="2"/>
                              <w:szCs w:val="24"/>
                              <w:lang w:eastAsia="ar-SA"/>
                            </w:rPr>
                            <w:t>160</w:t>
                          </w:r>
                        </w:sdtContent>
                      </w:sdt>
                      <w:r>
                        <w:rPr>
                          <w:rFonts w:eastAsia="Andale Sans UI"/>
                          <w:color w:val="000000"/>
                          <w:kern w:val="2"/>
                          <w:szCs w:val="24"/>
                          <w:lang w:eastAsia="ar-SA"/>
                        </w:rPr>
                        <w:t xml:space="preserve">. </w:t>
                      </w:r>
                      <w:r>
                        <w:rPr>
                          <w:rFonts w:eastAsia="Andale Sans UI"/>
                          <w:b/>
                          <w:bCs/>
                          <w:kern w:val="2"/>
                          <w:szCs w:val="24"/>
                          <w:lang w:eastAsia="lt-LT"/>
                        </w:rPr>
                        <w:t xml:space="preserve">Tarybos nario </w:t>
                      </w:r>
                      <w:r>
                        <w:rPr>
                          <w:rFonts w:eastAsia="Andale Sans UI"/>
                          <w:b/>
                          <w:color w:val="000000"/>
                          <w:kern w:val="2"/>
                          <w:szCs w:val="24"/>
                          <w:lang w:eastAsia="ar-SA"/>
                        </w:rPr>
                        <w:t xml:space="preserve">išlaidų ataskaitos antikorupcinį vertinimą atlieka </w:t>
                      </w:r>
                      <w:r>
                        <w:rPr>
                          <w:rFonts w:eastAsia="Andale Sans UI"/>
                          <w:b/>
                          <w:bCs/>
                          <w:kern w:val="2"/>
                          <w:szCs w:val="24"/>
                          <w:lang w:eastAsia="lt-LT"/>
                        </w:rPr>
                        <w:t>Antikorupcijos komisijos pirmininkas.</w:t>
                      </w:r>
                      <w:r>
                        <w:rPr>
                          <w:rFonts w:eastAsia="Andale Sans UI"/>
                          <w:b/>
                          <w:bCs/>
                          <w:i/>
                          <w:kern w:val="2"/>
                          <w:szCs w:val="24"/>
                          <w:lang w:eastAsia="lt-LT"/>
                        </w:rPr>
                        <w:t xml:space="preserve"> </w:t>
                      </w:r>
                      <w:r>
                        <w:rPr>
                          <w:rFonts w:eastAsia="Andale Sans UI"/>
                          <w:b/>
                          <w:bCs/>
                          <w:iCs/>
                          <w:kern w:val="2"/>
                          <w:szCs w:val="24"/>
                          <w:lang w:eastAsia="lt-LT"/>
                        </w:rPr>
                        <w:t>Kilus abejonėms dėl Tarybos nario išlaidų pagrįstumo, Antikorupcijos komisijos pirmininkas perduoda medžiagą nagrinėti Antikorupcijos komisijai. Antikorupcijos komisijai nustačius</w:t>
                      </w:r>
                      <w:r>
                        <w:rPr>
                          <w:rFonts w:eastAsia="Andale Sans UI"/>
                          <w:iCs/>
                          <w:kern w:val="2"/>
                          <w:szCs w:val="24"/>
                          <w:lang w:eastAsia="lt-LT"/>
                        </w:rPr>
                        <w:t xml:space="preserve"> </w:t>
                      </w:r>
                      <w:r>
                        <w:rPr>
                          <w:rFonts w:eastAsia="Andale Sans UI"/>
                          <w:bCs/>
                          <w:strike/>
                          <w:kern w:val="2"/>
                          <w:szCs w:val="24"/>
                          <w:lang w:eastAsia="lt-LT"/>
                        </w:rPr>
                        <w:t>J</w:t>
                      </w:r>
                      <w:r>
                        <w:rPr>
                          <w:rFonts w:eastAsia="Andale Sans UI"/>
                          <w:strike/>
                          <w:color w:val="000000"/>
                          <w:kern w:val="2"/>
                          <w:szCs w:val="24"/>
                          <w:lang w:eastAsia="ar-SA"/>
                        </w:rPr>
                        <w:t>eigu nustatoma</w:t>
                      </w:r>
                      <w:r>
                        <w:rPr>
                          <w:rFonts w:eastAsia="Andale Sans UI"/>
                          <w:color w:val="000000"/>
                          <w:kern w:val="2"/>
                          <w:szCs w:val="24"/>
                          <w:lang w:eastAsia="ar-SA"/>
                        </w:rPr>
                        <w:t>, kad Tarybos narys išmokas panaudojo ne pagal Reglamente nurodytą paskirtį, Tarybos narys, pasibaigus ataskaitiniam laikotarpiui, šią sumą turi sumokėti iš asmeninių lėšų. Jeigu per du mėnesius, pasibaigus ataskaitiniam laikotarpiui, Tarybos narys ne pagal nurodytą paskirtį panaudotos išmokos dalies nesumoka, Apskaitos skyrius ne ginčo tvarka išskaičiuoja jas iš visų Tarybos nariui mokėtinų artimiausio mėnesio išmokų.“</w:t>
                      </w:r>
                    </w:p>
                  </w:sdtContent>
                </w:sdt>
              </w:sdtContent>
            </w:sdt>
          </w:sdtContent>
        </w:sdt>
        <w:sdt>
          <w:sdtPr>
            <w:alias w:val="8 p."/>
            <w:tag w:val="part_9d851f49487a4904a21669446bbaaef3"/>
            <w:lock w:val="sdtLocked"/>
            <w:richText/>
          </w:sdtPr>
          <w:sdtContent>
            <w:p w14:paraId="5D284F80" w14:textId="25C61719">
              <w:pPr>
                <w:widowControl w:val="0"/>
                <w:suppressAutoHyphens/>
                <w:ind w:firstLine="709"/>
                <w:jc w:val="both"/>
                <w:rPr>
                  <w:rFonts w:eastAsia="Andale Sans UI"/>
                  <w:kern w:val="2"/>
                  <w:szCs w:val="24"/>
                  <w:vertAlign w:val="superscript"/>
                  <w:lang w:eastAsia="ar-SA"/>
                </w:rPr>
              </w:pPr>
              <w:sdt>
                <w:sdtPr>
                  <w:alias w:val="Numeris"/>
                  <w:tag w:val="nr_9d851f49487a4904a21669446bbaaef3"/>
                  <w:lock w:val="sdtLocked"/>
                  <w:richText/>
                </w:sdtPr>
                <w:sdtContent>
                  <w:r>
                    <w:rPr>
                      <w:rFonts w:eastAsia="Andale Sans UI"/>
                      <w:kern w:val="2"/>
                      <w:szCs w:val="24"/>
                      <w:lang w:eastAsia="ar-SA"/>
                    </w:rPr>
                    <w:t>8</w:t>
                  </w:r>
                </w:sdtContent>
              </w:sdt>
              <w:r>
                <w:rPr>
                  <w:rFonts w:eastAsia="Andale Sans UI"/>
                  <w:kern w:val="2"/>
                  <w:szCs w:val="24"/>
                  <w:lang w:eastAsia="ar-SA"/>
                </w:rPr>
                <w:t>. Pakeisti 180 punktą ir jį išdėstyti taip:</w:t>
              </w:r>
            </w:p>
            <w:sdt>
              <w:sdtPr>
                <w:alias w:val="citata"/>
                <w:tag w:val="part_61ab1af423ac4e739866c7e3d3a0a42d"/>
                <w:lock w:val="sdtLocked"/>
                <w:richText/>
              </w:sdtPr>
              <w:sdtContent>
                <w:sdt>
                  <w:sdtPr>
                    <w:alias w:val="180 p."/>
                    <w:tag w:val="part_477a814ea353494c8730f92085076350"/>
                    <w:lock w:val="sdtLocked"/>
                    <w:richText/>
                  </w:sdtPr>
                  <w:sdtContent>
                    <w:p w14:paraId="14180EB9" w14:textId="5E94A79D">
                      <w:pPr>
                        <w:widowControl w:val="0"/>
                        <w:suppressAutoHyphens/>
                        <w:ind w:firstLine="709"/>
                        <w:jc w:val="both"/>
                        <w:rPr>
                          <w:rFonts w:eastAsia="Andale Sans UI"/>
                          <w:b/>
                          <w:kern w:val="2"/>
                          <w:szCs w:val="24"/>
                          <w:lang w:eastAsia="ar-SA"/>
                        </w:rPr>
                      </w:pPr>
                      <w:r>
                        <w:rPr>
                          <w:rFonts w:eastAsia="Andale Sans UI"/>
                          <w:b/>
                          <w:kern w:val="2"/>
                          <w:szCs w:val="24"/>
                          <w:lang w:eastAsia="ar-SA"/>
                        </w:rPr>
                        <w:t>„</w:t>
                      </w:r>
                      <w:sdt>
                        <w:sdtPr>
                          <w:alias w:val="Numeris"/>
                          <w:tag w:val="nr_477a814ea353494c8730f92085076350"/>
                          <w:lock w:val="sdtLocked"/>
                          <w:richText/>
                        </w:sdtPr>
                        <w:sdtContent>
                          <w:r>
                            <w:rPr>
                              <w:rFonts w:eastAsia="Andale Sans UI"/>
                              <w:kern w:val="2"/>
                              <w:szCs w:val="24"/>
                              <w:lang w:eastAsia="ar-SA"/>
                            </w:rPr>
                            <w:t>180</w:t>
                          </w:r>
                        </w:sdtContent>
                      </w:sdt>
                      <w:r>
                        <w:rPr>
                          <w:rFonts w:eastAsia="Andale Sans UI"/>
                          <w:kern w:val="2"/>
                          <w:szCs w:val="24"/>
                          <w:lang w:eastAsia="ar-SA"/>
                        </w:rPr>
                        <w:t xml:space="preserve">. Sekretoriato veiklos nuostatus </w:t>
                      </w:r>
                      <w:r>
                        <w:rPr>
                          <w:rFonts w:eastAsia="Andale Sans UI"/>
                          <w:strike/>
                          <w:kern w:val="2"/>
                          <w:szCs w:val="24"/>
                          <w:lang w:eastAsia="ar-SA"/>
                        </w:rPr>
                        <w:t>, Sekretoriato pareigybių skaičių, išlaidų sąmatą</w:t>
                      </w:r>
                      <w:r>
                        <w:rPr>
                          <w:rFonts w:eastAsia="Andale Sans UI"/>
                          <w:b/>
                          <w:kern w:val="2"/>
                          <w:szCs w:val="24"/>
                          <w:lang w:eastAsia="ar-SA"/>
                        </w:rPr>
                        <w:t xml:space="preserve"> tvirtina Taryba mero teikimu.“</w:t>
                      </w:r>
                    </w:p>
                    <w:p w14:paraId="57D2DBFA" w14:textId="77777777">
                      <w:pPr>
                        <w:widowControl w:val="0"/>
                        <w:suppressAutoHyphens/>
                        <w:jc w:val="both"/>
                        <w:rPr>
                          <w:rFonts w:eastAsia="Andale Sans UI"/>
                          <w:bCs/>
                          <w:kern w:val="2"/>
                          <w:szCs w:val="24"/>
                          <w:lang w:eastAsia="ar-SA"/>
                        </w:rPr>
                      </w:pPr>
                    </w:p>
                    <w:p w14:paraId="7DC284A2" w14:textId="77777777">
                      <w:pPr>
                        <w:widowControl w:val="0"/>
                        <w:suppressAutoHyphens/>
                        <w:jc w:val="both"/>
                        <w:rPr>
                          <w:rFonts w:eastAsia="Andale Sans UI"/>
                          <w:bCs/>
                          <w:kern w:val="2"/>
                          <w:szCs w:val="24"/>
                          <w:lang w:eastAsia="ar-SA"/>
                        </w:rPr>
                      </w:pPr>
                    </w:p>
                    <w:p w14:paraId="2A6735CF" w14:textId="77777777">
                      <w:pPr>
                        <w:widowControl w:val="0"/>
                        <w:suppressAutoHyphens/>
                        <w:jc w:val="both"/>
                        <w:rPr>
                          <w:rFonts w:eastAsia="Andale Sans UI"/>
                          <w:bCs/>
                          <w:kern w:val="2"/>
                          <w:szCs w:val="24"/>
                          <w:lang w:eastAsia="ar-SA"/>
                        </w:rPr>
                      </w:pPr>
                    </w:p>
                  </w:sdtContent>
                </w:sdt>
              </w:sdtContent>
            </w:sdt>
          </w:sdtContent>
        </w:sdt>
        <w:sdt>
          <w:sdtPr>
            <w:alias w:val="signatura"/>
            <w:tag w:val="part_5e48a123c468429e86f4e2c9fda94468"/>
            <w:lock w:val="sdtLocked"/>
            <w:richText/>
          </w:sdtPr>
          <w:sdtContent>
            <w:p w14:paraId="1A42534D" w14:textId="4F4DE43B">
              <w:pPr>
                <w:widowControl w:val="0"/>
                <w:suppressAutoHyphens/>
                <w:jc w:val="both"/>
                <w:rPr>
                  <w:rFonts w:eastAsia="Andale Sans UI"/>
                  <w:bCs/>
                  <w:kern w:val="2"/>
                  <w:szCs w:val="24"/>
                  <w:lang w:eastAsia="ar-SA"/>
                </w:rPr>
              </w:pPr>
              <w:r>
                <w:rPr>
                  <w:rFonts w:eastAsia="Andale Sans UI"/>
                  <w:bCs/>
                  <w:kern w:val="2"/>
                  <w:szCs w:val="24"/>
                  <w:lang w:eastAsia="ar-SA"/>
                </w:rPr>
                <w:t>Savivaldybės meras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284"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555E92" w14:textId="77777777">
      <w:pPr>
        <w:widowControl w:val="0"/>
        <w:suppressAutoHyphens/>
        <w:rPr>
          <w:rFonts w:eastAsia="Andale Sans UI"/>
          <w:kern w:val="2"/>
          <w:szCs w:val="24"/>
          <w:lang w:eastAsia="ar-SA"/>
        </w:rPr>
      </w:pPr>
      <w:r>
        <w:rPr>
          <w:rFonts w:eastAsia="Andale Sans UI"/>
          <w:kern w:val="2"/>
          <w:szCs w:val="24"/>
          <w:lang w:eastAsia="ar-SA"/>
        </w:rPr>
        <w:separator/>
      </w:r>
    </w:p>
  </w:endnote>
  <w:endnote w:type="continuationSeparator" w:id="0">
    <w:p w14:paraId="12965A4C" w14:textId="77777777">
      <w:pPr>
        <w:widowControl w:val="0"/>
        <w:suppressAutoHyphens/>
        <w:rPr>
          <w:rFonts w:eastAsia="Andale Sans UI"/>
          <w:kern w:val="2"/>
          <w:szCs w:val="24"/>
          <w:lang w:eastAsia="ar-SA"/>
        </w:rPr>
      </w:pPr>
      <w:r>
        <w:rPr>
          <w:rFonts w:eastAsia="Andale Sans UI"/>
          <w:kern w:val="2"/>
          <w:szCs w:val="24"/>
          <w:lang w:eastAsia="ar-SA"/>
        </w:rPr>
        <w:continuationSeparator/>
      </w:r>
    </w:p>
  </w:endnote>
  <w:endnote w:type="continuationNotice" w:id="1">
    <w:p w14:paraId="4822FB59"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Calibri"/>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5DCB0" w14:textId="77777777">
    <w:pPr>
      <w:widowControl w:val="0"/>
      <w:tabs>
        <w:tab w:val="center" w:pos="4819"/>
        <w:tab w:val="right" w:pos="9638"/>
      </w:tabs>
      <w:suppressAutoHyphens/>
      <w:rPr>
        <w:rFonts w:eastAsia="Andale Sans UI"/>
        <w:kern w:val="2"/>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C8023C" w14:textId="77777777">
    <w:pPr>
      <w:widowControl w:val="0"/>
      <w:tabs>
        <w:tab w:val="center" w:pos="4819"/>
        <w:tab w:val="right" w:pos="9638"/>
      </w:tabs>
      <w:suppressAutoHyphens/>
      <w:rPr>
        <w:rFonts w:eastAsia="Andale Sans UI"/>
        <w:kern w:val="2"/>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D341D0" w14:textId="77777777">
    <w:pPr>
      <w:widowControl w:val="0"/>
      <w:tabs>
        <w:tab w:val="center" w:pos="4819"/>
        <w:tab w:val="right" w:pos="9638"/>
      </w:tabs>
      <w:suppressAutoHyphens/>
      <w:rPr>
        <w:rFonts w:eastAsia="Andale Sans UI"/>
        <w:kern w:val="2"/>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0E6D40" w14:textId="77777777">
      <w:pPr>
        <w:widowControl w:val="0"/>
        <w:suppressAutoHyphens/>
        <w:rPr>
          <w:rFonts w:eastAsia="Andale Sans UI"/>
          <w:kern w:val="2"/>
          <w:szCs w:val="24"/>
          <w:lang w:eastAsia="ar-SA"/>
        </w:rPr>
      </w:pPr>
      <w:r>
        <w:rPr>
          <w:rFonts w:eastAsia="Andale Sans UI"/>
          <w:kern w:val="2"/>
          <w:szCs w:val="24"/>
          <w:lang w:eastAsia="ar-SA"/>
        </w:rPr>
        <w:separator/>
      </w:r>
    </w:p>
  </w:footnote>
  <w:footnote w:type="continuationSeparator" w:id="0">
    <w:p w14:paraId="0CF4D895" w14:textId="77777777">
      <w:pPr>
        <w:widowControl w:val="0"/>
        <w:suppressAutoHyphens/>
        <w:rPr>
          <w:rFonts w:eastAsia="Andale Sans UI"/>
          <w:kern w:val="2"/>
          <w:szCs w:val="24"/>
          <w:lang w:eastAsia="ar-SA"/>
        </w:rPr>
      </w:pPr>
      <w:r>
        <w:rPr>
          <w:rFonts w:eastAsia="Andale Sans UI"/>
          <w:kern w:val="2"/>
          <w:szCs w:val="24"/>
          <w:lang w:eastAsia="ar-SA"/>
        </w:rPr>
        <w:continuationSeparator/>
      </w:r>
    </w:p>
  </w:footnote>
  <w:footnote w:type="continuationNotice" w:id="1">
    <w:p w14:paraId="408EFB23"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9A2AC9" w14:textId="77777777">
    <w:pPr>
      <w:widowControl w:val="0"/>
      <w:tabs>
        <w:tab w:val="center" w:pos="4819"/>
        <w:tab w:val="right" w:pos="9638"/>
      </w:tabs>
      <w:suppressAutoHyphens/>
      <w:rPr>
        <w:rFonts w:eastAsia="Andale Sans UI"/>
        <w:kern w:val="2"/>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2D40AC" w14:textId="77777777">
    <w:pPr>
      <w:widowControl w:val="0"/>
      <w:tabs>
        <w:tab w:val="center" w:pos="4819"/>
        <w:tab w:val="right" w:pos="9638"/>
      </w:tabs>
      <w:suppressAutoHyphens/>
      <w:jc w:val="center"/>
      <w:rPr>
        <w:rFonts w:eastAsia="Andale Sans UI"/>
        <w:kern w:val="2"/>
        <w:szCs w:val="24"/>
        <w:lang w:eastAsia="ar-SA"/>
      </w:rPr>
    </w:pPr>
    <w:r>
      <w:rPr>
        <w:rFonts w:eastAsia="Andale Sans UI"/>
        <w:kern w:val="2"/>
        <w:szCs w:val="24"/>
        <w:lang w:eastAsia="ar-SA"/>
      </w:rPr>
      <w:fldChar w:fldCharType="begin"/>
    </w:r>
    <w:r>
      <w:rPr>
        <w:rFonts w:eastAsia="Andale Sans UI"/>
        <w:kern w:val="2"/>
        <w:szCs w:val="24"/>
        <w:lang w:eastAsia="ar-SA"/>
      </w:rPr>
      <w:instrText>PAGE   \* MERGEFORMAT</w:instrText>
    </w:r>
    <w:r>
      <w:rPr>
        <w:rFonts w:eastAsia="Andale Sans UI"/>
        <w:kern w:val="2"/>
        <w:szCs w:val="24"/>
        <w:lang w:eastAsia="ar-SA"/>
      </w:rPr>
      <w:fldChar w:fldCharType="separate"/>
    </w:r>
    <w:r>
      <w:rPr>
        <w:rFonts w:eastAsia="Andale Sans UI"/>
        <w:kern w:val="2"/>
        <w:szCs w:val="24"/>
        <w:lang w:eastAsia="ar-SA"/>
      </w:rPr>
      <w:t>2</w:t>
    </w:r>
    <w:r>
      <w:rPr>
        <w:rFonts w:eastAsia="Andale Sans UI"/>
        <w:kern w:val="2"/>
        <w:szCs w:val="24"/>
        <w:lang w:eastAsia="ar-SA"/>
      </w:rPr>
      <w:fldChar w:fldCharType="end"/>
    </w:r>
  </w:p>
  <w:p w14:paraId="5816F48E" w14:textId="77777777">
    <w:pPr>
      <w:widowControl w:val="0"/>
      <w:tabs>
        <w:tab w:val="center" w:pos="4819"/>
        <w:tab w:val="right" w:pos="9638"/>
      </w:tabs>
      <w:suppressAutoHyphens/>
      <w:rPr>
        <w:rFonts w:eastAsia="Andale Sans UI"/>
        <w:kern w:val="2"/>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55E6F8" w14:textId="6ADDC095">
    <w:pPr>
      <w:widowControl w:val="0"/>
      <w:tabs>
        <w:tab w:val="center" w:pos="4819"/>
        <w:tab w:val="right" w:pos="9638"/>
      </w:tabs>
      <w:suppressAutoHyphens/>
      <w:rPr>
        <w:rFonts w:eastAsia="Andale Sans UI"/>
        <w:kern w:val="2"/>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00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3BA4CF7"/>
  <w15:chartTrackingRefBased/>
  <w15:docId w15:val="{6F8FF3F2-88F9-4473-9B03-90194171268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5349444">
      <w:bodyDiv w:val="1"/>
      <w:marLeft w:val="0"/>
      <w:marRight w:val="0"/>
      <w:marTop w:val="0"/>
      <w:marBottom w:val="0"/>
      <w:divBdr>
        <w:top w:val="none" w:sz="0" w:space="0" w:color="auto"/>
        <w:left w:val="none" w:sz="0" w:space="0" w:color="auto"/>
        <w:bottom w:val="none" w:sz="0" w:space="0" w:color="auto"/>
        <w:right w:val="none" w:sz="0" w:space="0" w:color="auto"/>
      </w:divBdr>
      <w:divsChild>
        <w:div w:id="454829166">
          <w:marLeft w:val="0"/>
          <w:marRight w:val="0"/>
          <w:marTop w:val="0"/>
          <w:marBottom w:val="0"/>
          <w:divBdr>
            <w:top w:val="none" w:sz="0" w:space="0" w:color="auto"/>
            <w:left w:val="none" w:sz="0" w:space="0" w:color="auto"/>
            <w:bottom w:val="none" w:sz="0" w:space="0" w:color="auto"/>
            <w:right w:val="none" w:sz="0" w:space="0" w:color="auto"/>
          </w:divBdr>
        </w:div>
        <w:div w:id="668362919">
          <w:marLeft w:val="0"/>
          <w:marRight w:val="0"/>
          <w:marTop w:val="0"/>
          <w:marBottom w:val="0"/>
          <w:divBdr>
            <w:top w:val="none" w:sz="0" w:space="0" w:color="auto"/>
            <w:left w:val="none" w:sz="0" w:space="0" w:color="auto"/>
            <w:bottom w:val="none" w:sz="0" w:space="0" w:color="auto"/>
            <w:right w:val="none" w:sz="0" w:space="0" w:color="auto"/>
          </w:divBdr>
        </w:div>
        <w:div w:id="932516182">
          <w:marLeft w:val="0"/>
          <w:marRight w:val="0"/>
          <w:marTop w:val="0"/>
          <w:marBottom w:val="0"/>
          <w:divBdr>
            <w:top w:val="none" w:sz="0" w:space="0" w:color="auto"/>
            <w:left w:val="none" w:sz="0" w:space="0" w:color="auto"/>
            <w:bottom w:val="none" w:sz="0" w:space="0" w:color="auto"/>
            <w:right w:val="none" w:sz="0" w:space="0" w:color="auto"/>
          </w:divBdr>
        </w:div>
        <w:div w:id="1063483216">
          <w:marLeft w:val="0"/>
          <w:marRight w:val="0"/>
          <w:marTop w:val="0"/>
          <w:marBottom w:val="0"/>
          <w:divBdr>
            <w:top w:val="none" w:sz="0" w:space="0" w:color="auto"/>
            <w:left w:val="none" w:sz="0" w:space="0" w:color="auto"/>
            <w:bottom w:val="none" w:sz="0" w:space="0" w:color="auto"/>
            <w:right w:val="none" w:sz="0" w:space="0" w:color="auto"/>
          </w:divBdr>
        </w:div>
        <w:div w:id="1464230343">
          <w:marLeft w:val="0"/>
          <w:marRight w:val="0"/>
          <w:marTop w:val="0"/>
          <w:marBottom w:val="0"/>
          <w:divBdr>
            <w:top w:val="none" w:sz="0" w:space="0" w:color="auto"/>
            <w:left w:val="none" w:sz="0" w:space="0" w:color="auto"/>
            <w:bottom w:val="none" w:sz="0" w:space="0" w:color="auto"/>
            <w:right w:val="none" w:sz="0" w:space="0" w:color="auto"/>
          </w:divBdr>
        </w:div>
      </w:divsChild>
    </w:div>
    <w:div w:id="395400871">
      <w:bodyDiv w:val="1"/>
      <w:marLeft w:val="0"/>
      <w:marRight w:val="0"/>
      <w:marTop w:val="0"/>
      <w:marBottom w:val="0"/>
      <w:divBdr>
        <w:top w:val="none" w:sz="0" w:space="0" w:color="auto"/>
        <w:left w:val="none" w:sz="0" w:space="0" w:color="auto"/>
        <w:bottom w:val="none" w:sz="0" w:space="0" w:color="auto"/>
        <w:right w:val="none" w:sz="0" w:space="0" w:color="auto"/>
      </w:divBdr>
    </w:div>
    <w:div w:id="683478045">
      <w:bodyDiv w:val="1"/>
      <w:marLeft w:val="0"/>
      <w:marRight w:val="0"/>
      <w:marTop w:val="0"/>
      <w:marBottom w:val="0"/>
      <w:divBdr>
        <w:top w:val="none" w:sz="0" w:space="0" w:color="auto"/>
        <w:left w:val="none" w:sz="0" w:space="0" w:color="auto"/>
        <w:bottom w:val="none" w:sz="0" w:space="0" w:color="auto"/>
        <w:right w:val="none" w:sz="0" w:space="0" w:color="auto"/>
      </w:divBdr>
      <w:divsChild>
        <w:div w:id="685448175">
          <w:marLeft w:val="0"/>
          <w:marRight w:val="0"/>
          <w:marTop w:val="0"/>
          <w:marBottom w:val="0"/>
          <w:divBdr>
            <w:top w:val="none" w:sz="0" w:space="0" w:color="auto"/>
            <w:left w:val="none" w:sz="0" w:space="0" w:color="auto"/>
            <w:bottom w:val="none" w:sz="0" w:space="0" w:color="auto"/>
            <w:right w:val="none" w:sz="0" w:space="0" w:color="auto"/>
          </w:divBdr>
          <w:divsChild>
            <w:div w:id="825703569">
              <w:marLeft w:val="0"/>
              <w:marRight w:val="0"/>
              <w:marTop w:val="0"/>
              <w:marBottom w:val="0"/>
              <w:divBdr>
                <w:top w:val="none" w:sz="0" w:space="0" w:color="auto"/>
                <w:left w:val="none" w:sz="0" w:space="0" w:color="auto"/>
                <w:bottom w:val="none" w:sz="0" w:space="0" w:color="auto"/>
                <w:right w:val="none" w:sz="0" w:space="0" w:color="auto"/>
              </w:divBdr>
              <w:divsChild>
                <w:div w:id="1484618625">
                  <w:marLeft w:val="0"/>
                  <w:marRight w:val="0"/>
                  <w:marTop w:val="0"/>
                  <w:marBottom w:val="0"/>
                  <w:divBdr>
                    <w:top w:val="none" w:sz="0" w:space="0" w:color="auto"/>
                    <w:left w:val="none" w:sz="0" w:space="0" w:color="auto"/>
                    <w:bottom w:val="none" w:sz="0" w:space="0" w:color="auto"/>
                    <w:right w:val="none" w:sz="0" w:space="0" w:color="auto"/>
                  </w:divBdr>
                  <w:divsChild>
                    <w:div w:id="1093166857">
                      <w:marLeft w:val="0"/>
                      <w:marRight w:val="0"/>
                      <w:marTop w:val="0"/>
                      <w:marBottom w:val="0"/>
                      <w:divBdr>
                        <w:top w:val="none" w:sz="0" w:space="0" w:color="auto"/>
                        <w:left w:val="none" w:sz="0" w:space="0" w:color="auto"/>
                        <w:bottom w:val="none" w:sz="0" w:space="0" w:color="auto"/>
                        <w:right w:val="none" w:sz="0" w:space="0" w:color="auto"/>
                      </w:divBdr>
                      <w:divsChild>
                        <w:div w:id="1691880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5752621">
      <w:bodyDiv w:val="1"/>
      <w:marLeft w:val="0"/>
      <w:marRight w:val="0"/>
      <w:marTop w:val="0"/>
      <w:marBottom w:val="0"/>
      <w:divBdr>
        <w:top w:val="none" w:sz="0" w:space="0" w:color="auto"/>
        <w:left w:val="none" w:sz="0" w:space="0" w:color="auto"/>
        <w:bottom w:val="none" w:sz="0" w:space="0" w:color="auto"/>
        <w:right w:val="none" w:sz="0" w:space="0" w:color="auto"/>
      </w:divBdr>
    </w:div>
    <w:div w:id="962689240">
      <w:bodyDiv w:val="1"/>
      <w:marLeft w:val="0"/>
      <w:marRight w:val="0"/>
      <w:marTop w:val="0"/>
      <w:marBottom w:val="0"/>
      <w:divBdr>
        <w:top w:val="none" w:sz="0" w:space="0" w:color="auto"/>
        <w:left w:val="none" w:sz="0" w:space="0" w:color="auto"/>
        <w:bottom w:val="none" w:sz="0" w:space="0" w:color="auto"/>
        <w:right w:val="none" w:sz="0" w:space="0" w:color="auto"/>
      </w:divBdr>
    </w:div>
    <w:div w:id="1103301796">
      <w:bodyDiv w:val="1"/>
      <w:marLeft w:val="0"/>
      <w:marRight w:val="0"/>
      <w:marTop w:val="0"/>
      <w:marBottom w:val="0"/>
      <w:divBdr>
        <w:top w:val="none" w:sz="0" w:space="0" w:color="auto"/>
        <w:left w:val="none" w:sz="0" w:space="0" w:color="auto"/>
        <w:bottom w:val="none" w:sz="0" w:space="0" w:color="auto"/>
        <w:right w:val="none" w:sz="0" w:space="0" w:color="auto"/>
      </w:divBdr>
    </w:div>
    <w:div w:id="1456219524">
      <w:bodyDiv w:val="1"/>
      <w:marLeft w:val="0"/>
      <w:marRight w:val="0"/>
      <w:marTop w:val="0"/>
      <w:marBottom w:val="0"/>
      <w:divBdr>
        <w:top w:val="none" w:sz="0" w:space="0" w:color="auto"/>
        <w:left w:val="none" w:sz="0" w:space="0" w:color="auto"/>
        <w:bottom w:val="none" w:sz="0" w:space="0" w:color="auto"/>
        <w:right w:val="none" w:sz="0" w:space="0" w:color="auto"/>
      </w:divBdr>
      <w:divsChild>
        <w:div w:id="515969147">
          <w:marLeft w:val="0"/>
          <w:marRight w:val="0"/>
          <w:marTop w:val="0"/>
          <w:marBottom w:val="0"/>
          <w:divBdr>
            <w:top w:val="none" w:sz="0" w:space="0" w:color="auto"/>
            <w:left w:val="none" w:sz="0" w:space="0" w:color="auto"/>
            <w:bottom w:val="none" w:sz="0" w:space="0" w:color="auto"/>
            <w:right w:val="none" w:sz="0" w:space="0" w:color="auto"/>
          </w:divBdr>
          <w:divsChild>
            <w:div w:id="1117025142">
              <w:marLeft w:val="0"/>
              <w:marRight w:val="0"/>
              <w:marTop w:val="0"/>
              <w:marBottom w:val="0"/>
              <w:divBdr>
                <w:top w:val="none" w:sz="0" w:space="0" w:color="auto"/>
                <w:left w:val="none" w:sz="0" w:space="0" w:color="auto"/>
                <w:bottom w:val="none" w:sz="0" w:space="0" w:color="auto"/>
                <w:right w:val="none" w:sz="0" w:space="0" w:color="auto"/>
              </w:divBdr>
              <w:divsChild>
                <w:div w:id="1273898729">
                  <w:marLeft w:val="0"/>
                  <w:marRight w:val="0"/>
                  <w:marTop w:val="0"/>
                  <w:marBottom w:val="0"/>
                  <w:divBdr>
                    <w:top w:val="none" w:sz="0" w:space="0" w:color="auto"/>
                    <w:left w:val="none" w:sz="0" w:space="0" w:color="auto"/>
                    <w:bottom w:val="none" w:sz="0" w:space="0" w:color="auto"/>
                    <w:right w:val="none" w:sz="0" w:space="0" w:color="auto"/>
                  </w:divBdr>
                  <w:divsChild>
                    <w:div w:id="257520917">
                      <w:marLeft w:val="0"/>
                      <w:marRight w:val="0"/>
                      <w:marTop w:val="0"/>
                      <w:marBottom w:val="0"/>
                      <w:divBdr>
                        <w:top w:val="none" w:sz="0" w:space="0" w:color="auto"/>
                        <w:left w:val="none" w:sz="0" w:space="0" w:color="auto"/>
                        <w:bottom w:val="none" w:sz="0" w:space="0" w:color="auto"/>
                        <w:right w:val="none" w:sz="0" w:space="0" w:color="auto"/>
                      </w:divBdr>
                      <w:divsChild>
                        <w:div w:id="95722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6200584">
      <w:bodyDiv w:val="1"/>
      <w:marLeft w:val="0"/>
      <w:marRight w:val="0"/>
      <w:marTop w:val="0"/>
      <w:marBottom w:val="0"/>
      <w:divBdr>
        <w:top w:val="none" w:sz="0" w:space="0" w:color="auto"/>
        <w:left w:val="none" w:sz="0" w:space="0" w:color="auto"/>
        <w:bottom w:val="none" w:sz="0" w:space="0" w:color="auto"/>
        <w:right w:val="none" w:sz="0" w:space="0" w:color="auto"/>
      </w:divBdr>
      <w:divsChild>
        <w:div w:id="445346833">
          <w:marLeft w:val="0"/>
          <w:marRight w:val="0"/>
          <w:marTop w:val="0"/>
          <w:marBottom w:val="0"/>
          <w:divBdr>
            <w:top w:val="none" w:sz="0" w:space="0" w:color="auto"/>
            <w:left w:val="none" w:sz="0" w:space="0" w:color="auto"/>
            <w:bottom w:val="none" w:sz="0" w:space="0" w:color="auto"/>
            <w:right w:val="none" w:sz="0" w:space="0" w:color="auto"/>
          </w:divBdr>
        </w:div>
        <w:div w:id="1305963193">
          <w:marLeft w:val="0"/>
          <w:marRight w:val="0"/>
          <w:marTop w:val="0"/>
          <w:marBottom w:val="0"/>
          <w:divBdr>
            <w:top w:val="none" w:sz="0" w:space="0" w:color="auto"/>
            <w:left w:val="none" w:sz="0" w:space="0" w:color="auto"/>
            <w:bottom w:val="none" w:sz="0" w:space="0" w:color="auto"/>
            <w:right w:val="none" w:sz="0" w:space="0" w:color="auto"/>
          </w:divBdr>
        </w:div>
        <w:div w:id="1647129132">
          <w:marLeft w:val="0"/>
          <w:marRight w:val="0"/>
          <w:marTop w:val="0"/>
          <w:marBottom w:val="0"/>
          <w:divBdr>
            <w:top w:val="none" w:sz="0" w:space="0" w:color="auto"/>
            <w:left w:val="none" w:sz="0" w:space="0" w:color="auto"/>
            <w:bottom w:val="none" w:sz="0" w:space="0" w:color="auto"/>
            <w:right w:val="none" w:sz="0" w:space="0" w:color="auto"/>
          </w:divBdr>
        </w:div>
        <w:div w:id="16842375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01466c1925644098e8a0337760443d6" PartId="2f1db86407d94486b28bf7eb638c317e">
    <Part Type="preambule" DocPartId="18f3349932af4b2a90635276e9c77203" PartId="e72fce2c9dcb42f8bcd3f60e0747ed68"/>
    <Part Type="pastraipa" DocPartId="c6aaae7194c0420fa22e253898d6a4c2" PartId="079c807665004d93b976b963b0e59686"/>
    <Part Type="punktas" Nr="1" Abbr="1 p." DocPartId="d7add4e618954ae480a137f0da4693cb" PartId="49445ac22c644e99825177b9c51fe9f1">
      <Part Type="citata" DocPartId="f6d5ea837ce1416cbe986ad39f5c4f75" PartId="a5556ea7162c46df8a66c253035d6ec0">
        <Part Type="punktas" Nr="8" Abbr="8 p." DocPartId="c0ad128fb8de4b7f9c1efd9491ae2c64" PartId="fa93240a2c03449894a226a21a0b6d3d"/>
      </Part>
    </Part>
    <Part Type="punktas" Nr="2" Abbr="2 p." DocPartId="09b4070e68b546e6bffa625d722eab0e" PartId="7902455b6a8f44129cb2152f8461bba8">
      <Part Type="citata" DocPartId="ab2597cc89634a4bab3aa2e1edf37510" PartId="40ad06329bfd483bbb6fca590c59621d">
        <Part Type="punktas" Nr="111" Abbr="111 p." DocPartId="375b0a10dfaa4b7da38a317ee09fa9fe" PartId="371809c92e63422ca357e2389d133b7e"/>
        <Part Type="punktas" Nr="2" Abbr="2 p." Notes="Numeris ne iš eilės. Trūksta dalių? [DocDalys]" DocPartId="0775410bb4e44892ba15eecb54be15cf" PartId="d49590684c634790a5731e8c88baea74"/>
      </Part>
    </Part>
    <Part Type="punktas" Nr="3" Abbr="3 p." DocPartId="42dc874c7c4f4d79b82ff30985121f3d" PartId="4d1d35dd69f54312bbc349d29ab57fa0">
      <Part Type="citata" DocPartId="d913975018814a8182d7159ef1f963e0" PartId="353ccbd083944464a3c93ad22173481f">
        <Part Type="papunktis" Nr="152.2" Abbr="152.2 pp." DocPartId="bf644d155cd147748a476bd749acd4b0" PartId="99b1300d5b8d4810910c7600aed34e87"/>
      </Part>
    </Part>
    <Part Type="punktas" Nr="4" Abbr="4 p." DocPartId="ef9b525a38374587ae6002743c88bade" PartId="064e0cd69a3445ec93a7c7489bca86e8">
      <Part Type="citata" DocPartId="8f8ffc44f3af494d8c0756c46e859b9a" PartId="b337c1b23a0f49af9ad13baf0cbe7345">
        <Part Type="punktas" Nr="153" Abbr="153 p." DocPartId="bd289f69bb4147b89617bdd223f1a895" PartId="cb526f07eb5f44c98fcbc637055e4976"/>
      </Part>
    </Part>
    <Part Type="punktas" Nr="5" Abbr="5 p." DocPartId="c218e127de404afba760fa8b3bf57103" PartId="cc74779f06444b5b98cbecc1a9d8b763">
      <Part Type="citata" DocPartId="cdef5a8945fd4c71880dc1393aa05936" PartId="e1cb4091cb23468986493ea82448e8fa">
        <Part Type="papunktis" Nr="158.3" Abbr="158.3 pp." DocPartId="b640cbe019af443a8e438c7effad9f5b" PartId="96a52a4b497f4d80919058892e6190c4"/>
      </Part>
    </Part>
    <Part Type="punktas" Nr="6" Abbr="6 p." DocPartId="e20452d3c01f495a9d0772bde62e28cc" PartId="97ca7415851743dc9e100c0e88c4029a">
      <Part Type="citata" DocPartId="b1c6783f9f5b4aa4b70f4a6d3f62f4c5" PartId="4ddd1eca19674c88a524bf82a5a91847">
        <Part Type="papunktis" Nr="158.5" Abbr="158.5 pp." DocPartId="4b2e9c8352194da093f4f892ed0171af" PartId="ca40773f59e8497ab7b0362e5f27d261"/>
      </Part>
    </Part>
    <Part Type="punktas" Nr="7" Abbr="7 p." DocPartId="6757585a0a1c4040a6bf188a84dfc12f" PartId="8612b24191d845d582cc8a5e8f1a5c5f">
      <Part Type="citata" DocPartId="ce1e3508c3bf49278e4b61de55997f2e" PartId="0faa7202035949008d27ccae109ca0ec">
        <Part Type="punktas" Nr="160" Abbr="160 p." DocPartId="8af2790b6a524100b1a62e47dcd6e24f" PartId="52fa6b359463402daca7192aa0820230"/>
      </Part>
    </Part>
    <Part Type="punktas" Nr="8" Abbr="8 p." DocPartId="e4f00838f70b482d955687990bfbc0c5" PartId="9d851f49487a4904a21669446bbaaef3">
      <Part Type="citata" DocPartId="5706285db9274340b8fb31483a192259" PartId="61ab1af423ac4e739866c7e3d3a0a42d">
        <Part Type="punktas" Nr="180" Abbr="180 p." DocPartId="378b3876462b440492a1d2fcdd7be8a1" PartId="477a814ea353494c8730f92085076350"/>
      </Part>
    </Part>
    <Part Type="signatura" DocPartId="6d6f95e0b62a4cde98bbeac41ae88b6e" PartId="5e48a123c468429e86f4e2c9fda94468"/>
  </Part>
</Parts>
</file>

<file path=customXml/itemProps1.xml><?xml version="1.0" encoding="utf-8"?>
<ds:datastoreItem xmlns:ds="http://schemas.openxmlformats.org/officeDocument/2006/customXml" ds:itemID="{9479676A-44F7-4C40-AFCE-DB5A2DA8D5E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677</Words>
  <Characters>4546</Characters>
  <Application>Microsoft Office Word</Application>
  <DocSecurity>4</DocSecurity>
  <Lines>78</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5192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2023-05-17T11:16:00Z</dcterms:created>
  <dc:creator>ARNAS ILGAUSKAS</dc:creator>
  <lastModifiedBy>adlibuser</lastModifiedBy>
  <lastPrinted>2022-05-19T05:53:00Z</lastPrinted>
  <dcterms:modified xsi:type="dcterms:W3CDTF">2023-05-17T11:16:00Z</dcterms:modified>
  <revision>2</revision>
</coreProperties>
</file>