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8a5aa86a6ac7466e89c6285765a02db8"/>
        <w:lock w:val="sdtLocked"/>
        <w:richText/>
      </w:sdtPr>
      <w:sdtContent>
        <w:p w14:paraId="3DFDDE67" w14:textId="77777777">
          <w:pPr>
            <w:suppressAutoHyphens/>
            <w:spacing w:line="276" w:lineRule="auto"/>
            <w:ind w:left="9072"/>
            <w:textAlignment w:val="baseline"/>
          </w:pPr>
          <w:r>
            <w:rPr>
              <w:szCs w:val="24"/>
              <w:lang w:eastAsia="lt-LT"/>
            </w:rPr>
            <w:t>Teisės aktų projektų antikorupcinio vertinimo taisyklių</w:t>
          </w:r>
        </w:p>
        <w:p w14:paraId="4F49E391" w14:textId="77777777">
          <w:pPr>
            <w:suppressAutoHyphens/>
            <w:spacing w:line="276" w:lineRule="auto"/>
            <w:ind w:left="9072"/>
            <w:textAlignment w:val="baseline"/>
            <w:rPr>
              <w:color w:val="000000"/>
              <w:szCs w:val="24"/>
              <w:lang w:eastAsia="ar-SA"/>
            </w:rPr>
          </w:pPr>
          <w:r>
            <w:rPr>
              <w:color w:val="000000"/>
              <w:szCs w:val="24"/>
              <w:lang w:eastAsia="ar-SA"/>
            </w:rPr>
            <w:t>priedas</w:t>
          </w:r>
        </w:p>
        <w:p w14:paraId="60AC1CD2" w14:textId="77777777">
          <w:pPr>
            <w:suppressAutoHyphens/>
            <w:spacing w:line="276" w:lineRule="auto"/>
            <w:textAlignment w:val="baseline"/>
            <w:rPr>
              <w:b/>
              <w:szCs w:val="24"/>
              <w:lang w:eastAsia="lt-LT"/>
            </w:rPr>
          </w:pPr>
        </w:p>
        <w:sdt>
          <w:sdtPr>
            <w:alias w:val="Pavadinimas"/>
            <w:tag w:val="title_8a5aa86a6ac7466e89c6285765a02db8"/>
            <w:lock w:val="sdtLocked"/>
            <w:richText/>
          </w:sdtPr>
          <w:sdtContent>
            <w:p w14:paraId="45DA9AC0"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6E6F9841" w14:textId="6EFB9F2D">
              <w:pPr>
                <w:suppressAutoHyphens/>
                <w:jc w:val="center"/>
                <w:textAlignment w:val="baseline"/>
                <w:rPr>
                  <w:b/>
                  <w:szCs w:val="24"/>
                  <w:lang w:eastAsia="lt-LT"/>
                </w:rPr>
              </w:pPr>
              <w:r>
                <w:rPr>
                  <w:b/>
                  <w:szCs w:val="24"/>
                  <w:lang w:eastAsia="lt-LT"/>
                </w:rPr>
                <w:t xml:space="preserve">2022-  Nr. D1 </w:t>
              </w:r>
            </w:p>
          </w:sdtContent>
        </w:sdt>
        <w:p w14:paraId="4A30F404" w14:textId="77777777">
          <w:pPr>
            <w:suppressAutoHyphens/>
            <w:jc w:val="both"/>
            <w:textAlignment w:val="baseline"/>
            <w:rPr>
              <w:b/>
              <w:szCs w:val="24"/>
              <w:lang w:eastAsia="lt-LT"/>
            </w:rPr>
          </w:pPr>
        </w:p>
        <w:p w14:paraId="530E27C7" w14:textId="1A47F0F0">
          <w:pPr>
            <w:suppressAutoHyphens/>
            <w:ind w:firstLine="851"/>
            <w:jc w:val="both"/>
            <w:textAlignment w:val="baseline"/>
            <w:rPr>
              <w:b/>
              <w:szCs w:val="24"/>
              <w:lang w:eastAsia="lt-LT"/>
            </w:rPr>
          </w:pPr>
          <w:r>
            <w:rPr>
              <w:szCs w:val="24"/>
              <w:lang w:eastAsia="lt-LT"/>
            </w:rPr>
            <w:t xml:space="preserve">Teisės akto projekto pavadinimas: </w:t>
          </w:r>
          <w:r>
            <w:t xml:space="preserve">Lietuvos Respublikos aplinkos ministro įsakymo „Dėl Klimato kaitos programos priemonės „Finansinės paskatos nevyriausybinių organizacijų veikloms ir (ar) veiksmams, formuojant klimato politiką ir informuojant visuomenę apie klimato kaitą“ tvarkos aprašo patvirtinimo“ </w:t>
          </w:r>
          <w:r>
            <w:rPr>
              <w:color w:val="000000"/>
            </w:rPr>
            <w:t>projektas</w:t>
          </w:r>
          <w:r>
            <w:rPr>
              <w:b/>
              <w:szCs w:val="24"/>
              <w:lang w:eastAsia="lt-LT"/>
            </w:rPr>
            <w:t xml:space="preserve"> (toliau – teisės akto projektas).</w:t>
          </w:r>
        </w:p>
        <w:p w14:paraId="2F4E6A93" w14:textId="5B695D92">
          <w:pPr>
            <w:widowControl w:val="0"/>
            <w:suppressLineNumbers/>
            <w:tabs>
              <w:tab w:val="left" w:pos="709"/>
            </w:tabs>
            <w:suppressAutoHyphens/>
            <w:ind w:firstLine="680"/>
            <w:jc w:val="both"/>
            <w:rPr>
              <w:rFonts w:eastAsia="Andale Sans UI" w:cs="Tahoma"/>
              <w:szCs w:val="24"/>
              <w:lang w:bidi="en-US"/>
            </w:rPr>
          </w:pPr>
          <w:r>
            <w:rPr>
              <w:rFonts w:eastAsia="Andale Sans UI" w:cs="Tahoma"/>
              <w:szCs w:val="24"/>
              <w:lang w:eastAsia="lt-LT" w:bidi="en-US"/>
            </w:rPr>
            <w:t xml:space="preserve">Teisės akto projekto tiesioginis rengėjas: </w:t>
          </w:r>
          <w:r>
            <w:rPr>
              <w:rFonts w:eastAsia="Andale Sans UI" w:cs="Tahoma"/>
              <w:bCs/>
              <w:szCs w:val="24"/>
              <w:lang w:eastAsia="lt-LT" w:bidi="en-US"/>
            </w:rPr>
            <w:t>Aplinkos ministerijos</w:t>
          </w:r>
          <w:r>
            <w:rPr>
              <w:rFonts w:eastAsia="Andale Sans UI" w:cs="Tahoma"/>
              <w:b/>
              <w:szCs w:val="24"/>
              <w:lang w:eastAsia="lt-LT" w:bidi="en-US"/>
            </w:rPr>
            <w:t xml:space="preserve"> </w:t>
          </w:r>
          <w:r>
            <w:rPr>
              <w:rFonts w:eastAsia="Andale Sans UI" w:cs="Tahoma"/>
              <w:szCs w:val="24"/>
              <w:lang w:bidi="en-US"/>
            </w:rPr>
            <w:t>Klimato politikos grupės vyr. specialistė Ugnė Grikinytė (tel. +37062053766, el. p. ugne.grikinyte@am.lt).</w:t>
          </w:r>
        </w:p>
        <w:p w14:paraId="0F8F35B6" w14:textId="6E5B56A7">
          <w:pPr>
            <w:ind w:firstLine="913"/>
            <w:rPr>
              <w:color w:val="000000"/>
              <w:bdr w:val="none" w:sz="0" w:space="0" w:color="auto" w:frame="1"/>
            </w:rPr>
          </w:pPr>
          <w:r>
            <w:rPr>
              <w:color w:val="000000"/>
            </w:rPr>
            <w:t>Teisės akto projekto antikorupcinis vertinimas atliktas (</w:t>
          </w:r>
          <w:r>
            <w:rPr>
              <w:i/>
              <w:color w:val="000000"/>
            </w:rPr>
            <w:t>pažymėti reikiamą atsakymą</w:t>
          </w:r>
          <w:r>
            <w:rPr>
              <w:color w:val="000000"/>
            </w:rPr>
            <w:t xml:space="preserve">): </w:t>
          </w:r>
        </w:p>
        <w:p w14:paraId="040C34AD" w14:textId="6E2CA4DF">
          <w:pPr>
            <w:tabs>
              <w:tab w:val="left" w:pos="1134"/>
            </w:tabs>
            <w:suppressAutoHyphens/>
            <w:ind w:firstLine="851"/>
            <w:jc w:val="both"/>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634D951B" w14:textId="1109D588">
          <w:pPr>
            <w:suppressAutoHyphens/>
            <w:ind w:firstLine="851"/>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25E18DB" w14:textId="458F613E">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b/>
              <w:szCs w:val="24"/>
              <w:u w:val="single"/>
              <w:lang w:eastAsia="lt-LT"/>
            </w:rPr>
            <w:t>nėra</w:t>
          </w:r>
        </w:p>
        <w:p w14:paraId="2B772E1E"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14:paraId="19C77F2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630F4E4"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F2F86F2"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8951757" w14:textId="6B983FBB">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AAD23B1" w14:textId="77777777">
                <w:pPr>
                  <w:suppressAutoHyphens/>
                  <w:jc w:val="center"/>
                  <w:textAlignment w:val="baseline"/>
                  <w:rPr>
                    <w:szCs w:val="24"/>
                    <w:lang w:eastAsia="lt-LT"/>
                  </w:rPr>
                </w:pPr>
              </w:p>
              <w:p w14:paraId="5F3F3B41"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7D1137E"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AE58B4F"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631E3AED"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5B26D02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65A19C"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F5981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B179A0" w14:textId="008C1044">
                <w:pPr>
                  <w:suppressAutoHyphens/>
                  <w:jc w:val="both"/>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93B137" w14:textId="77777777">
                <w:pPr>
                  <w:shd w:val="clear" w:color="auto" w:fill="FFFFFF"/>
                  <w:ind w:firstLine="720"/>
                  <w:jc w:val="both"/>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024666" w14:textId="105644B0">
                <w:pPr>
                  <w:suppressAutoHyphens/>
                  <w:textAlignment w:val="baseline"/>
                  <w:rPr>
                    <w:szCs w:val="24"/>
                    <w:lang w:eastAsia="lt-LT"/>
                  </w:rPr>
                </w:pPr>
                <w:r>
                  <w:rPr>
                    <w:szCs w:val="24"/>
                    <w:lang w:eastAsia="lt-LT"/>
                  </w:rPr>
                  <w:t>□ tenkina</w:t>
                </w:r>
              </w:p>
              <w:p w14:paraId="02539279" w14:textId="77777777">
                <w:pPr>
                  <w:suppressAutoHyphens/>
                  <w:ind w:left="28"/>
                  <w:textAlignment w:val="baseline"/>
                  <w:rPr>
                    <w:szCs w:val="24"/>
                    <w:lang w:eastAsia="lt-LT"/>
                  </w:rPr>
                </w:pPr>
                <w:r>
                  <w:rPr>
                    <w:szCs w:val="24"/>
                    <w:lang w:eastAsia="lt-LT"/>
                  </w:rPr>
                  <w:t xml:space="preserve">□ </w:t>
                </w:r>
                <w:r>
                  <w:rPr>
                    <w:color w:val="000000"/>
                    <w:szCs w:val="24"/>
                    <w:lang w:eastAsia="lt-LT"/>
                  </w:rPr>
                  <w:t>netenkina</w:t>
                </w:r>
              </w:p>
            </w:tc>
          </w:tr>
          <w:tr w14:paraId="53B8327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0C1161" w14:textId="77777777">
                <w:pPr>
                  <w:keepNext/>
                  <w:suppressAutoHyphens/>
                  <w:jc w:val="center"/>
                  <w:textAlignment w:val="baseline"/>
                  <w:rPr>
                    <w:color w:val="000000"/>
                    <w:szCs w:val="24"/>
                    <w:lang w:eastAsia="lt-LT"/>
                  </w:rPr>
                </w:pPr>
                <w:r>
                  <w:rPr>
                    <w:color w:val="000000"/>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03A356" w14:textId="77777777">
                <w:pPr>
                  <w:keepNext/>
                  <w:suppressAutoHyphens/>
                  <w:textAlignment w:val="baseline"/>
                  <w:rPr>
                    <w:color w:val="000000"/>
                    <w:szCs w:val="24"/>
                    <w:lang w:eastAsia="lt-LT"/>
                  </w:rPr>
                </w:pPr>
                <w:r>
                  <w:rPr>
                    <w:color w:val="000000"/>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9DDFB4" w14:textId="77777777">
                <w:pPr>
                  <w:keepNext/>
                  <w:suppressAutoHyphens/>
                  <w:jc w:val="both"/>
                  <w:textAlignment w:val="baseline"/>
                  <w:rPr>
                    <w:color w:val="000000"/>
                    <w:szCs w:val="24"/>
                    <w:lang w:eastAsia="lt-LT"/>
                  </w:rPr>
                </w:pPr>
                <w:r>
                  <w:rPr>
                    <w:color w:val="000000"/>
                    <w:szCs w:val="24"/>
                    <w:lang w:eastAsia="lt-LT"/>
                  </w:rPr>
                  <w:t>Teisės akto projekte nėra nuostatų, leisiančių dviprasmiškai aiškinti ir taikyti teisės aktą.</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9BBE7B" w14:textId="77777777">
                <w:pPr>
                  <w:keepNext/>
                  <w:suppressAutoHyphens/>
                  <w:textAlignment w:val="baseline"/>
                  <w:rPr>
                    <w:color w:val="000000"/>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E7301B" w14:textId="2295DDE7">
                <w:pPr>
                  <w:keepNext/>
                  <w:suppressAutoHyphens/>
                  <w:textAlignment w:val="baseline"/>
                  <w:rPr>
                    <w:color w:val="000000"/>
                    <w:szCs w:val="24"/>
                    <w:lang w:eastAsia="lt-LT"/>
                  </w:rPr>
                </w:pPr>
                <w:r>
                  <w:rPr>
                    <w:szCs w:val="24"/>
                    <w:lang w:eastAsia="lt-LT"/>
                  </w:rPr>
                  <w:t>□</w:t>
                </w:r>
                <w:r>
                  <w:rPr>
                    <w:color w:val="000000"/>
                    <w:szCs w:val="24"/>
                    <w:lang w:eastAsia="lt-LT"/>
                  </w:rPr>
                  <w:t xml:space="preserve"> tenkina</w:t>
                </w:r>
              </w:p>
              <w:p w14:paraId="0F2D30DC" w14:textId="77777777">
                <w:pPr>
                  <w:keepNext/>
                  <w:suppressAutoHyphens/>
                  <w:textAlignment w:val="baseline"/>
                  <w:rPr>
                    <w:color w:val="000000"/>
                    <w:szCs w:val="24"/>
                    <w:lang w:eastAsia="lt-LT"/>
                  </w:rPr>
                </w:pPr>
                <w:r>
                  <w:rPr>
                    <w:color w:val="000000"/>
                    <w:szCs w:val="24"/>
                    <w:lang w:eastAsia="lt-LT"/>
                  </w:rPr>
                  <w:t>□ netenkina</w:t>
                </w:r>
              </w:p>
            </w:tc>
          </w:tr>
          <w:tr w14:paraId="605AF31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7541E5"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6DC449"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0FF30C" w14:textId="79CD11A0">
                <w:pPr>
                  <w:tabs>
                    <w:tab w:val="left" w:pos="851"/>
                  </w:tabs>
                  <w:jc w:val="both"/>
                </w:pPr>
                <w:r>
                  <w:t>Lietuvos Respublikos aplinkos ministerija administruoja Programą ir nustato finansavimo skyrimo tvarką. Aplinkos ministerijos Aplinkos projektų valdymo agentūra (toliau – APVA) skelbia kvietimą teikti paraiškas, vertina mokėjimo prašymus, skiria finansavimą ir vykdo finansinės paskatos gavėjų įsipareigojimų įgyvendinimo priežiūrą vadovaudamasi Tvarkos aprašu ir Pažangos priemonės aprašu.</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EBD49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48B99F" w14:textId="77777777">
                <w:pPr>
                  <w:suppressAutoHyphens/>
                  <w:textAlignment w:val="baseline"/>
                  <w:rPr>
                    <w:szCs w:val="24"/>
                    <w:lang w:eastAsia="lt-LT"/>
                  </w:rPr>
                </w:pPr>
                <w:r>
                  <w:rPr>
                    <w:szCs w:val="24"/>
                    <w:lang w:eastAsia="lt-LT"/>
                  </w:rPr>
                  <w:t>□ tenkina</w:t>
                </w:r>
              </w:p>
              <w:p w14:paraId="0805C4C8" w14:textId="77777777">
                <w:pPr>
                  <w:suppressAutoHyphens/>
                  <w:textAlignment w:val="baseline"/>
                  <w:rPr>
                    <w:szCs w:val="24"/>
                    <w:lang w:eastAsia="lt-LT"/>
                  </w:rPr>
                </w:pPr>
                <w:r>
                  <w:rPr>
                    <w:szCs w:val="24"/>
                    <w:lang w:eastAsia="lt-LT"/>
                  </w:rPr>
                  <w:t>□ netenkina</w:t>
                </w:r>
              </w:p>
            </w:tc>
          </w:tr>
          <w:tr w14:paraId="61E4FBF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C2C894E"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9C47E7"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D77BA" w14:textId="4546FDC9">
                <w:pPr>
                  <w:jc w:val="both"/>
                </w:pPr>
                <w:r>
                  <w:t xml:space="preserve">Teisės akto projekte nustatyti subjekto įgaliojimai (teisės) atitinka subjekto atliekamas funkcijas (pareigas).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77036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CA1806" w14:textId="66D5EF4F">
                <w:pPr>
                  <w:suppressAutoHyphens/>
                  <w:textAlignment w:val="baseline"/>
                  <w:rPr>
                    <w:szCs w:val="24"/>
                    <w:lang w:eastAsia="lt-LT"/>
                  </w:rPr>
                </w:pPr>
                <w:r>
                  <w:rPr>
                    <w:szCs w:val="24"/>
                    <w:lang w:eastAsia="lt-LT"/>
                  </w:rPr>
                  <w:t>□ tenkina</w:t>
                </w:r>
              </w:p>
              <w:p w14:paraId="16089265" w14:textId="77777777">
                <w:pPr>
                  <w:suppressAutoHyphens/>
                  <w:textAlignment w:val="baseline"/>
                  <w:rPr>
                    <w:szCs w:val="24"/>
                    <w:lang w:eastAsia="lt-LT"/>
                  </w:rPr>
                </w:pPr>
                <w:r>
                  <w:rPr>
                    <w:szCs w:val="24"/>
                    <w:lang w:eastAsia="lt-LT"/>
                  </w:rPr>
                  <w:t>□ netenkina</w:t>
                </w:r>
              </w:p>
            </w:tc>
          </w:tr>
          <w:tr w14:paraId="3552245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A31351"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28C313"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EE25A1" w14:textId="60F0A5C0">
                <w:pPr>
                  <w:suppressAutoHyphens/>
                  <w:jc w:val="both"/>
                  <w:textAlignment w:val="baseline"/>
                  <w:rPr>
                    <w:spacing w:val="2"/>
                    <w:szCs w:val="24"/>
                  </w:rPr>
                </w:pPr>
                <w:r>
                  <w:rPr>
                    <w:bCs/>
                    <w:color w:val="000000"/>
                    <w:szCs w:val="24"/>
                    <w:lang w:eastAsia="lt-LT"/>
                  </w:rPr>
                  <w:t xml:space="preserve">Teisės akto projekte nustatyti baigtiniai sprendimų priėmimo kriterijai. </w:t>
                </w:r>
                <w:r>
                  <w:rPr>
                    <w:lang w:eastAsia="lt-LT"/>
                  </w:rPr>
                  <w:t>Reikalavimai pareiškėjui ir partneriui pateikti Tvarkos aprašo II skyriuje</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266B66"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F3270F" w14:textId="0488E543">
                <w:pPr>
                  <w:suppressAutoHyphens/>
                  <w:textAlignment w:val="baseline"/>
                  <w:rPr>
                    <w:szCs w:val="24"/>
                    <w:lang w:eastAsia="lt-LT"/>
                  </w:rPr>
                </w:pPr>
                <w:r>
                  <w:rPr>
                    <w:szCs w:val="24"/>
                    <w:lang w:eastAsia="lt-LT"/>
                  </w:rPr>
                  <w:t>□ tenkina</w:t>
                </w:r>
              </w:p>
              <w:p w14:paraId="1C2E3FCC" w14:textId="77777777">
                <w:pPr>
                  <w:suppressAutoHyphens/>
                  <w:textAlignment w:val="baseline"/>
                  <w:rPr>
                    <w:szCs w:val="24"/>
                    <w:lang w:eastAsia="lt-LT"/>
                  </w:rPr>
                </w:pPr>
                <w:r>
                  <w:rPr>
                    <w:szCs w:val="24"/>
                    <w:lang w:eastAsia="lt-LT"/>
                  </w:rPr>
                  <w:t>□ netenkina</w:t>
                </w:r>
              </w:p>
            </w:tc>
          </w:tr>
          <w:tr w14:paraId="0F8B8C6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47FB8A"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8994E2" w14:textId="77777777">
                <w:pPr>
                  <w:suppressAutoHyphens/>
                  <w:textAlignment w:val="baseline"/>
                  <w:rPr>
                    <w:szCs w:val="24"/>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A04473" w14:textId="268614A0">
                <w:pPr>
                  <w:jc w:val="both"/>
                </w:pPr>
                <w:r>
                  <w:t xml:space="preserve">Išimtys (neesminiai trūkumai) nustatytos Tvarkos aprašo 29 p. neesminiais paraiškos trūkumais, kuriuos leidžiama pašalinti, laikomi šie trūkumai, jeigu jie nekeičia paraiškos turinio ir prasmės: </w:t>
                </w:r>
              </w:p>
              <w:p w14:paraId="7B6EA0B4" w14:textId="77777777">
                <w:pPr>
                  <w:jc w:val="both"/>
                </w:pPr>
                <w:r>
                  <w:t>29.1.</w:t>
                  <w:tab/>
                  <w:t>aritmetinės klaidos, išskyrus prašomą skirti lėšų sumą;</w:t>
                </w:r>
              </w:p>
              <w:p w14:paraId="5E180AAE" w14:textId="77777777">
                <w:pPr>
                  <w:jc w:val="both"/>
                </w:pPr>
                <w:r>
                  <w:t>29.2.</w:t>
                  <w:tab/>
                  <w:t>redakcinio pobūdžio, rašybos klaidos;</w:t>
                </w:r>
              </w:p>
              <w:p w14:paraId="5B5EA7A0" w14:textId="77777777">
                <w:pPr>
                  <w:jc w:val="both"/>
                </w:pPr>
                <w:r>
                  <w:t>29.3.</w:t>
                  <w:tab/>
                  <w:t>nepateikti paraiškos priedai, išskyrus bendradarbiavimo sutarčių ar kitų dokumentų, patvirtinančių bendradarbiavimą su projekto partneriais dėl projekto veiklų vykdymo, kopijas (socialinės kampanijos projektuose papildomai redakcijų sutikimus ir (arba) patvirtinimus, kad jos sutinka bendradarbiauti šiame projekte ir projekto metu publikuoti suderintą informaciją); planuojamų įsigyti projekto įgyvendinimui būtinų prekių ar paslaugų kainą pagrindžiančius dokumentus ir (ar) informaciją;</w:t>
                </w:r>
              </w:p>
              <w:p w14:paraId="507D8102" w14:textId="59518CF9">
                <w:pPr>
                  <w:tabs>
                    <w:tab w:val="left" w:pos="709"/>
                    <w:tab w:val="left" w:pos="993"/>
                  </w:tabs>
                  <w:jc w:val="both"/>
                  <w:rPr>
                    <w:bCs/>
                    <w:color w:val="000000"/>
                    <w:szCs w:val="24"/>
                    <w:lang w:eastAsia="en-GB"/>
                  </w:rPr>
                </w:pPr>
                <w:r>
                  <w:t>29.4.</w:t>
                  <w:tab/>
                  <w:t>techninės klaidos (nepateikta paraiška Word formatu ar nepateikta paraiška PDF formatu vientisu dokumentu su visais priedais).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CB17F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62802B" w14:textId="4E403724">
                <w:pPr>
                  <w:suppressAutoHyphens/>
                  <w:textAlignment w:val="baseline"/>
                  <w:rPr>
                    <w:szCs w:val="24"/>
                    <w:lang w:eastAsia="lt-LT"/>
                  </w:rPr>
                </w:pPr>
                <w:r>
                  <w:rPr>
                    <w:szCs w:val="24"/>
                    <w:lang w:eastAsia="lt-LT"/>
                  </w:rPr>
                  <w:t>□ tenkina</w:t>
                </w:r>
              </w:p>
              <w:p w14:paraId="00DBE923" w14:textId="77777777">
                <w:pPr>
                  <w:suppressAutoHyphens/>
                  <w:textAlignment w:val="baseline"/>
                  <w:rPr>
                    <w:szCs w:val="24"/>
                    <w:lang w:eastAsia="lt-LT"/>
                  </w:rPr>
                </w:pPr>
                <w:r>
                  <w:rPr>
                    <w:szCs w:val="24"/>
                    <w:lang w:eastAsia="lt-LT"/>
                  </w:rPr>
                  <w:t>□ netenkina</w:t>
                </w:r>
              </w:p>
            </w:tc>
          </w:tr>
          <w:tr w14:paraId="6EFEF54F"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961718"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0EA97" w14:textId="77777777">
                <w:pPr>
                  <w:suppressAutoHyphens/>
                  <w:jc w:val="both"/>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831D96" w14:textId="4D1FB343">
                <w:pPr>
                  <w:jc w:val="both"/>
                  <w:rPr>
                    <w:szCs w:val="24"/>
                    <w:lang w:eastAsia="en-GB"/>
                  </w:rPr>
                </w:pPr>
                <w:r>
                  <w:t>Sprendimų priėmimo ir įforminimo tvarka nustatyta Tvarkos aprašo VII skyriuje, viešinimo tvarka Tvarkos aprašo X skyriuje.</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12FCC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79214F" w14:textId="07BD218A">
                <w:pPr>
                  <w:suppressAutoHyphens/>
                  <w:textAlignment w:val="baseline"/>
                  <w:rPr>
                    <w:szCs w:val="24"/>
                    <w:lang w:eastAsia="lt-LT"/>
                  </w:rPr>
                </w:pPr>
                <w:r>
                  <w:rPr>
                    <w:szCs w:val="24"/>
                    <w:lang w:eastAsia="lt-LT"/>
                  </w:rPr>
                  <w:t>□ tenkina</w:t>
                </w:r>
              </w:p>
              <w:p w14:paraId="5FFFAF8F" w14:textId="77777777">
                <w:pPr>
                  <w:suppressAutoHyphens/>
                  <w:textAlignment w:val="baseline"/>
                  <w:rPr>
                    <w:szCs w:val="24"/>
                    <w:lang w:eastAsia="lt-LT"/>
                  </w:rPr>
                </w:pPr>
                <w:r>
                  <w:rPr>
                    <w:szCs w:val="24"/>
                    <w:lang w:eastAsia="lt-LT"/>
                  </w:rPr>
                  <w:t>□ netenkina</w:t>
                </w:r>
              </w:p>
            </w:tc>
          </w:tr>
          <w:tr w14:paraId="4736B0F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15DB46"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89E4C5"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1A3952" w14:textId="77777777">
                <w:pPr>
                  <w:jc w:val="both"/>
                </w:pPr>
                <w:r>
                  <w:t>Kriterijus nėra teisės akto projekto reglamentavimo dalykas.</w:t>
                </w:r>
              </w:p>
              <w:p w14:paraId="2116043D" w14:textId="77777777">
                <w:pPr>
                  <w:jc w:val="both"/>
                </w:pPr>
              </w:p>
              <w:p w14:paraId="64AD5EF7" w14:textId="77777777">
                <w:pPr>
                  <w:jc w:val="both"/>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211C85"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4FFEA6" w14:textId="77777777">
                <w:pPr>
                  <w:suppressAutoHyphens/>
                  <w:textAlignment w:val="baseline"/>
                  <w:rPr>
                    <w:szCs w:val="24"/>
                    <w:lang w:eastAsia="lt-LT"/>
                  </w:rPr>
                </w:pPr>
                <w:r>
                  <w:rPr>
                    <w:szCs w:val="24"/>
                    <w:lang w:eastAsia="lt-LT"/>
                  </w:rPr>
                  <w:t>□ tenkina</w:t>
                </w:r>
              </w:p>
              <w:p w14:paraId="7EE8E218" w14:textId="77777777">
                <w:pPr>
                  <w:suppressAutoHyphens/>
                  <w:textAlignment w:val="baseline"/>
                  <w:rPr>
                    <w:szCs w:val="24"/>
                    <w:lang w:eastAsia="lt-LT"/>
                  </w:rPr>
                </w:pPr>
                <w:r>
                  <w:rPr>
                    <w:szCs w:val="24"/>
                    <w:lang w:eastAsia="lt-LT"/>
                  </w:rPr>
                  <w:t>□ netenkina</w:t>
                </w:r>
              </w:p>
            </w:tc>
          </w:tr>
          <w:tr w14:paraId="0B69C6F2"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301CD9"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CF62E3"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7115ED5" w14:textId="77777777">
                <w:pPr>
                  <w:suppressAutoHyphens/>
                  <w:ind w:left="33"/>
                  <w:textAlignment w:val="baseline"/>
                  <w:rPr>
                    <w:szCs w:val="24"/>
                  </w:rPr>
                </w:pPr>
                <w:r>
                  <w:rPr>
                    <w:szCs w:val="24"/>
                  </w:rPr>
                  <w:t>9.1. konkretus narių skaičius, užtikrinantis kolegialaus sprendimus priimančio subjekto veiklos objektyvumą</w:t>
                </w:r>
              </w:p>
              <w:p w14:paraId="106FC5FB"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2B0AF54B" w14:textId="77777777">
                <w:pPr>
                  <w:suppressAutoHyphens/>
                  <w:textAlignment w:val="baseline"/>
                </w:pPr>
                <w:r>
                  <w:rPr>
                    <w:szCs w:val="24"/>
                    <w:lang w:eastAsia="lt-LT"/>
                  </w:rPr>
                  <w:t>9.3</w:t>
                </w:r>
                <w:r>
                  <w:rPr>
                    <w:spacing w:val="-4"/>
                    <w:szCs w:val="24"/>
                    <w:lang w:eastAsia="lt-LT"/>
                  </w:rPr>
                  <w:t>. narių skyrimo mechanizmas</w:t>
                </w:r>
              </w:p>
              <w:p w14:paraId="5E71002E" w14:textId="77777777">
                <w:pPr>
                  <w:suppressAutoHyphens/>
                  <w:textAlignment w:val="baseline"/>
                  <w:rPr>
                    <w:szCs w:val="24"/>
                    <w:lang w:eastAsia="lt-LT"/>
                  </w:rPr>
                </w:pPr>
                <w:r>
                  <w:rPr>
                    <w:szCs w:val="24"/>
                    <w:lang w:eastAsia="lt-LT"/>
                  </w:rPr>
                  <w:t>9.4. narių rotacija ir kadencijų skaičius ir trukmė</w:t>
                </w:r>
              </w:p>
              <w:p w14:paraId="3020DEEC" w14:textId="77777777">
                <w:pPr>
                  <w:suppressAutoHyphens/>
                  <w:textAlignment w:val="baseline"/>
                  <w:rPr>
                    <w:szCs w:val="24"/>
                  </w:rPr>
                </w:pPr>
                <w:r>
                  <w:rPr>
                    <w:szCs w:val="24"/>
                  </w:rPr>
                  <w:t>9.5. veiklos pobūdis laiko atžvilgiu</w:t>
                </w:r>
              </w:p>
              <w:p w14:paraId="7814C106"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3DF359" w14:textId="77777777">
                <w:pPr>
                  <w:jc w:val="both"/>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AD7407"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48EA17" w14:textId="77777777">
                <w:pPr>
                  <w:suppressAutoHyphens/>
                  <w:textAlignment w:val="baseline"/>
                  <w:rPr>
                    <w:szCs w:val="24"/>
                    <w:lang w:eastAsia="lt-LT"/>
                  </w:rPr>
                </w:pPr>
                <w:r>
                  <w:rPr>
                    <w:szCs w:val="24"/>
                    <w:lang w:eastAsia="lt-LT"/>
                  </w:rPr>
                  <w:t>□ tenkina</w:t>
                </w:r>
              </w:p>
              <w:p w14:paraId="63493B03" w14:textId="77777777">
                <w:pPr>
                  <w:suppressAutoHyphens/>
                  <w:textAlignment w:val="baseline"/>
                  <w:rPr>
                    <w:szCs w:val="24"/>
                    <w:lang w:eastAsia="lt-LT"/>
                  </w:rPr>
                </w:pPr>
                <w:r>
                  <w:rPr>
                    <w:szCs w:val="24"/>
                    <w:lang w:eastAsia="lt-LT"/>
                  </w:rPr>
                  <w:t>□ netenkina</w:t>
                </w:r>
              </w:p>
            </w:tc>
          </w:tr>
          <w:tr w14:paraId="2344D1C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401F81E"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989EAC"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627D9C" w14:textId="08FE3B74">
                <w:pPr>
                  <w:jc w:val="both"/>
                </w:pPr>
                <w:r>
                  <w:t>Kriterijų atitinka.</w:t>
                </w:r>
              </w:p>
              <w:p w14:paraId="50BE2396" w14:textId="6E3EC6EE">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681932"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9B55A1" w14:textId="3DE27FB7">
                <w:pPr>
                  <w:suppressAutoHyphens/>
                  <w:textAlignment w:val="baseline"/>
                  <w:rPr>
                    <w:szCs w:val="24"/>
                    <w:lang w:eastAsia="lt-LT"/>
                  </w:rPr>
                </w:pPr>
                <w:r>
                  <w:rPr>
                    <w:szCs w:val="24"/>
                    <w:lang w:eastAsia="lt-LT"/>
                  </w:rPr>
                  <w:t>□ tenkina</w:t>
                </w:r>
              </w:p>
              <w:p w14:paraId="7730B962" w14:textId="77777777">
                <w:pPr>
                  <w:suppressAutoHyphens/>
                  <w:textAlignment w:val="baseline"/>
                  <w:rPr>
                    <w:szCs w:val="24"/>
                    <w:lang w:eastAsia="lt-LT"/>
                  </w:rPr>
                </w:pPr>
                <w:r>
                  <w:rPr>
                    <w:szCs w:val="24"/>
                    <w:lang w:eastAsia="lt-LT"/>
                  </w:rPr>
                  <w:t>□ netenkina</w:t>
                </w:r>
              </w:p>
            </w:tc>
          </w:tr>
          <w:tr w14:paraId="67B9B1F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30656F"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B01842"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9F7A03" w14:textId="238AB1C7">
                <w:pPr>
                  <w:keepNext/>
                  <w:tabs>
                    <w:tab w:val="left" w:pos="780"/>
                  </w:tabs>
                  <w:suppressAutoHyphens/>
                  <w:jc w:val="both"/>
                  <w:textAlignment w:val="baseline"/>
                  <w:rPr>
                    <w:szCs w:val="24"/>
                    <w:lang w:eastAsia="lt-LT"/>
                  </w:rPr>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189D5A"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5984DA" w14:textId="035DF8F7">
                <w:pPr>
                  <w:suppressAutoHyphens/>
                  <w:textAlignment w:val="baseline"/>
                  <w:rPr>
                    <w:szCs w:val="24"/>
                    <w:lang w:eastAsia="lt-LT"/>
                  </w:rPr>
                </w:pPr>
                <w:r>
                  <w:rPr>
                    <w:szCs w:val="24"/>
                    <w:lang w:eastAsia="lt-LT"/>
                  </w:rPr>
                  <w:t>□ tenkina</w:t>
                </w:r>
              </w:p>
              <w:p w14:paraId="484A5C09" w14:textId="77777777">
                <w:pPr>
                  <w:keepNext/>
                  <w:suppressAutoHyphens/>
                  <w:textAlignment w:val="baseline"/>
                  <w:rPr>
                    <w:szCs w:val="24"/>
                    <w:lang w:eastAsia="lt-LT"/>
                  </w:rPr>
                </w:pPr>
                <w:r>
                  <w:rPr>
                    <w:szCs w:val="24"/>
                    <w:lang w:eastAsia="lt-LT"/>
                  </w:rPr>
                  <w:t>□ netenkina</w:t>
                </w:r>
              </w:p>
            </w:tc>
          </w:tr>
          <w:tr w14:paraId="2CF8BF0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EE2641"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3E624F"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4540A1" w14:textId="77777777">
                <w:pPr>
                  <w:widowControl w:val="0"/>
                  <w:suppressAutoHyphens/>
                  <w:jc w:val="both"/>
                  <w:rPr>
                    <w:rFonts w:eastAsia="Andale Sans UI" w:cs="Tahoma"/>
                    <w:szCs w:val="24"/>
                    <w:lang w:bidi="en-US"/>
                  </w:rPr>
                </w:pPr>
                <w:r>
                  <w:rPr>
                    <w:rFonts w:eastAsia="Andale Sans UI" w:cs="Tahoma"/>
                    <w:szCs w:val="24"/>
                    <w:lang w:bidi="en-US"/>
                  </w:rPr>
                  <w:t xml:space="preserve">Teisės akto projektu nustatotoma, kad Administravimo grupė, per 10 darbo dienų nuo Kvietime nurodytos paraiškų teikimo termino pabaigos įvertina paraiškų atitiktį Tvarkos aprašo 6, 8, 12, 13, 14, 17, 55, 56 ir 57 punktuose nustatytiems administracinės atitikties vertinimo kriterijams. </w:t>
                </w:r>
              </w:p>
              <w:p w14:paraId="4BE5A421" w14:textId="77777777">
                <w:pPr>
                  <w:jc w:val="both"/>
                  <w:rPr>
                    <w:color w:val="000000"/>
                    <w:szCs w:val="24"/>
                    <w:lang w:eastAsia="lt-LT"/>
                  </w:rPr>
                </w:pPr>
                <w:r>
                  <w:rPr>
                    <w:color w:val="000000"/>
                    <w:szCs w:val="24"/>
                    <w:lang w:eastAsia="lt-LT"/>
                  </w:rPr>
                  <w:t>Atlikęs paraiškų vertinimą, užpildytas ir pasirašytas Paraiškos vertinimo formas ir paraiškas ekspertas ne vėliau kaip per 20 darbo dienų nuo paraiškų gavimo dienos perduoda APVA.</w:t>
                </w:r>
              </w:p>
              <w:p w14:paraId="403378E7" w14:textId="522A0B1A">
                <w:pPr>
                  <w:tabs>
                    <w:tab w:val="left" w:pos="1276"/>
                    <w:tab w:val="left" w:pos="10076"/>
                    <w:tab w:val="left" w:pos="10992"/>
                    <w:tab w:val="left" w:pos="11908"/>
                    <w:tab w:val="left" w:pos="12824"/>
                    <w:tab w:val="left" w:pos="13740"/>
                    <w:tab w:val="left" w:pos="14656"/>
                  </w:tabs>
                  <w:ind w:left="11"/>
                  <w:jc w:val="both"/>
                  <w:rPr>
                    <w:rFonts w:ascii="Courier New" w:hAnsi="Courier New" w:cs="Courier New"/>
                  </w:rPr>
                </w:pPr>
                <w:r>
                  <w:rPr>
                    <w:szCs w:val="24"/>
                  </w:rPr>
                  <w:t>Ekspertų vertinimo tarybai priėmus sprendimą, pagal Tvarkos aprašo 47 punktą, APVA direktorius įsakymu tvirtina finansuojamų, nefinansuojamų ir rezervinių projektų sąrašus. Ne vėliau kaip per</w:t>
                </w:r>
                <w:r>
                  <w:rPr>
                    <w:color w:val="000000"/>
                    <w:szCs w:val="24"/>
                  </w:rPr>
                  <w:t xml:space="preserve"> </w:t>
                </w:r>
                <w:r>
                  <w:rPr>
                    <w:color w:val="000000"/>
                    <w:szCs w:val="24"/>
                    <w:lang w:val="en-US"/>
                  </w:rPr>
                  <w:t>5</w:t>
                </w:r>
                <w:r>
                  <w:rPr>
                    <w:color w:val="000000"/>
                    <w:szCs w:val="24"/>
                  </w:rPr>
                  <w:t xml:space="preserve"> darbo dien</w:t>
                </w:r>
                <w:r>
                  <w:rPr>
                    <w:color w:val="000000"/>
                    <w:szCs w:val="24"/>
                    <w:lang w:val="en-US"/>
                  </w:rPr>
                  <w:t>as</w:t>
                </w:r>
                <w:r>
                  <w:rPr>
                    <w:color w:val="000000"/>
                    <w:szCs w:val="24"/>
                  </w:rPr>
                  <w:t xml:space="preserve"> nuo projektų sąrašų patvirtinimo dienos, </w:t>
                </w:r>
                <w:r>
                  <w:rPr>
                    <w:color w:val="000000"/>
                    <w:szCs w:val="24"/>
                    <w:lang w:val="en-US"/>
                  </w:rPr>
                  <w:t xml:space="preserve">jie </w:t>
                </w:r>
                <w:r>
                  <w:rPr>
                    <w:color w:val="000000"/>
                    <w:szCs w:val="24"/>
                  </w:rPr>
                  <w:t xml:space="preserve">paskelbiami APVA interneto svetainėje apva.lt ir (arba) Ministerijos interneto svetainėje am.lrv.lt. </w:t>
                </w:r>
                <w:r>
                  <w:t>Per 5 darbo dienas nuo Tvarkos aprašo 51 punkte nurodytos informacijos paskelbimo dienos APVA raštu informuoja pareiškėjus, kurių paraiškos bus finansuojamos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B2175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35AA15" w14:textId="68C985F6">
                <w:pPr>
                  <w:suppressAutoHyphens/>
                  <w:textAlignment w:val="baseline"/>
                  <w:rPr>
                    <w:szCs w:val="24"/>
                    <w:lang w:eastAsia="lt-LT"/>
                  </w:rPr>
                </w:pPr>
                <w:r>
                  <w:rPr>
                    <w:szCs w:val="24"/>
                    <w:lang w:eastAsia="lt-LT"/>
                  </w:rPr>
                  <w:t>□ tenkina</w:t>
                </w:r>
              </w:p>
              <w:p w14:paraId="3DCAED27" w14:textId="77777777">
                <w:pPr>
                  <w:suppressAutoHyphens/>
                  <w:textAlignment w:val="baseline"/>
                  <w:rPr>
                    <w:szCs w:val="24"/>
                    <w:lang w:eastAsia="lt-LT"/>
                  </w:rPr>
                </w:pPr>
                <w:r>
                  <w:rPr>
                    <w:szCs w:val="24"/>
                    <w:lang w:eastAsia="lt-LT"/>
                  </w:rPr>
                  <w:t>□ netenkina</w:t>
                </w:r>
              </w:p>
            </w:tc>
          </w:tr>
          <w:tr w14:paraId="428683B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C4F217"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883CF0"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641A12" w14:textId="77777777">
                <w:pPr>
                  <w:jc w:val="both"/>
                </w:pPr>
                <w:r>
                  <w:t>Jeigu atliekant paraiškos administracinės atitikties vertinimą nustatoma, kad paraiška pateikta, nesilaikant Tvarkos apraše ir Kvietime nustatytų reikalavimų, tačiau nustatyti neesminiai ir nekeičiantys paraiškos turinio ir prasmės Tvarkos aprašo 29 punkte nurodyti trūkumai, šiuos trūkumus vieną kartą leidžiama pašalinti. APVA informuoja pareiškėją apie nustatytus trūkumus ir siūlo juos ištaisyti, nustatydama ne trumpesnį nei 5 darbo dienų ir ne ilgesnį nei 10 darbo dienų terminą trūkumams pašalinti. Jeigu nustatoma, kad paraiška turi bent vieną esminį trūkumą, nurodytą Tvarkos aprašo 30 punkte, trūkumų pašalinti neleidžiama.</w:t>
                </w:r>
              </w:p>
              <w:p w14:paraId="72378CE6" w14:textId="0C152B42">
                <w:pPr>
                  <w:tabs>
                    <w:tab w:val="left" w:pos="1276"/>
                    <w:tab w:val="left" w:pos="10076"/>
                    <w:tab w:val="left" w:pos="10992"/>
                    <w:tab w:val="left" w:pos="11908"/>
                    <w:tab w:val="left" w:pos="12824"/>
                    <w:tab w:val="left" w:pos="13740"/>
                    <w:tab w:val="left" w:pos="14656"/>
                  </w:tabs>
                  <w:jc w:val="both"/>
                  <w:rPr>
                    <w:rFonts w:ascii="Courier New" w:hAnsi="Courier New" w:cs="Courier New"/>
                  </w:rPr>
                </w:pPr>
                <w:r>
                  <w:rPr>
                    <w:szCs w:val="24"/>
                  </w:rPr>
                  <w:t>Jeigu nusprendžiama pareiškėjui skirti tik dalį paraiškoje prašomų lėšų, APVA ne vėliau kaip per 5</w:t>
                </w:r>
                <w:r>
                  <w:rPr>
                    <w:b/>
                    <w:bCs/>
                    <w:szCs w:val="24"/>
                  </w:rPr>
                  <w:t xml:space="preserve"> </w:t>
                </w:r>
                <w:r>
                  <w:rPr>
                    <w:szCs w:val="24"/>
                  </w:rPr>
                  <w:t xml:space="preserve">darbo dienas nuo vertinimo pabaigos paraiškoje nurodytu elektroninio pašto adresu informuoja pareiškėją apie jam siūlomų skirti lėšų dydį ir ne vėliau kaip per 10 darbo dienų nuo informacijos gavimo dienos siūlo patikslinti projekto sąmatą ir (ar) veiklos planą ir pateikti APVA. </w:t>
                </w:r>
                <w:r>
                  <w:rPr>
                    <w:rFonts w:ascii="Courier New" w:hAnsi="Courier New" w:cs="Courier New"/>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25429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78C8EA" w14:textId="77777777">
                <w:pPr>
                  <w:suppressAutoHyphens/>
                  <w:textAlignment w:val="baseline"/>
                  <w:rPr>
                    <w:szCs w:val="24"/>
                    <w:lang w:eastAsia="lt-LT"/>
                  </w:rPr>
                </w:pPr>
                <w:r>
                  <w:rPr>
                    <w:szCs w:val="24"/>
                    <w:lang w:eastAsia="lt-LT"/>
                  </w:rPr>
                  <w:t>□ tenkina</w:t>
                </w:r>
              </w:p>
              <w:p w14:paraId="3CC090F9" w14:textId="77777777">
                <w:pPr>
                  <w:suppressAutoHyphens/>
                  <w:textAlignment w:val="baseline"/>
                  <w:rPr>
                    <w:szCs w:val="24"/>
                    <w:lang w:eastAsia="lt-LT"/>
                  </w:rPr>
                </w:pPr>
                <w:r>
                  <w:rPr>
                    <w:szCs w:val="24"/>
                    <w:lang w:eastAsia="lt-LT"/>
                  </w:rPr>
                  <w:t>□ netenkina</w:t>
                </w:r>
              </w:p>
            </w:tc>
          </w:tr>
          <w:tr w14:paraId="71F2E8BF"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78B6FD"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0CCC5"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8343F2" w14:textId="2F9524AD">
                <w:pPr>
                  <w:jc w:val="both"/>
                </w:pPr>
                <w:r>
                  <w:t>Kriterijus nėra teisės akto projekto reglamentavimo dalykas.</w:t>
                </w:r>
              </w:p>
              <w:p w14:paraId="5DFCBB3D" w14:textId="6FA44BF7">
                <w:pPr>
                  <w:jc w:val="both"/>
                  <w:rPr>
                    <w:szCs w:val="24"/>
                    <w:lang w:eastAsia="lt-LT"/>
                  </w:rPr>
                </w:pPr>
                <w:r>
                  <w:t>Teisės akto projektu pavedama</w:t>
                </w:r>
                <w:r>
                  <w:rPr>
                    <w:b/>
                    <w:bCs/>
                  </w:rPr>
                  <w:t xml:space="preserve"> </w:t>
                </w:r>
                <w:r>
                  <w:t>Agentūrai patvirtinti metinių ataskaitų atrankos patikrinimui ir vertinimo tvarką, patikslinama nuostata, kad Agentūrai nustačius netikslumų, yra galimybė grąžinti ataskaitas tikslinti.</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7EB93"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C054D22" w14:textId="77777777">
                <w:pPr>
                  <w:suppressAutoHyphens/>
                  <w:textAlignment w:val="baseline"/>
                  <w:rPr>
                    <w:szCs w:val="24"/>
                    <w:lang w:eastAsia="lt-LT"/>
                  </w:rPr>
                </w:pPr>
                <w:r>
                  <w:rPr>
                    <w:szCs w:val="24"/>
                    <w:lang w:eastAsia="lt-LT"/>
                  </w:rPr>
                  <w:t>□ tenkina</w:t>
                </w:r>
              </w:p>
              <w:p w14:paraId="126CC5F4" w14:textId="77777777">
                <w:pPr>
                  <w:suppressAutoHyphens/>
                  <w:textAlignment w:val="baseline"/>
                  <w:rPr>
                    <w:szCs w:val="24"/>
                    <w:lang w:eastAsia="lt-LT"/>
                  </w:rPr>
                </w:pPr>
                <w:r>
                  <w:rPr>
                    <w:szCs w:val="24"/>
                    <w:lang w:eastAsia="lt-LT"/>
                  </w:rPr>
                  <w:t>□ netenkina</w:t>
                </w:r>
              </w:p>
            </w:tc>
          </w:tr>
          <w:tr w14:paraId="24154B53"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7CFB1"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4766C9"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6D26DA" w14:textId="2FCBAE66">
                <w:pPr>
                  <w:jc w:val="both"/>
                </w:pPr>
                <w:r>
                  <w:t>Projektų įgyvendinimo kontrolė nustatyta Tvarkos aprašo IX skyriuje.</w:t>
                </w:r>
              </w:p>
              <w:p w14:paraId="26AFC8DE" w14:textId="328B2DEA">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B9C34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84E0A5" w14:textId="77777777">
                <w:pPr>
                  <w:suppressAutoHyphens/>
                  <w:textAlignment w:val="baseline"/>
                  <w:rPr>
                    <w:szCs w:val="24"/>
                    <w:lang w:eastAsia="lt-LT"/>
                  </w:rPr>
                </w:pPr>
                <w:r>
                  <w:rPr>
                    <w:szCs w:val="24"/>
                    <w:lang w:eastAsia="lt-LT"/>
                  </w:rPr>
                  <w:t>□ tenkina</w:t>
                </w:r>
              </w:p>
              <w:p w14:paraId="51AAE4B8" w14:textId="77777777">
                <w:pPr>
                  <w:suppressAutoHyphens/>
                  <w:textAlignment w:val="baseline"/>
                  <w:rPr>
                    <w:szCs w:val="24"/>
                    <w:lang w:eastAsia="lt-LT"/>
                  </w:rPr>
                </w:pPr>
                <w:r>
                  <w:rPr>
                    <w:szCs w:val="24"/>
                    <w:lang w:eastAsia="lt-LT"/>
                  </w:rPr>
                  <w:t>□ netenkina</w:t>
                </w:r>
              </w:p>
            </w:tc>
          </w:tr>
          <w:tr w14:paraId="1738150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F778E1"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E545C0"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3477CE" w14:textId="3CABAB9B">
                <w:pPr>
                  <w:jc w:val="both"/>
                  <w:rPr>
                    <w:szCs w:val="24"/>
                    <w:lang w:eastAsia="lt-LT"/>
                  </w:rPr>
                </w:pPr>
                <w:r>
                  <w:rPr>
                    <w:szCs w:val="24"/>
                    <w:lang w:eastAsia="lt-LT"/>
                  </w:rPr>
                  <w:t>Atsakomybė nustatyta Tvarkos aprašo IX skyriuje.</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E4FF2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CD1BB" w14:textId="77777777">
                <w:pPr>
                  <w:suppressAutoHyphens/>
                  <w:textAlignment w:val="baseline"/>
                  <w:rPr>
                    <w:szCs w:val="24"/>
                    <w:lang w:eastAsia="lt-LT"/>
                  </w:rPr>
                </w:pPr>
                <w:r>
                  <w:rPr>
                    <w:szCs w:val="24"/>
                    <w:lang w:eastAsia="lt-LT"/>
                  </w:rPr>
                  <w:t>□ tenkina</w:t>
                </w:r>
              </w:p>
              <w:p w14:paraId="42A6E1FA" w14:textId="77777777">
                <w:pPr>
                  <w:suppressAutoHyphens/>
                  <w:textAlignment w:val="baseline"/>
                  <w:rPr>
                    <w:szCs w:val="24"/>
                    <w:lang w:eastAsia="lt-LT"/>
                  </w:rPr>
                </w:pPr>
                <w:r>
                  <w:rPr>
                    <w:szCs w:val="24"/>
                    <w:lang w:eastAsia="lt-LT"/>
                  </w:rPr>
                  <w:t>□ netenkina</w:t>
                </w:r>
              </w:p>
            </w:tc>
          </w:tr>
          <w:tr w14:paraId="6B0708A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8A9164"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F894DA"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766889" w14:textId="41A7D0B5">
                <w:pPr>
                  <w:jc w:val="both"/>
                </w:pPr>
                <w:r>
                  <w:t>Jeigu projekto įgyvendinimo ataskaita neatitinka nustatytų reikalavimų arba išlaidos patirtos pažeidžiant teisės aktus, arba kai išlaidų tinkamumo finansuoti negalima įvertini dėl to, kad pateikti ne visi dokumentai, pripažįstama tinkama finansuoti tik ta išlaidų suma, dėl kurios pateikti tinkami dokumentai ir nėra nustatyta trūkumų ir (ar) prašoma projekto vykdytojo pašalinti trūkumus, nustatant ne ilgesnį kaip 5 darbo dienų nuo prašymo dėl trūkumų pašalinimo gavimo dienos terminą. Jeigu per nustatytą terminą trūkumai nepašalinami arba pašalinami ne visi trūkumai, tinkama finansuoti pripažįstama tik ta išlaidų suma, dėl kurios pateikti tinkami dokumentai ir nėra nustatyta trūkumų. Trūkumų šalinimo terminas į bendrą prašymo nagrinėjimo terminą neįskaitomas.</w:t>
                </w:r>
              </w:p>
              <w:p w14:paraId="50B6D949" w14:textId="77777777">
                <w:pPr>
                  <w:keepNext/>
                  <w:suppressAutoHyphens/>
                  <w:jc w:val="both"/>
                  <w:textAlignment w:val="baseline"/>
                </w:pPr>
                <w:r>
                  <w:t>Kai visos projekto įgyvendinimo ataskaitoje deklaruotos išlaidos pripažįstamos netinkamomis finansuoti, ataskaita atmetama.</w:t>
                </w:r>
              </w:p>
              <w:p w14:paraId="6F4C534A" w14:textId="441E0E34">
                <w:pPr>
                  <w:keepNext/>
                  <w:suppressAutoHyphens/>
                  <w:jc w:val="both"/>
                  <w:textAlignment w:val="baseline"/>
                  <w:rPr>
                    <w:szCs w:val="24"/>
                    <w:lang w:eastAsia="lt-LT"/>
                  </w:rPr>
                </w:pPr>
                <w:r>
                  <w:rPr>
                    <w:szCs w:val="24"/>
                    <w:lang w:eastAsia="lt-LT"/>
                  </w:rPr>
                  <w:t>Projekto vykdytojui neįgyvendinus projekto per projekto sutartyje nustatytą terminą, jam skirtos nepanaudotos lėšos nesumokamos, o avansu išmokėtos ir nepanaudotos lėšos grąžinamos APVA per 5 darbo dienas. Per nurodytą terminą negrąžintos pagal paskirtį nepanaudotos lėšos išieškomos iš projekto vykdytojo teisės aktų nustatyta tvarka.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43CE2"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40A5CF" w14:textId="77777777">
                <w:pPr>
                  <w:suppressAutoHyphens/>
                  <w:textAlignment w:val="baseline"/>
                  <w:rPr>
                    <w:szCs w:val="24"/>
                    <w:lang w:eastAsia="lt-LT"/>
                  </w:rPr>
                </w:pPr>
                <w:r>
                  <w:rPr>
                    <w:szCs w:val="24"/>
                    <w:lang w:eastAsia="lt-LT"/>
                  </w:rPr>
                  <w:t>□ tenkina</w:t>
                </w:r>
              </w:p>
              <w:p w14:paraId="5E25CBC4" w14:textId="77777777">
                <w:pPr>
                  <w:keepNext/>
                  <w:suppressAutoHyphens/>
                  <w:textAlignment w:val="baseline"/>
                  <w:rPr>
                    <w:szCs w:val="24"/>
                    <w:lang w:eastAsia="lt-LT"/>
                  </w:rPr>
                </w:pPr>
                <w:r>
                  <w:rPr>
                    <w:szCs w:val="24"/>
                    <w:lang w:eastAsia="lt-LT"/>
                  </w:rPr>
                  <w:t>□ netenkina</w:t>
                </w:r>
              </w:p>
            </w:tc>
          </w:tr>
          <w:tr w14:paraId="2EBE80A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E4B2F6"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B2403C"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5738D5" w14:textId="77777777">
                <w:pPr>
                  <w:suppressAutoHyphens/>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2C00B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57029" w14:textId="277ED67E">
                <w:pPr>
                  <w:suppressAutoHyphens/>
                  <w:textAlignment w:val="baseline"/>
                  <w:rPr>
                    <w:szCs w:val="24"/>
                    <w:lang w:eastAsia="lt-LT"/>
                  </w:rPr>
                </w:pPr>
                <w:r>
                  <w:rPr>
                    <w:szCs w:val="24"/>
                    <w:lang w:eastAsia="lt-LT"/>
                  </w:rPr>
                  <w:t xml:space="preserve">□  tenkina</w:t>
                </w:r>
              </w:p>
              <w:p w14:paraId="034CA765" w14:textId="77777777">
                <w:pPr>
                  <w:suppressAutoHyphens/>
                  <w:textAlignment w:val="baseline"/>
                  <w:rPr>
                    <w:szCs w:val="24"/>
                    <w:lang w:eastAsia="lt-LT"/>
                  </w:rPr>
                </w:pPr>
                <w:r>
                  <w:rPr>
                    <w:szCs w:val="24"/>
                    <w:lang w:eastAsia="lt-LT"/>
                  </w:rPr>
                  <w:t>□ netenkina</w:t>
                </w:r>
              </w:p>
            </w:tc>
          </w:tr>
          <w:tr w14:paraId="2567F6A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5A0133"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ECE867"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9CA050"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BF28A7"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8777CB" w14:textId="77777777">
                <w:pPr>
                  <w:suppressAutoHyphens/>
                  <w:textAlignment w:val="baseline"/>
                  <w:rPr>
                    <w:szCs w:val="24"/>
                    <w:lang w:eastAsia="lt-LT"/>
                  </w:rPr>
                </w:pPr>
                <w:r>
                  <w:rPr>
                    <w:szCs w:val="24"/>
                    <w:lang w:eastAsia="lt-LT"/>
                  </w:rPr>
                  <w:t>□ tenkina</w:t>
                </w:r>
              </w:p>
              <w:p w14:paraId="7A0B7A83" w14:textId="77777777">
                <w:pPr>
                  <w:suppressAutoHyphens/>
                  <w:textAlignment w:val="baseline"/>
                  <w:rPr>
                    <w:szCs w:val="24"/>
                    <w:lang w:eastAsia="lt-LT"/>
                  </w:rPr>
                </w:pPr>
                <w:r>
                  <w:rPr>
                    <w:szCs w:val="24"/>
                    <w:lang w:eastAsia="lt-LT"/>
                  </w:rPr>
                  <w:t>□ netenkina</w:t>
                </w:r>
              </w:p>
            </w:tc>
          </w:tr>
          <w:tr w14:paraId="698B2855"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06DBF95" w14:textId="77777777">
                <w:pPr>
                  <w:suppressAutoHyphens/>
                  <w:textAlignment w:val="baseline"/>
                  <w:rPr>
                    <w:szCs w:val="24"/>
                    <w:lang w:eastAsia="lt-LT"/>
                  </w:rPr>
                </w:pPr>
              </w:p>
              <w:p w14:paraId="2D5B6DFA"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3554CA7"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5A6A81C0" w14:textId="77777777">
                <w:pPr>
                  <w:suppressAutoHyphens/>
                  <w:textAlignment w:val="baseline"/>
                  <w:rPr>
                    <w:szCs w:val="24"/>
                    <w:lang w:eastAsia="lt-LT"/>
                  </w:rPr>
                </w:pPr>
              </w:p>
              <w:p w14:paraId="43008FD9"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79B3D4B" w14:textId="77777777">
                <w:pPr>
                  <w:suppressAutoHyphens/>
                  <w:textAlignment w:val="baseline"/>
                  <w:rPr>
                    <w:szCs w:val="24"/>
                    <w:lang w:eastAsia="lt-LT"/>
                  </w:rPr>
                </w:pPr>
              </w:p>
            </w:tc>
          </w:tr>
          <w:tr w14:paraId="093FF92D"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A9726A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95FB522" w14:textId="77777777">
                <w:pPr>
                  <w:suppressAutoHyphens/>
                  <w:ind w:left="-11"/>
                  <w:textAlignment w:val="baseline"/>
                </w:pPr>
                <w:r>
                  <w:t xml:space="preserve">Klimato politikos grupės </w:t>
                </w:r>
              </w:p>
              <w:p w14:paraId="33B2FCCF" w14:textId="21D8130E">
                <w:pPr>
                  <w:suppressAutoHyphens/>
                  <w:ind w:left="-11"/>
                  <w:textAlignment w:val="baseline"/>
                  <w:rPr>
                    <w:bCs/>
                    <w:szCs w:val="24"/>
                    <w:lang w:eastAsia="lt-LT"/>
                  </w:rPr>
                </w:pPr>
                <w:r>
                  <w:t>vyr. specialistė Ugnė Grikinytė</w:t>
                </w:r>
              </w:p>
            </w:tc>
            <w:tc>
              <w:tcPr>
                <w:tcW w:w="2434" w:type="dxa"/>
                <w:gridSpan w:val="2"/>
                <w:tcBorders>
                  <w:top w:val="nil"/>
                  <w:left w:val="nil"/>
                  <w:bottom w:val="nil"/>
                  <w:right w:val="nil"/>
                </w:tcBorders>
                <w:tcMar>
                  <w:top w:w="0" w:type="dxa"/>
                  <w:left w:w="108" w:type="dxa"/>
                  <w:bottom w:w="0" w:type="dxa"/>
                  <w:right w:w="108" w:type="dxa"/>
                </w:tcMar>
              </w:tcPr>
              <w:p w14:paraId="74995BC0"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20FA1A03" w14:textId="77777777">
                <w:pPr>
                  <w:suppressAutoHyphens/>
                  <w:ind w:left="-11"/>
                  <w:textAlignment w:val="baseline"/>
                  <w:rPr>
                    <w:szCs w:val="24"/>
                    <w:lang w:eastAsia="lt-LT"/>
                  </w:rPr>
                </w:pPr>
                <w:r>
                  <w:rPr>
                    <w:szCs w:val="24"/>
                    <w:lang w:eastAsia="lt-LT"/>
                  </w:rPr>
                  <w:t xml:space="preserve">Korupcijos prevencijos ir vidaus tyrimų skyriaus </w:t>
                </w:r>
              </w:p>
              <w:p w14:paraId="54A9982E" w14:textId="4AFB12B1">
                <w:pPr>
                  <w:suppressAutoHyphens/>
                  <w:ind w:left="-11"/>
                  <w:textAlignment w:val="baseline"/>
                  <w:rPr>
                    <w:szCs w:val="24"/>
                    <w:lang w:eastAsia="lt-LT"/>
                  </w:rPr>
                </w:pPr>
                <w:r>
                  <w:rPr>
                    <w:szCs w:val="24"/>
                    <w:lang w:eastAsia="lt-LT"/>
                  </w:rPr>
                  <w:t xml:space="preserve">vedėja  Rūta Slidžiauskaitė </w:t>
                </w:r>
              </w:p>
            </w:tc>
          </w:tr>
          <w:tr w14:paraId="2D73E744"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7646EC5D"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19E6B4C2"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2B12B73"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21DCC4BA" w14:textId="77777777">
                <w:pPr>
                  <w:suppressAutoHyphens/>
                  <w:ind w:left="-11" w:firstLine="11"/>
                  <w:textAlignment w:val="baseline"/>
                  <w:rPr>
                    <w:szCs w:val="24"/>
                    <w:lang w:eastAsia="lt-LT"/>
                  </w:rPr>
                </w:pPr>
              </w:p>
            </w:tc>
          </w:tr>
          <w:tr w14:paraId="5BCF0A78"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527BF16C"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E98E47" w14:textId="77777777">
                <w:pPr>
                  <w:suppressAutoHyphens/>
                  <w:ind w:left="-11" w:firstLine="11"/>
                  <w:textAlignment w:val="baseline"/>
                  <w:rPr>
                    <w:szCs w:val="24"/>
                    <w:lang w:eastAsia="lt-LT"/>
                  </w:rPr>
                </w:pPr>
                <w:r>
                  <w:rPr>
                    <w:szCs w:val="24"/>
                    <w:lang w:eastAsia="lt-LT"/>
                  </w:rPr>
                  <w:t xml:space="preserve">(parašas)                                      (data)</w:t>
                </w:r>
              </w:p>
              <w:p w14:paraId="7A99644F" w14:textId="540BEC3D">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69AA2C9F"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407ECEC4" w14:textId="77777777">
                <w:pPr>
                  <w:suppressAutoHyphens/>
                  <w:ind w:left="-11" w:firstLine="64"/>
                  <w:textAlignment w:val="baseline"/>
                  <w:rPr>
                    <w:szCs w:val="24"/>
                    <w:lang w:eastAsia="lt-LT"/>
                  </w:rPr>
                </w:pPr>
                <w:r>
                  <w:rPr>
                    <w:szCs w:val="24"/>
                    <w:lang w:eastAsia="lt-LT"/>
                  </w:rPr>
                  <w:t xml:space="preserve">(parašas)                                                     (data)</w:t>
                </w:r>
              </w:p>
            </w:tc>
          </w:tr>
        </w:tbl>
        <w:p w14:paraId="30D1928F" w14:textId="22024C52">
          <w:pPr>
            <w:tabs>
              <w:tab w:val="left" w:pos="6237"/>
            </w:tabs>
            <w:suppressAutoHyphens/>
            <w:spacing w:line="276" w:lineRule="auto"/>
            <w:jc w:val="center"/>
            <w:textAlignment w:val="baseline"/>
          </w:pPr>
          <w:r>
            <w:rPr>
              <w:color w:val="000000"/>
              <w:szCs w:val="24"/>
              <w:lang w:eastAsia="lt-LT"/>
            </w:rPr>
            <w:t>________________________</w:t>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C1805" w14:textId="77777777">
      <w:pPr>
        <w:rPr>
          <w:lang w:eastAsia="lt-LT"/>
        </w:rPr>
      </w:pPr>
      <w:r>
        <w:rPr>
          <w:lang w:eastAsia="lt-LT"/>
        </w:rPr>
        <w:separator/>
      </w:r>
    </w:p>
  </w:endnote>
  <w:endnote w:type="continuationSeparator" w:id="0">
    <w:p w14:paraId="638E17C9"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A2AD0"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038E2"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22AAE"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A2B0E7" w14:textId="77777777">
      <w:pPr>
        <w:rPr>
          <w:lang w:eastAsia="lt-LT"/>
        </w:rPr>
      </w:pPr>
      <w:r>
        <w:rPr>
          <w:lang w:eastAsia="lt-LT"/>
        </w:rPr>
        <w:separator/>
      </w:r>
    </w:p>
  </w:footnote>
  <w:footnote w:type="continuationSeparator" w:id="0">
    <w:p w14:paraId="2342A034"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387220"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337F2D83"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76A77" w14:textId="77777777">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C24F4"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34EDB"/>
  <w15:docId w15:val="{69201C1D-4ED8-4329-AEFA-7BB3E204D81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55872577">
      <w:bodyDiv w:val="1"/>
      <w:marLeft w:val="0"/>
      <w:marRight w:val="0"/>
      <w:marTop w:val="0"/>
      <w:marBottom w:val="0"/>
      <w:divBdr>
        <w:top w:val="none" w:sz="0" w:space="0" w:color="auto"/>
        <w:left w:val="none" w:sz="0" w:space="0" w:color="auto"/>
        <w:bottom w:val="none" w:sz="0" w:space="0" w:color="auto"/>
        <w:right w:val="none" w:sz="0" w:space="0" w:color="auto"/>
      </w:divBdr>
      <w:divsChild>
        <w:div w:id="1293635005">
          <w:marLeft w:val="0"/>
          <w:marRight w:val="0"/>
          <w:marTop w:val="0"/>
          <w:marBottom w:val="0"/>
          <w:divBdr>
            <w:top w:val="none" w:sz="0" w:space="0" w:color="auto"/>
            <w:left w:val="none" w:sz="0" w:space="0" w:color="auto"/>
            <w:bottom w:val="none" w:sz="0" w:space="0" w:color="auto"/>
            <w:right w:val="none" w:sz="0" w:space="0" w:color="auto"/>
          </w:divBdr>
        </w:div>
        <w:div w:id="1745646097">
          <w:marLeft w:val="0"/>
          <w:marRight w:val="0"/>
          <w:marTop w:val="0"/>
          <w:marBottom w:val="0"/>
          <w:divBdr>
            <w:top w:val="none" w:sz="0" w:space="0" w:color="auto"/>
            <w:left w:val="none" w:sz="0" w:space="0" w:color="auto"/>
            <w:bottom w:val="none" w:sz="0" w:space="0" w:color="auto"/>
            <w:right w:val="none" w:sz="0" w:space="0" w:color="auto"/>
          </w:divBdr>
        </w:div>
      </w:divsChild>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52428300">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5088086">
      <w:bodyDiv w:val="1"/>
      <w:marLeft w:val="0"/>
      <w:marRight w:val="0"/>
      <w:marTop w:val="0"/>
      <w:marBottom w:val="0"/>
      <w:divBdr>
        <w:top w:val="none" w:sz="0" w:space="0" w:color="auto"/>
        <w:left w:val="none" w:sz="0" w:space="0" w:color="auto"/>
        <w:bottom w:val="none" w:sz="0" w:space="0" w:color="auto"/>
        <w:right w:val="none" w:sz="0" w:space="0" w:color="auto"/>
      </w:divBdr>
    </w:div>
    <w:div w:id="66879517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53745417">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82db75ebf7713ae079b4f0176c7f4118">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b7e072ba977252754ac87885a0716c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e36950-9db2-4bd5-ad22-c7fd61453dde}"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lcf76f155ced4ddcb4097134ff3c332f xmlns="f5aad5d0-9c26-490e-8743-a6c7ceabd501">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Abbr="pr." Title="TEISĖS AKTŲ PROJEKTŲ ANTIKORUPCINIO VERTINIMO PAŽYMA 2022- Nr. D1" DocPartId="5b04ba0ca74549e597e8e453a16cf50d" PartId="8a5aa86a6ac7466e89c6285765a02db8"/>
</Parts>
</file>

<file path=customXml/itemProps1.xml><?xml version="1.0" encoding="utf-8"?>
<ds:datastoreItem xmlns:ds="http://schemas.openxmlformats.org/officeDocument/2006/customXml" ds:itemID="{BA3FF1B0-E501-4582-A30B-F750CD92D1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FD3F89-FB45-4B80-A45A-BCB31C3305E3}">
  <ds:schemaRefs>
    <ds:schemaRef ds:uri="http://schemas.microsoft.com/office/2006/metadata/properties"/>
    <ds:schemaRef ds:uri="http://purl.org/dc/dcmitype/"/>
    <ds:schemaRef ds:uri="http://www.w3.org/XML/1998/namespace"/>
    <ds:schemaRef ds:uri="http://schemas.microsoft.com/office/infopath/2007/PartnerControls"/>
    <ds:schemaRef ds:uri="http://schemas.microsoft.com/office/2006/documentManagement/types"/>
    <ds:schemaRef ds:uri="http://purl.org/dc/elements/1.1/"/>
    <ds:schemaRef ds:uri="http://purl.org/dc/terms/"/>
    <ds:schemaRef ds:uri="http://schemas.openxmlformats.org/package/2006/metadata/core-propertie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AAB2F51E-1741-4592-9511-392955D628A1}">
  <ds:schemaRefs>
    <ds:schemaRef ds:uri="http://schemas.microsoft.com/sharepoint/v3/contenttype/forms"/>
  </ds:schemaRefs>
</ds:datastoreItem>
</file>

<file path=customXml/itemProps4.xml><?xml version="1.0" encoding="utf-8"?>
<ds:datastoreItem xmlns:ds="http://schemas.openxmlformats.org/officeDocument/2006/customXml" ds:itemID="{2E7C8125-F334-4127-801C-0A49FC562956}">
  <ds:schemaRefs>
    <ds:schemaRef ds:uri="http://schemas.openxmlformats.org/officeDocument/2006/bibliography"/>
  </ds:schemaRefs>
</ds:datastoreItem>
</file>

<file path=customXml/itemProps5.xml><?xml version="1.0" encoding="utf-8"?>
<ds:datastoreItem xmlns:ds="http://schemas.openxmlformats.org/officeDocument/2006/customXml" ds:itemID="{729679B9-532F-48D9-9D2C-86B512F810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1458</Words>
  <Characters>10283</Characters>
  <Application>Microsoft Office Word</Application>
  <DocSecurity>4</DocSecurity>
  <Lines>467</Lines>
  <Paragraphs>158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11583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2022-08-03T12:48:00Z</dcterms:created>
  <dc:creator>lrvk</dc:creator>
  <lastModifiedBy>adlibuser</lastModifiedBy>
  <lastPrinted>2017-06-01T05:28:00Z</lastPrinted>
  <dcterms:modified xsi:type="dcterms:W3CDTF">2022-08-03T12:48:00Z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