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ace3eddfd7a46739f9c5edb408bb2dc"/>
        <w:lock w:val="sdtLocked"/>
        <w:richText/>
      </w:sdtPr>
      <w:sdtContent>
        <w:p>
          <w:pPr>
            <w:widowControl w:val="0"/>
            <w:suppressAutoHyphens/>
            <w:jc w:val="center"/>
            <w:rPr>
              <w:b/>
              <w:bCs/>
              <w:szCs w:val="24"/>
              <w:shd w:val="clear" w:color="auto" w:fill="FFFFFF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>ŠIAULIŲ MIESTO SAVIVALDYBĖS ADMINISTRACIJOS</w:t>
          </w:r>
        </w:p>
        <w:sdt>
          <w:sdtPr>
            <w:alias w:val="skyrius"/>
            <w:tag w:val="part_5c0df6c9a5e44088b0c565a7d79f1573"/>
            <w:lock w:val="sdtLocked"/>
            <w:richText/>
          </w:sdtPr>
          <w:sdtContent>
            <w:p>
              <w:pPr>
                <w:suppressAutoHyphens/>
                <w:jc w:val="center"/>
                <w:rPr>
                  <w:b/>
                  <w:szCs w:val="24"/>
                  <w:shd w:val="clear" w:color="auto" w:fill="FFFFFF"/>
                  <w:lang w:eastAsia="ar-SA"/>
                </w:rPr>
              </w:pPr>
              <w:r>
                <w:rPr>
                  <w:b/>
                  <w:szCs w:val="24"/>
                  <w:shd w:val="clear" w:color="auto" w:fill="FFFFFF"/>
                  <w:lang w:eastAsia="ar-SA"/>
                </w:rPr>
                <w:t>MIESTO ŪKIO IR APLINKOS SKYRIUS</w:t>
              </w:r>
            </w:p>
            <w:p>
              <w:pPr>
                <w:suppressAutoHyphens/>
                <w:jc w:val="center"/>
                <w:rPr>
                  <w:b/>
                  <w:bCs/>
                  <w:szCs w:val="24"/>
                  <w:shd w:val="clear" w:color="auto" w:fill="FFFFFF"/>
                  <w:lang w:eastAsia="ar-SA"/>
                </w:rPr>
              </w:pPr>
            </w:p>
            <w:sdt>
              <w:sdtPr>
                <w:alias w:val="Pavadinimas"/>
                <w:tag w:val="title_5c0df6c9a5e44088b0c565a7d79f1573"/>
                <w:lock w:val="sdtLocked"/>
                <w:richText/>
              </w:sdtPr>
              <w:sdtContent>
                <w:p>
                  <w:pPr>
                    <w:suppressAutoHyphens/>
                    <w:overflowPunct w:val="0"/>
                    <w:ind w:firstLine="283"/>
                    <w:jc w:val="center"/>
                    <w:textAlignment w:val="baseline"/>
                    <w:rPr>
                      <w:szCs w:val="24"/>
                      <w:lang w:eastAsia="ar-SA"/>
                    </w:rPr>
                  </w:pP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LAIDOJIMO ŠIAULIŲ MIESTO KAPINĖSE, KAPINIŲ TVARKYMO IR LANKYMO TVARKOS APRAŠO </w:t>
                  </w:r>
                </w:p>
                <w:p>
                  <w:pPr>
                    <w:suppressAutoHyphens/>
                    <w:overflowPunct w:val="0"/>
                    <w:ind w:firstLine="283"/>
                    <w:jc w:val="center"/>
                    <w:textAlignment w:val="baseline"/>
                    <w:rPr>
                      <w:b/>
                      <w:bCs/>
                      <w:sz w:val="28"/>
                      <w:szCs w:val="28"/>
                      <w:shd w:val="clear" w:color="auto" w:fill="FFFFFF"/>
                      <w:lang w:eastAsia="ar-SA"/>
                    </w:rPr>
                  </w:pPr>
                  <w:r>
                    <w:rPr>
                      <w:b/>
                      <w:bCs/>
                      <w:szCs w:val="24"/>
                      <w:shd w:val="clear" w:color="auto" w:fill="FFFFFF"/>
                      <w:lang w:eastAsia="ar-SA"/>
                    </w:rPr>
                    <w:t>AIŠKINAMASIS RAŠTAS</w:t>
                  </w:r>
                </w:p>
              </w:sdtContent>
            </w:sdt>
            <w:p>
              <w:pPr>
                <w:widowControl w:val="0"/>
                <w:jc w:val="center"/>
                <w:rPr>
                  <w:rFonts w:eastAsia="Lucida Sans Unicode"/>
                  <w:b/>
                  <w:bCs/>
                  <w:sz w:val="28"/>
                  <w:szCs w:val="28"/>
                  <w:shd w:val="clear" w:color="auto" w:fill="FFFFFF"/>
                  <w:lang w:eastAsia="ar-SA"/>
                </w:rPr>
              </w:pPr>
            </w:p>
            <w:p>
              <w:pPr>
                <w:widowControl w:val="0"/>
                <w:jc w:val="center"/>
                <w:rPr>
                  <w:rFonts w:eastAsia="Lucida Sans Unicode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hd w:val="clear" w:color="auto" w:fill="FFFFFF"/>
                  <w:lang w:eastAsia="ar-SA"/>
                </w:rPr>
                <w:t xml:space="preserve">2023-    -....</w:t>
              </w:r>
            </w:p>
            <w:p>
              <w:pPr>
                <w:widowControl w:val="0"/>
                <w:jc w:val="center"/>
                <w:rPr>
                  <w:rFonts w:eastAsia="Lucida Sans Unicode"/>
                  <w:sz w:val="28"/>
                  <w:szCs w:val="28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hd w:val="clear" w:color="auto" w:fill="FFFFFF"/>
                  <w:lang w:eastAsia="ar-SA"/>
                </w:rPr>
                <w:t>Šiauliai</w:t>
              </w:r>
            </w:p>
            <w:p>
              <w:pPr>
                <w:widowControl w:val="0"/>
                <w:jc w:val="center"/>
                <w:rPr>
                  <w:rFonts w:eastAsia="Lucida Sans Unicode"/>
                  <w:sz w:val="28"/>
                  <w:szCs w:val="28"/>
                  <w:shd w:val="clear" w:color="auto" w:fill="FFFFFF"/>
                  <w:lang w:eastAsia="ar-SA"/>
                </w:rPr>
              </w:pPr>
            </w:p>
            <w:tbl>
              <w:tblPr>
                <w:tblW w:w="0" w:type="auto"/>
                <w:tblInd w:w="-567" w:type="dxa"/>
                <w:tblLayout w:type="fixed"/>
                <w:tblCellMar>
                  <w:left w:w="0" w:type="dxa"/>
                  <w:right w:w="0" w:type="dxa"/>
                </w:tblCellMar>
                <w:tblLook w:val="0000" w:firstRow="0" w:lastRow="0" w:firstColumn="0" w:lastColumn="0" w:noHBand="0" w:noVBand="0"/>
              </w:tblPr>
              <w:tblGrid>
                <w:gridCol w:w="10204"/>
              </w:tblGrid>
              <w:tr>
                <w:tc>
                  <w:tcPr>
                    <w:tcW w:w="10204" w:type="dxa"/>
                    <w:shd w:val="clear" w:color="auto" w:fill="auto"/>
                  </w:tcPr>
                  <w:p>
                    <w:pPr>
                      <w:widowControl w:val="0"/>
                      <w:suppressAutoHyphens/>
                      <w:snapToGrid w:val="0"/>
                      <w:ind w:right="83" w:firstLine="744"/>
                      <w:jc w:val="both"/>
                      <w:rPr>
                        <w:rFonts w:eastAsia="Lucida Sans Unicode"/>
                        <w:b/>
                        <w:lang w:eastAsia="ar-SA"/>
                      </w:rPr>
                    </w:pPr>
                    <w:r>
                      <w:rPr>
                        <w:rFonts w:eastAsia="Lucida Sans Unicode"/>
                        <w:b/>
                        <w:shd w:val="clear" w:color="auto" w:fill="FFFFFF"/>
                        <w:lang w:eastAsia="ar-SA"/>
                      </w:rPr>
                      <w:t>Parengto sprendimo projekto tikslai ir uždaviniai:</w:t>
                    </w:r>
                  </w:p>
                </w:tc>
              </w:tr>
              <w:tr>
                <w:tc>
                  <w:tcPr>
                    <w:tcW w:w="10204" w:type="dxa"/>
                    <w:shd w:val="clear" w:color="auto" w:fill="auto"/>
                  </w:tcPr>
                  <w:p>
                    <w:pPr>
                      <w:suppressAutoHyphens/>
                      <w:snapToGrid w:val="0"/>
                      <w:ind w:firstLine="700"/>
                      <w:jc w:val="both"/>
                      <w:rPr>
                        <w:rFonts w:eastAsia="Lucida Sans Unicode"/>
                        <w:shd w:val="clear" w:color="auto" w:fill="FFFFFF"/>
                        <w:lang w:eastAsia="ar-SA"/>
                      </w:rPr>
                    </w:pPr>
                    <w:r>
                      <w:rPr>
                        <w:rFonts w:cs="Tahoma"/>
                        <w:szCs w:val="24"/>
                        <w:lang w:eastAsia="ar-SA"/>
                      </w:rPr>
                      <w:t xml:space="preserve">Patvirtinti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Laidojimo Šiaulių miesto kapinėse, kapinių tvarkymo ir lankymo tvarkos aprašą, </w:t>
                    </w:r>
                    <w:r>
                      <w:rPr>
                        <w:szCs w:val="24"/>
                        <w:lang w:eastAsia="lt-LT"/>
                      </w:rPr>
                      <w:t xml:space="preserve">vadovaujantis Lietuvos Respublikos vietos savivaldos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įstatymo 6 straipsnio 41 punktu, 15 straipsnio 2 dalies 28 punktu, </w:t>
                    </w:r>
                    <w:r>
                      <w:rPr>
                        <w:color w:val="000000"/>
                        <w:szCs w:val="24"/>
                        <w:lang w:eastAsia="ar-SA"/>
                      </w:rPr>
                      <w:t>Lietuvos Respublikos žmonių palaikų laidojimo įstatymu, Lietuvos Respublikos Vyriausybės 2008 m. lapkričio 19 d. nutarimu Nr. 1207 „Dėl Lietuvos Respublikos žmonių palaikų laidojimo įstatymo įgyvendinamųjų teisės aktų patvirtinimo“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.</w:t>
                    </w:r>
                  </w:p>
                </w:tc>
              </w:tr>
              <w:tr>
                <w:tc>
                  <w:tcPr>
                    <w:tcW w:w="10204" w:type="dxa"/>
                    <w:shd w:val="clear" w:color="auto" w:fill="auto"/>
                  </w:tcPr>
                  <w:p>
                    <w:pPr>
                      <w:suppressAutoHyphens/>
                      <w:snapToGrid w:val="0"/>
                      <w:ind w:firstLine="806"/>
                      <w:jc w:val="both"/>
                      <w:rPr>
                        <w:b/>
                        <w:szCs w:val="24"/>
                        <w:lang w:eastAsia="ar-SA"/>
                      </w:rPr>
                    </w:pPr>
                    <w:r>
                      <w:rPr>
                        <w:rFonts w:eastAsia="Lucida Sans Unicode"/>
                        <w:b/>
                        <w:shd w:val="clear" w:color="auto" w:fill="FFFFFF"/>
                        <w:lang w:eastAsia="ar-SA"/>
                      </w:rPr>
                      <w:t xml:space="preserve">Dabartinis sprendimo projekte aptariamų klausimų reguliavimas. </w:t>
                    </w:r>
                  </w:p>
                </w:tc>
              </w:tr>
              <w:tr>
                <w:tc>
                  <w:tcPr>
                    <w:tcW w:w="10204" w:type="dxa"/>
                    <w:shd w:val="clear" w:color="auto" w:fill="auto"/>
                  </w:tcPr>
                  <w:p>
                    <w:pPr>
                      <w:suppressAutoHyphens/>
                      <w:jc w:val="both"/>
                      <w:rPr>
                        <w:szCs w:val="24"/>
                        <w:lang w:eastAsia="ar-SA"/>
                      </w:rPr>
                    </w:pPr>
                    <w:r>
                      <w:rPr>
                        <w:rFonts w:eastAsia="Lucida Sans Unicode"/>
                        <w:shd w:val="clear" w:color="auto" w:fill="FFFFFF"/>
                        <w:lang w:eastAsia="ar-SA"/>
                      </w:rPr>
                      <w:t xml:space="preserve">Visos sąlygos buvo nustatytos Šiaulių miesto savivaldybės tarybos Sprendime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Nr. T-381 „Dėl laidojimo Šiaulių miesto kapinėse, kapinių tvarkymo ir lankymo tvarkos aprašo patvirtinimo“ aktualioje redakcijoje.</w:t>
                    </w:r>
                  </w:p>
                </w:tc>
              </w:tr>
              <w:tr>
                <w:tc>
                  <w:tcPr>
                    <w:tcW w:w="10204" w:type="dxa"/>
                    <w:shd w:val="clear" w:color="auto" w:fill="auto"/>
                  </w:tcPr>
                  <w:p>
                    <w:pPr>
                      <w:widowControl w:val="0"/>
                      <w:suppressLineNumbers/>
                      <w:suppressAutoHyphens/>
                      <w:snapToGrid w:val="0"/>
                      <w:ind w:right="83" w:firstLine="744"/>
                      <w:jc w:val="both"/>
                      <w:rPr>
                        <w:rFonts w:eastAsia="Lucida Sans Unicode"/>
                        <w:i/>
                        <w:shd w:val="clear" w:color="auto" w:fill="FFFFFF"/>
                        <w:lang w:eastAsia="ar-SA"/>
                      </w:rPr>
                    </w:pPr>
                    <w:r>
                      <w:rPr>
                        <w:rFonts w:eastAsia="Lucida Sans Unicode"/>
                        <w:b/>
                        <w:shd w:val="clear" w:color="auto" w:fill="FFFFFF"/>
                        <w:lang w:eastAsia="ar-SA"/>
                      </w:rPr>
                      <w:t>Sprendimo projekte numatytos naujos teisinio reguliavimo nuostatos</w:t>
                    </w:r>
                    <w:r>
                      <w:rPr>
                        <w:rFonts w:eastAsia="Lucida Sans Unicode"/>
                        <w:i/>
                        <w:shd w:val="clear" w:color="auto" w:fill="FFFFFF"/>
                        <w:lang w:eastAsia="ar-SA"/>
                      </w:rPr>
                      <w:t>.</w:t>
                    </w:r>
                  </w:p>
                  <w:p>
                    <w:pPr>
                      <w:suppressAutoHyphens/>
                      <w:snapToGrid w:val="0"/>
                      <w:ind w:firstLine="700"/>
                      <w:jc w:val="both"/>
                      <w:rPr>
                        <w:szCs w:val="24"/>
                        <w:u w:val="single"/>
                        <w:lang w:val="en-US"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 xml:space="preserve">Esant keliolika </w:t>
                    </w:r>
                    <w:r>
                      <w:rPr>
                        <w:rFonts w:eastAsia="Lucida Sans Unicode"/>
                        <w:shd w:val="clear" w:color="auto" w:fill="FFFFFF"/>
                        <w:lang w:eastAsia="ar-SA"/>
                      </w:rPr>
                      <w:t xml:space="preserve">Šiaulių miesto savivaldybės tarybos Sprendime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Nr. T-381 „Dėl laidojimo Šiaulių miesto kapinėse, kapinių tvarkymo ir lankymo tvarkos aprašo patvirtinimo“ pakeitimų, taip pat dar galiojant 2009 m. birželio 25 d. Sprendimui Nr. T-224 „Dėl   laidojimo Šiaulių miesto viešosiose kapinėse, ir jų lankymo taisyklių patvirtinimo“ </w:t>
                    </w:r>
                    <w:r>
                      <w:rPr>
                        <w:bCs/>
                        <w:color w:val="000000"/>
                        <w:szCs w:val="24"/>
                        <w:u w:val="single"/>
                        <w:lang w:eastAsia="lt-LT"/>
                      </w:rPr>
                      <w:t xml:space="preserve">ir nuo 2022-11-01 d. ir įsigaliojus 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Lietuvos Respublikos žmonių palaikų laidojimo įstatymo Nr. X- 1404 2, 3, 5, 6, 11, 11¹, 13, 17, 21, 25, 27  ir 33 straipsnių pakeitimo įstatymui, nuspręsta parengti naują variantą, panaikinant visas iki šiol galiojančias versijas E-Tar sistemoje, kad nebebūtų painiavos tarp galiojančių versijų.</w:t>
                    </w:r>
                  </w:p>
                </w:tc>
              </w:tr>
              <w:tr>
                <w:trPr>
                  <w:trHeight w:val="102"/>
                </w:trPr>
                <w:tc>
                  <w:tcPr>
                    <w:tcW w:w="10204" w:type="dxa"/>
                    <w:shd w:val="clear" w:color="auto" w:fill="auto"/>
                  </w:tcPr>
                  <w:p>
                    <w:pPr>
                      <w:tabs>
                        <w:tab w:val="left" w:pos="0"/>
                      </w:tabs>
                      <w:suppressAutoHyphens/>
                      <w:ind w:firstLine="744"/>
                      <w:jc w:val="both"/>
                      <w:rPr>
                        <w:b/>
                        <w:szCs w:val="24"/>
                        <w:shd w:val="clear" w:color="auto" w:fill="FFFFFF"/>
                        <w:lang w:eastAsia="ar-SA"/>
                      </w:rPr>
                    </w:pPr>
                    <w:r>
                      <w:rPr>
                        <w:b/>
                        <w:szCs w:val="24"/>
                        <w:shd w:val="clear" w:color="auto" w:fill="FFFFFF"/>
                        <w:lang w:eastAsia="ar-SA"/>
                      </w:rPr>
                      <w:t>Priėmus sprendimą, galimos pasekmės (teigiamos, neigiamos).</w:t>
                    </w:r>
                  </w:p>
                </w:tc>
              </w:tr>
              <w:tr>
                <w:tc>
                  <w:tcPr>
                    <w:tcW w:w="10204" w:type="dxa"/>
                    <w:shd w:val="clear" w:color="auto" w:fill="auto"/>
                  </w:tcPr>
                  <w:p>
                    <w:pPr>
                      <w:widowControl w:val="0"/>
                      <w:suppressLineNumbers/>
                      <w:suppressAutoHyphens/>
                      <w:snapToGrid w:val="0"/>
                      <w:ind w:right="83" w:firstLine="744"/>
                      <w:jc w:val="both"/>
                      <w:rPr>
                        <w:rFonts w:eastAsia="Lucida Sans Unicode"/>
                        <w:lang w:eastAsia="ar-SA"/>
                      </w:rPr>
                    </w:pPr>
                    <w:r>
                      <w:rPr>
                        <w:rFonts w:eastAsia="Lucida Sans Unicode"/>
                        <w:shd w:val="clear" w:color="auto" w:fill="FFFFFF"/>
                        <w:lang w:eastAsia="ar-SA"/>
                      </w:rPr>
                      <w:t xml:space="preserve">Teigiamos pasekmės: </w:t>
                    </w:r>
                    <w:r>
                      <w:rPr>
                        <w:rFonts w:eastAsia="Lucida Sans Unicode"/>
                        <w:lang w:eastAsia="ar-SA"/>
                      </w:rPr>
                      <w:t>galimybė miesto gyventojams gauti aiškią ir tikslią informaciją</w:t>
                    </w:r>
                  </w:p>
                </w:tc>
              </w:tr>
              <w:tr>
                <w:tc>
                  <w:tcPr>
                    <w:tcW w:w="10204" w:type="dxa"/>
                    <w:shd w:val="clear" w:color="auto" w:fill="auto"/>
                  </w:tcPr>
                  <w:p>
                    <w:pPr>
                      <w:suppressAutoHyphens/>
                      <w:snapToGrid w:val="0"/>
                      <w:ind w:firstLine="720"/>
                      <w:jc w:val="both"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 xml:space="preserve">Neigiamų pasekmių nėra. </w:t>
                    </w:r>
                  </w:p>
                </w:tc>
              </w:tr>
              <w:tr>
                <w:tc>
                  <w:tcPr>
                    <w:tcW w:w="10204" w:type="dxa"/>
                    <w:shd w:val="clear" w:color="auto" w:fill="auto"/>
                  </w:tcPr>
                  <w:p>
                    <w:pPr>
                      <w:widowControl w:val="0"/>
                      <w:suppressLineNumbers/>
                      <w:suppressAutoHyphens/>
                      <w:snapToGrid w:val="0"/>
                      <w:ind w:right="83"/>
                      <w:jc w:val="both"/>
                      <w:rPr>
                        <w:rFonts w:eastAsia="Lucida Sans Unicode"/>
                        <w:shd w:val="clear" w:color="auto" w:fill="FFFFFF"/>
                        <w:lang w:eastAsia="ar-SA"/>
                      </w:rPr>
                    </w:pPr>
                    <w:r>
                      <w:rPr>
                        <w:rFonts w:eastAsia="Lucida Sans Unicode"/>
                        <w:shd w:val="clear" w:color="auto" w:fill="FFFFFF"/>
                        <w:lang w:eastAsia="ar-SA"/>
                      </w:rPr>
                      <w:t>Priėmus sprendimą, kiti teisės aktai nekeičiami ir nenaikinami.</w:t>
                    </w:r>
                  </w:p>
                  <w:p>
                    <w:pPr>
                      <w:widowControl w:val="0"/>
                      <w:suppressLineNumbers/>
                      <w:suppressAutoHyphens/>
                      <w:snapToGrid w:val="0"/>
                      <w:ind w:right="83" w:firstLine="744"/>
                      <w:jc w:val="both"/>
                      <w:rPr>
                        <w:rFonts w:eastAsia="Lucida Sans Unicode"/>
                        <w:lang w:eastAsia="ar-SA"/>
                      </w:rPr>
                    </w:pPr>
                    <w:r>
                      <w:rPr>
                        <w:rFonts w:eastAsia="Lucida Sans Unicode"/>
                        <w:b/>
                        <w:shd w:val="clear" w:color="auto" w:fill="FFFFFF"/>
                        <w:lang w:eastAsia="ar-SA"/>
                      </w:rPr>
                      <w:t>Sprendimui įgyvendinti reikalingi priimti papildomi teisės aktai</w:t>
                    </w:r>
                    <w:r>
                      <w:rPr>
                        <w:rFonts w:eastAsia="Lucida Sans Unicode"/>
                        <w:i/>
                        <w:shd w:val="clear" w:color="auto" w:fill="FFFFFF"/>
                        <w:lang w:eastAsia="ar-SA"/>
                      </w:rPr>
                      <w:t>.</w:t>
                    </w:r>
                  </w:p>
                </w:tc>
              </w:tr>
              <w:tr>
                <w:tc>
                  <w:tcPr>
                    <w:tcW w:w="10204" w:type="dxa"/>
                    <w:shd w:val="clear" w:color="auto" w:fill="auto"/>
                  </w:tcPr>
                  <w:p>
                    <w:pPr>
                      <w:widowControl w:val="0"/>
                      <w:suppressLineNumbers/>
                      <w:suppressAutoHyphens/>
                      <w:snapToGrid w:val="0"/>
                      <w:jc w:val="both"/>
                      <w:rPr>
                        <w:rFonts w:eastAsia="Lucida Sans Unicode"/>
                        <w:lang w:eastAsia="ar-SA"/>
                      </w:rPr>
                    </w:pPr>
                    <w:r>
                      <w:rPr>
                        <w:rFonts w:eastAsia="Lucida Sans Unicode"/>
                        <w:lang w:eastAsia="ar-SA"/>
                      </w:rPr>
                      <w:t>Sprendimui įgyvendinti priimti papildomų teisės aktų nereikės.</w:t>
                    </w:r>
                  </w:p>
                </w:tc>
              </w:tr>
              <w:tr>
                <w:tc>
                  <w:tcPr>
                    <w:tcW w:w="10204" w:type="dxa"/>
                    <w:shd w:val="clear" w:color="auto" w:fill="auto"/>
                  </w:tcPr>
                  <w:p>
                    <w:pPr>
                      <w:widowControl w:val="0"/>
                      <w:suppressLineNumbers/>
                      <w:suppressAutoHyphens/>
                      <w:snapToGrid w:val="0"/>
                      <w:ind w:right="83" w:firstLine="744"/>
                      <w:jc w:val="both"/>
                      <w:rPr>
                        <w:rFonts w:eastAsia="Lucida Sans Unicode"/>
                        <w:b/>
                        <w:lang w:eastAsia="ar-SA"/>
                      </w:rPr>
                    </w:pPr>
                    <w:r>
                      <w:rPr>
                        <w:rFonts w:eastAsia="Lucida Sans Unicode"/>
                        <w:b/>
                        <w:shd w:val="clear" w:color="auto" w:fill="FFFFFF"/>
                        <w:lang w:eastAsia="ar-SA"/>
                      </w:rPr>
                      <w:t>Sprendimui įgyvendinti reikalingos lėšos.</w:t>
                    </w:r>
                  </w:p>
                </w:tc>
              </w:tr>
              <w:tr>
                <w:tc>
                  <w:tcPr>
                    <w:tcW w:w="10204" w:type="dxa"/>
                    <w:shd w:val="clear" w:color="auto" w:fill="auto"/>
                  </w:tcPr>
                  <w:p>
                    <w:pPr>
                      <w:suppressAutoHyphens/>
                      <w:snapToGrid w:val="0"/>
                      <w:jc w:val="both"/>
                      <w:rPr>
                        <w:b/>
                        <w:szCs w:val="24"/>
                        <w:lang w:eastAsia="ar-SA"/>
                      </w:rPr>
                    </w:pPr>
                    <w:r>
                      <w:rPr>
                        <w:rFonts w:eastAsia="Lucida Sans Unicode"/>
                        <w:shd w:val="clear" w:color="auto" w:fill="FFFFFF"/>
                        <w:lang w:eastAsia="ar-SA"/>
                      </w:rPr>
                      <w:t xml:space="preserve">Sprendimui įgyvendinti lėšos nereikalingos. </w:t>
                    </w:r>
                  </w:p>
                  <w:p>
                    <w:pPr>
                      <w:suppressAutoHyphens/>
                      <w:snapToGrid w:val="0"/>
                      <w:ind w:firstLine="720"/>
                      <w:jc w:val="both"/>
                      <w:rPr>
                        <w:b/>
                        <w:szCs w:val="24"/>
                        <w:lang w:eastAsia="ar-SA"/>
                      </w:rPr>
                    </w:pPr>
                    <w:r>
                      <w:rPr>
                        <w:b/>
                        <w:szCs w:val="24"/>
                        <w:lang w:eastAsia="ar-SA"/>
                      </w:rPr>
                      <w:t>Sprendimo projekto antikorupcinis vertinimas.</w:t>
                    </w:r>
                  </w:p>
                  <w:p>
                    <w:pPr>
                      <w:suppressAutoHyphens/>
                      <w:snapToGrid w:val="0"/>
                      <w:jc w:val="both"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Pridedama antikorupcinio vertinimo pažyma.</w:t>
                    </w:r>
                  </w:p>
                </w:tc>
              </w:tr>
              <w:tr>
                <w:tc>
                  <w:tcPr>
                    <w:tcW w:w="10204" w:type="dxa"/>
                    <w:shd w:val="clear" w:color="auto" w:fill="auto"/>
                  </w:tcPr>
                  <w:p>
                    <w:pPr>
                      <w:widowControl w:val="0"/>
                      <w:suppressLineNumbers/>
                      <w:suppressAutoHyphens/>
                      <w:snapToGrid w:val="0"/>
                      <w:ind w:right="85" w:firstLine="806"/>
                      <w:jc w:val="both"/>
                      <w:rPr>
                        <w:rFonts w:eastAsia="Lucida Sans Unicode"/>
                        <w:b/>
                        <w:shd w:val="clear" w:color="auto" w:fill="FFFFFF"/>
                        <w:lang w:eastAsia="ar-SA"/>
                      </w:rPr>
                    </w:pPr>
                    <w:r>
                      <w:rPr>
                        <w:rFonts w:eastAsia="Lucida Sans Unicode"/>
                        <w:b/>
                        <w:shd w:val="clear" w:color="auto" w:fill="FFFFFF"/>
                        <w:lang w:eastAsia="ar-SA"/>
                      </w:rPr>
                      <w:t>Sprendimo projektą parengė:</w:t>
                    </w:r>
                  </w:p>
                  <w:p>
                    <w:pPr>
                      <w:tabs>
                        <w:tab w:val="left" w:pos="855"/>
                      </w:tabs>
                      <w:suppressAutoHyphens/>
                      <w:ind w:firstLine="868"/>
                      <w:jc w:val="both"/>
                      <w:rPr>
                        <w:szCs w:val="24"/>
                        <w:shd w:val="clear" w:color="auto" w:fill="FFFFFF"/>
                        <w:lang w:eastAsia="ar-SA"/>
                      </w:rPr>
                    </w:pPr>
                    <w:r>
                      <w:rPr>
                        <w:szCs w:val="24"/>
                        <w:shd w:val="clear" w:color="auto" w:fill="FFFFFF"/>
                        <w:lang w:eastAsia="ar-SA"/>
                      </w:rPr>
                      <w:t>Šiaulių miesto savivaldybės administracijos, Miesto ūkio ir aplinkos skyrius. Tiesioginis rengėjas – Miesto ūkio ir aplinkos skyriaus Aplinkosaugos ir miesto tvarkymo poskyrio vyr. specialistė Danutė Mažulienė, tel. (8 41) 596 281. Projekto iniciatorius: Miesto ūkio ir aplinkos skyrius.</w:t>
                    </w:r>
                  </w:p>
                  <w:p>
                    <w:pPr>
                      <w:suppressAutoHyphens/>
                      <w:spacing w:line="100" w:lineRule="atLeast"/>
                      <w:ind w:firstLine="700"/>
                      <w:jc w:val="both"/>
                      <w:rPr>
                        <w:rFonts w:eastAsia="Calibri"/>
                        <w:b/>
                        <w:szCs w:val="24"/>
                        <w:lang w:eastAsia="ar-SA"/>
                      </w:rPr>
                    </w:pPr>
                    <w:r>
                      <w:rPr>
                        <w:b/>
                        <w:szCs w:val="24"/>
                        <w:shd w:val="clear" w:color="auto" w:fill="FFFFFF"/>
                        <w:lang w:eastAsia="ar-SA"/>
                      </w:rPr>
                      <w:t>N</w:t>
                    </w:r>
                    <w:r>
                      <w:rPr>
                        <w:rFonts w:eastAsia="Calibri"/>
                        <w:b/>
                        <w:szCs w:val="24"/>
                        <w:lang w:eastAsia="ar-SA"/>
                      </w:rPr>
                      <w:t>umatomo teisinio reguliavimo poveikio vertinimo rezultatai.</w:t>
                    </w:r>
                  </w:p>
                  <w:p>
                    <w:pPr>
                      <w:suppressAutoHyphens/>
                      <w:spacing w:line="100" w:lineRule="atLeast"/>
                      <w:ind w:firstLine="700"/>
                      <w:jc w:val="both"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Teisinio reguliavimo poveikio vertinimas neatliekamas.</w:t>
                    </w:r>
                  </w:p>
                </w:tc>
              </w:tr>
              <w:tr>
                <w:trPr>
                  <w:trHeight w:val="155"/>
                </w:trPr>
                <w:tc>
                  <w:tcPr>
                    <w:tcW w:w="10204" w:type="dxa"/>
                    <w:shd w:val="clear" w:color="auto" w:fill="auto"/>
                  </w:tcPr>
                  <w:p>
                    <w:pPr>
                      <w:widowControl w:val="0"/>
                      <w:suppressLineNumbers/>
                      <w:suppressAutoHyphens/>
                      <w:snapToGrid w:val="0"/>
                      <w:ind w:right="85" w:firstLine="806"/>
                      <w:jc w:val="both"/>
                      <w:rPr>
                        <w:rFonts w:eastAsia="Lucida Sans Unicode"/>
                        <w:lang w:eastAsia="ar-SA"/>
                      </w:rPr>
                    </w:pPr>
                  </w:p>
                </w:tc>
              </w:tr>
              <w:tr>
                <w:trPr>
                  <w:trHeight w:val="155"/>
                </w:trPr>
                <w:tc>
                  <w:tcPr>
                    <w:tcW w:w="10204" w:type="dxa"/>
                    <w:shd w:val="clear" w:color="auto" w:fill="auto"/>
                  </w:tcPr>
                  <w:p>
                    <w:pPr>
                      <w:suppressAutoHyphens/>
                      <w:snapToGrid w:val="0"/>
                      <w:ind w:firstLine="700"/>
                      <w:jc w:val="both"/>
                      <w:rPr>
                        <w:strike/>
                        <w:szCs w:val="24"/>
                        <w:lang w:eastAsia="ar-SA"/>
                      </w:rPr>
                    </w:pPr>
                  </w:p>
                </w:tc>
              </w:tr>
            </w:tbl>
            <w:p>
              <w:pPr>
                <w:widowControl w:val="0"/>
                <w:suppressAutoHyphens/>
                <w:ind w:right="-108"/>
                <w:jc w:val="both"/>
                <w:rPr>
                  <w:rFonts w:eastAsia="Lucida Sans Unicode"/>
                  <w:sz w:val="22"/>
                  <w:lang w:eastAsia="ar-SA"/>
                </w:rPr>
              </w:pPr>
            </w:p>
            <w:p>
              <w:pPr>
                <w:widowControl w:val="0"/>
                <w:suppressAutoHyphens/>
                <w:ind w:right="-108"/>
                <w:jc w:val="both"/>
                <w:rPr>
                  <w:rFonts w:eastAsia="Lucida Sans Unicode"/>
                  <w:sz w:val="22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56906d5e77154b46863dcb6c424cc15b"/>
            <w:lock w:val="sdtLocked"/>
            <w:richText/>
          </w:sdtPr>
          <w:sdtContent>
            <w:p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lang w:eastAsia="ar-SA"/>
                </w:rPr>
                <w:t>Miesto ūkio ir aplinkos skyriaus vedėja</w:t>
                <w:tab/>
                <w:tab/>
                <w:tab/>
                <w:t>Eglė Bružienė</w:t>
              </w:r>
            </w:p>
            <w:p>
              <w:pPr>
                <w:widowControl w:val="0"/>
                <w:suppressAutoHyphens/>
                <w:ind w:right="-108" w:firstLine="5760"/>
                <w:jc w:val="both"/>
                <w:rPr>
                  <w:rFonts w:eastAsia="Lucida Sans Unicode"/>
                  <w:sz w:val="22"/>
                  <w:lang w:eastAsia="ar-SA"/>
                </w:rPr>
              </w:pPr>
            </w:p>
            <w:p/>
          </w:sdtContent>
        </w:sdt>
      </w:sdtContent>
    </w:sdt>
    <w:sectPr>
      <w:headerReference w:type="default" r:id="rId6"/>
      <w:pgSz w:w="11906" w:h="16838"/>
      <w:pgMar w:top="1134" w:right="567" w:bottom="1134" w:left="1701" w:header="567" w:footer="567" w:gutter="0"/>
      <w:pgNumType w:start="1"/>
      <w:cols w:space="1296"/>
      <w:docGrid w:linePitch="600" w:charSpace="32768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 xml:space="preserve"> PAGE 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88D5039-EFB7-4773-88AE-826A6714CB1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616a3572fd549c9a15e3dee2be0b9d7" PartId="face3eddfd7a46739f9c5edb408bb2dc">
    <Part Type="skyrius" Nr="999" Title="LAIDOJIMO ŠIAULIŲ MIESTO KAPINĖSE, KAPINIŲ TVARKYMO IR LANKYMO TVARKOS APRAŠO AIŠKINAMASIS RAŠTAS" DocPartId="051bba8067b84ad2acfa20bf0f26c8c2" PartId="5c0df6c9a5e44088b0c565a7d79f1573"/>
    <Part Type="signatura" DocPartId="aa91b79326124a4db1ca3d47780f1668" PartId="56906d5e77154b46863dcb6c424cc15b"/>
  </Part>
</Parts>
</file>

<file path=customXml/itemProps1.xml><?xml version="1.0" encoding="utf-8"?>
<ds:datastoreItem xmlns:ds="http://schemas.openxmlformats.org/officeDocument/2006/customXml" ds:itemID="{252E2AFD-C0AF-4EA6-BB5F-AABFBA95412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337</Words>
  <Characters>2417</Characters>
  <Application>Microsoft Office Word</Application>
  <DocSecurity>4</DocSecurity>
  <Lines>51</Lines>
  <Paragraphs>30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2023-05-24T12:12:00Z</dcterms:created>
  <dc:creator>Danutė Mažulienė</dc:creator>
  <lastModifiedBy>adlibuser</lastModifiedBy>
  <lastPrinted>2022-09-07T06:07:00Z</lastPrinted>
  <dcterms:modified xsi:type="dcterms:W3CDTF">2023-05-24T12:12:00Z</dcterms:modified>
  <revision>2</revision>
</coreProperties>
</file>