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a30f10c5c38c4d4b80c3b0529294d17d"/>
        <w:lock w:val="sdtLocked"/>
        <w:richText/>
      </w:sdtPr>
      <w:sdtContent>
        <w:p>
          <w:pPr>
            <w:tabs>
              <w:tab w:val="center" w:pos="4819"/>
              <w:tab w:val="right" w:pos="9638"/>
            </w:tabs>
            <w:rPr>
              <w:szCs w:val="24"/>
              <w:lang w:val="en-GB"/>
            </w:rPr>
          </w:pPr>
        </w:p>
        <w:p>
          <w:pPr>
            <w:jc w:val="center"/>
            <w:rPr>
              <w:b/>
              <w:szCs w:val="24"/>
            </w:rPr>
          </w:pPr>
          <w:r>
            <w:rPr>
              <w:b/>
              <w:szCs w:val="24"/>
            </w:rPr>
            <w:t>ŠIAULIŲ MIESTO SAVIVALDYBĖS ADMINISTRACIJOS</w:t>
          </w:r>
        </w:p>
        <w:sdt>
          <w:sdtPr>
            <w:alias w:val="skyrius"/>
            <w:tag w:val="part_219ec2ffef74406f9f3bf07316c37844"/>
            <w:lock w:val="sdtLocked"/>
            <w:richText/>
          </w:sdtPr>
          <w:sdtContent>
            <w:p>
              <w:pPr>
                <w:jc w:val="center"/>
                <w:rPr>
                  <w:b/>
                  <w:szCs w:val="24"/>
                </w:rPr>
              </w:pPr>
              <w:r>
                <w:rPr>
                  <w:b/>
                  <w:szCs w:val="24"/>
                </w:rPr>
                <w:t>EKONOMIKOS IR INVESTICIJŲ SKYRIUS</w:t>
              </w:r>
            </w:p>
            <w:p>
              <w:pPr>
                <w:ind w:right="-81"/>
                <w:jc w:val="center"/>
                <w:rPr>
                  <w:sz w:val="16"/>
                  <w:szCs w:val="24"/>
                  <w:lang w:val="en-GB"/>
                </w:rPr>
              </w:pPr>
            </w:p>
            <w:sdt>
              <w:sdtPr>
                <w:alias w:val="Pavadinimas"/>
                <w:tag w:val="title_219ec2ffef74406f9f3bf07316c37844"/>
                <w:lock w:val="sdtLocked"/>
                <w:richText/>
              </w:sdtPr>
              <w:sdtContent>
                <w:p>
                  <w:pPr>
                    <w:ind w:right="-81"/>
                    <w:jc w:val="center"/>
                    <w:rPr>
                      <w:b/>
                      <w:szCs w:val="24"/>
                      <w:lang w:val="en-GB"/>
                    </w:rPr>
                  </w:pPr>
                  <w:r>
                    <w:rPr>
                      <w:b/>
                      <w:szCs w:val="24"/>
                      <w:lang w:val="en-GB"/>
                    </w:rPr>
                    <w:t xml:space="preserve">SPRENDIMO </w:t>
                  </w:r>
                </w:p>
                <w:p>
                  <w:pPr>
                    <w:jc w:val="center"/>
                    <w:rPr>
                      <w:b/>
                      <w:szCs w:val="24"/>
                    </w:rPr>
                  </w:pPr>
                  <w:r>
                    <w:rPr>
                      <w:b/>
                      <w:szCs w:val="24"/>
                      <w:lang w:val="en-GB"/>
                    </w:rPr>
                    <w:t>„DĖL PRITARIMO INVESTUOTI TURTĄ IR DIDINTI UŽDAROSIOS AKCINĖS BENDROVĖS „</w:t>
                  </w:r>
                  <w:r>
                    <w:rPr>
                      <w:b/>
                      <w:szCs w:val="24"/>
                    </w:rPr>
                    <w:t>ŠIAULIŲ VANDENYS“ ĮSTATINĮ KAPITALĄ“ PROJEKTO</w:t>
                  </w:r>
                </w:p>
                <w:p>
                  <w:pPr>
                    <w:keepNext/>
                    <w:widowControl w:val="0"/>
                    <w:tabs>
                      <w:tab w:val="left" w:pos="0"/>
                    </w:tabs>
                    <w:suppressAutoHyphens/>
                    <w:ind w:right="-81"/>
                    <w:jc w:val="center"/>
                    <w:outlineLvl w:val="4"/>
                    <w:rPr>
                      <w:rFonts w:eastAsia="Lucida Sans Unicode"/>
                      <w:b/>
                    </w:rPr>
                  </w:pPr>
                  <w:r>
                    <w:rPr>
                      <w:rFonts w:eastAsia="Lucida Sans Unicode"/>
                      <w:b/>
                    </w:rPr>
                    <w:t>AIŠKINAMASIS RAŠTAS</w:t>
                  </w:r>
                </w:p>
              </w:sdtContent>
            </w:sdt>
            <w:p>
              <w:pPr>
                <w:widowControl w:val="0"/>
                <w:ind w:right="-81"/>
                <w:jc w:val="center"/>
                <w:rPr>
                  <w:rFonts w:eastAsia="Lucida Sans Unicode"/>
                  <w:sz w:val="18"/>
                </w:rPr>
              </w:pPr>
            </w:p>
            <w:p>
              <w:pPr>
                <w:widowControl w:val="0"/>
                <w:ind w:right="-81"/>
                <w:jc w:val="center"/>
                <w:rPr>
                  <w:rFonts w:eastAsia="Lucida Sans Unicode"/>
                </w:rPr>
              </w:pPr>
              <w:r>
                <w:rPr>
                  <w:rFonts w:eastAsia="Lucida Sans Unicode"/>
                </w:rPr>
                <w:t>2023 m. gruodžio 22 d.</w:t>
              </w:r>
            </w:p>
            <w:p>
              <w:pPr>
                <w:widowControl w:val="0"/>
                <w:ind w:right="-81"/>
                <w:jc w:val="center"/>
                <w:rPr>
                  <w:rFonts w:eastAsia="Lucida Sans Unicode"/>
                </w:rPr>
              </w:pPr>
              <w:r>
                <w:rPr>
                  <w:rFonts w:eastAsia="Lucida Sans Unicode"/>
                </w:rPr>
                <w:t>Šiauliai</w:t>
              </w:r>
            </w:p>
            <w:p>
              <w:pPr>
                <w:rPr>
                  <w:szCs w:val="24"/>
                  <w:lang w:val="en-GB"/>
                </w:rPr>
              </w:pPr>
            </w:p>
            <w:sdt>
              <w:sdtPr>
                <w:alias w:val="poskyris"/>
                <w:tag w:val="part_6275b286a5d8404bb69372e8ab02edae"/>
                <w:lock w:val="sdtLocked"/>
                <w:richText/>
              </w:sdtPr>
              <w:sdtContent>
                <w:p>
                  <w:pPr>
                    <w:widowControl w:val="0"/>
                    <w:spacing w:line="200" w:lineRule="atLeast"/>
                    <w:ind w:right="-81" w:firstLine="720"/>
                    <w:rPr>
                      <w:rFonts w:eastAsia="Lucida Sans Unicode"/>
                      <w:b/>
                    </w:rPr>
                  </w:pPr>
                  <w:sdt>
                    <w:sdtPr>
                      <w:alias w:val="Pavadinimas"/>
                      <w:tag w:val="title_6275b286a5d8404bb69372e8ab02edae"/>
                      <w:lock w:val="sdtLocked"/>
                      <w:richText/>
                    </w:sdtPr>
                    <w:sdtContent>
                      <w:r>
                        <w:rPr>
                          <w:rFonts w:eastAsia="Lucida Sans Unicode"/>
                          <w:b/>
                        </w:rPr>
                        <w:t>Parengto sprendimo projekto tikslai ir uždaviniai.</w:t>
                      </w:r>
                    </w:sdtContent>
                  </w:sdt>
                </w:p>
                <w:p>
                  <w:pPr>
                    <w:tabs>
                      <w:tab w:val="left" w:pos="72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3" w:lineRule="atLeast"/>
                    <w:ind w:firstLine="720"/>
                    <w:jc w:val="both"/>
                    <w:rPr>
                      <w:szCs w:val="24"/>
                      <w:lang w:eastAsia="lt-LT"/>
                    </w:rPr>
                  </w:pPr>
                  <w:r>
                    <w:rPr>
                      <w:szCs w:val="24"/>
                      <w:lang w:eastAsia="lt-LT"/>
                    </w:rPr>
                    <w:t xml:space="preserve">Parengto sprendimo projekto tikslai: </w:t>
                  </w:r>
                </w:p>
                <w:sdt>
                  <w:sdtPr>
                    <w:alias w:val="1 p."/>
                    <w:tag w:val="part_2850cd6fe6204e33a0568faf3843cb80"/>
                    <w:lock w:val="sdtLocked"/>
                    <w:richText/>
                  </w:sdtPr>
                  <w:sdtContent>
                    <w:p>
                      <w:pPr>
                        <w:tabs>
                          <w:tab w:val="left" w:pos="993"/>
                          <w:tab w:val="left" w:pos="1418"/>
                        </w:tabs>
                        <w:suppressAutoHyphens/>
                        <w:ind w:firstLine="720"/>
                        <w:jc w:val="both"/>
                        <w:rPr>
                          <w:szCs w:val="24"/>
                          <w:lang w:val="en-GB" w:eastAsia="lt-LT"/>
                        </w:rPr>
                      </w:pPr>
                      <w:sdt>
                        <w:sdtPr>
                          <w:alias w:val="Numeris"/>
                          <w:tag w:val="nr_2850cd6fe6204e33a0568faf3843cb80"/>
                          <w:lock w:val="sdtLocked"/>
                          <w:richText/>
                        </w:sdtPr>
                        <w:sdtContent>
                          <w:r>
                            <w:rPr>
                              <w:rFonts w:eastAsia="Calibri"/>
                              <w:szCs w:val="24"/>
                              <w:lang w:eastAsia="lt-LT"/>
                            </w:rPr>
                            <w:t>1</w:t>
                          </w:r>
                        </w:sdtContent>
                      </w:sdt>
                      <w:r>
                        <w:rPr>
                          <w:rFonts w:eastAsia="Calibri"/>
                          <w:szCs w:val="24"/>
                          <w:lang w:eastAsia="lt-LT"/>
                        </w:rPr>
                        <w:t>.</w:t>
                        <w:tab/>
                      </w:r>
                      <w:r>
                        <w:rPr>
                          <w:szCs w:val="24"/>
                          <w:lang w:val="en-GB"/>
                        </w:rPr>
                        <w:t xml:space="preserve"> Investuoti ir kaip nepiniginį įnašą perduoti uždarajai akcinei bendrovei „Šiaulių vandenys“ ( toliau – UAB „Šiaulių vandenys“) Šiaulių miesto savivaldybei nuosavybės teise priklausantį nekilnojamąjį turtą – paviršinių nuotekų tinklus</w:t>
                      </w:r>
                      <w:r>
                        <w:rPr>
                          <w:szCs w:val="24"/>
                          <w:shd w:val="clear" w:color="auto" w:fill="FFFFFF"/>
                          <w:lang w:val="en-GB"/>
                        </w:rPr>
                        <w:t xml:space="preserve"> (nepriklausomo turto vertintojo nustatyta turto vertė </w:t>
                      </w:r>
                      <w:r>
                        <w:rPr>
                          <w:szCs w:val="24"/>
                          <w:lang w:val="en-GB"/>
                        </w:rPr>
                        <w:t xml:space="preserve">– 4 464 000 </w:t>
                      </w:r>
                      <w:r>
                        <w:rPr>
                          <w:szCs w:val="24"/>
                          <w:shd w:val="clear" w:color="auto" w:fill="FFFFFF"/>
                          <w:lang w:val="en-GB"/>
                        </w:rPr>
                        <w:t xml:space="preserve">Eur), nurodytus šio sprendimo priede, didinant UAB „Šiaulių vandenys“ įstatinį kapitalą </w:t>
                      </w:r>
                      <w:r>
                        <w:rPr>
                          <w:szCs w:val="24"/>
                          <w:lang w:val="en-GB"/>
                        </w:rPr>
                        <w:t xml:space="preserve">4 463 981,28 Eur (keturiais milijonais keturiais šimtais šešiasdešimt trimis tūkstančiais devyniais šimtais aštuoniasdešimt vienu euru, 28 ct) ir išleidžiant  154 143 (šimtą penkiasdešimt keturis tūkstančius šimtą keturiasdešimt tris) vnt. paprastųjų nematerialiųjų vardinių akcijų, kurių kiekviena – 28,96 Eur (dvidešimt aštuoni Eur 96 ct) nominaliosios vertės, o 18,72 Eur (aštuoniolika eurų 72 ct.) sudarytų akcijų priedą (akcijos nominalios vertės perviršį).</w:t>
                      </w:r>
                    </w:p>
                    <w:p>
                      <w:pPr>
                        <w:ind w:firstLine="720"/>
                        <w:jc w:val="both"/>
                        <w:rPr>
                          <w:szCs w:val="24"/>
                          <w:lang w:eastAsia="lt-LT"/>
                        </w:rPr>
                      </w:pPr>
                      <w:r>
                        <w:rPr>
                          <w:szCs w:val="24"/>
                          <w:lang w:eastAsia="lt-LT"/>
                        </w:rPr>
                        <w:t>Akcijų emisijos kaina lygi jų nominaliajai vertei. Visos išleistos naujos akcijos perduodamos Šiaulių miesto savivaldybei.</w:t>
                      </w:r>
                    </w:p>
                  </w:sdtContent>
                </w:sdt>
                <w:sdt>
                  <w:sdtPr>
                    <w:alias w:val="2 p."/>
                    <w:tag w:val="part_1dbc3f8440ae4656a5cd9f8fc12c4811"/>
                    <w:lock w:val="sdtLocked"/>
                    <w:richText/>
                  </w:sdtPr>
                  <w:sdtContent>
                    <w:p>
                      <w:pPr>
                        <w:ind w:firstLine="720"/>
                        <w:jc w:val="both"/>
                        <w:rPr>
                          <w:szCs w:val="24"/>
                          <w:lang w:eastAsia="lt-LT"/>
                        </w:rPr>
                      </w:pPr>
                      <w:sdt>
                        <w:sdtPr>
                          <w:alias w:val="Numeris"/>
                          <w:tag w:val="nr_1dbc3f8440ae4656a5cd9f8fc12c4811"/>
                          <w:lock w:val="sdtLocked"/>
                          <w:richText/>
                        </w:sdtPr>
                        <w:sdtContent>
                          <w:r>
                            <w:rPr>
                              <w:szCs w:val="24"/>
                              <w:lang w:eastAsia="lt-LT"/>
                            </w:rPr>
                            <w:t>2</w:t>
                          </w:r>
                        </w:sdtContent>
                      </w:sdt>
                      <w:r>
                        <w:rPr>
                          <w:szCs w:val="24"/>
                          <w:lang w:eastAsia="lt-LT"/>
                        </w:rPr>
                        <w:t xml:space="preserve">. </w:t>
                      </w:r>
                      <w:r>
                        <w:rPr>
                          <w:szCs w:val="24"/>
                        </w:rPr>
                        <w:t>Pavesti UAB „Šiaulių vandenys“ generaliniam direktoriui parengti UAB „Šiaulių vandenys“ įstatų naują redakciją, pateikti juos tvirtinti Šiaulių miesto savivaldybės merui ir įregistruoti Juridinių asmenų registre.</w:t>
                      </w:r>
                    </w:p>
                  </w:sdtContent>
                </w:sdt>
                <w:sdt>
                  <w:sdtPr>
                    <w:alias w:val="3 p."/>
                    <w:tag w:val="part_3e54771e9cd64c4489d59428ab4583af"/>
                    <w:lock w:val="sdtLocked"/>
                    <w:richText/>
                  </w:sdtPr>
                  <w:sdtContent>
                    <w:p>
                      <w:pPr>
                        <w:ind w:firstLine="720"/>
                        <w:jc w:val="both"/>
                        <w:rPr>
                          <w:szCs w:val="24"/>
                        </w:rPr>
                      </w:pPr>
                      <w:sdt>
                        <w:sdtPr>
                          <w:alias w:val="Numeris"/>
                          <w:tag w:val="nr_3e54771e9cd64c4489d59428ab4583af"/>
                          <w:lock w:val="sdtLocked"/>
                          <w:richText/>
                        </w:sdtPr>
                        <w:sdtContent>
                          <w:r>
                            <w:rPr>
                              <w:szCs w:val="24"/>
                              <w:lang w:eastAsia="lt-LT"/>
                            </w:rPr>
                            <w:t>3</w:t>
                          </w:r>
                        </w:sdtContent>
                      </w:sdt>
                      <w:r>
                        <w:rPr>
                          <w:szCs w:val="24"/>
                          <w:lang w:eastAsia="lt-LT"/>
                        </w:rPr>
                        <w:t xml:space="preserve">. </w:t>
                      </w:r>
                      <w:r>
                        <w:rPr>
                          <w:szCs w:val="24"/>
                        </w:rPr>
                        <w:t>Įgalioti Šiaulių miesto savivaldybės merą pasirašyti sprendimo 1 punkte nurodyto turto perdavimo ir priėmimo aktą ir akcijų pasirašymo sutartį bei atlikti kitus reikalingus veiksmus, susijusius su įstatinio kapitalo didinimu.</w:t>
                      </w:r>
                    </w:p>
                    <w:p>
                      <w:pPr>
                        <w:ind w:firstLine="851"/>
                        <w:jc w:val="both"/>
                        <w:rPr>
                          <w:szCs w:val="24"/>
                        </w:rPr>
                      </w:pPr>
                      <w:r>
                        <w:rPr>
                          <w:szCs w:val="24"/>
                        </w:rPr>
                        <w:t xml:space="preserve">UAB </w:t>
                      </w:r>
                      <w:r>
                        <w:rPr>
                          <w:rFonts w:hint="cs"/>
                          <w:szCs w:val="24"/>
                        </w:rPr>
                        <w:t>„Š</w:t>
                      </w:r>
                      <w:r>
                        <w:rPr>
                          <w:szCs w:val="24"/>
                        </w:rPr>
                        <w:t>iauli</w:t>
                      </w:r>
                      <w:r>
                        <w:rPr>
                          <w:rFonts w:hint="cs"/>
                          <w:szCs w:val="24"/>
                        </w:rPr>
                        <w:t>ų</w:t>
                      </w:r>
                      <w:r>
                        <w:rPr>
                          <w:szCs w:val="24"/>
                        </w:rPr>
                        <w:t xml:space="preserve"> vandenys</w:t>
                      </w:r>
                      <w:r>
                        <w:rPr>
                          <w:rFonts w:hint="cs"/>
                          <w:szCs w:val="24"/>
                        </w:rPr>
                        <w:t>“</w:t>
                      </w:r>
                      <w:r>
                        <w:rPr>
                          <w:szCs w:val="24"/>
                        </w:rPr>
                        <w:t xml:space="preserve"> 2023-06-09 ra</w:t>
                      </w:r>
                      <w:r>
                        <w:rPr>
                          <w:rFonts w:hint="cs"/>
                          <w:szCs w:val="24"/>
                        </w:rPr>
                        <w:t>š</w:t>
                      </w:r>
                      <w:r>
                        <w:rPr>
                          <w:szCs w:val="24"/>
                        </w:rPr>
                        <w:t xml:space="preserve">tu Nr. S-1634 </w:t>
                      </w:r>
                      <w:r>
                        <w:rPr>
                          <w:rFonts w:hint="cs"/>
                          <w:szCs w:val="24"/>
                        </w:rPr>
                        <w:t>„</w:t>
                      </w:r>
                      <w:r>
                        <w:rPr>
                          <w:szCs w:val="24"/>
                        </w:rPr>
                        <w:t>D</w:t>
                      </w:r>
                      <w:r>
                        <w:rPr>
                          <w:rFonts w:hint="cs"/>
                          <w:szCs w:val="24"/>
                        </w:rPr>
                        <w:t>ė</w:t>
                      </w:r>
                      <w:r>
                        <w:rPr>
                          <w:szCs w:val="24"/>
                        </w:rPr>
                        <w:t>l paviršinių nuotekų tinkl</w:t>
                      </w:r>
                      <w:r>
                        <w:rPr>
                          <w:rFonts w:hint="cs"/>
                          <w:szCs w:val="24"/>
                        </w:rPr>
                        <w:t>ų</w:t>
                      </w:r>
                      <w:r>
                        <w:rPr>
                          <w:szCs w:val="24"/>
                        </w:rPr>
                        <w:t xml:space="preserve"> perdavimo UAB „Šiaulių vandenys“ nuosavybėn“, kreip</w:t>
                      </w:r>
                      <w:r>
                        <w:rPr>
                          <w:rFonts w:hint="cs"/>
                          <w:szCs w:val="24"/>
                        </w:rPr>
                        <w:t>ė</w:t>
                      </w:r>
                      <w:r>
                        <w:rPr>
                          <w:szCs w:val="24"/>
                        </w:rPr>
                        <w:t xml:space="preserve">si </w:t>
                      </w:r>
                      <w:r>
                        <w:rPr>
                          <w:rFonts w:hint="cs"/>
                          <w:szCs w:val="24"/>
                        </w:rPr>
                        <w:t>į</w:t>
                      </w:r>
                      <w:r>
                        <w:rPr>
                          <w:szCs w:val="24"/>
                        </w:rPr>
                        <w:t xml:space="preserve"> </w:t>
                      </w:r>
                      <w:r>
                        <w:rPr>
                          <w:rFonts w:hint="cs"/>
                          <w:szCs w:val="24"/>
                        </w:rPr>
                        <w:t>Š</w:t>
                      </w:r>
                      <w:r>
                        <w:rPr>
                          <w:szCs w:val="24"/>
                        </w:rPr>
                        <w:t>iauli</w:t>
                      </w:r>
                      <w:r>
                        <w:rPr>
                          <w:rFonts w:hint="cs"/>
                          <w:szCs w:val="24"/>
                        </w:rPr>
                        <w:t>ų</w:t>
                      </w:r>
                      <w:r>
                        <w:rPr>
                          <w:szCs w:val="24"/>
                        </w:rPr>
                        <w:t xml:space="preserve"> miesto savivaldybės administraciją su pasi</w:t>
                      </w:r>
                      <w:r>
                        <w:rPr>
                          <w:rFonts w:hint="cs"/>
                          <w:szCs w:val="24"/>
                        </w:rPr>
                        <w:t>ū</w:t>
                      </w:r>
                      <w:r>
                        <w:rPr>
                          <w:szCs w:val="24"/>
                        </w:rPr>
                        <w:t xml:space="preserve">lymu perduoti Bendrovei </w:t>
                      </w:r>
                      <w:r>
                        <w:rPr>
                          <w:rFonts w:hint="cs"/>
                          <w:szCs w:val="24"/>
                        </w:rPr>
                        <w:t>Š</w:t>
                      </w:r>
                      <w:r>
                        <w:rPr>
                          <w:szCs w:val="24"/>
                        </w:rPr>
                        <w:t>iauli</w:t>
                      </w:r>
                      <w:r>
                        <w:rPr>
                          <w:rFonts w:hint="cs"/>
                          <w:szCs w:val="24"/>
                        </w:rPr>
                        <w:t>ų</w:t>
                      </w:r>
                      <w:r>
                        <w:rPr>
                          <w:szCs w:val="24"/>
                        </w:rPr>
                        <w:t xml:space="preserve"> miesto savivaldybei priklausant</w:t>
                      </w:r>
                      <w:r>
                        <w:rPr>
                          <w:rFonts w:hint="cs"/>
                          <w:szCs w:val="24"/>
                        </w:rPr>
                        <w:t>į</w:t>
                      </w:r>
                      <w:r>
                        <w:rPr>
                          <w:szCs w:val="24"/>
                        </w:rPr>
                        <w:t xml:space="preserve"> nekilnojam</w:t>
                      </w:r>
                      <w:r>
                        <w:rPr>
                          <w:rFonts w:hint="cs"/>
                          <w:szCs w:val="24"/>
                        </w:rPr>
                        <w:t>ą</w:t>
                      </w:r>
                      <w:r>
                        <w:rPr>
                          <w:szCs w:val="24"/>
                        </w:rPr>
                        <w:t>j</w:t>
                      </w:r>
                      <w:r>
                        <w:rPr>
                          <w:rFonts w:hint="cs"/>
                          <w:szCs w:val="24"/>
                        </w:rPr>
                        <w:t>į</w:t>
                      </w:r>
                      <w:r>
                        <w:rPr>
                          <w:szCs w:val="24"/>
                        </w:rPr>
                        <w:t xml:space="preserve"> turt</w:t>
                      </w:r>
                      <w:r>
                        <w:rPr>
                          <w:rFonts w:hint="cs"/>
                          <w:szCs w:val="24"/>
                        </w:rPr>
                        <w:t>ą</w:t>
                      </w:r>
                      <w:r>
                        <w:rPr>
                          <w:szCs w:val="24"/>
                        </w:rPr>
                        <w:t xml:space="preserve"> </w:t>
                      </w:r>
                      <w:r>
                        <w:rPr>
                          <w:rFonts w:hint="cs"/>
                          <w:szCs w:val="24"/>
                        </w:rPr>
                        <w:t>–</w:t>
                      </w:r>
                      <w:r>
                        <w:rPr>
                          <w:szCs w:val="24"/>
                        </w:rPr>
                        <w:t xml:space="preserve"> pavir</w:t>
                      </w:r>
                      <w:r>
                        <w:rPr>
                          <w:rFonts w:hint="cs"/>
                          <w:szCs w:val="24"/>
                        </w:rPr>
                        <w:t>š</w:t>
                      </w:r>
                      <w:r>
                        <w:rPr>
                          <w:szCs w:val="24"/>
                        </w:rPr>
                        <w:t>ini</w:t>
                      </w:r>
                      <w:r>
                        <w:rPr>
                          <w:rFonts w:hint="cs"/>
                          <w:szCs w:val="24"/>
                        </w:rPr>
                        <w:t>ų</w:t>
                      </w:r>
                      <w:r>
                        <w:rPr>
                          <w:szCs w:val="24"/>
                        </w:rPr>
                        <w:t xml:space="preserve"> nuotek</w:t>
                      </w:r>
                      <w:r>
                        <w:rPr>
                          <w:rFonts w:hint="cs"/>
                          <w:szCs w:val="24"/>
                        </w:rPr>
                        <w:t>ų</w:t>
                      </w:r>
                      <w:r>
                        <w:rPr>
                          <w:szCs w:val="24"/>
                        </w:rPr>
                        <w:t xml:space="preserve"> tinklus, esan</w:t>
                      </w:r>
                      <w:r>
                        <w:rPr>
                          <w:rFonts w:hint="cs"/>
                          <w:szCs w:val="24"/>
                        </w:rPr>
                        <w:t>č</w:t>
                      </w:r>
                      <w:r>
                        <w:rPr>
                          <w:szCs w:val="24"/>
                        </w:rPr>
                        <w:t xml:space="preserve">ius </w:t>
                      </w:r>
                      <w:r>
                        <w:rPr>
                          <w:rFonts w:hint="cs"/>
                          <w:szCs w:val="24"/>
                        </w:rPr>
                        <w:t>Š</w:t>
                      </w:r>
                      <w:r>
                        <w:rPr>
                          <w:szCs w:val="24"/>
                        </w:rPr>
                        <w:t>iauli</w:t>
                      </w:r>
                      <w:r>
                        <w:rPr>
                          <w:rFonts w:hint="cs"/>
                          <w:szCs w:val="24"/>
                        </w:rPr>
                        <w:t>ų</w:t>
                      </w:r>
                      <w:r>
                        <w:rPr>
                          <w:szCs w:val="24"/>
                        </w:rPr>
                        <w:t xml:space="preserve"> miesto savivaldyb</w:t>
                      </w:r>
                      <w:r>
                        <w:rPr>
                          <w:rFonts w:hint="cs"/>
                          <w:szCs w:val="24"/>
                        </w:rPr>
                        <w:t>ė</w:t>
                      </w:r>
                      <w:r>
                        <w:rPr>
                          <w:szCs w:val="24"/>
                        </w:rPr>
                        <w:t>s teritorijoje. Bendrovė 2023-08-21 raštu Nr. S-2308 „Dėl paviršinių nuotekų tinklų perdavimo“ ir 2023-09-06 raštu Nr. S-2460 „Dėl Ginkūnų kapinių teritorijoje esančių paviršinių nuotekų tinklų perdavimo“ išreiškė sutikimą perimti raštuose nurodytus nuotekų tinklus.</w:t>
                      </w:r>
                    </w:p>
                    <w:p>
                      <w:pPr>
                        <w:ind w:firstLine="851"/>
                        <w:jc w:val="both"/>
                        <w:rPr>
                          <w:szCs w:val="24"/>
                        </w:rPr>
                      </w:pPr>
                      <w:r>
                        <w:rPr>
                          <w:szCs w:val="24"/>
                        </w:rPr>
                        <w:t xml:space="preserve">Bendrovė Šiaulių miesto savivaldybės tarybos 2015 m. gruodžio 28 d. sprendimu Nr. T-356, paskirta Šiaulių miesto savivaldybės teritorijoje paviršinių nuotekų tvarkytoju. </w:t>
                      </w:r>
                      <w:r>
                        <w:rPr>
                          <w:color w:val="000000"/>
                          <w:szCs w:val="24"/>
                        </w:rPr>
                        <w:t xml:space="preserve">Tam tikra paviršinių nuotekų infrastruktūros dalis nuosavybės teise vis dar priklauso Šiaulių miesto savivaldybei, nors pagal Lietuvos Respublikos geriamojo vandens tiekimo ir nuotekų tvarkymo įstatymo 16 straipsnio 5 dalį paviršinių nuotekų tvarkymo infrastruktūra nuosavybės teise turi priklausyti paviršinių nuotekų tvarkytojui t. y. Bendrovei.  </w:t>
                      </w:r>
                    </w:p>
                    <w:p>
                      <w:pPr>
                        <w:ind w:firstLine="851"/>
                        <w:jc w:val="both"/>
                        <w:rPr>
                          <w:szCs w:val="24"/>
                        </w:rPr>
                      </w:pPr>
                      <w:r>
                        <w:rPr>
                          <w:color w:val="000000"/>
                          <w:szCs w:val="24"/>
                        </w:rPr>
                        <w:t>Turto perleidimas Bendrovei suteiktų jai teisinį pagrindą jį tinkamai eksploatuoti ir prižiūrėti.</w:t>
                      </w:r>
                      <w:r>
                        <w:rPr>
                          <w:szCs w:val="24"/>
                        </w:rPr>
                        <w:t xml:space="preserve"> Nepriklausomų turto vertintojų nustatyta turto vertė – 4 464 000 Eur.</w:t>
                      </w:r>
                    </w:p>
                    <w:p>
                      <w:pPr>
                        <w:ind w:firstLine="851"/>
                        <w:jc w:val="both"/>
                        <w:rPr>
                          <w:szCs w:val="24"/>
                        </w:rPr>
                      </w:pPr>
                      <w:r>
                        <w:rPr>
                          <w:szCs w:val="24"/>
                        </w:rPr>
                        <w:t>Perduodant Bendrovei minėtą Šiaulių miesto savivaldybei nuosavybės teise priklausantį turtą, būtų didinamas Bendrovės įstatinis kapitalas 4 463 981,28 Eur (keturiais milijonais keturiais šimtais šešiasdešimt trimis tūkstančiais devyniais šimtais aštuoniasdešimt vienu euru, 28 ct) išleidžiant 154 143 (šimtą penkiasdešimt keturis tūkstančius šimtą keturiasdešimt tris) vnt. paprastųjų nematerialiųjų vardinių akcijų, kurių kiekviena – 28,96 Eur (dvidešimt aštuoni Eur 96 ct) nominaliosios vertės, o 18,72 Eur (aštuoniolika eurų 72 ct.) sudarytų akcijų priedą (akcijos nominalios vertės perviršį). Visos išleistos akcijos būtų perduotos Šiaulių miesto savivaldybei.</w:t>
                      </w:r>
                    </w:p>
                    <w:p>
                      <w:pPr>
                        <w:ind w:firstLine="720"/>
                        <w:jc w:val="both"/>
                        <w:rPr>
                          <w:szCs w:val="24"/>
                        </w:rPr>
                      </w:pPr>
                      <w:r>
                        <w:rPr>
                          <w:szCs w:val="24"/>
                        </w:rPr>
                        <w:t>Vadovaujantis Lietuvos Respublikos valstybės ir savivaldybių turto valdymo, naudojimo ir disponavimo juo įstatymo 22 straipsnio 4 dalimi, savivaldybė gali turtą investuoti įsigydama įstatinį kapitalą didinančios uždarosios akcinės bendrovės akcijų, kurios visuotiniame akcininkų susirinkime savivaldybei suteikia daugiau negu 50 procentų balsų. Savivaldybė yra vienintelė Bendrovės akcininkė, valdanti 100 proc. akcijų.</w:t>
                      </w:r>
                    </w:p>
                    <w:p>
                      <w:pPr>
                        <w:widowControl w:val="0"/>
                        <w:suppressAutoHyphens/>
                        <w:ind w:firstLine="720"/>
                        <w:jc w:val="both"/>
                        <w:rPr>
                          <w:rFonts w:eastAsia="Lucida Sans Unicode"/>
                          <w:color w:val="000000"/>
                          <w:szCs w:val="24"/>
                        </w:rPr>
                      </w:pPr>
                      <w:r>
                        <w:rPr>
                          <w:rFonts w:eastAsia="Lucida Sans Unicode"/>
                          <w:color w:val="000000"/>
                          <w:szCs w:val="24"/>
                        </w:rPr>
                        <w:t>Atsižvelgiant į gautus Bendrovės raštus, Savivaldybės administracija, vadovaudamasi teisės aktų reikalavimais, paruošė Savivaldybės tarybai pasiūlymą dėl sprendimo investuoti Savivaldybės turtą (</w:t>
                      </w:r>
                      <w:r>
                        <w:rPr>
                          <w:color w:val="000000"/>
                          <w:szCs w:val="24"/>
                        </w:rPr>
                        <w:t>2023-12-22</w:t>
                      </w:r>
                      <w:r>
                        <w:rPr>
                          <w:color w:val="FF0000"/>
                          <w:szCs w:val="24"/>
                        </w:rPr>
                        <w:t xml:space="preserve"> </w:t>
                      </w:r>
                      <w:r>
                        <w:rPr>
                          <w:color w:val="000000"/>
                          <w:szCs w:val="24"/>
                        </w:rPr>
                        <w:t>pasiūlymas Nr. S-4729)</w:t>
                      </w:r>
                      <w:r>
                        <w:rPr>
                          <w:rFonts w:eastAsia="Lucida Sans Unicode"/>
                          <w:color w:val="000000"/>
                          <w:szCs w:val="24"/>
                        </w:rPr>
                        <w:t xml:space="preserve"> (pridedama).</w:t>
                      </w:r>
                    </w:p>
                    <w:p>
                      <w:pPr>
                        <w:widowControl w:val="0"/>
                        <w:suppressAutoHyphens/>
                        <w:ind w:firstLine="720"/>
                        <w:jc w:val="both"/>
                        <w:rPr>
                          <w:rFonts w:ascii="Times New Roman ,serif" w:eastAsia="HG Mincho Light J" w:hAnsi="Times New Roman ,serif"/>
                          <w:color w:val="000000"/>
                          <w:szCs w:val="24"/>
                        </w:rPr>
                      </w:pPr>
                      <w:r>
                        <w:rPr>
                          <w:rFonts w:ascii="Times New Roman ,serif" w:eastAsia="HG Mincho Light J" w:hAnsi="Times New Roman ,serif"/>
                          <w:color w:val="000000"/>
                          <w:szCs w:val="24"/>
                        </w:rPr>
                        <w:t xml:space="preserve">Lietuvos Respublikos Vyriausybės 2007 m. liepos 4 d. nutarimo Nr. 758 „Dėl sprendimo investuoti valstybės ir savivaldybių turtą priėmimo tvarkos aprašo patvirtinimo“, 9.3 papunkčiu nustatyta, kad perduodamo turto vertinimo ataskaita, atitinkanti Lietuvos Respublikos turto ir verslo vertinimo pagrindų įstatymo nustatytus reikalavimus turi būti pateikta Audito, apskaitos, turto vertinimo ir nemokumo valdymo tarnybai prie Lietuvos Respublikos finansų ministerijos, kuri turto vertinimo ataskaitą paskelbia savo interneto svetainėje. </w:t>
                      </w:r>
                    </w:p>
                    <w:p>
                      <w:pPr>
                        <w:widowControl w:val="0"/>
                        <w:suppressAutoHyphens/>
                        <w:ind w:firstLine="720"/>
                        <w:jc w:val="both"/>
                        <w:rPr>
                          <w:rFonts w:ascii="Times New Roman ,serif" w:eastAsia="HG Mincho Light J" w:hAnsi="Times New Roman ,serif"/>
                          <w:color w:val="000000"/>
                          <w:szCs w:val="24"/>
                        </w:rPr>
                      </w:pPr>
                      <w:r>
                        <w:rPr>
                          <w:rFonts w:ascii="Times New Roman ,serif" w:eastAsia="HG Mincho Light J" w:hAnsi="Times New Roman ,serif"/>
                          <w:color w:val="000000"/>
                          <w:szCs w:val="24"/>
                        </w:rPr>
                        <w:t>Šio nutarimo 9</w:t>
                      </w:r>
                      <w:r>
                        <w:rPr>
                          <w:rFonts w:ascii="Times New Roman ,serif" w:eastAsia="HG Mincho Light J" w:hAnsi="Times New Roman ,serif"/>
                          <w:color w:val="000000"/>
                          <w:szCs w:val="24"/>
                          <w:vertAlign w:val="superscript"/>
                        </w:rPr>
                        <w:t xml:space="preserve">1 </w:t>
                      </w:r>
                      <w:r>
                        <w:rPr>
                          <w:rFonts w:ascii="Times New Roman ,serif" w:eastAsia="HG Mincho Light J" w:hAnsi="Times New Roman ,serif"/>
                          <w:color w:val="000000"/>
                          <w:szCs w:val="24"/>
                        </w:rPr>
                        <w:t xml:space="preserve">punktas numato, kad sprendimas investuoti valstybės ir savivaldybių turtą gali būti priimtas ne anksčiau kaip po 1 mėnesio nuo turto vertinimo ataskaitos paskelbimo Audito, apskaitos, turto vertinimo ir nemokumo valdymo tarnybos prie Lietuvos Respublikos finansų ministerijos interneto svetainėje. </w:t>
                      </w:r>
                    </w:p>
                    <w:p>
                      <w:pPr>
                        <w:ind w:firstLine="720"/>
                        <w:jc w:val="both"/>
                        <w:rPr>
                          <w:szCs w:val="24"/>
                        </w:rPr>
                      </w:pPr>
                      <w:r>
                        <w:rPr>
                          <w:szCs w:val="24"/>
                        </w:rPr>
                        <w:t xml:space="preserve">Nepriklausomo turto vertintojo UAB „Marleksa“ atlikta  nekilnojamo turto rinkos vertės nustatymo ataskaita Nr. NT23-09-27/1</w:t>
                      </w:r>
                      <w:r>
                        <w:rPr>
                          <w:bCs/>
                          <w:szCs w:val="24"/>
                          <w:lang w:eastAsia="lt-LT"/>
                        </w:rPr>
                        <w:t xml:space="preserve"> </w:t>
                      </w:r>
                      <w:r>
                        <w:rPr>
                          <w:szCs w:val="24"/>
                        </w:rPr>
                        <w:t xml:space="preserve">Audito, apskaitos, turto vertinimo ir nemokumo valdymo tarnybos prie Lietuvos Respublikos finansų ministerijos interneto svetainėje patalpinta 2023-11-06. Nuoroda internete: </w:t>
                      </w:r>
                      <w:r>
                        <w:rPr>
                          <w:color w:val="0563C1"/>
                          <w:szCs w:val="24"/>
                          <w:u w:val="single"/>
                        </w:rPr>
                        <w:t>https://avnt.lrv.lt/lt/veiklos-sritys/vertinimas-1/vertinimo-ataskaitu-vieso-paskelbimo-sarasai/</w:t>
                      </w:r>
                    </w:p>
                  </w:sdtContent>
                </w:sdt>
              </w:sdtContent>
            </w:sdt>
            <w:sdt>
              <w:sdtPr>
                <w:alias w:val="poskyris"/>
                <w:tag w:val="part_fae173562d014e0197bdbd24b816a685"/>
                <w:lock w:val="sdtLocked"/>
                <w:richText/>
              </w:sdtPr>
              <w:sdtContent>
                <w:p>
                  <w:pPr>
                    <w:suppressAutoHyphens/>
                    <w:ind w:firstLine="720"/>
                    <w:rPr>
                      <w:b/>
                      <w:szCs w:val="24"/>
                      <w:lang w:eastAsia="ar-SA"/>
                    </w:rPr>
                  </w:pPr>
                  <w:sdt>
                    <w:sdtPr>
                      <w:alias w:val="Pavadinimas"/>
                      <w:tag w:val="title_fae173562d014e0197bdbd24b816a685"/>
                      <w:lock w:val="sdtLocked"/>
                      <w:richText/>
                    </w:sdtPr>
                    <w:sdtContent>
                      <w:r>
                        <w:rPr>
                          <w:b/>
                          <w:szCs w:val="24"/>
                          <w:lang w:eastAsia="ar-SA"/>
                        </w:rPr>
                        <w:t>Dabartinis sprendimo projekte aptariamų klausimų reguliavimas.</w:t>
                      </w:r>
                    </w:sdtContent>
                  </w:sdt>
                </w:p>
                <w:p>
                  <w:pPr>
                    <w:ind w:firstLine="709"/>
                    <w:jc w:val="both"/>
                    <w:rPr>
                      <w:bCs/>
                      <w:szCs w:val="24"/>
                    </w:rPr>
                  </w:pPr>
                  <w:r>
                    <w:rPr>
                      <w:szCs w:val="24"/>
                    </w:rPr>
                    <w:t>Sprendimo projekte aptariami klausimai reguliuojami v</w:t>
                  </w:r>
                  <w:r>
                    <w:rPr>
                      <w:color w:val="000000"/>
                      <w:szCs w:val="24"/>
                    </w:rPr>
                    <w:t xml:space="preserve">adovaujantis Lietuvos Respublikos vietos savivaldos įstatymo 15 straipsnio 2 dalies 19 punktu ir 63 straipsnio 2 dalimi, </w:t>
                  </w:r>
                  <w:r>
                    <w:rPr>
                      <w:rFonts w:eastAsia="Lucida Sans Unicode" w:cs="Tahoma"/>
                      <w:color w:val="000000"/>
                      <w:szCs w:val="24"/>
                    </w:rPr>
                    <w:t>Lietuvos Respublikos akcinių bendrovių įstatymo 20 straipsnio 1 dalies 18 punktu, 45, 45</w:t>
                  </w:r>
                  <w:r>
                    <w:rPr>
                      <w:rFonts w:eastAsia="Lucida Sans Unicode" w:cs="Tahoma"/>
                      <w:color w:val="000000"/>
                      <w:szCs w:val="24"/>
                      <w:vertAlign w:val="superscript"/>
                    </w:rPr>
                    <w:t>1</w:t>
                  </w:r>
                  <w:r>
                    <w:rPr>
                      <w:rFonts w:eastAsia="Lucida Sans Unicode" w:cs="Tahoma"/>
                      <w:color w:val="000000"/>
                      <w:szCs w:val="24"/>
                    </w:rPr>
                    <w:t xml:space="preserve">, 49 ir 50 straipsniais, </w:t>
                  </w:r>
                  <w:r>
                    <w:rPr>
                      <w:color w:val="000000"/>
                      <w:szCs w:val="24"/>
                    </w:rPr>
                    <w:t xml:space="preserve">Lietuvos Respublikos valstybės ir savivaldybių turto valdymo, naudojimo ir disponavimo juo įstatymo 22, 23 straipsniais, Lietuvos Respublikos Vyriausybės 2007 m. liepos 4 d. nutarimu Nr. 758 „Dėl Sprendimo investuoti valstybės ir savivaldybių turtą priėmimo tvarkos aprašo patvirtinimo“, </w:t>
                  </w:r>
                  <w:r>
                    <w:rPr>
                      <w:rFonts w:eastAsia="Lucida Sans Unicode" w:cs="Tahoma"/>
                      <w:color w:val="000000"/>
                      <w:szCs w:val="24"/>
                    </w:rPr>
                    <w:t>Savivaldybių turtinių ir neturtinių teisių įgyvendinimo savivaldybių valdomose įmonėse tvarkos aprašo, patvirtinto Lietuvos Respublikos Vyriausybės 2007 m. birželio 6 d. nutarimo Nr. 567 „Dėl Savivaldybių turtinių ir neturtinių teisių įgyvendinimo savivaldybių valdomose įmonėse tvarkos aprašo patvirtinimo“, 1 punktu, Lietuvos Respublikos geriamojo vandens tiekimo ir nuotekų tvarkymo įstatymo 16 straipsnio 5 dalimi, Šiaulių miesto savivaldybės tarybos 2015 m. gruodžio 28 d. sprendimu Nr. T-356 „Dėl paviršinių nuotekų tvarkytojo paskyrimo“.</w:t>
                  </w:r>
                </w:p>
              </w:sdtContent>
            </w:sdt>
            <w:sdt>
              <w:sdtPr>
                <w:alias w:val="poskyris"/>
                <w:tag w:val="part_02212b7ac42b436a95e54c549bfa8cfc"/>
                <w:lock w:val="sdtLocked"/>
                <w:richText/>
              </w:sdtPr>
              <w:sdtContent>
                <w:p>
                  <w:pPr>
                    <w:suppressAutoHyphens/>
                    <w:ind w:firstLine="720"/>
                    <w:jc w:val="both"/>
                    <w:rPr>
                      <w:b/>
                      <w:szCs w:val="24"/>
                      <w:lang w:eastAsia="ar-SA"/>
                    </w:rPr>
                  </w:pPr>
                  <w:sdt>
                    <w:sdtPr>
                      <w:alias w:val="Pavadinimas"/>
                      <w:tag w:val="title_02212b7ac42b436a95e54c549bfa8cfc"/>
                      <w:lock w:val="sdtLocked"/>
                      <w:richText/>
                    </w:sdtPr>
                    <w:sdtContent>
                      <w:r>
                        <w:rPr>
                          <w:b/>
                          <w:szCs w:val="24"/>
                          <w:shd w:val="clear" w:color="auto" w:fill="FFFFFF"/>
                          <w:lang w:eastAsia="ar-SA"/>
                        </w:rPr>
                        <w:t>Sprendimo projekte numatytos naujos teisinio reglamentavimo nuostatos</w:t>
                      </w:r>
                      <w:r>
                        <w:rPr>
                          <w:b/>
                          <w:szCs w:val="24"/>
                          <w:lang w:eastAsia="ar-SA"/>
                        </w:rPr>
                        <w:t xml:space="preserve">. </w:t>
                      </w:r>
                    </w:sdtContent>
                  </w:sdt>
                </w:p>
                <w:p>
                  <w:pPr>
                    <w:ind w:firstLine="720"/>
                    <w:jc w:val="both"/>
                    <w:rPr>
                      <w:szCs w:val="24"/>
                    </w:rPr>
                  </w:pPr>
                  <w:r>
                    <w:rPr>
                      <w:szCs w:val="24"/>
                    </w:rPr>
                    <w:t xml:space="preserve">Sprendimo projektu naujų teisinių reglamentavimo nuostatų nenumatoma. </w:t>
                  </w:r>
                </w:p>
                <w:p>
                  <w:pPr>
                    <w:ind w:firstLine="709"/>
                    <w:jc w:val="both"/>
                    <w:rPr>
                      <w:b/>
                      <w:sz w:val="16"/>
                      <w:szCs w:val="16"/>
                    </w:rPr>
                  </w:pPr>
                </w:p>
                <w:p>
                  <w:pPr>
                    <w:ind w:firstLine="709"/>
                    <w:jc w:val="both"/>
                    <w:rPr>
                      <w:b/>
                      <w:szCs w:val="24"/>
                    </w:rPr>
                  </w:pPr>
                  <w:r>
                    <w:rPr>
                      <w:b/>
                      <w:szCs w:val="24"/>
                      <w:shd w:val="clear" w:color="auto" w:fill="FFFFFF"/>
                    </w:rPr>
                    <w:t xml:space="preserve">Priėmus sprendimą, galimos pasekmės </w:t>
                  </w:r>
                  <w:r>
                    <w:rPr>
                      <w:i/>
                      <w:szCs w:val="24"/>
                      <w:shd w:val="clear" w:color="auto" w:fill="FFFFFF"/>
                    </w:rPr>
                    <w:t>(nurodomos tiek teigiamos, tiek neigiamos galimos pasekmės)</w:t>
                  </w:r>
                  <w:r>
                    <w:rPr>
                      <w:szCs w:val="24"/>
                      <w:shd w:val="clear" w:color="auto" w:fill="FFFFFF"/>
                    </w:rPr>
                    <w:t>.</w:t>
                  </w:r>
                </w:p>
                <w:p>
                  <w:pPr>
                    <w:ind w:firstLine="709"/>
                    <w:jc w:val="both"/>
                    <w:rPr>
                      <w:bCs/>
                      <w:szCs w:val="24"/>
                    </w:rPr>
                  </w:pPr>
                  <w:r>
                    <w:rPr>
                      <w:bCs/>
                      <w:szCs w:val="24"/>
                    </w:rPr>
                    <w:t xml:space="preserve">Priėmus sprendimą </w:t>
                  </w:r>
                  <w:r>
                    <w:rPr>
                      <w:bCs/>
                      <w:i/>
                      <w:szCs w:val="24"/>
                    </w:rPr>
                    <w:t>teigiamos pasekmės</w:t>
                  </w:r>
                  <w:r>
                    <w:rPr>
                      <w:bCs/>
                      <w:szCs w:val="24"/>
                    </w:rPr>
                    <w:t xml:space="preserve"> – perdavus S</w:t>
                  </w:r>
                  <w:r>
                    <w:rPr>
                      <w:szCs w:val="24"/>
                    </w:rPr>
                    <w:t>avivaldybei nuosavybės teise priklausančius paviršinių nuotekų tinklus, bus įgyvendinamas</w:t>
                  </w:r>
                  <w:r>
                    <w:rPr>
                      <w:rFonts w:eastAsia="Lucida Sans Unicode" w:cs="Tahoma"/>
                      <w:color w:val="000000"/>
                      <w:szCs w:val="24"/>
                    </w:rPr>
                    <w:t xml:space="preserve"> Lietuvos Respublikos geriamojo vandens tiekimo ir nuotekų tvarkymo įstatymas. </w:t>
                  </w:r>
                  <w:r>
                    <w:rPr>
                      <w:szCs w:val="24"/>
                    </w:rPr>
                    <w:t>Bendrovė turės galimybę greičiau spręsti klausimus susijusius su tinklų eksploatacija ir prižiūrėti, ko pasekmėje, bus kokybiškiau teikiama paviršinių nuotekų tvarkymo paslauga Savivaldybės teritorijoje. Nepiniginio įnašo suma bus padidintas Bendrovės įstatinis kapitalas.</w:t>
                  </w:r>
                </w:p>
                <w:p>
                  <w:pPr>
                    <w:ind w:firstLine="709"/>
                    <w:jc w:val="both"/>
                    <w:rPr>
                      <w:szCs w:val="24"/>
                    </w:rPr>
                  </w:pPr>
                  <w:r>
                    <w:rPr>
                      <w:szCs w:val="24"/>
                    </w:rPr>
                    <w:t>Neigiamų pasekmių nenumatyta.</w:t>
                  </w:r>
                </w:p>
                <w:p>
                  <w:pPr>
                    <w:ind w:firstLine="709"/>
                    <w:jc w:val="both"/>
                    <w:rPr>
                      <w:szCs w:val="24"/>
                    </w:rPr>
                  </w:pPr>
                </w:p>
              </w:sdtContent>
            </w:sdt>
            <w:sdt>
              <w:sdtPr>
                <w:alias w:val="poskyris"/>
                <w:tag w:val="part_bb9d07763aec4648916f1a24285988c4"/>
                <w:lock w:val="sdtLocked"/>
                <w:richText/>
              </w:sdtPr>
              <w:sdtContent>
                <w:p>
                  <w:pPr>
                    <w:ind w:firstLine="720"/>
                    <w:jc w:val="both"/>
                    <w:rPr>
                      <w:bCs/>
                      <w:szCs w:val="24"/>
                    </w:rPr>
                  </w:pPr>
                  <w:sdt>
                    <w:sdtPr>
                      <w:alias w:val="Pavadinimas"/>
                      <w:tag w:val="title_bb9d07763aec4648916f1a24285988c4"/>
                      <w:lock w:val="sdtLocked"/>
                      <w:richText/>
                    </w:sdtPr>
                    <w:sdtContent>
                      <w:r>
                        <w:rPr>
                          <w:b/>
                          <w:szCs w:val="24"/>
                          <w:shd w:val="clear" w:color="auto" w:fill="FFFFFF"/>
                          <w:lang w:eastAsia="lt-LT"/>
                        </w:rPr>
                        <w:t>Priėmus sprendimą, keičiami ar pripažįstami negaliojančiais teisės aktai</w:t>
                      </w:r>
                      <w:r>
                        <w:rPr>
                          <w:b/>
                          <w:szCs w:val="24"/>
                          <w:lang w:eastAsia="lt-LT"/>
                        </w:rPr>
                        <w:t>.</w:t>
                      </w:r>
                    </w:sdtContent>
                  </w:sdt>
                </w:p>
                <w:p>
                  <w:pPr>
                    <w:widowControl w:val="0"/>
                    <w:spacing w:line="200" w:lineRule="atLeast"/>
                    <w:ind w:right="-81" w:firstLine="709"/>
                    <w:rPr>
                      <w:rFonts w:eastAsia="Lucida Sans Unicode"/>
                    </w:rPr>
                  </w:pPr>
                  <w:r>
                    <w:rPr>
                      <w:rFonts w:eastAsia="Lucida Sans Unicode"/>
                    </w:rPr>
                    <w:t>Priėmus sprendimą keičiamų ar pripažįstamų negaliojančiais teisės aktų nėra.</w:t>
                  </w:r>
                </w:p>
                <w:p>
                  <w:pPr>
                    <w:widowControl w:val="0"/>
                    <w:spacing w:line="200" w:lineRule="atLeast"/>
                    <w:ind w:right="-81" w:firstLine="709"/>
                    <w:rPr>
                      <w:rFonts w:eastAsia="Lucida Sans Unicode"/>
                      <w:b/>
                      <w:bCs/>
                      <w:sz w:val="16"/>
                      <w:szCs w:val="16"/>
                    </w:rPr>
                  </w:pPr>
                </w:p>
              </w:sdtContent>
            </w:sdt>
            <w:sdt>
              <w:sdtPr>
                <w:alias w:val="poskyris"/>
                <w:tag w:val="part_ceb83685c57549a9ae2e159422f3c3e4"/>
                <w:lock w:val="sdtLocked"/>
                <w:richText/>
              </w:sdtPr>
              <w:sdtContent>
                <w:p>
                  <w:pPr>
                    <w:ind w:firstLine="720"/>
                    <w:jc w:val="both"/>
                    <w:rPr>
                      <w:bCs/>
                      <w:szCs w:val="24"/>
                    </w:rPr>
                  </w:pPr>
                  <w:sdt>
                    <w:sdtPr>
                      <w:alias w:val="Pavadinimas"/>
                      <w:tag w:val="title_ceb83685c57549a9ae2e159422f3c3e4"/>
                      <w:lock w:val="sdtLocked"/>
                      <w:richText/>
                    </w:sdtPr>
                    <w:sdtContent>
                      <w:r>
                        <w:rPr>
                          <w:b/>
                          <w:szCs w:val="24"/>
                          <w:lang w:eastAsia="lt-LT"/>
                        </w:rPr>
                        <w:t>Sprendimui įgyvendinti reikalingi priimti papildomi teisės aktai.</w:t>
                      </w:r>
                    </w:sdtContent>
                  </w:sdt>
                </w:p>
                <w:p>
                  <w:pPr>
                    <w:ind w:firstLine="720"/>
                    <w:jc w:val="both"/>
                    <w:rPr>
                      <w:szCs w:val="24"/>
                    </w:rPr>
                  </w:pPr>
                  <w:r>
                    <w:rPr>
                      <w:szCs w:val="24"/>
                    </w:rPr>
                    <w:t>Papildomų teisės aktų sprendimo įgyvendinimui priimti nereikia.</w:t>
                  </w:r>
                </w:p>
                <w:p>
                  <w:pPr>
                    <w:ind w:firstLine="720"/>
                    <w:jc w:val="both"/>
                    <w:rPr>
                      <w:b/>
                      <w:szCs w:val="24"/>
                      <w:shd w:val="clear" w:color="auto" w:fill="FFFFFF"/>
                      <w:lang w:eastAsia="lt-LT"/>
                    </w:rPr>
                  </w:pPr>
                </w:p>
                <w:p>
                  <w:pPr>
                    <w:ind w:firstLine="720"/>
                    <w:jc w:val="both"/>
                    <w:rPr>
                      <w:bCs/>
                      <w:szCs w:val="24"/>
                    </w:rPr>
                  </w:pPr>
                  <w:r>
                    <w:rPr>
                      <w:b/>
                      <w:szCs w:val="24"/>
                      <w:shd w:val="clear" w:color="auto" w:fill="FFFFFF"/>
                      <w:lang w:eastAsia="lt-LT"/>
                    </w:rPr>
                    <w:t>Sprendimui įgyvendinti reikalingos lėšos</w:t>
                  </w:r>
                  <w:r>
                    <w:rPr>
                      <w:i/>
                      <w:szCs w:val="24"/>
                      <w:shd w:val="clear" w:color="auto" w:fill="FFFFFF"/>
                      <w:lang w:eastAsia="lt-LT"/>
                    </w:rPr>
                    <w:t xml:space="preserve"> (nurodoma, kiek biudžeto lėšų pareikalaus ar leis sutaupyti sprendimo įgyvendinimas)</w:t>
                  </w:r>
                  <w:r>
                    <w:rPr>
                      <w:szCs w:val="24"/>
                      <w:shd w:val="clear" w:color="auto" w:fill="FFFFFF"/>
                      <w:lang w:eastAsia="lt-LT"/>
                    </w:rPr>
                    <w:t xml:space="preserve">. </w:t>
                  </w:r>
                </w:p>
                <w:p>
                  <w:pPr>
                    <w:widowControl w:val="0"/>
                    <w:spacing w:line="200" w:lineRule="atLeast"/>
                    <w:ind w:right="-81" w:firstLine="720"/>
                    <w:rPr>
                      <w:rFonts w:eastAsia="Lucida Sans Unicode"/>
                      <w:bCs/>
                      <w:lang w:eastAsia="ar-SA"/>
                    </w:rPr>
                  </w:pPr>
                  <w:r>
                    <w:rPr>
                      <w:rFonts w:eastAsia="Lucida Sans Unicode"/>
                      <w:bCs/>
                      <w:lang w:eastAsia="ar-SA"/>
                    </w:rPr>
                    <w:t>Sprendimui įgyvendinti papildomų lėšų nereikia.</w:t>
                  </w:r>
                </w:p>
                <w:p>
                  <w:pPr>
                    <w:widowControl w:val="0"/>
                    <w:spacing w:line="200" w:lineRule="atLeast"/>
                    <w:ind w:right="-81" w:firstLine="720"/>
                    <w:rPr>
                      <w:rFonts w:eastAsia="Lucida Sans Unicode"/>
                      <w:b/>
                      <w:sz w:val="16"/>
                      <w:szCs w:val="16"/>
                    </w:rPr>
                  </w:pPr>
                </w:p>
                <w:p>
                  <w:pPr>
                    <w:widowControl w:val="0"/>
                    <w:ind w:firstLine="720"/>
                    <w:jc w:val="both"/>
                    <w:rPr>
                      <w:rFonts w:eastAsia="HG Mincho Light J"/>
                      <w:color w:val="000000"/>
                      <w:szCs w:val="24"/>
                      <w:shd w:val="clear" w:color="auto" w:fill="FFFFFF"/>
                    </w:rPr>
                  </w:pPr>
                  <w:r>
                    <w:rPr>
                      <w:rFonts w:eastAsia="HG Mincho Light J"/>
                      <w:b/>
                      <w:color w:val="000000"/>
                      <w:szCs w:val="24"/>
                      <w:shd w:val="clear" w:color="auto" w:fill="FFFFFF"/>
                    </w:rPr>
                    <w:t xml:space="preserve">Sprendimo projekto antikorupcinis vertinimas </w:t>
                  </w:r>
                  <w:r>
                    <w:rPr>
                      <w:rFonts w:eastAsia="HG Mincho Light J"/>
                      <w:i/>
                      <w:color w:val="000000"/>
                      <w:szCs w:val="24"/>
                      <w:shd w:val="clear" w:color="auto" w:fill="FFFFFF"/>
                    </w:rPr>
                    <w:t>(jei tokį vertinimą reikia atlikti, nurodoma, kad pridedama Antikorupcinio vertinimo pažyma)</w:t>
                  </w:r>
                  <w:r>
                    <w:rPr>
                      <w:rFonts w:eastAsia="HG Mincho Light J"/>
                      <w:color w:val="000000"/>
                      <w:szCs w:val="24"/>
                      <w:shd w:val="clear" w:color="auto" w:fill="FFFFFF"/>
                    </w:rPr>
                    <w:t>.</w:t>
                  </w:r>
                </w:p>
                <w:p>
                  <w:pPr>
                    <w:widowControl w:val="0"/>
                    <w:tabs>
                      <w:tab w:val="left" w:pos="0"/>
                    </w:tabs>
                    <w:suppressAutoHyphens/>
                    <w:ind w:firstLine="720"/>
                    <w:jc w:val="both"/>
                    <w:rPr>
                      <w:rFonts w:eastAsia="HG Mincho Light J"/>
                      <w:szCs w:val="24"/>
                      <w:shd w:val="clear" w:color="auto" w:fill="FFFFFF"/>
                      <w:lang w:eastAsia="ar-SA"/>
                    </w:rPr>
                  </w:pPr>
                  <w:r>
                    <w:rPr>
                      <w:szCs w:val="24"/>
                      <w:shd w:val="clear" w:color="auto" w:fill="FFFFFF"/>
                    </w:rPr>
                    <w:t>Antikorupcinio vertinimas neatliktas, pažyma nepridedama.</w:t>
                  </w:r>
                </w:p>
                <w:p>
                  <w:pPr>
                    <w:ind w:firstLine="720"/>
                    <w:jc w:val="both"/>
                    <w:rPr>
                      <w:b/>
                      <w:szCs w:val="24"/>
                      <w:shd w:val="clear" w:color="auto" w:fill="FFFFFF"/>
                    </w:rPr>
                  </w:pPr>
                </w:p>
                <w:p>
                  <w:pPr>
                    <w:ind w:firstLine="720"/>
                    <w:jc w:val="both"/>
                    <w:rPr>
                      <w:szCs w:val="24"/>
                      <w:shd w:val="clear" w:color="auto" w:fill="FFFFFF"/>
                    </w:rPr>
                  </w:pPr>
                  <w:r>
                    <w:rPr>
                      <w:b/>
                      <w:szCs w:val="24"/>
                      <w:shd w:val="clear" w:color="auto" w:fill="FFFFFF"/>
                    </w:rPr>
                    <w:t>Sprendimo projektą parengė</w:t>
                  </w:r>
                  <w:r>
                    <w:rPr>
                      <w:szCs w:val="24"/>
                      <w:shd w:val="clear" w:color="auto" w:fill="FFFFFF"/>
                    </w:rPr>
                    <w:t xml:space="preserve"> Šiaulių miesto savivaldybės administracijos Ekonomikos ir investicijų skyrius. Ekonomikos ir investicijų skyriaus vedėja – Aistė Petkuvienė. Tiesioginis rengėjas – Ekonomikos ir investicijų skyriaus vyr. specialistė</w:t>
                  </w:r>
                </w:p>
                <w:p>
                  <w:pPr>
                    <w:ind w:firstLine="782"/>
                    <w:jc w:val="both"/>
                    <w:rPr>
                      <w:szCs w:val="24"/>
                      <w:shd w:val="clear" w:color="auto" w:fill="FFFFFF"/>
                    </w:rPr>
                  </w:pPr>
                  <w:r>
                    <w:rPr>
                      <w:szCs w:val="24"/>
                      <w:shd w:val="clear" w:color="auto" w:fill="FFFFFF"/>
                    </w:rPr>
                    <w:t>Ligita Balsienė, tel. (8 41) 383 434. Projekto iniciatoriai: UAB “Šiaulių vandenys”.</w:t>
                  </w:r>
                </w:p>
                <w:p>
                  <w:pPr>
                    <w:ind w:firstLine="720"/>
                    <w:jc w:val="both"/>
                    <w:rPr>
                      <w:sz w:val="20"/>
                    </w:rPr>
                  </w:pPr>
                </w:p>
                <w:p>
                  <w:pPr>
                    <w:tabs>
                      <w:tab w:val="left" w:pos="855"/>
                    </w:tabs>
                    <w:ind w:firstLine="855"/>
                    <w:jc w:val="both"/>
                    <w:rPr>
                      <w:szCs w:val="24"/>
                      <w:shd w:val="clear" w:color="auto" w:fill="FFFFFF"/>
                    </w:rPr>
                  </w:pPr>
                  <w:r>
                    <w:rPr>
                      <w:b/>
                      <w:szCs w:val="24"/>
                      <w:shd w:val="clear" w:color="auto" w:fill="FFFFFF"/>
                    </w:rPr>
                    <w:t>N</w:t>
                  </w:r>
                  <w:r>
                    <w:rPr>
                      <w:rFonts w:eastAsia="Calibri"/>
                      <w:b/>
                      <w:szCs w:val="24"/>
                    </w:rPr>
                    <w:t>umatomo teisinio reguliavimo poveikio vertinimo rezultatai</w:t>
                  </w:r>
                  <w:r>
                    <w:rPr>
                      <w:i/>
                      <w:szCs w:val="24"/>
                      <w:shd w:val="clear" w:color="auto" w:fill="FFFFFF"/>
                    </w:rPr>
                    <w:t>.</w:t>
                  </w:r>
                </w:p>
                <w:p>
                  <w:pPr>
                    <w:tabs>
                      <w:tab w:val="left" w:pos="855"/>
                    </w:tabs>
                    <w:ind w:firstLine="855"/>
                    <w:jc w:val="both"/>
                    <w:rPr>
                      <w:szCs w:val="24"/>
                      <w:shd w:val="clear" w:color="auto" w:fill="FFFFFF"/>
                    </w:rPr>
                  </w:pPr>
                  <w:r>
                    <w:rPr>
                      <w:szCs w:val="24"/>
                      <w:shd w:val="clear" w:color="auto" w:fill="FFFFFF"/>
                    </w:rPr>
                    <w:t>Neatlikta ir nenumatyta.</w:t>
                  </w:r>
                </w:p>
                <w:p>
                  <w:pPr>
                    <w:widowControl w:val="0"/>
                    <w:spacing w:line="200" w:lineRule="atLeast"/>
                    <w:ind w:right="-81"/>
                    <w:rPr>
                      <w:rFonts w:eastAsia="Lucida Sans Unicode"/>
                      <w:b/>
                      <w:sz w:val="28"/>
                      <w:szCs w:val="28"/>
                    </w:rPr>
                  </w:pPr>
                </w:p>
                <w:p>
                  <w:pPr>
                    <w:widowControl w:val="0"/>
                    <w:spacing w:line="200" w:lineRule="atLeast"/>
                    <w:ind w:right="-81"/>
                    <w:rPr>
                      <w:rFonts w:eastAsia="Lucida Sans Unicode"/>
                      <w:b/>
                      <w:sz w:val="28"/>
                      <w:szCs w:val="28"/>
                    </w:rPr>
                  </w:pPr>
                </w:p>
                <w:p>
                  <w:pPr>
                    <w:widowControl w:val="0"/>
                    <w:spacing w:line="200" w:lineRule="atLeast"/>
                    <w:ind w:right="-81"/>
                    <w:rPr>
                      <w:rFonts w:eastAsia="Lucida Sans Unicode"/>
                      <w:b/>
                      <w:sz w:val="28"/>
                      <w:szCs w:val="28"/>
                    </w:rPr>
                  </w:pPr>
                </w:p>
              </w:sdtContent>
            </w:sdt>
          </w:sdtContent>
        </w:sdt>
        <w:sdt>
          <w:sdtPr>
            <w:alias w:val="signatura"/>
            <w:tag w:val="part_5b83be53f7614d9f89312d289029c1cd"/>
            <w:lock w:val="sdtLocked"/>
            <w:richText/>
          </w:sdtPr>
          <w:sdtContent>
            <w:p>
              <w:pPr>
                <w:widowControl w:val="0"/>
                <w:suppressAutoHyphens/>
                <w:rPr>
                  <w:rFonts w:eastAsia="Arial Unicode MS"/>
                  <w:color w:val="000000"/>
                  <w:szCs w:val="24"/>
                  <w:lang w:eastAsia="lt-LT"/>
                </w:rPr>
              </w:pPr>
              <w:r>
                <w:rPr>
                  <w:rFonts w:eastAsia="HG Mincho Light J"/>
                  <w:color w:val="000000"/>
                  <w:szCs w:val="24"/>
                  <w:shd w:val="clear" w:color="auto" w:fill="FFFFFF"/>
                  <w:lang w:eastAsia="lt-LT"/>
                </w:rPr>
                <w:t>Ekonomikos ir investicijų skyriaus vedėja</w:t>
                <w:tab/>
                <w:tab/>
                <w:tab/>
                <w:tab/>
                <w:tab/>
                <w:t xml:space="preserve">      Aistė Petkuvienė</w:t>
              </w:r>
            </w:p>
            <w:p>
              <w:pPr>
                <w:rPr>
                  <w:szCs w:val="24"/>
                </w:rPr>
              </w:pPr>
            </w:p>
            <w:p>
              <w:pPr>
                <w:rPr>
                  <w:szCs w:val="24"/>
                </w:rPr>
              </w:pPr>
            </w:p>
            <w:p>
              <w:pPr>
                <w:rPr>
                  <w:szCs w:val="24"/>
                </w:rPr>
              </w:pPr>
            </w:p>
            <w:p>
              <w:pPr>
                <w:rPr>
                  <w:szCs w:val="24"/>
                </w:rPr>
              </w:pP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258" w:right="746" w:bottom="1079" w:left="1800" w:header="708" w:footer="708" w:gutter="0"/>
      <w:cols w:space="708"/>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val="en-GB"/>
        </w:rPr>
      </w:pPr>
      <w:r>
        <w:rPr>
          <w:szCs w:val="24"/>
          <w:lang w:val="en-GB"/>
        </w:rPr>
        <w:separator/>
      </w:r>
    </w:p>
  </w:endnote>
  <w:endnote w:type="continuationSeparator" w:id="0">
    <w:p>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w:panose1 w:val="020F0502020204030204"/>
    <w:charset w:val="BA"/>
    <w:family w:val="swiss"/>
    <w:pitch w:val="variable"/>
    <w:sig w:usb0="E00002FF" w:usb1="4000ACFF" w:usb2="00000001" w:usb3="00000000" w:csb0="0000019F" w:csb1="00000000"/>
  </w:font>
  <w:font w:name="Times New Roman ,serif">
    <w:altName w:val="Times New Roman"/>
    <w:panose1 w:val="00000000000000000000"/>
    <w:charset w:val="00"/>
    <w:family w:val="roman"/>
    <w:notTrueType/>
    <w:pitch w:val="default"/>
  </w:font>
  <w:font w:name="HG Mincho Light J">
    <w:altName w:val="Times New Roman"/>
    <w:charset w:val="00"/>
    <w:family w:val="auto"/>
    <w:pitch w:val="variable"/>
  </w:font>
  <w:font w:name="Tahoma">
    <w:panose1 w:val="020B0604030504040204"/>
    <w:charset w:val="BA"/>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val="en-GB"/>
        </w:rPr>
      </w:pPr>
      <w:r>
        <w:rPr>
          <w:szCs w:val="24"/>
          <w:lang w:val="en-GB"/>
        </w:rPr>
        <w:separator/>
      </w:r>
    </w:p>
  </w:footnote>
  <w:footnote w:type="continuationSeparator" w:id="0">
    <w:p>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en-GB"/>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Cs w:val="24"/>
        <w:lang w:val="en-GB"/>
      </w:rPr>
    </w:pPr>
    <w:r>
      <w:rPr>
        <w:szCs w:val="24"/>
        <w:lang w:val="en-GB"/>
      </w:rPr>
      <w:fldChar w:fldCharType="begin"/>
    </w:r>
    <w:r>
      <w:rPr>
        <w:szCs w:val="24"/>
        <w:lang w:val="en-GB"/>
      </w:rPr>
      <w:instrText>PAGE   \* MERGEFORMAT</w:instrText>
    </w:r>
    <w:r>
      <w:rPr>
        <w:szCs w:val="24"/>
        <w:lang w:val="en-GB"/>
      </w:rPr>
      <w:fldChar w:fldCharType="separate"/>
    </w:r>
    <w:r>
      <w:rPr>
        <w:szCs w:val="24"/>
      </w:rPr>
      <w:t>3</w:t>
    </w:r>
    <w:r>
      <w:rPr>
        <w:szCs w:val="24"/>
        <w:lang w:val="en-GB"/>
      </w:rPr>
      <w:fldChar w:fldCharType="end"/>
    </w:r>
  </w:p>
  <w:p>
    <w:pPr>
      <w:tabs>
        <w:tab w:val="center" w:pos="4819"/>
        <w:tab w:val="right" w:pos="9638"/>
      </w:tabs>
      <w:rPr>
        <w:szCs w:val="24"/>
        <w:lang w:val="en-GB"/>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val="en-GB"/>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D66A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4E394500-9D95-4D4B-ADD6-ACE7F3F3A3A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791052145">
      <w:bodyDiv w:val="1"/>
      <w:marLeft w:val="0"/>
      <w:marRight w:val="0"/>
      <w:marTop w:val="0"/>
      <w:marBottom w:val="0"/>
      <w:divBdr>
        <w:top w:val="none" w:sz="0" w:space="0" w:color="auto"/>
        <w:left w:val="none" w:sz="0" w:space="0" w:color="auto"/>
        <w:bottom w:val="none" w:sz="0" w:space="0" w:color="auto"/>
        <w:right w:val="none" w:sz="0" w:space="0" w:color="auto"/>
      </w:divBdr>
    </w:div>
    <w:div w:id="1115948295">
      <w:bodyDiv w:val="1"/>
      <w:marLeft w:val="0"/>
      <w:marRight w:val="0"/>
      <w:marTop w:val="0"/>
      <w:marBottom w:val="0"/>
      <w:divBdr>
        <w:top w:val="none" w:sz="0" w:space="0" w:color="auto"/>
        <w:left w:val="none" w:sz="0" w:space="0" w:color="auto"/>
        <w:bottom w:val="none" w:sz="0" w:space="0" w:color="auto"/>
        <w:right w:val="none" w:sz="0" w:space="0" w:color="auto"/>
      </w:divBdr>
      <w:divsChild>
        <w:div w:id="329256552">
          <w:marLeft w:val="0"/>
          <w:marRight w:val="0"/>
          <w:marTop w:val="0"/>
          <w:marBottom w:val="0"/>
          <w:divBdr>
            <w:top w:val="none" w:sz="0" w:space="0" w:color="auto"/>
            <w:left w:val="none" w:sz="0" w:space="0" w:color="auto"/>
            <w:bottom w:val="none" w:sz="0" w:space="0" w:color="auto"/>
            <w:right w:val="none" w:sz="0" w:space="0" w:color="auto"/>
          </w:divBdr>
        </w:div>
        <w:div w:id="817570977">
          <w:marLeft w:val="0"/>
          <w:marRight w:val="0"/>
          <w:marTop w:val="0"/>
          <w:marBottom w:val="0"/>
          <w:divBdr>
            <w:top w:val="none" w:sz="0" w:space="0" w:color="auto"/>
            <w:left w:val="none" w:sz="0" w:space="0" w:color="auto"/>
            <w:bottom w:val="none" w:sz="0" w:space="0" w:color="auto"/>
            <w:right w:val="none" w:sz="0" w:space="0" w:color="auto"/>
          </w:divBdr>
        </w:div>
        <w:div w:id="197979453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51bd75998684900b3e97362ce41e551" PartId="a30f10c5c38c4d4b80c3b0529294d17d">
    <Part Type="skyrius" Nr="999" Title="SPRENDIMO „DĖL PRITARIMO INVESTUOTI TURTĄ IR DIDINTI UŽDAROSIOS AKCINĖS BENDROVĖS „ŠIAULIŲ VANDENYS“ ĮSTATINĮ KAPITALĄ“ PROJEKTO AIŠKINAMASIS RAŠTAS" DocPartId="9adf5a9c61b14514b96d13ce02d4e995" PartId="219ec2ffef74406f9f3bf07316c37844">
      <Part Type="poskyris" Title="Parengto sprendimo projekto tikslai ir uždaviniai." DocPartId="11e2ddb3791644a982e7ca6a8aeb8def" PartId="6275b286a5d8404bb69372e8ab02edae">
        <Part Type="punktas" Nr="1" Abbr="1 p." DocPartId="6195798781d54a3aa8ce84e1682ab81a" PartId="2850cd6fe6204e33a0568faf3843cb80"/>
        <Part Type="punktas" Nr="2" Abbr="2 p." DocPartId="04ee8b691ae74c769899036b6b2e6013" PartId="1dbc3f8440ae4656a5cd9f8fc12c4811"/>
        <Part Type="punktas" Nr="3" Abbr="3 p." DocPartId="9b2af0d17a6c42418dcff16deb6c8c78" PartId="3e54771e9cd64c4489d59428ab4583af"/>
      </Part>
      <Part Type="poskyris" Title="Dabartinis sprendimo projekte aptariamų klausimų reguliavimas." DocPartId="85a80e5d538948e789b583b399907709" PartId="fae173562d014e0197bdbd24b816a685"/>
      <Part Type="poskyris" Title="Sprendimo projekte numatytos naujos teisinio reglamentavimo nuostatos." DocPartId="9faecc9a04ed4881b4388e40bf669950" PartId="02212b7ac42b436a95e54c549bfa8cfc"/>
      <Part Type="poskyris" Title="Priėmus sprendimą, keičiami ar pripažįstami negaliojančiais teisės aktai." DocPartId="da381cd8cbea474d90c3cb6a8fc826a5" PartId="bb9d07763aec4648916f1a24285988c4"/>
      <Part Type="poskyris" Title="Sprendimui įgyvendinti reikalingi priimti papildomi teisės aktai." DocPartId="92f6ae64b016495fb8060dc597f31509" PartId="ceb83685c57549a9ae2e159422f3c3e4"/>
    </Part>
    <Part Type="signatura" DocPartId="5a492a89c83d4dd7a9a33eac8812f87e" PartId="5b83be53f7614d9f89312d289029c1cd"/>
  </Part>
</Parts>
</file>

<file path=customXml/itemProps1.xml><?xml version="1.0" encoding="utf-8"?>
<ds:datastoreItem xmlns:ds="http://schemas.openxmlformats.org/officeDocument/2006/customXml" ds:itemID="{BB0D7422-CE2B-4A9B-A945-9E2DA3947CF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1047</Words>
  <Characters>7804</Characters>
  <Application>Microsoft Office Word</Application>
  <DocSecurity>4</DocSecurity>
  <Lines>134</Lines>
  <Paragraphs>48</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Siauliu m.savivaldybe</Company>
  <LinksUpToDate>false</LinksUpToDate>
  <CharactersWithSpaces>8803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2024-01-08T16:59:00Z</dcterms:created>
  <dc:creator>b.bendziuviene</dc:creator>
  <lastModifiedBy>adlibuser</lastModifiedBy>
  <lastPrinted>2022-05-06T10:32:00Z</lastPrinted>
  <dcterms:modified xsi:type="dcterms:W3CDTF">2024-01-08T16:59:00Z</dcterms:modified>
  <revision>2</revision>
  <dc:title>ŠIAULIŲ MIESTO SAVIVALDYBĖS ADMINISTRACIJOS</dc:title>
</coreProperties>
</file>