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1b4e964b90ea4cdabb90a3abe44c39ca"/>
        <w:lock w:val="sdtLocked"/>
        <w:richText/>
      </w:sdtPr>
      <w:sdtContent>
        <w:p>
          <w:pPr>
            <w:spacing w:line="276" w:lineRule="auto"/>
            <w:ind w:firstLine="7371"/>
            <w:rPr>
              <w:b/>
              <w:bCs/>
              <w:szCs w:val="24"/>
            </w:rPr>
          </w:pPr>
          <w:r>
            <w:rPr>
              <w:b/>
              <w:bCs/>
              <w:szCs w:val="24"/>
            </w:rPr>
            <w:t>Projekto</w:t>
          </w:r>
        </w:p>
        <w:p>
          <w:pPr>
            <w:spacing w:line="276" w:lineRule="auto"/>
            <w:ind w:firstLine="7371"/>
            <w:rPr>
              <w:b/>
              <w:bCs/>
              <w:szCs w:val="24"/>
            </w:rPr>
          </w:pPr>
          <w:r>
            <w:rPr>
              <w:b/>
              <w:bCs/>
              <w:szCs w:val="24"/>
            </w:rPr>
            <w:t>lyginamasis variantas</w:t>
          </w:r>
        </w:p>
        <w:p>
          <w:pPr>
            <w:spacing w:line="276" w:lineRule="auto"/>
            <w:rPr>
              <w:caps/>
              <w:szCs w:val="24"/>
            </w:rPr>
          </w:pPr>
        </w:p>
        <w:p>
          <w:pPr>
            <w:spacing w:line="276" w:lineRule="auto"/>
            <w:jc w:val="center"/>
            <w:rPr>
              <w:b/>
              <w:caps/>
              <w:szCs w:val="24"/>
            </w:rPr>
          </w:pPr>
          <w:r>
            <w:rPr>
              <w:b/>
              <w:bCs/>
              <w:caps/>
              <w:szCs w:val="24"/>
            </w:rPr>
            <w:t>LIETUVOS RESPUBLIKOS</w:t>
          </w:r>
        </w:p>
        <w:p>
          <w:pPr>
            <w:spacing w:line="276" w:lineRule="auto"/>
            <w:jc w:val="center"/>
            <w:rPr>
              <w:b/>
              <w:caps/>
              <w:szCs w:val="24"/>
            </w:rPr>
          </w:pPr>
          <w:r>
            <w:rPr>
              <w:b/>
              <w:bCs/>
              <w:caps/>
              <w:szCs w:val="24"/>
            </w:rPr>
            <w:t>PILIEČIŲ NUOSAVYBĖS TEISIŲ Į IŠLIKUSĮ NEKILNOJAMĄJĮ TURTĄ ATKŪRIMO ĮSTATYMO NR. VIII-359 21 STRAIPSNIo PAKEITIMO</w:t>
          </w:r>
        </w:p>
        <w:p>
          <w:pPr>
            <w:spacing w:line="276" w:lineRule="auto"/>
            <w:jc w:val="center"/>
            <w:rPr>
              <w:b/>
              <w:caps/>
              <w:szCs w:val="24"/>
            </w:rPr>
          </w:pPr>
          <w:r>
            <w:rPr>
              <w:b/>
              <w:bCs/>
              <w:caps/>
              <w:szCs w:val="24"/>
            </w:rPr>
            <w:t>ĮSTATYMAS</w:t>
          </w:r>
        </w:p>
        <w:p>
          <w:pPr>
            <w:spacing w:line="276" w:lineRule="auto"/>
            <w:rPr>
              <w:szCs w:val="24"/>
            </w:rPr>
          </w:pPr>
        </w:p>
        <w:p>
          <w:pPr>
            <w:spacing w:line="276" w:lineRule="auto"/>
            <w:jc w:val="center"/>
            <w:rPr>
              <w:szCs w:val="24"/>
            </w:rPr>
          </w:pPr>
          <w:r>
            <w:rPr>
              <w:szCs w:val="24"/>
            </w:rPr>
            <w:t>2026 m.</w:t>
            <w:tab/>
            <w:tab/>
            <w:t xml:space="preserve">d. Nr. </w:t>
          </w:r>
        </w:p>
        <w:p>
          <w:pPr>
            <w:spacing w:line="276" w:lineRule="auto"/>
            <w:jc w:val="center"/>
            <w:rPr>
              <w:szCs w:val="24"/>
            </w:rPr>
          </w:pPr>
          <w:r>
            <w:rPr>
              <w:szCs w:val="24"/>
            </w:rPr>
            <w:t>Vilnius</w:t>
          </w:r>
        </w:p>
        <w:p>
          <w:pPr>
            <w:widowControl w:val="0"/>
            <w:shd w:val="clear" w:color="auto" w:fill="FFFFFF"/>
            <w:ind w:left="709"/>
            <w:jc w:val="both"/>
            <w:rPr>
              <w:b/>
              <w:bCs/>
              <w:szCs w:val="24"/>
            </w:rPr>
          </w:pPr>
        </w:p>
        <w:sdt>
          <w:sdtPr>
            <w:alias w:val="1 str."/>
            <w:tag w:val="part_c1fdd280190545ab907baf767b782da2"/>
            <w:lock w:val="sdtLocked"/>
            <w:richText/>
          </w:sdtPr>
          <w:sdtContent>
            <w:p>
              <w:pPr>
                <w:widowControl w:val="0"/>
                <w:shd w:val="clear" w:color="auto" w:fill="FFFFFF"/>
                <w:ind w:left="709"/>
                <w:jc w:val="both"/>
                <w:rPr>
                  <w:b/>
                  <w:bCs/>
                  <w:szCs w:val="24"/>
                </w:rPr>
              </w:pPr>
              <w:sdt>
                <w:sdtPr>
                  <w:alias w:val="Numeris"/>
                  <w:tag w:val="nr_c1fdd280190545ab907baf767b782da2"/>
                  <w:lock w:val="sdtLocked"/>
                  <w:richText/>
                </w:sdtPr>
                <w:sdtContent>
                  <w:r>
                    <w:rPr>
                      <w:b/>
                      <w:bCs/>
                      <w:szCs w:val="24"/>
                    </w:rPr>
                    <w:t>1</w:t>
                  </w:r>
                </w:sdtContent>
              </w:sdt>
              <w:r>
                <w:rPr>
                  <w:b/>
                  <w:bCs/>
                  <w:szCs w:val="24"/>
                </w:rPr>
                <w:t xml:space="preserve"> straipsnis. </w:t>
              </w:r>
              <w:sdt>
                <w:sdtPr>
                  <w:alias w:val="Pavadinimas"/>
                  <w:tag w:val="title_c1fdd280190545ab907baf767b782da2"/>
                  <w:lock w:val="sdtLocked"/>
                  <w:richText/>
                </w:sdtPr>
                <w:sdtContent>
                  <w:r>
                    <w:rPr>
                      <w:b/>
                      <w:bCs/>
                      <w:szCs w:val="24"/>
                    </w:rPr>
                    <w:t>21 straipsnio pakeitimas</w:t>
                  </w:r>
                </w:sdtContent>
              </w:sdt>
            </w:p>
            <w:sdt>
              <w:sdtPr>
                <w:alias w:val="1 str. 1 d."/>
                <w:tag w:val="part_3bf2f1d2676f46efa3c71d4db899f982"/>
                <w:lock w:val="sdtLocked"/>
                <w:richText/>
              </w:sdtPr>
              <w:sdtContent>
                <w:p>
                  <w:pPr>
                    <w:widowControl w:val="0"/>
                    <w:shd w:val="clear" w:color="auto" w:fill="FFFFFF"/>
                    <w:ind w:left="709"/>
                    <w:jc w:val="both"/>
                    <w:rPr>
                      <w:szCs w:val="24"/>
                    </w:rPr>
                  </w:pPr>
                  <w:r>
                    <w:rPr>
                      <w:szCs w:val="24"/>
                    </w:rPr>
                    <w:t>Pakeisti 21 straipsnio 4 dalį ir ją išdėstytai taip:</w:t>
                  </w:r>
                </w:p>
                <w:sdt>
                  <w:sdtPr>
                    <w:alias w:val="citata"/>
                    <w:tag w:val="part_937b934633eb4ae7872152074449081c"/>
                    <w:lock w:val="sdtLocked"/>
                    <w:richText/>
                  </w:sdtPr>
                  <w:sdtContent>
                    <w:sdt>
                      <w:sdtPr>
                        <w:alias w:val="4 d."/>
                        <w:tag w:val="part_a036a55e9fd345509df86e9e4e1acfe1"/>
                        <w:lock w:val="sdtLocked"/>
                        <w:richText/>
                      </w:sdtPr>
                      <w:sdtContent>
                        <w:p>
                          <w:pPr>
                            <w:widowControl w:val="0"/>
                            <w:shd w:val="clear" w:color="auto" w:fill="FFFFFF"/>
                            <w:ind w:firstLine="709"/>
                            <w:jc w:val="both"/>
                            <w:rPr>
                              <w:szCs w:val="24"/>
                            </w:rPr>
                          </w:pPr>
                          <w:r>
                            <w:rPr>
                              <w:szCs w:val="24"/>
                            </w:rPr>
                            <w:t>„</w:t>
                          </w:r>
                          <w:sdt>
                            <w:sdtPr>
                              <w:alias w:val="Numeris"/>
                              <w:tag w:val="nr_a036a55e9fd345509df86e9e4e1acfe1"/>
                              <w:lock w:val="sdtLocked"/>
                              <w:richText/>
                            </w:sdtPr>
                            <w:sdtContent>
                              <w:r>
                                <w:rPr>
                                  <w:szCs w:val="24"/>
                                </w:rPr>
                                <w:t>4</w:t>
                              </w:r>
                            </w:sdtContent>
                          </w:sdt>
                          <w:r>
                            <w:rPr>
                              <w:szCs w:val="24"/>
                            </w:rPr>
                            <w:t xml:space="preserve">. Piliečiai, pateikę prašymus atkurti nuosavybės teises į žemę, esančią miestams priskirtose teritorijose, įskaitant žemę, esančią miestams priskirtose teritorijose po 1995 m. birželio 1 d., </w:t>
                          </w:r>
                          <w:r>
                            <w:rPr>
                              <w:b/>
                              <w:bCs/>
                              <w:szCs w:val="24"/>
                            </w:rPr>
                            <w:t xml:space="preserve">nuo 2027 m. sausio 1 d. </w:t>
                          </w:r>
                          <w:r>
                            <w:rPr>
                              <w:szCs w:val="24"/>
                            </w:rPr>
                            <w:t xml:space="preserve">iki </w:t>
                          </w:r>
                          <w:r>
                            <w:rPr>
                              <w:strike/>
                              <w:szCs w:val="24"/>
                            </w:rPr>
                            <w:t>2024 m. gegužės 1 d.</w:t>
                          </w:r>
                          <w:r>
                            <w:rPr>
                              <w:szCs w:val="24"/>
                            </w:rPr>
                            <w:t xml:space="preserve"> </w:t>
                          </w:r>
                          <w:r>
                            <w:rPr>
                              <w:b/>
                              <w:bCs/>
                              <w:szCs w:val="24"/>
                            </w:rPr>
                            <w:t xml:space="preserve">2027 m. gruodžio 31 d. </w:t>
                          </w:r>
                          <w:r>
                            <w:rPr>
                              <w:strike/>
                              <w:szCs w:val="24"/>
                            </w:rPr>
                            <w:t>šio įstatymo 5 straipsnio 2 dalies 3 punkte nustatyta tvarka</w:t>
                          </w:r>
                          <w:r>
                            <w:rPr>
                              <w:szCs w:val="24"/>
                            </w:rPr>
                            <w:t xml:space="preserve"> gali </w:t>
                          </w:r>
                          <w:r>
                            <w:rPr>
                              <w:strike/>
                              <w:szCs w:val="24"/>
                            </w:rPr>
                            <w:t>prašyti perduoti neatlygintinai nuosavybėn naują žemės sklypą individualiai statybai kitame tos pačios savivaldybės teritorijoje esančiame mieste ir (ar)</w:t>
                          </w:r>
                          <w:r>
                            <w:rPr>
                              <w:szCs w:val="24"/>
                            </w:rPr>
                            <w:t xml:space="preserve"> pakeisti savo valią dėl atlyginimo būdo ir prašyti už valstybės išperkamą žemę arba jos dalį, už kurią nėra atlyginta, atlyginti</w:t>
                          </w:r>
                          <w:r>
                            <w:rPr>
                              <w:b/>
                              <w:bCs/>
                              <w:szCs w:val="24"/>
                            </w:rPr>
                            <w:t> </w:t>
                          </w:r>
                          <w:r>
                            <w:rPr>
                              <w:szCs w:val="24"/>
                            </w:rPr>
                            <w:t xml:space="preserve">lygiaverčiu miško plotu iš laisvos valstybinės žemės fonde esančių valstybinių miškų, rezervuotų nuosavybės teisėms atkurti, kaimo vietovėje, išskyrus valstybės įmonei Valstybinių miškų urėdijai Vyriausybės nutarimu numatytus perduoti laisvos valstybinės žemės fonde esančius valstybinius miškus kompleksinei miškų ūkio veiklai vykdyti pagal Valstybinės miškų tarnybos parengtas miškų tvarkymo schemas, jeigu sprendimas dėl nuosavybės teisių atkūrimo nepriimtas arba priimtas, bet iki prašymo pakeisti valią dėl atlyginimo būdo pateikimo dienos neįvykdytas arba iš dalies įvykdytas. Institucija, nagrinėjanti piliečių prašymus atkurti nuosavybės teises į išlikusį nekilnojamąjį turtą, į kurį piliečiui atkurtos nuosavybės teisės, priimtą ir neįvykdytą arba iš dalies įvykdytą sprendimą dėl nuosavybės teisių atkūrimo pakeičia administracine tvarka. Institucija, nagrinėjanti piliečių prašymus atkurti nuosavybės teises į žemę, esančią miestams priskirtose teritorijose, įskaitant žemę, esančią miestams priskirtose teritorijose po 1995 m. birželio 1 d., privalo ne vėliau kaip per du mėnesius nuo šio įstatymo pakeitimo priėmimo dienos informuoti piliečius atskiru raštu apie galimybę už valstybės išperkamą žemę arba jos dalį, už kurią nėra atlyginta, atlyginti lygiaverčiu miško plotu iš laisvos valstybinės žemės fonde esančių valstybinių miškų, rezervuotų nuosavybės teisėms atkurti, kaimo vietovėje ir pilietis, pageidaujantis, kad už valstybės išperkamą žemę arba jos dalį, už kurią nėra atlyginta, būtų atlyginta lygiaverčiu miško plotu kaimo vietovėje, turi </w:t>
                          </w:r>
                          <w:r>
                            <w:rPr>
                              <w:b/>
                              <w:bCs/>
                              <w:szCs w:val="24"/>
                            </w:rPr>
                            <w:t>nuo 2027 m. sausio 1 d.</w:t>
                          </w:r>
                          <w:r>
                            <w:rPr>
                              <w:szCs w:val="24"/>
                            </w:rPr>
                            <w:t xml:space="preserve"> </w:t>
                          </w:r>
                          <w:r>
                            <w:rPr>
                              <w:strike/>
                              <w:szCs w:val="24"/>
                            </w:rPr>
                            <w:t>ne vėliau kaip</w:t>
                          </w:r>
                          <w:r>
                            <w:rPr>
                              <w:szCs w:val="24"/>
                            </w:rPr>
                            <w:t xml:space="preserve"> iki </w:t>
                          </w:r>
                          <w:r>
                            <w:rPr>
                              <w:strike/>
                              <w:szCs w:val="24"/>
                            </w:rPr>
                            <w:t>2024 m. gegužės 1 d.</w:t>
                          </w:r>
                          <w:r>
                            <w:rPr>
                              <w:szCs w:val="24"/>
                            </w:rPr>
                            <w:t xml:space="preserve"> </w:t>
                          </w:r>
                          <w:r>
                            <w:rPr>
                              <w:b/>
                              <w:bCs/>
                              <w:szCs w:val="24"/>
                            </w:rPr>
                            <w:t xml:space="preserve">2027 m. gruodžio 31 d. </w:t>
                          </w:r>
                          <w:r>
                            <w:rPr>
                              <w:szCs w:val="24"/>
                            </w:rPr>
                            <w:t>institucijai, nagrinėjančiai piliečių prašymus atkurti nuosavybės teises į išlikusį nekilnojamąjį turtą, pateikti prašymą, nurodydamas jame kadastro vietovę iš laisvos valstybinės žemės fonde esančių valstybinių miškų, rezervuotų nuosavybės teisėms atkurti, kaimo vietovėje, kurioje jis pageidautų gauti neatlygintinai nuosavybėn lygiavertį turėtajam miško sklypą.“</w:t>
                          </w:r>
                        </w:p>
                        <w:p>
                          <w:pPr>
                            <w:ind w:firstLine="709"/>
                            <w:jc w:val="both"/>
                            <w:rPr>
                              <w:szCs w:val="24"/>
                              <w:lang w:eastAsia="lt-LT"/>
                            </w:rPr>
                          </w:pPr>
                        </w:p>
                      </w:sdtContent>
                    </w:sdt>
                  </w:sdtContent>
                </w:sdt>
              </w:sdtContent>
            </w:sdt>
          </w:sdtContent>
        </w:sdt>
        <w:sdt>
          <w:sdtPr>
            <w:alias w:val="2 str."/>
            <w:tag w:val="part_23450d96144940a2a403ef701b628b00"/>
            <w:lock w:val="sdtLocked"/>
            <w:richText/>
          </w:sdtPr>
          <w:sdtContent>
            <w:p>
              <w:pPr>
                <w:ind w:firstLine="709"/>
                <w:jc w:val="both"/>
                <w:rPr>
                  <w:b/>
                  <w:szCs w:val="24"/>
                  <w:lang w:eastAsia="lt-LT"/>
                </w:rPr>
              </w:pPr>
              <w:sdt>
                <w:sdtPr>
                  <w:alias w:val="Numeris"/>
                  <w:tag w:val="nr_23450d96144940a2a403ef701b628b00"/>
                  <w:lock w:val="sdtLocked"/>
                  <w:richText/>
                </w:sdtPr>
                <w:sdtContent>
                  <w:r>
                    <w:rPr>
                      <w:b/>
                      <w:szCs w:val="24"/>
                      <w:lang w:eastAsia="lt-LT"/>
                    </w:rPr>
                    <w:t>2</w:t>
                  </w:r>
                </w:sdtContent>
              </w:sdt>
              <w:r>
                <w:rPr>
                  <w:b/>
                  <w:szCs w:val="24"/>
                  <w:lang w:eastAsia="lt-LT"/>
                </w:rPr>
                <w:t xml:space="preserve"> straipsnis.</w:t>
              </w:r>
              <w:r>
                <w:rPr>
                  <w:b/>
                  <w:bCs/>
                  <w:szCs w:val="24"/>
                  <w:lang w:eastAsia="lt-LT"/>
                </w:rPr>
                <w:t xml:space="preserve"> </w:t>
              </w:r>
              <w:sdt>
                <w:sdtPr>
                  <w:alias w:val="Pavadinimas"/>
                  <w:tag w:val="title_23450d96144940a2a403ef701b628b00"/>
                  <w:lock w:val="sdtLocked"/>
                  <w:richText/>
                </w:sdtPr>
                <w:sdtContent>
                  <w:r>
                    <w:rPr>
                      <w:b/>
                      <w:bCs/>
                      <w:szCs w:val="24"/>
                      <w:lang w:eastAsia="lt-LT"/>
                    </w:rPr>
                    <w:t>Įstatymo įsigaliojimas ir įgyvendinimas</w:t>
                  </w:r>
                </w:sdtContent>
              </w:sdt>
            </w:p>
            <w:sdt>
              <w:sdtPr>
                <w:alias w:val="2 str. 1 d."/>
                <w:tag w:val="part_754a84baa61e4bdcb9915ea42d46b228"/>
                <w:lock w:val="sdtLocked"/>
                <w:richText/>
              </w:sdtPr>
              <w:sdtContent>
                <w:p>
                  <w:pPr>
                    <w:ind w:firstLine="709"/>
                    <w:jc w:val="both"/>
                    <w:rPr>
                      <w:bCs/>
                      <w:szCs w:val="24"/>
                      <w:lang w:eastAsia="lt-LT"/>
                    </w:rPr>
                  </w:pPr>
                  <w:sdt>
                    <w:sdtPr>
                      <w:alias w:val="Numeris"/>
                      <w:tag w:val="nr_754a84baa61e4bdcb9915ea42d46b228"/>
                      <w:lock w:val="sdtLocked"/>
                      <w:richText/>
                    </w:sdtPr>
                    <w:sdtContent>
                      <w:r>
                        <w:rPr>
                          <w:bCs/>
                          <w:szCs w:val="24"/>
                          <w:lang w:eastAsia="lt-LT"/>
                        </w:rPr>
                        <w:t>1</w:t>
                      </w:r>
                    </w:sdtContent>
                  </w:sdt>
                  <w:r>
                    <w:rPr>
                      <w:bCs/>
                      <w:szCs w:val="24"/>
                      <w:lang w:eastAsia="lt-LT"/>
                    </w:rPr>
                    <w:t>. Šis įstatymas įsigalioja 2027 m. sausio 1 d.</w:t>
                  </w:r>
                </w:p>
              </w:sdtContent>
            </w:sdt>
            <w:sdt>
              <w:sdtPr>
                <w:alias w:val="2 str. 2 d."/>
                <w:tag w:val="part_f1bf4ff11eac457c913476b5db4ad97c"/>
                <w:lock w:val="sdtLocked"/>
                <w:richText/>
              </w:sdtPr>
              <w:sdtContent>
                <w:p>
                  <w:pPr>
                    <w:ind w:firstLine="709"/>
                    <w:jc w:val="both"/>
                    <w:rPr>
                      <w:bCs/>
                      <w:szCs w:val="24"/>
                      <w:lang w:eastAsia="lt-LT"/>
                    </w:rPr>
                  </w:pPr>
                  <w:sdt>
                    <w:sdtPr>
                      <w:alias w:val="Numeris"/>
                      <w:tag w:val="nr_f1bf4ff11eac457c913476b5db4ad97c"/>
                      <w:lock w:val="sdtLocked"/>
                      <w:richText/>
                    </w:sdtPr>
                    <w:sdtContent>
                      <w:r>
                        <w:rPr>
                          <w:bCs/>
                          <w:szCs w:val="24"/>
                          <w:lang w:eastAsia="lt-LT"/>
                        </w:rPr>
                        <w:t>2</w:t>
                      </w:r>
                    </w:sdtContent>
                  </w:sdt>
                  <w:r>
                    <w:rPr>
                      <w:bCs/>
                      <w:szCs w:val="24"/>
                      <w:lang w:eastAsia="lt-LT"/>
                    </w:rPr>
                    <w:t>. Lietuvos Respublikos Vyriausybė ir kitos šiame įstatyme nurodytos institucijos iki 2026 m. gruodžio 31 d. priima šio įstatymo įgyvendinamuosius teisės aktus.</w:t>
                  </w:r>
                </w:p>
                <w:p>
                  <w:pPr>
                    <w:tabs>
                      <w:tab w:val="num" w:pos="1107"/>
                    </w:tabs>
                    <w:spacing w:line="276" w:lineRule="auto"/>
                    <w:jc w:val="both"/>
                    <w:rPr>
                      <w:szCs w:val="24"/>
                    </w:rPr>
                  </w:pPr>
                </w:p>
              </w:sdtContent>
            </w:sdt>
          </w:sdtContent>
        </w:sdt>
        <w:sdt>
          <w:sdtPr>
            <w:alias w:val="signatura"/>
            <w:tag w:val="part_4ae66543d63e45aaa7dec4c7130cf78e"/>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rPr>
                  <w:i/>
                  <w:szCs w:val="24"/>
                  <w:lang w:val="x-none" w:eastAsia="x-none"/>
                </w:rPr>
              </w:pPr>
              <w:r>
                <w:rPr>
                  <w:i/>
                  <w:szCs w:val="24"/>
                  <w:lang w:val="x-none" w:eastAsia="x-none"/>
                </w:rPr>
                <w:t>Skelbiu šį Lietuvos Respublikos Seimo priimtą įstatymą.</w:t>
              </w:r>
            </w:p>
            <w:p>
              <w:pPr>
                <w:spacing w:line="276" w:lineRule="auto"/>
                <w:rPr>
                  <w:szCs w:val="24"/>
                </w:rPr>
              </w:pPr>
            </w:p>
            <w:p>
              <w:pPr>
                <w:spacing w:line="276" w:lineRule="auto"/>
                <w:rPr>
                  <w:szCs w:val="24"/>
                </w:rPr>
              </w:pPr>
            </w:p>
            <w:p>
              <w:pPr>
                <w:spacing w:line="276" w:lineRule="auto"/>
                <w:rPr>
                  <w:szCs w:val="24"/>
                </w:rPr>
              </w:pPr>
              <w:r>
                <w:rPr>
                  <w:szCs w:val="24"/>
                </w:rPr>
                <w:t>Respublikos Prezidentas</w:t>
              </w:r>
            </w:p>
            <w:p>
              <w:pPr>
                <w:spacing w:line="253" w:lineRule="atLeast"/>
                <w:jc w:val="both"/>
                <w:rPr>
                  <w:color w:val="000000"/>
                  <w:sz w:val="22"/>
                  <w:szCs w:val="22"/>
                  <w:lang w:eastAsia="lt-LT"/>
                </w:rPr>
              </w:pPr>
              <w:r>
                <w:rPr>
                  <w:color w:val="000000"/>
                  <w:sz w:val="22"/>
                  <w:szCs w:val="22"/>
                  <w:lang w:eastAsia="lt-LT"/>
                </w:rPr>
                <w:t>Teikia:</w:t>
              </w:r>
            </w:p>
            <w:p>
              <w:pPr>
                <w:spacing w:line="253" w:lineRule="atLeast"/>
                <w:jc w:val="both"/>
                <w:rPr>
                  <w:color w:val="000000"/>
                  <w:sz w:val="22"/>
                  <w:szCs w:val="22"/>
                  <w:lang w:eastAsia="lt-LT"/>
                </w:rPr>
              </w:pPr>
              <w:r>
                <w:rPr>
                  <w:color w:val="000000"/>
                  <w:sz w:val="22"/>
                  <w:szCs w:val="22"/>
                  <w:lang w:eastAsia="lt-LT"/>
                </w:rPr>
                <w:t>Seimo nariai</w:t>
              </w:r>
            </w:p>
            <w:p/>
          </w:sdtContent>
        </w:sdt>
      </w:sdtContent>
    </w:sdt>
    <w:sectPr>
      <w:headerReference w:type="even" r:id="rId6"/>
      <w:headerReference w:type="default" r:id="rId7"/>
      <w:footerReference w:type="even" r:id="rId8"/>
      <w:footerReference w:type="default" r:id="rId9"/>
      <w:headerReference w:type="first" r:id="rId10"/>
      <w:footerReference w:type="first" r:id="rId11"/>
      <w:pgSz w:w="11906" w:h="16838" w:code="9"/>
      <w:pgMar w:top="993" w:right="567" w:bottom="1134" w:left="1701" w:header="851" w:footer="1134"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szCs w:val="24"/>
        </w:rPr>
      </w:pPr>
      <w:r>
        <w:rPr>
          <w:szCs w:val="24"/>
        </w:rPr>
        <w:separator/>
      </w:r>
    </w:p>
  </w:endnote>
  <w:endnote w:type="continuationSeparator" w:id="0">
    <w:p>
      <w:pPr>
        <w:rPr>
          <w:szCs w:val="24"/>
        </w:rPr>
      </w:pPr>
      <w:r>
        <w:rPr>
          <w:szCs w:val="24"/>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2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rPr>
        <w:szCs w:val="24"/>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rPr>
        <w:szCs w:val="24"/>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rPr>
        <w:szCs w:val="24"/>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szCs w:val="24"/>
        </w:rPr>
      </w:pPr>
      <w:r>
        <w:rPr>
          <w:szCs w:val="24"/>
        </w:rPr>
        <w:separator/>
      </w:r>
    </w:p>
  </w:footnote>
  <w:footnote w:type="continuationSeparator" w:id="0">
    <w:p>
      <w:pPr>
        <w:rPr>
          <w:szCs w:val="24"/>
        </w:rPr>
      </w:pPr>
      <w:r>
        <w:rPr>
          <w:szCs w:val="24"/>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819"/>
        <w:tab w:val="right" w:pos="9638"/>
      </w:tabs>
      <w:rPr>
        <w:szCs w:val="24"/>
      </w:rPr>
    </w:pPr>
    <w:r>
      <w:rPr>
        <w:szCs w:val="24"/>
      </w:rPr>
      <w:fldChar w:fldCharType="begin"/>
    </w:r>
    <w:r>
      <w:rPr>
        <w:szCs w:val="24"/>
      </w:rPr>
      <w:instrText xml:space="preserve">PAGE  </w:instrText>
    </w:r>
    <w:r>
      <w:rPr>
        <w:szCs w:val="24"/>
      </w:rPr>
      <w:fldChar w:fldCharType="end"/>
    </w:r>
  </w:p>
  <w:p>
    <w:pPr>
      <w:tabs>
        <w:tab w:val="center" w:pos="4819"/>
        <w:tab w:val="right" w:pos="9638"/>
      </w:tabs>
      <w:rPr>
        <w:szCs w:val="24"/>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819"/>
        <w:tab w:val="right" w:pos="9638"/>
      </w:tabs>
      <w:rPr>
        <w:szCs w:val="24"/>
      </w:rPr>
    </w:pPr>
    <w:r>
      <w:rPr>
        <w:szCs w:val="24"/>
      </w:rPr>
      <w:fldChar w:fldCharType="begin"/>
    </w:r>
    <w:r>
      <w:rPr>
        <w:szCs w:val="24"/>
      </w:rPr>
      <w:instrText xml:space="preserve">PAGE  </w:instrText>
    </w:r>
    <w:r>
      <w:rPr>
        <w:szCs w:val="24"/>
      </w:rPr>
      <w:fldChar w:fldCharType="separate"/>
    </w:r>
    <w:r>
      <w:rPr>
        <w:szCs w:val="24"/>
      </w:rPr>
      <w:t>2</w:t>
    </w:r>
    <w:r>
      <w:rPr>
        <w:szCs w:val="24"/>
      </w:rPr>
      <w:fldChar w:fldCharType="end"/>
    </w:r>
  </w:p>
  <w:p>
    <w:pPr>
      <w:tabs>
        <w:tab w:val="center" w:pos="4819"/>
        <w:tab w:val="right" w:pos="9638"/>
      </w:tabs>
      <w:rPr>
        <w:szCs w:val="24"/>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Cs w:val="24"/>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doNotDisplayPageBoundaries/>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F7372"/>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00EA6144-8A72-4299-B7DE-32F1D7F6C0C7}"/>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6263027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header" Target="header3.xml"/>
  <Relationship Id="rId11" Type="http://schemas.openxmlformats.org/officeDocument/2006/relationships/footer" Target="footer3.xml"/>
  <Relationship Id="rId12" Type="http://schemas.openxmlformats.org/officeDocument/2006/relationships/fontTable" Target="fontTable.xml"/>
  <Relationship Id="rId13" Type="http://schemas.openxmlformats.org/officeDocument/2006/relationships/theme" Target="theme/theme1.xml"/>
  <Relationship Id="rId14"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header" Target="header1.xml"/>
  <Relationship Id="rId7" Type="http://schemas.openxmlformats.org/officeDocument/2006/relationships/header" Target="header2.xml"/>
  <Relationship Id="rId8" Type="http://schemas.openxmlformats.org/officeDocument/2006/relationships/footer" Target="footer1.xml"/>
  <Relationship Id="rId9" Type="http://schemas.openxmlformats.org/officeDocument/2006/relationships/footer" Target="foot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27a376131502461d83dfa41e4bec4543" PartId="1b4e964b90ea4cdabb90a3abe44c39ca">
    <Part Type="straipsnis" Nr="1" Abbr="1 str." Title="21 straipsnio pakeitimas" DocPartId="8088a0544b264441b96f96fc53327d97" PartId="c1fdd280190545ab907baf767b782da2">
      <Part Type="strDalis" Nr="1" Abbr="1 str. 1 d." DocPartId="68138933a7f24f21b139a91ff23186ba" PartId="3bf2f1d2676f46efa3c71d4db899f982">
        <Part Type="citata" DocPartId="43b971b349ad431680138a8d610ff008" PartId="937b934633eb4ae7872152074449081c">
          <Part Type="strDalis" Nr="4" Abbr="4 d." DocPartId="b4f8df172a8b44b580163c6f6a93796c" PartId="a036a55e9fd345509df86e9e4e1acfe1"/>
        </Part>
      </Part>
    </Part>
    <Part Type="straipsnis" Nr="2" Abbr="2 str." Title="Įstatymo įsigaliojimas ir įgyvendinimas" DocPartId="784b4c0b901a4a02921bc36f95397786" PartId="23450d96144940a2a403ef701b628b00">
      <Part Type="strDalis" Nr="1" Abbr="2 str. 1 d." DocPartId="c0f36de6973442a1aacafb73470d1968" PartId="754a84baa61e4bdcb9915ea42d46b228"/>
      <Part Type="strDalis" Nr="2" Abbr="2 str. 2 d." DocPartId="5d2a66dc5e334a8e80d26a4034f96b2a" PartId="f1bf4ff11eac457c913476b5db4ad97c"/>
    </Part>
    <Part Type="signatura" DocPartId="5aac1cc96047408ea69a189f31faefb7" PartId="4ae66543d63e45aaa7dec4c7130cf78e"/>
  </Part>
</Parts>
</file>

<file path=customXml/itemProps1.xml><?xml version="1.0" encoding="utf-8"?>
<ds:datastoreItem xmlns:ds="http://schemas.openxmlformats.org/officeDocument/2006/customXml" ds:itemID="{7B91724A-2DD6-44CC-8581-7A03F0340707}">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440</Words>
  <Characters>2857</Characters>
  <Application>Microsoft Office Word</Application>
  <DocSecurity>4</DocSecurity>
  <Lines>52</Lines>
  <Paragraphs>19</Paragraphs>
  <ScaleCrop>false</ScaleCrop>
  <HeadingPairs>
    <vt:vector size="2" baseType="variant">
      <vt:variant>
        <vt:lpstr>Pavadinimas</vt:lpstr>
      </vt:variant>
      <vt:variant>
        <vt:i4>1</vt:i4>
      </vt:variant>
    </vt:vector>
  </HeadingPairs>
  <TitlesOfParts>
    <vt:vector size="1" baseType="lpstr">
      <vt:lpstr/>
    </vt:vector>
  </TitlesOfParts>
  <Company>LR Seimo kanceliarija</Company>
  <LinksUpToDate>false</LinksUpToDate>
  <CharactersWithSpaces>3278</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2026-07-08T13:24:00Z</dcterms:created>
  <dc:creator>VINCKEVIČ Danuta</dc:creator>
  <lastModifiedBy>adlibuser</lastModifiedBy>
  <dcterms:modified xsi:type="dcterms:W3CDTF">2026-07-08T13:24:00Z</dcterms:modified>
  <revision>2</revision>
</coreProperties>
</file>