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072e75a439d0495c94e7564a4861fbfc"/>
        <w:lock w:val="sdtLocked"/>
        <w:richText/>
      </w:sdtPr>
      <w:sdtContent>
        <w:p w14:paraId="4A7D5676" w14:textId="77777777">
          <w:pPr>
            <w:tabs>
              <w:tab w:val="center" w:pos="4986"/>
              <w:tab w:val="right" w:pos="9972"/>
            </w:tabs>
          </w:pPr>
        </w:p>
        <w:p w14:paraId="4D46881C" w14:textId="77777777">
          <w:pPr>
            <w:tabs>
              <w:tab w:val="center" w:pos="4986"/>
              <w:tab w:val="right" w:pos="9972"/>
            </w:tabs>
          </w:pPr>
        </w:p>
        <w:p w14:paraId="01E18304"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1E18305" w14:textId="520C5071">
          <w:pPr>
            <w:ind w:left="10328" w:firstLine="729"/>
            <w:jc w:val="both"/>
            <w:rPr>
              <w:szCs w:val="24"/>
            </w:rPr>
          </w:pPr>
          <w:sdt>
            <w:sdtPr>
              <w:alias w:val="Numeris"/>
              <w:tag w:val="nr_072e75a439d0495c94e7564a4861fbfc"/>
              <w:lock w:val="sdtLocked"/>
              <w:richText/>
            </w:sdtPr>
            <w:sdtContent>
              <w:r>
                <w:rPr>
                  <w:szCs w:val="24"/>
                </w:rPr>
                <w:t>12</w:t>
              </w:r>
            </w:sdtContent>
          </w:sdt>
          <w:r>
            <w:rPr>
              <w:szCs w:val="24"/>
            </w:rPr>
            <w:t xml:space="preserve"> priedas</w:t>
          </w:r>
        </w:p>
        <w:p w14:paraId="01E18306" w14:textId="77777777">
          <w:pPr>
            <w:jc w:val="center"/>
            <w:rPr>
              <w:iCs/>
              <w:szCs w:val="24"/>
            </w:rPr>
          </w:pPr>
        </w:p>
        <w:p w14:paraId="01E18307" w14:textId="5860ACBF">
          <w:pPr>
            <w:jc w:val="center"/>
            <w:rPr>
              <w:iCs/>
              <w:szCs w:val="24"/>
            </w:rPr>
          </w:pPr>
          <w:sdt>
            <w:sdtPr>
              <w:alias w:val="Pavadinimas"/>
              <w:tag w:val="title_072e75a439d0495c94e7564a4861fbfc"/>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1E18308" w14:textId="77777777">
          <w:pPr>
            <w:jc w:val="center"/>
            <w:rPr>
              <w:i/>
              <w:szCs w:val="24"/>
            </w:rPr>
          </w:pPr>
        </w:p>
        <w:p w14:paraId="01E1830A" w14:textId="77777777">
          <w:pPr>
            <w:spacing w:line="259" w:lineRule="auto"/>
            <w:rPr>
              <w:b/>
              <w:sz w:val="22"/>
              <w:szCs w:val="22"/>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14:paraId="7ABABFFA" w14:textId="77777777">
            <w:tc>
              <w:tcPr>
                <w:tcW w:w="15305" w:type="dxa"/>
                <w:gridSpan w:val="13"/>
                <w:vAlign w:val="center"/>
              </w:tcPr>
              <w:p w14:paraId="7418E94A" w14:textId="77777777">
                <w:pPr>
                  <w:jc w:val="center"/>
                  <w:rPr>
                    <w:b/>
                    <w:sz w:val="22"/>
                    <w:szCs w:val="22"/>
                  </w:rPr>
                </w:pPr>
                <w:r>
                  <w:rPr>
                    <w:b/>
                    <w:sz w:val="22"/>
                    <w:szCs w:val="22"/>
                  </w:rPr>
                  <w:t>VEIKLOS AR POVEIKLĖS, KURIOMS NUSTATOMOS PROJEKTŲ FINANSAVIMO SĄLYGOS</w:t>
                </w:r>
              </w:p>
            </w:tc>
          </w:tr>
          <w:tr w14:paraId="2A26601D" w14:textId="77777777">
            <w:tc>
              <w:tcPr>
                <w:tcW w:w="1271" w:type="dxa"/>
                <w:vAlign w:val="center"/>
              </w:tcPr>
              <w:p w14:paraId="6963E303" w14:textId="77777777">
                <w:pPr>
                  <w:jc w:val="center"/>
                  <w:rPr>
                    <w:b/>
                    <w:sz w:val="20"/>
                    <w:szCs w:val="22"/>
                  </w:rPr>
                </w:pPr>
                <w:r>
                  <w:rPr>
                    <w:b/>
                    <w:sz w:val="20"/>
                    <w:szCs w:val="22"/>
                  </w:rPr>
                  <w:t>Veiklos ar poveiklės pavadini-</w:t>
                </w:r>
              </w:p>
              <w:p w14:paraId="3808DA68" w14:textId="77777777">
                <w:pPr>
                  <w:jc w:val="center"/>
                  <w:rPr>
                    <w:b/>
                    <w:sz w:val="20"/>
                    <w:szCs w:val="22"/>
                  </w:rPr>
                </w:pPr>
                <w:r>
                  <w:rPr>
                    <w:b/>
                    <w:sz w:val="20"/>
                    <w:szCs w:val="22"/>
                  </w:rPr>
                  <w:t>mas</w:t>
                </w:r>
              </w:p>
            </w:tc>
            <w:tc>
              <w:tcPr>
                <w:tcW w:w="1023" w:type="dxa"/>
                <w:vAlign w:val="center"/>
              </w:tcPr>
              <w:p w14:paraId="46AFAC56" w14:textId="77777777">
                <w:pPr>
                  <w:jc w:val="center"/>
                  <w:rPr>
                    <w:b/>
                    <w:sz w:val="20"/>
                    <w:szCs w:val="22"/>
                  </w:rPr>
                </w:pPr>
                <w:r>
                  <w:rPr>
                    <w:b/>
                    <w:sz w:val="20"/>
                    <w:szCs w:val="22"/>
                  </w:rPr>
                  <w:t>Finansa-vimo šaltinis</w:t>
                </w:r>
              </w:p>
            </w:tc>
            <w:tc>
              <w:tcPr>
                <w:tcW w:w="1103" w:type="dxa"/>
                <w:vAlign w:val="center"/>
              </w:tcPr>
              <w:p w14:paraId="5C732FF0" w14:textId="77777777">
                <w:pPr>
                  <w:jc w:val="center"/>
                  <w:rPr>
                    <w:b/>
                    <w:sz w:val="20"/>
                    <w:szCs w:val="22"/>
                  </w:rPr>
                </w:pPr>
                <w:r>
                  <w:rPr>
                    <w:b/>
                    <w:bCs/>
                    <w:sz w:val="20"/>
                    <w:szCs w:val="22"/>
                  </w:rPr>
                  <w:t>Priorite-tas ar komponentas</w:t>
                </w:r>
              </w:p>
            </w:tc>
            <w:tc>
              <w:tcPr>
                <w:tcW w:w="993" w:type="dxa"/>
                <w:vAlign w:val="center"/>
              </w:tcPr>
              <w:p w14:paraId="4A02FC14" w14:textId="77777777">
                <w:pPr>
                  <w:jc w:val="center"/>
                  <w:rPr>
                    <w:b/>
                    <w:sz w:val="20"/>
                    <w:szCs w:val="22"/>
                  </w:rPr>
                </w:pPr>
                <w:r>
                  <w:rPr>
                    <w:b/>
                    <w:bCs/>
                    <w:sz w:val="20"/>
                    <w:szCs w:val="22"/>
                  </w:rPr>
                  <w:t>Uždavi-nys ar priemo-nė</w:t>
                </w:r>
              </w:p>
            </w:tc>
            <w:tc>
              <w:tcPr>
                <w:tcW w:w="992" w:type="dxa"/>
                <w:vAlign w:val="center"/>
              </w:tcPr>
              <w:p w14:paraId="6F8D68B3" w14:textId="77777777">
                <w:pPr>
                  <w:jc w:val="center"/>
                  <w:rPr>
                    <w:b/>
                    <w:sz w:val="20"/>
                    <w:szCs w:val="22"/>
                  </w:rPr>
                </w:pPr>
                <w:r>
                  <w:rPr>
                    <w:b/>
                    <w:bCs/>
                    <w:sz w:val="20"/>
                    <w:szCs w:val="22"/>
                  </w:rPr>
                  <w:t>Veikla ar poveiklė</w:t>
                </w:r>
              </w:p>
            </w:tc>
            <w:tc>
              <w:tcPr>
                <w:tcW w:w="1417" w:type="dxa"/>
                <w:vAlign w:val="center"/>
              </w:tcPr>
              <w:p w14:paraId="1EF68846" w14:textId="77777777">
                <w:pPr>
                  <w:jc w:val="center"/>
                  <w:rPr>
                    <w:b/>
                    <w:sz w:val="20"/>
                    <w:szCs w:val="22"/>
                  </w:rPr>
                </w:pPr>
                <w:r>
                  <w:rPr>
                    <w:b/>
                    <w:sz w:val="20"/>
                    <w:szCs w:val="22"/>
                  </w:rPr>
                  <w:t>Intervencinės priemonės kodas</w:t>
                </w:r>
              </w:p>
            </w:tc>
            <w:tc>
              <w:tcPr>
                <w:tcW w:w="1418" w:type="dxa"/>
                <w:vAlign w:val="center"/>
              </w:tcPr>
              <w:p w14:paraId="72D6B8F9" w14:textId="77777777">
                <w:pPr>
                  <w:jc w:val="center"/>
                  <w:rPr>
                    <w:b/>
                    <w:bCs/>
                    <w:sz w:val="20"/>
                    <w:szCs w:val="22"/>
                  </w:rPr>
                </w:pPr>
                <w:r>
                  <w:rPr>
                    <w:b/>
                    <w:sz w:val="20"/>
                  </w:rPr>
                  <w:t>Regionas, kuriam priskiriama veikla ar poveiklė</w:t>
                </w:r>
              </w:p>
            </w:tc>
            <w:tc>
              <w:tcPr>
                <w:tcW w:w="1276" w:type="dxa"/>
                <w:vAlign w:val="center"/>
              </w:tcPr>
              <w:p w14:paraId="3283169A" w14:textId="77777777">
                <w:pPr>
                  <w:jc w:val="center"/>
                  <w:rPr>
                    <w:b/>
                    <w:sz w:val="20"/>
                    <w:szCs w:val="22"/>
                  </w:rPr>
                </w:pPr>
                <w:r>
                  <w:rPr>
                    <w:b/>
                    <w:bCs/>
                    <w:sz w:val="20"/>
                    <w:szCs w:val="22"/>
                  </w:rPr>
                  <w:t>Paramos formos kodas</w:t>
                </w:r>
              </w:p>
            </w:tc>
            <w:tc>
              <w:tcPr>
                <w:tcW w:w="1134" w:type="dxa"/>
                <w:vAlign w:val="center"/>
              </w:tcPr>
              <w:p w14:paraId="6A06EC62" w14:textId="77777777">
                <w:pPr>
                  <w:jc w:val="center"/>
                  <w:rPr>
                    <w:b/>
                    <w:sz w:val="20"/>
                    <w:szCs w:val="22"/>
                  </w:rPr>
                </w:pPr>
                <w:r>
                  <w:rPr>
                    <w:b/>
                    <w:bCs/>
                    <w:sz w:val="20"/>
                    <w:szCs w:val="22"/>
                  </w:rPr>
                  <w:t>Pagrin-dinės teritorinės srities kodas (-ai)</w:t>
                </w:r>
              </w:p>
            </w:tc>
            <w:tc>
              <w:tcPr>
                <w:tcW w:w="1417" w:type="dxa"/>
                <w:vAlign w:val="center"/>
              </w:tcPr>
              <w:p w14:paraId="26A74EA9" w14:textId="77777777">
                <w:pPr>
                  <w:jc w:val="center"/>
                  <w:rPr>
                    <w:b/>
                    <w:sz w:val="20"/>
                    <w:szCs w:val="22"/>
                  </w:rPr>
                </w:pPr>
                <w:r>
                  <w:rPr>
                    <w:b/>
                    <w:bCs/>
                    <w:sz w:val="20"/>
                    <w:szCs w:val="22"/>
                  </w:rPr>
                  <w:t>Ekonominės veiklos kodas (-ai)</w:t>
                </w:r>
              </w:p>
            </w:tc>
            <w:tc>
              <w:tcPr>
                <w:tcW w:w="1559" w:type="dxa"/>
                <w:vAlign w:val="center"/>
              </w:tcPr>
              <w:p w14:paraId="7B8161D0" w14:textId="77777777">
                <w:pPr>
                  <w:jc w:val="center"/>
                  <w:rPr>
                    <w:b/>
                    <w:bCs/>
                    <w:sz w:val="20"/>
                    <w:szCs w:val="22"/>
                  </w:rPr>
                </w:pPr>
                <w:r>
                  <w:rPr>
                    <w:b/>
                    <w:bCs/>
                    <w:sz w:val="20"/>
                    <w:szCs w:val="22"/>
                  </w:rPr>
                  <w:t>„Europos socialinio fondo +“ (toliau – ESF+) antrinių temų kodai</w:t>
                </w:r>
              </w:p>
            </w:tc>
            <w:tc>
              <w:tcPr>
                <w:tcW w:w="851" w:type="dxa"/>
                <w:vAlign w:val="center"/>
              </w:tcPr>
              <w:p w14:paraId="2D926026" w14:textId="77777777">
                <w:pPr>
                  <w:jc w:val="center"/>
                  <w:rPr>
                    <w:b/>
                    <w:bCs/>
                    <w:sz w:val="20"/>
                    <w:szCs w:val="22"/>
                  </w:rPr>
                </w:pPr>
                <w:r>
                  <w:rPr>
                    <w:b/>
                    <w:bCs/>
                    <w:sz w:val="20"/>
                    <w:szCs w:val="22"/>
                  </w:rPr>
                  <w:t>Lyčių lygybės mat-mens kodas</w:t>
                </w:r>
              </w:p>
            </w:tc>
            <w:tc>
              <w:tcPr>
                <w:tcW w:w="851" w:type="dxa"/>
              </w:tcPr>
              <w:p w14:paraId="637F67BF" w14:textId="77777777">
                <w:pPr>
                  <w:jc w:val="center"/>
                  <w:rPr>
                    <w:b/>
                    <w:sz w:val="20"/>
                  </w:rPr>
                </w:pPr>
                <w:r>
                  <w:rPr>
                    <w:b/>
                    <w:sz w:val="20"/>
                  </w:rPr>
                  <w:t>Nepa-nau-dotos Ekono-mkos gaivi-nimo ir atspa-rumo didi-nimo prie-monės lėšos</w:t>
                </w:r>
              </w:p>
              <w:p w14:paraId="29BBF157" w14:textId="77777777">
                <w:pPr>
                  <w:jc w:val="center"/>
                  <w:rPr>
                    <w:b/>
                    <w:bCs/>
                    <w:sz w:val="20"/>
                    <w:szCs w:val="22"/>
                  </w:rPr>
                </w:pPr>
                <w:r>
                  <w:rPr>
                    <w:b/>
                    <w:sz w:val="20"/>
                  </w:rPr>
                  <w:t>(Taip / Ne)</w:t>
                </w:r>
              </w:p>
            </w:tc>
          </w:tr>
          <w:tr w14:paraId="489BFE56" w14:textId="77777777">
            <w:trPr>
              <w:trHeight w:val="1898"/>
            </w:trPr>
            <w:tc>
              <w:tcPr>
                <w:tcW w:w="1271" w:type="dxa"/>
                <w:vMerge w:val="restart"/>
                <w:tcMar>
                  <w:left w:w="28" w:type="dxa"/>
                  <w:right w:w="28" w:type="dxa"/>
                </w:tcMar>
              </w:tcPr>
              <w:p w14:paraId="1D41F348" w14:textId="77777777">
                <w:pPr>
                  <w:rPr>
                    <w:sz w:val="22"/>
                    <w:szCs w:val="22"/>
                  </w:rPr>
                </w:pPr>
                <w:r>
                  <w:rPr>
                    <w:rFonts w:eastAsia="Republika"/>
                    <w:sz w:val="22"/>
                    <w:szCs w:val="22"/>
                  </w:rPr>
                  <w:t>Sveikatos sektoriaus skaitmenini-mas</w:t>
                </w:r>
              </w:p>
            </w:tc>
            <w:tc>
              <w:tcPr>
                <w:tcW w:w="1023" w:type="dxa"/>
                <w:tcMar>
                  <w:left w:w="28" w:type="dxa"/>
                  <w:right w:w="28" w:type="dxa"/>
                </w:tcMar>
              </w:tcPr>
              <w:p w14:paraId="061ED439" w14:textId="77777777">
                <w:pPr>
                  <w:rPr>
                    <w:rFonts w:eastAsia="Republika"/>
                    <w:sz w:val="22"/>
                    <w:szCs w:val="22"/>
                  </w:rPr>
                </w:pPr>
                <w:r>
                  <w:rPr>
                    <w:rFonts w:eastAsia="Republika"/>
                    <w:sz w:val="22"/>
                    <w:szCs w:val="22"/>
                  </w:rPr>
                  <w:t xml:space="preserve">Ekonomikos gaivinimo ir atsparumo didinimo priemonė  (toliau – EGADP). </w:t>
                </w:r>
              </w:p>
            </w:tc>
            <w:tc>
              <w:tcPr>
                <w:tcW w:w="1103" w:type="dxa"/>
                <w:vMerge w:val="restart"/>
                <w:tcMar>
                  <w:left w:w="28" w:type="dxa"/>
                  <w:right w:w="28" w:type="dxa"/>
                </w:tcMar>
              </w:tcPr>
              <w:p w14:paraId="67C0319F" w14:textId="77777777">
                <w:pPr>
                  <w:jc w:val="center"/>
                  <w:rPr>
                    <w:sz w:val="22"/>
                    <w:szCs w:val="22"/>
                  </w:rPr>
                </w:pPr>
                <w:r>
                  <w:rPr>
                    <w:sz w:val="22"/>
                    <w:szCs w:val="22"/>
                  </w:rPr>
                  <w:t>1</w:t>
                </w:r>
              </w:p>
            </w:tc>
            <w:tc>
              <w:tcPr>
                <w:tcW w:w="993" w:type="dxa"/>
                <w:vMerge w:val="restart"/>
                <w:tcMar>
                  <w:left w:w="28" w:type="dxa"/>
                  <w:right w:w="28" w:type="dxa"/>
                </w:tcMar>
              </w:tcPr>
              <w:p w14:paraId="533C9354" w14:textId="77777777">
                <w:pPr>
                  <w:jc w:val="center"/>
                  <w:rPr>
                    <w:sz w:val="22"/>
                    <w:szCs w:val="22"/>
                  </w:rPr>
                </w:pPr>
                <w:r>
                  <w:rPr>
                    <w:sz w:val="22"/>
                    <w:szCs w:val="22"/>
                  </w:rPr>
                  <w:t>A.1.1</w:t>
                </w:r>
              </w:p>
            </w:tc>
            <w:tc>
              <w:tcPr>
                <w:tcW w:w="992" w:type="dxa"/>
                <w:vMerge w:val="restart"/>
                <w:tcMar>
                  <w:left w:w="28" w:type="dxa"/>
                  <w:right w:w="28" w:type="dxa"/>
                </w:tcMar>
              </w:tcPr>
              <w:p w14:paraId="55ECCCF0" w14:textId="77777777">
                <w:pPr>
                  <w:jc w:val="center"/>
                  <w:rPr>
                    <w:sz w:val="22"/>
                    <w:szCs w:val="22"/>
                  </w:rPr>
                </w:pPr>
                <w:r>
                  <w:rPr>
                    <w:sz w:val="22"/>
                    <w:szCs w:val="22"/>
                  </w:rPr>
                  <w:t>A.1.1.11</w:t>
                </w:r>
              </w:p>
            </w:tc>
            <w:tc>
              <w:tcPr>
                <w:tcW w:w="1417" w:type="dxa"/>
                <w:tcMar>
                  <w:left w:w="28" w:type="dxa"/>
                  <w:right w:w="28" w:type="dxa"/>
                </w:tcMar>
              </w:tcPr>
              <w:p w14:paraId="787F01B4" w14:textId="77777777">
                <w:pPr>
                  <w:jc w:val="center"/>
                  <w:rPr>
                    <w:sz w:val="22"/>
                    <w:szCs w:val="22"/>
                  </w:rPr>
                </w:pPr>
                <w:r>
                  <w:rPr>
                    <w:sz w:val="22"/>
                    <w:szCs w:val="22"/>
                  </w:rPr>
                  <w:t>095</w:t>
                </w:r>
              </w:p>
            </w:tc>
            <w:tc>
              <w:tcPr>
                <w:tcW w:w="1418" w:type="dxa"/>
                <w:vMerge w:val="restart"/>
                <w:tcMar>
                  <w:left w:w="28" w:type="dxa"/>
                  <w:right w:w="28" w:type="dxa"/>
                </w:tcMar>
              </w:tcPr>
              <w:p w14:paraId="3B715386" w14:textId="77777777">
                <w:pPr>
                  <w:jc w:val="center"/>
                  <w:rPr>
                    <w:sz w:val="22"/>
                    <w:szCs w:val="22"/>
                  </w:rPr>
                </w:pPr>
                <w:r>
                  <w:rPr>
                    <w:sz w:val="22"/>
                    <w:szCs w:val="22"/>
                  </w:rPr>
                  <w:t>-</w:t>
                </w:r>
              </w:p>
            </w:tc>
            <w:tc>
              <w:tcPr>
                <w:tcW w:w="1276" w:type="dxa"/>
                <w:vMerge w:val="restart"/>
                <w:tcMar>
                  <w:left w:w="28" w:type="dxa"/>
                  <w:right w:w="28" w:type="dxa"/>
                </w:tcMar>
              </w:tcPr>
              <w:p w14:paraId="059DFC59" w14:textId="77777777">
                <w:pPr>
                  <w:jc w:val="center"/>
                  <w:rPr>
                    <w:sz w:val="22"/>
                    <w:szCs w:val="22"/>
                  </w:rPr>
                </w:pPr>
                <w:r>
                  <w:rPr>
                    <w:sz w:val="22"/>
                    <w:szCs w:val="22"/>
                  </w:rPr>
                  <w:t>-</w:t>
                </w:r>
              </w:p>
            </w:tc>
            <w:tc>
              <w:tcPr>
                <w:tcW w:w="1134" w:type="dxa"/>
                <w:vMerge w:val="restart"/>
                <w:tcMar>
                  <w:left w:w="28" w:type="dxa"/>
                  <w:right w:w="28" w:type="dxa"/>
                </w:tcMar>
              </w:tcPr>
              <w:p w14:paraId="18E68C72" w14:textId="77777777">
                <w:pPr>
                  <w:jc w:val="center"/>
                  <w:rPr>
                    <w:sz w:val="22"/>
                    <w:szCs w:val="22"/>
                  </w:rPr>
                </w:pPr>
                <w:r>
                  <w:rPr>
                    <w:sz w:val="22"/>
                    <w:szCs w:val="22"/>
                  </w:rPr>
                  <w:t>-</w:t>
                </w:r>
              </w:p>
            </w:tc>
            <w:tc>
              <w:tcPr>
                <w:tcW w:w="1417" w:type="dxa"/>
                <w:vMerge w:val="restart"/>
                <w:tcMar>
                  <w:left w:w="28" w:type="dxa"/>
                  <w:right w:w="28" w:type="dxa"/>
                </w:tcMar>
              </w:tcPr>
              <w:p w14:paraId="5FA6A809" w14:textId="77777777">
                <w:pPr>
                  <w:jc w:val="center"/>
                  <w:rPr>
                    <w:sz w:val="22"/>
                    <w:szCs w:val="22"/>
                  </w:rPr>
                </w:pPr>
                <w:r>
                  <w:rPr>
                    <w:sz w:val="22"/>
                    <w:szCs w:val="22"/>
                  </w:rPr>
                  <w:t>-</w:t>
                </w:r>
              </w:p>
            </w:tc>
            <w:tc>
              <w:tcPr>
                <w:tcW w:w="1559" w:type="dxa"/>
                <w:vMerge w:val="restart"/>
                <w:tcMar>
                  <w:left w:w="28" w:type="dxa"/>
                  <w:right w:w="28" w:type="dxa"/>
                </w:tcMar>
              </w:tcPr>
              <w:p w14:paraId="17894B12" w14:textId="77777777">
                <w:pPr>
                  <w:jc w:val="center"/>
                  <w:rPr>
                    <w:sz w:val="22"/>
                    <w:szCs w:val="22"/>
                  </w:rPr>
                </w:pPr>
                <w:r>
                  <w:rPr>
                    <w:sz w:val="22"/>
                    <w:szCs w:val="22"/>
                  </w:rPr>
                  <w:t>-</w:t>
                </w:r>
              </w:p>
            </w:tc>
            <w:tc>
              <w:tcPr>
                <w:tcW w:w="851" w:type="dxa"/>
                <w:vMerge w:val="restart"/>
                <w:tcMar>
                  <w:left w:w="28" w:type="dxa"/>
                  <w:right w:w="28" w:type="dxa"/>
                </w:tcMar>
              </w:tcPr>
              <w:p w14:paraId="0911B74D" w14:textId="77777777">
                <w:pPr>
                  <w:jc w:val="center"/>
                  <w:rPr>
                    <w:sz w:val="22"/>
                    <w:szCs w:val="22"/>
                  </w:rPr>
                </w:pPr>
                <w:r>
                  <w:rPr>
                    <w:sz w:val="22"/>
                    <w:szCs w:val="22"/>
                  </w:rPr>
                  <w:t>-</w:t>
                </w:r>
              </w:p>
            </w:tc>
            <w:tc>
              <w:tcPr>
                <w:tcW w:w="851" w:type="dxa"/>
                <w:vMerge w:val="restart"/>
              </w:tcPr>
              <w:p w14:paraId="07B1BC93" w14:textId="77777777">
                <w:pPr>
                  <w:jc w:val="center"/>
                  <w:rPr>
                    <w:sz w:val="22"/>
                    <w:szCs w:val="22"/>
                  </w:rPr>
                </w:pPr>
                <w:r>
                  <w:rPr>
                    <w:sz w:val="18"/>
                    <w:szCs w:val="18"/>
                  </w:rPr>
                  <w:t>Ne</w:t>
                </w:r>
              </w:p>
            </w:tc>
          </w:tr>
          <w:tr w14:paraId="5A30C70F" w14:textId="77777777">
            <w:trPr>
              <w:trHeight w:val="557"/>
            </w:trPr>
            <w:tc>
              <w:tcPr>
                <w:tcW w:w="1271" w:type="dxa"/>
                <w:vMerge/>
                <w:tcMar>
                  <w:left w:w="28" w:type="dxa"/>
                  <w:right w:w="28" w:type="dxa"/>
                </w:tcMar>
              </w:tcPr>
              <w:p w14:paraId="23790628" w14:textId="77777777">
                <w:pPr>
                  <w:rPr>
                    <w:rFonts w:eastAsia="Republika"/>
                    <w:sz w:val="22"/>
                    <w:szCs w:val="22"/>
                  </w:rPr>
                </w:pPr>
              </w:p>
            </w:tc>
            <w:tc>
              <w:tcPr>
                <w:tcW w:w="1023" w:type="dxa"/>
                <w:tcMar>
                  <w:left w:w="28" w:type="dxa"/>
                  <w:right w:w="28" w:type="dxa"/>
                </w:tcMar>
              </w:tcPr>
              <w:p w14:paraId="74EDE8FF" w14:textId="77777777">
                <w:pPr>
                  <w:rPr>
                    <w:rFonts w:eastAsia="Republika"/>
                    <w:sz w:val="22"/>
                    <w:szCs w:val="22"/>
                  </w:rPr>
                </w:pPr>
                <w:r>
                  <w:rPr>
                    <w:rFonts w:eastAsia="Republika"/>
                    <w:sz w:val="22"/>
                    <w:szCs w:val="22"/>
                  </w:rPr>
                  <w:t>Lietuvos Respublikos valstybės biudžetas (toliau – VB)</w:t>
                </w:r>
              </w:p>
            </w:tc>
            <w:tc>
              <w:tcPr>
                <w:tcW w:w="1103" w:type="dxa"/>
                <w:vMerge/>
                <w:tcMar>
                  <w:left w:w="28" w:type="dxa"/>
                  <w:right w:w="28" w:type="dxa"/>
                </w:tcMar>
              </w:tcPr>
              <w:p w14:paraId="66106EE1" w14:textId="77777777">
                <w:pPr>
                  <w:jc w:val="center"/>
                  <w:rPr>
                    <w:sz w:val="22"/>
                    <w:szCs w:val="22"/>
                  </w:rPr>
                </w:pPr>
              </w:p>
            </w:tc>
            <w:tc>
              <w:tcPr>
                <w:tcW w:w="993" w:type="dxa"/>
                <w:vMerge/>
                <w:tcMar>
                  <w:left w:w="28" w:type="dxa"/>
                  <w:right w:w="28" w:type="dxa"/>
                </w:tcMar>
              </w:tcPr>
              <w:p w14:paraId="1F7A8B7A" w14:textId="77777777">
                <w:pPr>
                  <w:jc w:val="center"/>
                  <w:rPr>
                    <w:sz w:val="22"/>
                    <w:szCs w:val="22"/>
                  </w:rPr>
                </w:pPr>
              </w:p>
            </w:tc>
            <w:tc>
              <w:tcPr>
                <w:tcW w:w="992" w:type="dxa"/>
                <w:vMerge/>
                <w:tcMar>
                  <w:left w:w="28" w:type="dxa"/>
                  <w:right w:w="28" w:type="dxa"/>
                </w:tcMar>
              </w:tcPr>
              <w:p w14:paraId="3B4583B7" w14:textId="77777777">
                <w:pPr>
                  <w:jc w:val="center"/>
                  <w:rPr>
                    <w:sz w:val="22"/>
                    <w:szCs w:val="22"/>
                  </w:rPr>
                </w:pPr>
              </w:p>
            </w:tc>
            <w:tc>
              <w:tcPr>
                <w:tcW w:w="1417" w:type="dxa"/>
                <w:tcMar>
                  <w:left w:w="28" w:type="dxa"/>
                  <w:right w:w="28" w:type="dxa"/>
                </w:tcMar>
              </w:tcPr>
              <w:p w14:paraId="74DAC663" w14:textId="77777777">
                <w:pPr>
                  <w:jc w:val="center"/>
                  <w:rPr>
                    <w:sz w:val="22"/>
                    <w:szCs w:val="22"/>
                  </w:rPr>
                </w:pPr>
                <w:r>
                  <w:rPr>
                    <w:sz w:val="22"/>
                    <w:szCs w:val="22"/>
                  </w:rPr>
                  <w:t>-</w:t>
                </w:r>
              </w:p>
            </w:tc>
            <w:tc>
              <w:tcPr>
                <w:tcW w:w="1418" w:type="dxa"/>
                <w:vMerge/>
                <w:tcMar>
                  <w:left w:w="28" w:type="dxa"/>
                  <w:right w:w="28" w:type="dxa"/>
                </w:tcMar>
              </w:tcPr>
              <w:p w14:paraId="07F9CC0A" w14:textId="77777777">
                <w:pPr>
                  <w:jc w:val="center"/>
                  <w:rPr>
                    <w:sz w:val="22"/>
                    <w:szCs w:val="22"/>
                  </w:rPr>
                </w:pPr>
              </w:p>
            </w:tc>
            <w:tc>
              <w:tcPr>
                <w:tcW w:w="1276" w:type="dxa"/>
                <w:vMerge/>
                <w:tcMar>
                  <w:left w:w="28" w:type="dxa"/>
                  <w:right w:w="28" w:type="dxa"/>
                </w:tcMar>
              </w:tcPr>
              <w:p w14:paraId="151549B7" w14:textId="77777777">
                <w:pPr>
                  <w:jc w:val="center"/>
                  <w:rPr>
                    <w:sz w:val="22"/>
                    <w:szCs w:val="22"/>
                  </w:rPr>
                </w:pPr>
              </w:p>
            </w:tc>
            <w:tc>
              <w:tcPr>
                <w:tcW w:w="1134" w:type="dxa"/>
                <w:vMerge/>
                <w:tcMar>
                  <w:left w:w="28" w:type="dxa"/>
                  <w:right w:w="28" w:type="dxa"/>
                </w:tcMar>
              </w:tcPr>
              <w:p w14:paraId="6CB9C027" w14:textId="77777777">
                <w:pPr>
                  <w:jc w:val="center"/>
                  <w:rPr>
                    <w:sz w:val="22"/>
                    <w:szCs w:val="22"/>
                  </w:rPr>
                </w:pPr>
              </w:p>
            </w:tc>
            <w:tc>
              <w:tcPr>
                <w:tcW w:w="1417" w:type="dxa"/>
                <w:vMerge/>
                <w:tcMar>
                  <w:left w:w="28" w:type="dxa"/>
                  <w:right w:w="28" w:type="dxa"/>
                </w:tcMar>
              </w:tcPr>
              <w:p w14:paraId="2D0D8DBB" w14:textId="77777777">
                <w:pPr>
                  <w:jc w:val="center"/>
                  <w:rPr>
                    <w:sz w:val="22"/>
                    <w:szCs w:val="22"/>
                  </w:rPr>
                </w:pPr>
              </w:p>
            </w:tc>
            <w:tc>
              <w:tcPr>
                <w:tcW w:w="1559" w:type="dxa"/>
                <w:vMerge/>
                <w:tcMar>
                  <w:left w:w="28" w:type="dxa"/>
                  <w:right w:w="28" w:type="dxa"/>
                </w:tcMar>
              </w:tcPr>
              <w:p w14:paraId="7C03189F" w14:textId="77777777">
                <w:pPr>
                  <w:jc w:val="center"/>
                  <w:rPr>
                    <w:sz w:val="22"/>
                    <w:szCs w:val="22"/>
                  </w:rPr>
                </w:pPr>
              </w:p>
            </w:tc>
            <w:tc>
              <w:tcPr>
                <w:tcW w:w="851" w:type="dxa"/>
                <w:vMerge/>
                <w:tcMar>
                  <w:left w:w="28" w:type="dxa"/>
                  <w:right w:w="28" w:type="dxa"/>
                </w:tcMar>
              </w:tcPr>
              <w:p w14:paraId="1DD475DD" w14:textId="77777777">
                <w:pPr>
                  <w:jc w:val="center"/>
                  <w:rPr>
                    <w:sz w:val="22"/>
                    <w:szCs w:val="22"/>
                  </w:rPr>
                </w:pPr>
              </w:p>
            </w:tc>
            <w:tc>
              <w:tcPr>
                <w:tcW w:w="851" w:type="dxa"/>
                <w:vMerge/>
              </w:tcPr>
              <w:p w14:paraId="7ABA5A8D" w14:textId="77777777">
                <w:pPr>
                  <w:jc w:val="center"/>
                  <w:rPr>
                    <w:sz w:val="22"/>
                    <w:szCs w:val="22"/>
                  </w:rPr>
                </w:pPr>
              </w:p>
            </w:tc>
          </w:tr>
        </w:tbl>
        <w:p w14:paraId="194166C4" w14:textId="77777777">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14:paraId="01E18329" w14:textId="77777777">
          <w:pPr>
            <w:ind w:firstLine="567"/>
            <w:jc w:val="both"/>
            <w:rPr>
              <w:i/>
              <w:iCs/>
              <w:sz w:val="22"/>
              <w:szCs w:val="22"/>
            </w:rPr>
          </w:pPr>
        </w:p>
        <w:p w14:paraId="01E1832A" w14:textId="77777777">
          <w:pPr>
            <w:jc w:val="both"/>
            <w:rPr>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14:paraId="01E1832F" w14:textId="77777777">
            <w:trPr>
              <w:trHeight w:val="405"/>
            </w:trPr>
            <w:tc>
              <w:tcPr>
                <w:tcW w:w="3688" w:type="dxa"/>
                <w:shd w:val="clear" w:color="auto" w:fill="auto"/>
                <w:vAlign w:val="center"/>
              </w:tcPr>
              <w:p w14:paraId="01E1832B" w14:textId="77777777">
                <w:pPr>
                  <w:jc w:val="center"/>
                  <w:rPr>
                    <w:szCs w:val="24"/>
                  </w:rPr>
                </w:pPr>
                <w:r>
                  <w:rPr>
                    <w:szCs w:val="24"/>
                  </w:rPr>
                  <w:t>Rodiklio pavadinimas</w:t>
                </w:r>
              </w:p>
            </w:tc>
            <w:tc>
              <w:tcPr>
                <w:tcW w:w="3688" w:type="dxa"/>
                <w:shd w:val="clear" w:color="auto" w:fill="auto"/>
                <w:vAlign w:val="center"/>
              </w:tcPr>
              <w:p w14:paraId="01E1832C" w14:textId="77777777">
                <w:pPr>
                  <w:jc w:val="center"/>
                  <w:rPr>
                    <w:szCs w:val="24"/>
                  </w:rPr>
                </w:pPr>
                <w:r>
                  <w:rPr>
                    <w:szCs w:val="24"/>
                  </w:rPr>
                  <w:t>Rodiklio kodas</w:t>
                </w:r>
              </w:p>
            </w:tc>
            <w:tc>
              <w:tcPr>
                <w:tcW w:w="3688" w:type="dxa"/>
                <w:shd w:val="clear" w:color="auto" w:fill="auto"/>
                <w:vAlign w:val="center"/>
              </w:tcPr>
              <w:p w14:paraId="01E1832D" w14:textId="77777777">
                <w:pPr>
                  <w:jc w:val="center"/>
                  <w:rPr>
                    <w:szCs w:val="24"/>
                  </w:rPr>
                </w:pPr>
                <w:r>
                  <w:rPr>
                    <w:szCs w:val="24"/>
                  </w:rPr>
                  <w:t>Matavimo vienetai</w:t>
                </w:r>
              </w:p>
            </w:tc>
            <w:tc>
              <w:tcPr>
                <w:tcW w:w="4240" w:type="dxa"/>
                <w:shd w:val="clear" w:color="auto" w:fill="auto"/>
                <w:vAlign w:val="center"/>
              </w:tcPr>
              <w:p w14:paraId="01E1832E" w14:textId="77777777">
                <w:pPr>
                  <w:jc w:val="center"/>
                  <w:rPr>
                    <w:szCs w:val="24"/>
                  </w:rPr>
                </w:pPr>
                <w:r>
                  <w:rPr>
                    <w:szCs w:val="24"/>
                  </w:rPr>
                  <w:t>Siektina reikšmė</w:t>
                </w:r>
              </w:p>
            </w:tc>
          </w:tr>
          <w:tr w14:paraId="01E18336" w14:textId="77777777">
            <w:trPr>
              <w:trHeight w:val="725"/>
            </w:trPr>
            <w:tc>
              <w:tcPr>
                <w:tcW w:w="3688" w:type="dxa"/>
              </w:tcPr>
              <w:p w14:paraId="01E18331" w14:textId="3812BA1C">
                <w:pPr>
                  <w:jc w:val="both"/>
                  <w:rPr>
                    <w:i/>
                    <w:iCs/>
                    <w:szCs w:val="24"/>
                  </w:rPr>
                </w:pPr>
                <w:r>
                  <w:rPr>
                    <w:i/>
                    <w:iCs/>
                    <w:szCs w:val="24"/>
                  </w:rPr>
                  <w:t>Naujų ir patobulintų viešųjų skaitmeninių paslaugų, produktų ir procesų naudotojai</w:t>
                </w:r>
              </w:p>
            </w:tc>
            <w:tc>
              <w:tcPr>
                <w:tcW w:w="3688" w:type="dxa"/>
              </w:tcPr>
              <w:p w14:paraId="7C289294" w14:textId="77777777">
                <w:pPr>
                  <w:jc w:val="center"/>
                  <w:rPr>
                    <w:i/>
                    <w:iCs/>
                    <w:szCs w:val="24"/>
                  </w:rPr>
                </w:pPr>
                <w:r>
                  <w:rPr>
                    <w:i/>
                    <w:iCs/>
                    <w:szCs w:val="24"/>
                  </w:rPr>
                  <w:t>R-11-002-02-11-01-34</w:t>
                </w:r>
              </w:p>
              <w:p w14:paraId="01E18333" w14:textId="609748A0">
                <w:pPr>
                  <w:jc w:val="center"/>
                  <w:rPr>
                    <w:i/>
                    <w:iCs/>
                    <w:szCs w:val="24"/>
                  </w:rPr>
                </w:pPr>
                <w:r>
                  <w:rPr>
                    <w:i/>
                    <w:iCs/>
                    <w:szCs w:val="24"/>
                  </w:rPr>
                  <w:t>R.B.1.2007</w:t>
                </w:r>
              </w:p>
            </w:tc>
            <w:tc>
              <w:tcPr>
                <w:tcW w:w="3688" w:type="dxa"/>
              </w:tcPr>
              <w:p w14:paraId="01E18334" w14:textId="08D66341">
                <w:pPr>
                  <w:jc w:val="center"/>
                  <w:rPr>
                    <w:i/>
                    <w:iCs/>
                    <w:szCs w:val="24"/>
                    <w:highlight w:val="yellow"/>
                  </w:rPr>
                </w:pPr>
                <w:r>
                  <w:rPr>
                    <w:i/>
                    <w:iCs/>
                    <w:szCs w:val="24"/>
                  </w:rPr>
                  <w:t>Naudotojų skaičius per metus</w:t>
                </w:r>
              </w:p>
            </w:tc>
            <w:tc>
              <w:tcPr>
                <w:tcW w:w="4240" w:type="dxa"/>
              </w:tcPr>
              <w:p w14:paraId="01E18335" w14:textId="1AEDC881">
                <w:pPr>
                  <w:jc w:val="center"/>
                  <w:rPr>
                    <w:szCs w:val="24"/>
                    <w:highlight w:val="yellow"/>
                    <w:lang w:val="en-US"/>
                  </w:rPr>
                </w:pPr>
                <w:r>
                  <w:rPr>
                    <w:i/>
                    <w:iCs/>
                    <w:szCs w:val="24"/>
                  </w:rPr>
                  <w:t>n/a</w:t>
                </w:r>
              </w:p>
            </w:tc>
          </w:tr>
          <w:tr w14:paraId="0BC28EEE" w14:textId="77777777">
            <w:trPr>
              <w:trHeight w:val="725"/>
            </w:trPr>
            <w:tc>
              <w:tcPr>
                <w:tcW w:w="3688" w:type="dxa"/>
              </w:tcPr>
              <w:p w14:paraId="2053827C" w14:textId="4B90D5EC">
                <w:pPr>
                  <w:jc w:val="both"/>
                  <w:rPr>
                    <w:sz w:val="22"/>
                    <w:szCs w:val="22"/>
                  </w:rPr>
                </w:pPr>
                <w:r>
                  <w:rPr>
                    <w:i/>
                    <w:iCs/>
                    <w:szCs w:val="24"/>
                  </w:rPr>
                  <w:t>Šalies gyventojų, kuriems teikiamos su sveikata susijusios elektroninės paslaugos, dalis</w:t>
                </w:r>
                <w:r>
                  <w:rPr>
                    <w:sz w:val="22"/>
                    <w:szCs w:val="22"/>
                  </w:rPr>
                  <w:t xml:space="preserve"> </w:t>
                </w:r>
              </w:p>
            </w:tc>
            <w:tc>
              <w:tcPr>
                <w:tcW w:w="3688" w:type="dxa"/>
              </w:tcPr>
              <w:p w14:paraId="5DDDA9D7" w14:textId="77777777">
                <w:pPr>
                  <w:jc w:val="center"/>
                  <w:rPr>
                    <w:i/>
                    <w:iCs/>
                    <w:szCs w:val="24"/>
                    <w:lang w:val="en-US"/>
                  </w:rPr>
                </w:pPr>
                <w:r>
                  <w:rPr>
                    <w:i/>
                    <w:iCs/>
                    <w:szCs w:val="24"/>
                    <w:lang w:val="en-US"/>
                  </w:rPr>
                  <w:t>R-11-002-02-11-01-25</w:t>
                </w:r>
              </w:p>
              <w:p w14:paraId="3EC18AEA" w14:textId="0195DC0E">
                <w:pPr>
                  <w:jc w:val="center"/>
                  <w:rPr>
                    <w:i/>
                    <w:iCs/>
                    <w:szCs w:val="24"/>
                    <w:lang w:val="en-US"/>
                  </w:rPr>
                </w:pPr>
                <w:r>
                  <w:rPr>
                    <w:i/>
                    <w:iCs/>
                    <w:szCs w:val="24"/>
                    <w:lang w:val="en-US"/>
                  </w:rPr>
                  <w:t>R.S.1.3012</w:t>
                </w:r>
              </w:p>
            </w:tc>
            <w:tc>
              <w:tcPr>
                <w:tcW w:w="3688" w:type="dxa"/>
              </w:tcPr>
              <w:p w14:paraId="21FB11DF" w14:textId="5E144E4C">
                <w:pPr>
                  <w:jc w:val="center"/>
                  <w:rPr>
                    <w:i/>
                    <w:iCs/>
                    <w:szCs w:val="24"/>
                  </w:rPr>
                </w:pPr>
                <w:r>
                  <w:rPr>
                    <w:i/>
                    <w:iCs/>
                    <w:szCs w:val="24"/>
                  </w:rPr>
                  <w:t>Proc.</w:t>
                </w:r>
              </w:p>
            </w:tc>
            <w:tc>
              <w:tcPr>
                <w:tcW w:w="4240" w:type="dxa"/>
              </w:tcPr>
              <w:p w14:paraId="37E949D7" w14:textId="5A3CB101">
                <w:pPr>
                  <w:jc w:val="center"/>
                  <w:rPr>
                    <w:i/>
                    <w:iCs/>
                    <w:szCs w:val="24"/>
                  </w:rPr>
                </w:pPr>
                <w:r>
                  <w:rPr>
                    <w:i/>
                    <w:iCs/>
                    <w:szCs w:val="24"/>
                  </w:rPr>
                  <w:t>60 (2025 m. IV ketv.)</w:t>
                </w:r>
              </w:p>
            </w:tc>
          </w:tr>
        </w:tbl>
        <w:p w14:paraId="01E18337" w14:textId="1EB827D0">
          <w:pPr>
            <w:spacing w:line="259" w:lineRule="auto"/>
            <w:jc w:val="both"/>
            <w:rPr>
              <w:sz w:val="22"/>
              <w:szCs w:val="22"/>
            </w:rPr>
          </w:pPr>
          <w:r>
            <w:rPr>
              <w:b/>
              <w:bCs/>
              <w:sz w:val="22"/>
              <w:szCs w:val="22"/>
              <w:lang w:eastAsia="lt-LT"/>
            </w:rPr>
            <w:t>Pastaba</w:t>
          </w:r>
          <w:r>
            <w:rPr>
              <w:sz w:val="22"/>
              <w:szCs w:val="22"/>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2026 m. gruodžio 31 d.</w:t>
          </w:r>
        </w:p>
        <w:p w14:paraId="4EAE1E4B" w14:textId="77777777">
          <w:pPr>
            <w:spacing w:line="259"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0772BF6B" w14:textId="77777777">
            <w:trPr>
              <w:trHeight w:val="298"/>
            </w:trPr>
            <w:tc>
              <w:tcPr>
                <w:tcW w:w="15158" w:type="dxa"/>
              </w:tcPr>
              <w:p w14:paraId="47118D9E" w14:textId="77777777">
                <w:pPr>
                  <w:jc w:val="both"/>
                  <w:rPr>
                    <w:szCs w:val="24"/>
                    <w:highlight w:val="yellow"/>
                  </w:rPr>
                </w:pPr>
                <w:r>
                  <w:rPr>
                    <w:szCs w:val="24"/>
                  </w:rPr>
                  <w:t>Ministerijos stebėsenos rodiklių aprašymo kortelės</w:t>
                </w:r>
              </w:p>
            </w:tc>
          </w:tr>
          <w:tr w14:paraId="4856F8F9" w14:textId="77777777">
            <w:trPr>
              <w:trHeight w:val="315"/>
            </w:trPr>
            <w:tc>
              <w:tcPr>
                <w:tcW w:w="15158" w:type="dxa"/>
              </w:tcPr>
              <w:p w14:paraId="58261741" w14:textId="32FB297C">
                <w:pPr>
                  <w:rPr>
                    <w:i/>
                    <w:szCs w:val="24"/>
                  </w:rPr>
                </w:pPr>
                <w:r>
                  <w:rPr>
                    <w:i/>
                    <w:szCs w:val="24"/>
                  </w:rPr>
                  <w:t>https://sam.lrv.lt/lt/administracine-informacija/planavimo-dokumentai/pletros-programos/sveikatos-prieziuros-kokybes-ir-efektyvumo-didinimo-pletros-programa</w:t>
                </w:r>
              </w:p>
            </w:tc>
          </w:tr>
        </w:tbl>
        <w:p w14:paraId="289C0E7B" w14:textId="77777777">
          <w:pPr>
            <w:spacing w:line="259" w:lineRule="auto"/>
            <w:jc w:val="both"/>
            <w:rPr>
              <w:sz w:val="22"/>
              <w:szCs w:val="22"/>
            </w:rPr>
          </w:pPr>
        </w:p>
        <w:p w14:paraId="01E18339" w14:textId="77777777">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14:paraId="01E1833B" w14:textId="77777777">
            <w:tc>
              <w:tcPr>
                <w:tcW w:w="15026" w:type="dxa"/>
              </w:tcPr>
              <w:p w14:paraId="01E1833A" w14:textId="77777777">
                <w:pPr>
                  <w:rPr>
                    <w:b/>
                    <w:szCs w:val="24"/>
                  </w:rPr>
                </w:pPr>
                <w:r>
                  <w:rPr>
                    <w:b/>
                    <w:szCs w:val="24"/>
                  </w:rPr>
                  <w:t>SPECIALIEJI FINANSAVIMO REIKALAVIMAI</w:t>
                </w:r>
              </w:p>
            </w:tc>
          </w:tr>
          <w:tr w14:paraId="01E1833D" w14:textId="77777777">
            <w:tc>
              <w:tcPr>
                <w:tcW w:w="15026" w:type="dxa"/>
              </w:tcPr>
              <w:p w14:paraId="01E1833C" w14:textId="77777777">
                <w:pPr>
                  <w:rPr>
                    <w:b/>
                    <w:bCs/>
                    <w:szCs w:val="24"/>
                  </w:rPr>
                </w:pPr>
                <w:r>
                  <w:rPr>
                    <w:b/>
                    <w:bCs/>
                    <w:szCs w:val="24"/>
                  </w:rPr>
                  <w:t>1. Taikomi teisės aktai</w:t>
                </w:r>
              </w:p>
            </w:tc>
          </w:tr>
          <w:tr w14:paraId="01E18363" w14:textId="77777777">
            <w:tc>
              <w:tcPr>
                <w:tcW w:w="15026" w:type="dxa"/>
              </w:tcPr>
              <w:p w14:paraId="01E1833E" w14:textId="4487FE12">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rPr>
                    <w:szCs w:val="24"/>
                    <w:vertAlign w:val="superscript"/>
                    <w:lang w:eastAsia="lt-LT"/>
                  </w:rPr>
                  <w:footnoteReference w:id="2"/>
                </w:r>
                <w:r>
                  <w:rPr>
                    <w:szCs w:val="24"/>
                    <w:lang w:eastAsia="lt-LT"/>
                  </w:rPr>
                  <w:t xml:space="preserve">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28E607B" w14:textId="77777777">
                <w:pPr>
                  <w:tabs>
                    <w:tab w:val="left" w:pos="600"/>
                  </w:tabs>
                  <w:spacing w:line="276" w:lineRule="auto"/>
                  <w:ind w:left="33"/>
                  <w:jc w:val="both"/>
                  <w:rPr>
                    <w:b/>
                    <w:bCs/>
                    <w:color w:val="000000"/>
                    <w:szCs w:val="24"/>
                  </w:rPr>
                </w:pPr>
                <w:r>
                  <w:rPr>
                    <w:b/>
                    <w:bCs/>
                    <w:color w:val="000000"/>
                    <w:szCs w:val="24"/>
                  </w:rPr>
                  <w:t>bendrieji teisės aktai:</w:t>
                </w:r>
              </w:p>
              <w:p w14:paraId="01E18340" w14:textId="06C6D256">
                <w:pPr>
                  <w:jc w:val="both"/>
                  <w:rPr>
                    <w:szCs w:val="24"/>
                  </w:rPr>
                </w:pPr>
                <w:r>
                  <w:rPr>
                    <w:szCs w:val="24"/>
                  </w:rPr>
                  <w:t xml:space="preserve">1.1. 2021 m. vasario 12 d. Europos Parlamento ir Tarybos reglamentas </w:t>
                </w:r>
                <w:r>
                  <w:rPr>
                    <w:color w:val="0563C1"/>
                    <w:szCs w:val="24"/>
                    <w:u w:val="single"/>
                  </w:rPr>
                  <w:t>(ES)2021/241</w:t>
                </w:r>
                <w:r>
                  <w:rPr>
                    <w:szCs w:val="24"/>
                  </w:rPr>
                  <w:t>, kuriuo nustatoma ekonomikos gaivinimo ir atsparumo didinimo priemonė</w:t>
                </w:r>
                <w:r>
                  <w:rPr>
                    <w:vertAlign w:val="superscript"/>
                  </w:rPr>
                  <w:footnoteReference w:id="3"/>
                </w:r>
                <w:r>
                  <w:rPr>
                    <w:szCs w:val="24"/>
                  </w:rPr>
                  <w:t>;</w:t>
                </w:r>
              </w:p>
              <w:p w14:paraId="29024700" w14:textId="0362D911">
                <w:pPr>
                  <w:jc w:val="both"/>
                  <w:rPr>
                    <w:szCs w:val="24"/>
                  </w:rPr>
                </w:pPr>
                <w:r>
                  <w:rPr>
                    <w:szCs w:val="24"/>
                  </w:rPr>
                  <w:t xml:space="preserve">1.2. 2021 m. liepos 28 d. </w:t>
                </w:r>
                <w:r>
                  <w:t>Europos Sąjungos Tarybos įgyvendinimo sprendimas CM4171/21 dėl Lietuvos ekonomikos gaivinimo ir atsparumo didinimo plano „Naujos kartos Lietuva“ įvertinimo patvirtinimo</w:t>
                </w:r>
                <w:r>
                  <w:rPr>
                    <w:szCs w:val="24"/>
                    <w:vertAlign w:val="superscript"/>
                  </w:rPr>
                  <w:footnoteReference w:id="4"/>
                </w:r>
                <w:r>
                  <w:rPr>
                    <w:szCs w:val="24"/>
                  </w:rPr>
                  <w:t xml:space="preserve">; </w:t>
                </w:r>
              </w:p>
              <w:p w14:paraId="01E18343" w14:textId="49AB38CA">
                <w:pPr>
                  <w:jc w:val="both"/>
                  <w:rPr>
                    <w:szCs w:val="24"/>
                  </w:rPr>
                </w:pPr>
                <w:r>
                  <w:rPr>
                    <w:szCs w:val="24"/>
                  </w:rPr>
                  <w:t>1.3. 2022 m. birželio 22 d. Lietuvos Respublikos finansų ministro įsakymu Nr. 1K-237 „Dėl 2021–2027 metų Europos Sąjungos fondų investicijų programos ir Ekonomikos gaivinimo ir atsparumo didinimo plano „Naujos kartos Lietuva“ įgyvendinimo“</w:t>
                </w:r>
                <w:hyperlink r:id="rId11" w:history="1">
                  <w:r>
                    <w:rPr>
                      <w:vertAlign w:val="superscript"/>
                    </w:rPr>
                    <w:footnoteReference w:id="5"/>
                  </w:r>
                </w:hyperlink>
                <w:r>
                  <w:t xml:space="preserve"> </w:t>
                </w:r>
                <w:r>
                  <w:rPr>
                    <w:szCs w:val="24"/>
                  </w:rP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01E18344" w14:textId="0BE652EB">
                <w:pPr>
                  <w:jc w:val="both"/>
                  <w:rPr>
                    <w:szCs w:val="24"/>
                  </w:rPr>
                </w:pPr>
                <w:r>
                  <w:rPr>
                    <w:szCs w:val="24"/>
                  </w:rPr>
                  <w:t>1.4.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szCs w:val="24"/>
                    <w:vertAlign w:val="superscript"/>
                  </w:rPr>
                  <w:footnoteReference w:id="6"/>
                </w:r>
                <w:r>
                  <w:rPr>
                    <w:szCs w:val="24"/>
                  </w:rPr>
                  <w:t xml:space="preserve">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45AAB8B1" w14:textId="77777777">
                <w:pPr>
                  <w:tabs>
                    <w:tab w:val="left" w:pos="600"/>
                  </w:tabs>
                  <w:spacing w:line="276" w:lineRule="auto"/>
                  <w:jc w:val="both"/>
                  <w:rPr>
                    <w:b/>
                    <w:bCs/>
                    <w:color w:val="000000"/>
                    <w:szCs w:val="24"/>
                  </w:rPr>
                </w:pPr>
                <w:r>
                  <w:rPr>
                    <w:b/>
                    <w:bCs/>
                    <w:color w:val="000000"/>
                    <w:szCs w:val="24"/>
                  </w:rPr>
                  <w:t>specialieji teisės aktai:</w:t>
                </w:r>
              </w:p>
              <w:p w14:paraId="01E18348" w14:textId="3D5B4330">
                <w:pPr>
                  <w:jc w:val="both"/>
                  <w:rPr>
                    <w:szCs w:val="24"/>
                  </w:rPr>
                </w:pPr>
                <w:r>
                  <w:rPr>
                    <w:szCs w:val="24"/>
                  </w:rPr>
                  <w:t>1.5. Lietuvos Respublikos sveikatos sistemos įstatymas</w:t>
                </w:r>
                <w:hyperlink r:id="rId12" w:history="1">
                  <w:r>
                    <w:rPr>
                      <w:vertAlign w:val="superscript"/>
                    </w:rPr>
                    <w:footnoteReference w:id="7"/>
                  </w:r>
                </w:hyperlink>
                <w:r>
                  <w:rPr>
                    <w:szCs w:val="24"/>
                  </w:rPr>
                  <w:t>;</w:t>
                </w:r>
              </w:p>
              <w:p w14:paraId="01E18349" w14:textId="4CF2A58C">
                <w:pPr>
                  <w:tabs>
                    <w:tab w:val="left" w:pos="600"/>
                  </w:tabs>
                  <w:jc w:val="both"/>
                  <w:rPr>
                    <w:color w:val="000000"/>
                    <w:szCs w:val="24"/>
                  </w:rPr>
                </w:pPr>
                <w:r>
                  <w:rPr>
                    <w:color w:val="000000"/>
                    <w:szCs w:val="24"/>
                  </w:rPr>
                  <w:t xml:space="preserve">1.6. </w:t>
                </w:r>
                <w:r>
                  <w:rPr>
                    <w:szCs w:val="24"/>
                  </w:rPr>
                  <w:t>Lietuvos Respublikos sveikatos sistemos įstatymo Nr. I-552 2 straipsnio pakeitimo ir įstatymo papildymo 12-1 ir 51-1 straipsniais įstatymas, patvirtintas Lietuvos Respublikos Seimo 2022 m. birželio 30 d. sprendimu Nr. XIV-1279;</w:t>
                </w:r>
              </w:p>
              <w:p w14:paraId="01E1834A" w14:textId="6F4864D2">
                <w:pPr>
                  <w:jc w:val="both"/>
                  <w:rPr>
                    <w:szCs w:val="24"/>
                  </w:rPr>
                </w:pPr>
                <w:r>
                  <w:rPr>
                    <w:szCs w:val="24"/>
                  </w:rPr>
                  <w:t>1.7. Lietuvos Respublikos valstybės informacinių išteklių valdymo įstatymas</w:t>
                </w:r>
                <w:hyperlink r:id="rId13" w:history="1">
                  <w:r>
                    <w:rPr>
                      <w:vertAlign w:val="superscript"/>
                    </w:rPr>
                    <w:footnoteReference w:id="8"/>
                  </w:r>
                </w:hyperlink>
                <w:r>
                  <w:rPr>
                    <w:szCs w:val="24"/>
                  </w:rPr>
                  <w:t xml:space="preserve">; </w:t>
                </w:r>
              </w:p>
              <w:p w14:paraId="01E1834B" w14:textId="3915C01F">
                <w:pPr>
                  <w:jc w:val="both"/>
                  <w:rPr>
                    <w:szCs w:val="24"/>
                  </w:rPr>
                </w:pPr>
                <w:r>
                  <w:rPr>
                    <w:szCs w:val="24"/>
                  </w:rPr>
                  <w:t>1.8. Lietuvos Respublikos kibernetinio saugumo įstatymas</w:t>
                </w:r>
                <w:hyperlink r:id="rId14" w:history="1">
                  <w:r>
                    <w:rPr>
                      <w:vertAlign w:val="superscript"/>
                    </w:rPr>
                    <w:footnoteReference w:id="9"/>
                  </w:r>
                </w:hyperlink>
                <w:r>
                  <w:rPr>
                    <w:szCs w:val="24"/>
                  </w:rPr>
                  <w:t>;</w:t>
                </w:r>
              </w:p>
              <w:p w14:paraId="01E1834C" w14:textId="6E70431F">
                <w:pPr>
                  <w:jc w:val="both"/>
                  <w:rPr>
                    <w:szCs w:val="24"/>
                  </w:rPr>
                </w:pPr>
                <w:r>
                  <w:rPr>
                    <w:szCs w:val="24"/>
                  </w:rPr>
                  <w:t>1.9. Valstybės informacinių sistemų steigimo, kūrimo, modernizavimo ir likvidavimo tvarkos aprašas</w:t>
                </w:r>
                <w:hyperlink r:id="rId15" w:history="1">
                  <w:r>
                    <w:rPr>
                      <w:vertAlign w:val="superscript"/>
                    </w:rPr>
                    <w:footnoteReference w:id="10"/>
                  </w:r>
                </w:hyperlink>
                <w:r>
                  <w:rPr>
                    <w:szCs w:val="24"/>
                  </w:rPr>
                  <w:t>, patvirtintas Lietuvos Respublikos Vyriausybės 2013  m. vasario 27 d. nutarimu Nr. 180 „Dėl Valstybės informacinių sistemų steigimo, kūrimo, modernizavimo ir likvidavimo tvarkos aprašo patvirtinimo“;</w:t>
                </w:r>
              </w:p>
              <w:p w14:paraId="01E1834D" w14:textId="0D2218DA">
                <w:pPr>
                  <w:jc w:val="both"/>
                  <w:rPr>
                    <w:szCs w:val="24"/>
                  </w:rPr>
                </w:pPr>
                <w:r>
                  <w:rPr>
                    <w:szCs w:val="24"/>
                  </w:rPr>
                  <w:t>1.10. Valstybės informacinių sistemų gyvavimo ciklo valdymo metodika</w:t>
                </w:r>
                <w:hyperlink r:id="rId16" w:history="1">
                  <w:r>
                    <w:rPr>
                      <w:vertAlign w:val="superscript"/>
                    </w:rPr>
                    <w:footnoteReference w:id="11"/>
                  </w:r>
                </w:hyperlink>
                <w:r>
                  <w:rPr>
                    <w:szCs w:val="24"/>
                  </w:rPr>
                  <w:t>, patvirtinta Informacinės visuomenės plėtros komiteto prie Susisiekimo ministerijos direktoriaus 2014 m. vasario 25 d. įsakymu Nr. T-29 „Dėl Valstybės informacinių sistemų gyvavimo ciklo valdymo metodikos patvirtinimo“;</w:t>
                </w:r>
              </w:p>
              <w:p w14:paraId="01E1834E" w14:textId="775A07BB">
                <w:pPr>
                  <w:jc w:val="both"/>
                  <w:rPr>
                    <w:szCs w:val="24"/>
                  </w:rPr>
                </w:pPr>
                <w:r>
                  <w:rPr>
                    <w:szCs w:val="24"/>
                  </w:rPr>
                  <w:t>1.11. Elektroninių paslaugų kūrimo metodika</w:t>
                </w:r>
                <w:hyperlink r:id="rId17" w:history="1">
                  <w:r>
                    <w:rPr>
                      <w:vertAlign w:val="superscript"/>
                    </w:rPr>
                    <w:footnoteReference w:id="12"/>
                  </w:r>
                </w:hyperlink>
                <w:r>
                  <w:rPr>
                    <w:szCs w:val="24"/>
                  </w:rPr>
                  <w:t>, patvirtinta Lietuvos Respublikos susisiekimo ministro 2015 m. spalio 7 d. įsakymu Nr. 3-416(1.5 E) „Dėl metodinių dokumentų patvirtinimo“;</w:t>
                </w:r>
              </w:p>
              <w:p w14:paraId="01E1834F" w14:textId="1AD7720B">
                <w:pPr>
                  <w:jc w:val="both"/>
                  <w:rPr>
                    <w:szCs w:val="24"/>
                  </w:rPr>
                </w:pPr>
                <w:r>
                  <w:rPr>
                    <w:szCs w:val="24"/>
                  </w:rPr>
                  <w:t>1.12. Bendrųjų reikalavimų valstybės ir savivaldybių institucijų ir įstaigų interneto svetainėms ir mobiliosioms programoms aprašas</w:t>
                </w:r>
                <w:hyperlink r:id="rId18" w:history="1">
                  <w:r>
                    <w:rPr>
                      <w:vertAlign w:val="superscript"/>
                    </w:rPr>
                    <w:footnoteReference w:id="13"/>
                  </w:r>
                </w:hyperlink>
                <w:r>
                  <w:rPr>
                    <w:szCs w:val="24"/>
                  </w:rPr>
                  <w:t>, patvirtintas Lietuvos Respublikos Vyriausybės 2003 m. balandžio 18 d. nutarimu Nr. 480 „Dėl Bendrųjų reikalavimų valstybės ir savivaldybių institucijų ir įstaigų interneto svetainėms ir mobiliosioms programoms aprašo patvirtinimo“;</w:t>
                </w:r>
              </w:p>
              <w:p w14:paraId="01E18350" w14:textId="0D984A56">
                <w:pPr>
                  <w:jc w:val="both"/>
                  <w:rPr>
                    <w:szCs w:val="24"/>
                  </w:rPr>
                </w:pPr>
                <w:r>
                  <w:rPr>
                    <w:szCs w:val="24"/>
                  </w:rPr>
                  <w:t>1.13. Kuriamų viešųjų ir administracinių elektroninių paslaugų tinkamumo naudotojams užtikrinimo priemonių metodinės rekomendacijos</w:t>
                </w:r>
                <w:hyperlink r:id="rId19" w:history="1">
                  <w:r>
                    <w:rPr>
                      <w:vertAlign w:val="superscript"/>
                    </w:rPr>
                    <w:footnoteReference w:id="14"/>
                  </w:r>
                </w:hyperlink>
                <w:r>
                  <w:rPr>
                    <w:szCs w:val="24"/>
                  </w:rPr>
                  <w:t>,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01E18362" w14:textId="37A2729A">
                <w:pPr>
                  <w:jc w:val="both"/>
                  <w:rPr>
                    <w:szCs w:val="24"/>
                  </w:rPr>
                </w:pPr>
                <w:r>
                  <w:rPr>
                    <w:szCs w:val="24"/>
                  </w:rPr>
                  <w:t>1.14. Neįgaliesiems pritaikytų interneto tinklalapių kūrimo, testavimo ir įvertinimo metodinės rekomendacijos</w:t>
                </w:r>
                <w:hyperlink r:id="rId20" w:history="1">
                  <w:r>
                    <w:rPr>
                      <w:vertAlign w:val="superscript"/>
                    </w:rPr>
                    <w:footnoteReference w:id="15"/>
                  </w:r>
                </w:hyperlink>
                <w:r>
                  <w:rPr>
                    <w:szCs w:val="24"/>
                  </w:rPr>
                  <w:t>,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tc>
          </w:tr>
          <w:tr w14:paraId="01E18365" w14:textId="77777777">
            <w:tc>
              <w:tcPr>
                <w:tcW w:w="15026" w:type="dxa"/>
              </w:tcPr>
              <w:p w14:paraId="01E18364" w14:textId="77777777">
                <w:pPr>
                  <w:rPr>
                    <w:b/>
                    <w:szCs w:val="24"/>
                  </w:rPr>
                </w:pPr>
                <w:r>
                  <w:rPr>
                    <w:b/>
                    <w:szCs w:val="24"/>
                  </w:rPr>
                  <w:t>2. Reikalavimai projektams</w:t>
                </w:r>
              </w:p>
            </w:tc>
          </w:tr>
          <w:tr w14:paraId="01E1837E" w14:textId="77777777">
            <w:tc>
              <w:tcPr>
                <w:tcW w:w="15026" w:type="dxa"/>
              </w:tcPr>
              <w:p w14:paraId="498919DA" w14:textId="748D743F">
                <w:pPr>
                  <w:jc w:val="both"/>
                </w:pPr>
                <w:r>
                  <w:t xml:space="preserve">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t>
                </w:r>
                <w:r>
                  <w:rPr>
                    <w:color w:val="0563C1"/>
                    <w:u w:val="single"/>
                  </w:rPr>
                  <w:t>www.esveikata.lt</w:t>
                </w:r>
                <w:r>
                  <w: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2BB1A859" w14:textId="3F57D1F6">
                <w:pPr>
                  <w:jc w:val="both"/>
                </w:pPr>
                <w:r>
                  <w:t>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funkcionalumų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dekomponavimas į atskiras sistemas pagal paslaugas, kas leis ir greitesnį vystymą, savalaikį plėtojimą atliepiantį naudotojų lūkesčius, bei išskaidyti infrastruktūrinius sprendimus atskiroms paslaugomis. Visa tai padės stabilizuoti esamų paslaugų veiklą, pagreitinti naujų paslaugų įgyvendinimą, teikti duomenis suinteresuotoms institucijoms, bei padidins greitaveiką.</w:t>
                </w:r>
              </w:p>
              <w:p w14:paraId="232139A8" w14:textId="265534E2">
                <w:pPr>
                  <w:tabs>
                    <w:tab w:val="left" w:pos="600"/>
                  </w:tabs>
                  <w:jc w:val="both"/>
                  <w:rPr>
                    <w:szCs w:val="24"/>
                    <w:lang w:eastAsia="lt-LT"/>
                  </w:rPr>
                </w:pPr>
                <w:r>
                  <w:rPr>
                    <w:color w:val="000000"/>
                    <w:szCs w:val="24"/>
                  </w:rPr>
                  <w:t xml:space="preserve">2.1. Įgyvendinant Pažangos priemonę investicijos bus skiriamos </w:t>
                </w:r>
                <w:r>
                  <w:t>ESPBI IS sudarančių posistemių dekomponavimui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žurnalizavimo komponento sukūrimui; specialisto, paciento, farmacininko portalų dekomponavimui į atskirus modulius; ESPBI duomenų saugyklų techninės dalies išplėtimui / įsigijimui; saugios įrangos atnaujinimui / įsigijimui; kt.). Bus investuojama į infrastruktūros sukūrimą, įrangos įsigijimą. </w:t>
                </w:r>
              </w:p>
              <w:p w14:paraId="01E18368" w14:textId="71A03D3F">
                <w:pPr>
                  <w:tabs>
                    <w:tab w:val="left" w:pos="731"/>
                  </w:tabs>
                  <w:jc w:val="both"/>
                  <w:rPr>
                    <w:color w:val="000000"/>
                    <w:szCs w:val="24"/>
                    <w:lang w:eastAsia="lt-LT"/>
                  </w:rPr>
                </w:pPr>
                <w:r>
                  <w:rPr>
                    <w:color w:val="000000"/>
                    <w:szCs w:val="24"/>
                  </w:rPr>
                  <w:t xml:space="preserve">2.2. Pagal šį Aprašą įgyvendinamas 1 (vienas) projektas. Galimas pareiškėjas – </w:t>
                </w:r>
                <w:r>
                  <w:rPr>
                    <w:color w:val="000000"/>
                    <w:szCs w:val="24"/>
                    <w:lang w:eastAsia="lt-LT"/>
                  </w:rPr>
                  <w:t>valstybės įmonė Registrų centras.</w:t>
                </w:r>
              </w:p>
              <w:p w14:paraId="1C1CB9E4" w14:textId="77777777">
                <w:pPr>
                  <w:ind w:firstLine="22"/>
                  <w:jc w:val="both"/>
                </w:pPr>
                <w:r>
                  <w:t>2.3. Pagal šį Aprašą projekto partneriai negalimi.</w:t>
                </w:r>
              </w:p>
              <w:p w14:paraId="43E07BAB" w14:textId="419B919A">
                <w:pPr>
                  <w:ind w:firstLine="22"/>
                  <w:jc w:val="both"/>
                  <w:rPr>
                    <w:color w:val="000000"/>
                    <w:szCs w:val="24"/>
                  </w:rPr>
                </w:pPr>
                <w:r>
                  <w:rPr>
                    <w:szCs w:val="24"/>
                  </w:rPr>
                  <w:t xml:space="preserve">2.4. </w:t>
                </w:r>
                <w:r>
                  <w:rPr>
                    <w:bCs/>
                    <w:szCs w:val="24"/>
                  </w:rPr>
                  <w:t>Projektui pagal šio Aprašo veiklą įgyvendinti galima skirti suma iki 22 504 130,00 Eur (dvidešimt dviejų milijonų penkių šimtų keturių tūkstančių šimto trisdešimt eurų) EGADP lėšų ir iki 4 725 867,00 Eur (keturių milijonų septynių šimtų dvidešimt penkių tūkstančių aštuonių šimtų šešiasdešimt septynių eurų) VB lėšų,</w:t>
                </w:r>
                <w:r>
                  <w:rPr>
                    <w:szCs w:val="24"/>
                  </w:rPr>
                  <w:t xml:space="preserve"> skirtų netinkamam PVM apmokėti</w:t>
                </w:r>
                <w:r>
                  <w:rPr>
                    <w:color w:val="000000"/>
                    <w:szCs w:val="24"/>
                  </w:rPr>
                  <w:t>.</w:t>
                </w:r>
              </w:p>
              <w:p w14:paraId="423547F6" w14:textId="0BEE3B22">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01E1836A" w14:textId="366F7E59">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 ESPBI IS sudarančių posistemių dekomponavimas</w:t>
                </w:r>
                <w:r>
                  <w:rPr>
                    <w:iCs/>
                    <w:szCs w:val="24"/>
                  </w:rPr>
                  <w:t xml:space="preserve">. </w:t>
                </w:r>
                <w:r>
                  <w:rPr>
                    <w:szCs w:val="24"/>
                    <w:lang w:eastAsia="lt-LT"/>
                  </w:rPr>
                  <w:t xml:space="preserve">Finansuojama: </w:t>
                </w:r>
              </w:p>
              <w:p w14:paraId="74FE900F" w14:textId="2163B96E">
                <w:pPr>
                  <w:tabs>
                    <w:tab w:val="left" w:pos="459"/>
                  </w:tabs>
                  <w:ind w:left="459"/>
                  <w:rPr>
                    <w:szCs w:val="24"/>
                    <w:lang w:eastAsia="lt-LT"/>
                  </w:rPr>
                </w:pPr>
                <w:r>
                  <w:rPr>
                    <w:szCs w:val="24"/>
                    <w:lang w:eastAsia="lt-LT"/>
                  </w:rPr>
                  <w:t>2.6.1. ESPBI IS sudarančių posistemių dekomponavimas ir su tuo susijusios veiklos bei išlaidos:</w:t>
                </w:r>
              </w:p>
              <w:p w14:paraId="64E9942F" w14:textId="67989851">
                <w:pPr>
                  <w:tabs>
                    <w:tab w:val="left" w:pos="459"/>
                  </w:tabs>
                  <w:ind w:left="1296" w:hanging="838"/>
                  <w:jc w:val="both"/>
                  <w:rPr>
                    <w:szCs w:val="24"/>
                    <w:lang w:eastAsia="lt-LT"/>
                  </w:rPr>
                </w:pPr>
                <w:r>
                  <w:rPr>
                    <w:szCs w:val="24"/>
                    <w:lang w:eastAsia="lt-LT"/>
                  </w:rPr>
                  <w:t xml:space="preserve">2.6.1.1. Pacientų registro kaip atskiro komponento sukūrimas; </w:t>
                </w:r>
              </w:p>
              <w:p w14:paraId="6FE6B38D" w14:textId="6FABC845">
                <w:pPr>
                  <w:tabs>
                    <w:tab w:val="left" w:pos="459"/>
                  </w:tabs>
                  <w:ind w:left="33" w:firstLine="425"/>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00831852" w14:textId="73800609">
                <w:pPr>
                  <w:tabs>
                    <w:tab w:val="left" w:pos="459"/>
                  </w:tabs>
                  <w:ind w:left="1296" w:hanging="838"/>
                  <w:jc w:val="both"/>
                  <w:rPr>
                    <w:szCs w:val="24"/>
                    <w:lang w:eastAsia="lt-LT"/>
                  </w:rPr>
                </w:pPr>
                <w:r>
                  <w:rPr>
                    <w:szCs w:val="24"/>
                    <w:lang w:eastAsia="lt-LT"/>
                  </w:rPr>
                  <w:t xml:space="preserve">2.6.1.3. Terminologijų ir klasifikatorių posistemės sukūrimas (terminologijų serveris, skirtas duomenų apsikeitimui užtikrinti); </w:t>
                </w:r>
              </w:p>
              <w:p w14:paraId="4048AB13" w14:textId="273CB87F">
                <w:pPr>
                  <w:tabs>
                    <w:tab w:val="left" w:pos="459"/>
                  </w:tabs>
                  <w:ind w:left="1296" w:hanging="838"/>
                  <w:jc w:val="both"/>
                  <w:rPr>
                    <w:szCs w:val="24"/>
                    <w:lang w:eastAsia="lt-LT"/>
                  </w:rPr>
                </w:pPr>
                <w:r>
                  <w:rPr>
                    <w:szCs w:val="24"/>
                    <w:lang w:eastAsia="lt-LT"/>
                  </w:rPr>
                  <w:t>2.6.1.4. Prieigos teisių prie ESI kontrolės ir valdymo komponento sukūrimas;</w:t>
                </w:r>
              </w:p>
              <w:p w14:paraId="3ED7D4F7" w14:textId="2022FA73">
                <w:pPr>
                  <w:tabs>
                    <w:tab w:val="left" w:pos="459"/>
                  </w:tabs>
                  <w:ind w:left="1296" w:hanging="838"/>
                  <w:jc w:val="both"/>
                  <w:rPr>
                    <w:szCs w:val="24"/>
                    <w:lang w:eastAsia="lt-LT"/>
                  </w:rPr>
                </w:pPr>
                <w:r>
                  <w:rPr>
                    <w:szCs w:val="24"/>
                    <w:lang w:eastAsia="lt-LT"/>
                  </w:rPr>
                  <w:t>2.6.1.5. Nacionalinės ESI saugyklos, pagrįstos šiuolaikiniais industriniais standartais, sukūrimas;</w:t>
                </w:r>
              </w:p>
              <w:p w14:paraId="7911DD98" w14:textId="362FE7CE">
                <w:pPr>
                  <w:tabs>
                    <w:tab w:val="left" w:pos="459"/>
                  </w:tabs>
                  <w:ind w:left="1296" w:hanging="838"/>
                  <w:jc w:val="both"/>
                  <w:rPr>
                    <w:szCs w:val="24"/>
                    <w:lang w:eastAsia="lt-LT"/>
                  </w:rPr>
                </w:pPr>
                <w:r>
                  <w:rPr>
                    <w:szCs w:val="24"/>
                    <w:lang w:eastAsia="lt-LT"/>
                  </w:rPr>
                  <w:t>2.6.1.6. Auditavimo ir žurnalizavimo komponento, skirto ESPBI komponentų žurnalizavimui, sukūrimas;</w:t>
                </w:r>
              </w:p>
              <w:p w14:paraId="21F554FE" w14:textId="77777777">
                <w:pPr>
                  <w:tabs>
                    <w:tab w:val="left" w:pos="459"/>
                  </w:tabs>
                  <w:ind w:left="1296" w:hanging="838"/>
                  <w:jc w:val="both"/>
                  <w:rPr>
                    <w:szCs w:val="24"/>
                    <w:lang w:eastAsia="lt-LT"/>
                  </w:rPr>
                </w:pPr>
                <w:r>
                  <w:rPr>
                    <w:szCs w:val="24"/>
                    <w:lang w:eastAsia="lt-LT"/>
                  </w:rPr>
                  <w:t>2.6.1.7. specialisto, paciento, farmacininko portalų dekomponavimas į atskirus modulius;</w:t>
                </w:r>
              </w:p>
              <w:p w14:paraId="5BCA48B9" w14:textId="77777777">
                <w:pPr>
                  <w:tabs>
                    <w:tab w:val="left" w:pos="459"/>
                  </w:tabs>
                  <w:ind w:left="1296" w:hanging="838"/>
                  <w:jc w:val="both"/>
                  <w:rPr>
                    <w:szCs w:val="24"/>
                    <w:lang w:eastAsia="lt-LT"/>
                  </w:rPr>
                </w:pPr>
                <w:r>
                  <w:rPr>
                    <w:szCs w:val="24"/>
                    <w:lang w:eastAsia="lt-LT"/>
                  </w:rPr>
                  <w:t xml:space="preserve">2.6.1.8. ESPBI duomenų saugyklų techninės dalies išplėtimas / įsigijimas;  </w:t>
                </w:r>
              </w:p>
              <w:p w14:paraId="7A54C0BD" w14:textId="77777777">
                <w:pPr>
                  <w:tabs>
                    <w:tab w:val="left" w:pos="459"/>
                  </w:tabs>
                  <w:ind w:left="1296" w:hanging="838"/>
                  <w:jc w:val="both"/>
                  <w:rPr>
                    <w:szCs w:val="24"/>
                    <w:lang w:eastAsia="lt-LT"/>
                  </w:rPr>
                </w:pPr>
                <w:r>
                  <w:rPr>
                    <w:szCs w:val="24"/>
                    <w:lang w:eastAsia="lt-LT"/>
                  </w:rPr>
                  <w:t>2.6.1.9. saugios įrangos atnaujinimas / įsigijimas;</w:t>
                </w:r>
              </w:p>
              <w:p w14:paraId="7C01A36D" w14:textId="20730334">
                <w:pPr>
                  <w:tabs>
                    <w:tab w:val="left" w:pos="459"/>
                  </w:tabs>
                  <w:ind w:left="1296" w:hanging="838"/>
                  <w:jc w:val="both"/>
                  <w:rPr>
                    <w:szCs w:val="24"/>
                    <w:lang w:eastAsia="lt-LT"/>
                  </w:rPr>
                </w:pPr>
                <w:r>
                  <w:rPr>
                    <w:szCs w:val="24"/>
                    <w:lang w:eastAsia="lt-LT"/>
                  </w:rPr>
                  <w:t>2.6.1.10. kitos veiklos, kurios bus identifikuotos investicinio projekto parengimo metu.</w:t>
                </w:r>
              </w:p>
              <w:p w14:paraId="3A796B94" w14:textId="335B88BE">
                <w:pPr>
                  <w:tabs>
                    <w:tab w:val="left" w:pos="459"/>
                  </w:tabs>
                  <w:jc w:val="both"/>
                  <w:rPr>
                    <w:color w:val="000000"/>
                    <w:szCs w:val="24"/>
                  </w:rPr>
                </w:pPr>
                <w:r>
                  <w:rPr>
                    <w:szCs w:val="24"/>
                  </w:rPr>
                  <w:t xml:space="preserve">2.7. Finansuojamos projekto veiklos turi būti baigtos </w:t>
                </w:r>
                <w:r>
                  <w:rPr>
                    <w:color w:val="000000"/>
                    <w:szCs w:val="24"/>
                  </w:rPr>
                  <w:t>įgyvendinti iki 2025 metų gruodžio 31 d.</w:t>
                </w:r>
              </w:p>
              <w:p w14:paraId="01E1836E" w14:textId="2D2B545F">
                <w:pPr>
                  <w:jc w:val="both"/>
                  <w:rPr>
                    <w:color w:val="000000"/>
                    <w:szCs w:val="24"/>
                  </w:rPr>
                </w:pPr>
                <w:r>
                  <w:rPr>
                    <w:rFonts w:eastAsia="Calibri"/>
                    <w:bCs/>
                    <w:szCs w:val="24"/>
                  </w:rPr>
                  <w:t>2.8. Pagal Aprašą veikla įgyvendinama valstybės planavimo būdu.</w:t>
                </w:r>
              </w:p>
              <w:p w14:paraId="01E1836F" w14:textId="4C9D587C">
                <w:pPr>
                  <w:jc w:val="both"/>
                  <w:rPr>
                    <w:rFonts w:eastAsia="Calibri"/>
                    <w:szCs w:val="24"/>
                  </w:rPr>
                </w:pPr>
                <w:r>
                  <w:rPr>
                    <w:szCs w:val="24"/>
                  </w:rPr>
                  <w:t xml:space="preserve">2.9.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D488E9D" w14:textId="2E93CB60">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Projektų administravimo ir finansavimo taisyklių VIII skyriaus pirmojo skirsnio nuostatomis</w:t>
                </w:r>
                <w:r>
                  <w:rPr>
                    <w:rFonts w:eastAsia="Calibri"/>
                    <w:szCs w:val="24"/>
                  </w:rPr>
                  <w:t>.</w:t>
                </w:r>
              </w:p>
              <w:p w14:paraId="01E18371" w14:textId="66FDB24B">
                <w:pPr>
                  <w:tabs>
                    <w:tab w:val="left" w:pos="459"/>
                  </w:tabs>
                  <w:jc w:val="both"/>
                  <w:rPr>
                    <w:szCs w:val="24"/>
                  </w:rPr>
                </w:pPr>
                <w:r>
                  <w:rPr>
                    <w:rFonts w:eastAsia="Calibri"/>
                    <w:szCs w:val="24"/>
                  </w:rPr>
                  <w:t>2.11. P</w:t>
                </w:r>
                <w:r>
                  <w:rPr>
                    <w:szCs w:val="24"/>
                  </w:rPr>
                  <w:t xml:space="preserve">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01E18373" w14:textId="6FEDDEB5">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01E18374" w14:textId="6A8841B9">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1E18375" w14:textId="41E1D135">
                <w:pPr>
                  <w:tabs>
                    <w:tab w:val="left" w:pos="680"/>
                  </w:tabs>
                  <w:jc w:val="both"/>
                  <w:rPr>
                    <w:szCs w:val="24"/>
                  </w:rPr>
                </w:pPr>
                <w:r>
                  <w:rPr>
                    <w:szCs w:val="24"/>
                  </w:rPr>
                  <w:t>2.12.2.</w:t>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paskelbta </w:t>
                </w:r>
                <w:r>
                  <w:rPr>
                    <w:color w:val="0563C1"/>
                    <w:szCs w:val="24"/>
                    <w:u w:val="single"/>
                    <w:lang w:eastAsia="lt-LT"/>
                  </w:rPr>
                  <w:t>http://www.cpva.lt/</w:t>
                </w:r>
                <w:r>
                  <w:rPr>
                    <w:szCs w:val="24"/>
                    <w:lang w:eastAsia="lt-LT"/>
                  </w:rPr>
                  <w:t xml:space="preserve"> skiltyje „</w:t>
                </w:r>
                <w:r>
                  <w:rPr>
                    <w:szCs w:val="24"/>
                  </w:rPr>
                  <w:t>Plėtros programų portfelio metodinės pagalbos centras“ prie „Dokumentai“</w:t>
                </w:r>
                <w:r>
                  <w:rPr>
                    <w:szCs w:val="24"/>
                    <w:lang w:eastAsia="lt-LT"/>
                  </w:rPr>
                  <w:t>;</w:t>
                </w:r>
              </w:p>
              <w:p w14:paraId="01E18376" w14:textId="569BCF46">
                <w:pPr>
                  <w:jc w:val="both"/>
                  <w:rPr>
                    <w:szCs w:val="24"/>
                  </w:rPr>
                </w:pPr>
                <w:r>
                  <w:rPr>
                    <w:szCs w:val="24"/>
                  </w:rPr>
                  <w:t xml:space="preserve">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01E18378" w14:textId="0D71659B">
                <w:pPr>
                  <w:tabs>
                    <w:tab w:val="left" w:pos="426"/>
                    <w:tab w:val="left" w:pos="709"/>
                  </w:tabs>
                  <w:jc w:val="both"/>
                  <w:rPr>
                    <w:szCs w:val="24"/>
                  </w:rPr>
                </w:pPr>
                <w:r>
                  <w:rPr>
                    <w:szCs w:val="24"/>
                  </w:rPr>
                  <w:t>2.13. Taikomi reikalavimai projekto įgyvendinimo metu:</w:t>
                </w:r>
              </w:p>
              <w:p w14:paraId="01E18379" w14:textId="47F37975">
                <w:pPr>
                  <w:tabs>
                    <w:tab w:val="left" w:pos="426"/>
                    <w:tab w:val="left" w:pos="709"/>
                  </w:tabs>
                  <w:jc w:val="both"/>
                  <w:rPr>
                    <w:szCs w:val="24"/>
                    <w:lang w:eastAsia="lt-LT"/>
                  </w:rPr>
                </w:pPr>
                <w:r>
                  <w:rPr>
                    <w:szCs w:val="24"/>
                  </w:rPr>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1E1837A" w14:textId="28A45740">
                <w:pPr>
                  <w:tabs>
                    <w:tab w:val="left" w:pos="426"/>
                    <w:tab w:val="left" w:pos="709"/>
                  </w:tabs>
                  <w:jc w:val="both"/>
                  <w:rPr>
                    <w:color w:val="000000"/>
                    <w:szCs w:val="24"/>
                  </w:rPr>
                </w:pPr>
                <w:r>
                  <w:rPr>
                    <w:szCs w:val="24"/>
                  </w:rPr>
                  <w:t>2.13.2. sukūrus ar modernizavus elektronines paslaugas, turi būti atliktas atsparumo įsilaužimams testas, kaip tai numatyta Elektroninių paslaugų kūrimo metodikoje, nustačius kritinių klaidų, jos turi būti ištaisytos iki projekto veiklų pabaigos;</w:t>
                </w:r>
              </w:p>
              <w:p w14:paraId="01E1837D" w14:textId="48BF3C9A">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14:paraId="01E18380" w14:textId="77777777">
            <w:tc>
              <w:tcPr>
                <w:tcW w:w="15026" w:type="dxa"/>
              </w:tcPr>
              <w:p w14:paraId="01E1837F" w14:textId="73368B21">
                <w:pPr>
                  <w:jc w:val="both"/>
                  <w:rPr>
                    <w:iCs/>
                    <w:szCs w:val="24"/>
                  </w:rPr>
                </w:pPr>
                <w:r>
                  <w:rPr>
                    <w:b/>
                    <w:szCs w:val="24"/>
                  </w:rPr>
                  <w:t>3. Reikalavimai jungtinio projekto projektams ir jungtinio projekto projektų pareiškėjams</w:t>
                </w:r>
              </w:p>
            </w:tc>
          </w:tr>
          <w:tr w14:paraId="01E18382" w14:textId="77777777">
            <w:trPr>
              <w:trHeight w:val="235"/>
            </w:trPr>
            <w:tc>
              <w:tcPr>
                <w:tcW w:w="15026" w:type="dxa"/>
              </w:tcPr>
              <w:p w14:paraId="01E18381" w14:textId="77777777">
                <w:pPr>
                  <w:jc w:val="both"/>
                  <w:rPr>
                    <w:szCs w:val="24"/>
                  </w:rPr>
                </w:pPr>
                <w:r>
                  <w:rPr>
                    <w:szCs w:val="24"/>
                  </w:rPr>
                  <w:t>Netaikoma.</w:t>
                </w:r>
              </w:p>
            </w:tc>
          </w:tr>
          <w:tr w14:paraId="23D2E76D" w14:textId="77777777">
            <w:trPr>
              <w:trHeight w:val="235"/>
            </w:trPr>
            <w:tc>
              <w:tcPr>
                <w:tcW w:w="15026" w:type="dxa"/>
              </w:tcPr>
              <w:p w14:paraId="3B82CBD8" w14:textId="7709013D">
                <w:pPr>
                  <w:jc w:val="both"/>
                  <w:rPr>
                    <w:szCs w:val="24"/>
                  </w:rPr>
                </w:pPr>
                <w:r>
                  <w:rPr>
                    <w:b/>
                    <w:szCs w:val="24"/>
                  </w:rPr>
                  <w:t>4. Projekto tikslinės grupės</w:t>
                </w:r>
              </w:p>
            </w:tc>
          </w:tr>
          <w:tr w14:paraId="7042FFF9" w14:textId="77777777">
            <w:trPr>
              <w:trHeight w:val="235"/>
            </w:trPr>
            <w:tc>
              <w:tcPr>
                <w:tcW w:w="15026" w:type="dxa"/>
              </w:tcPr>
              <w:p w14:paraId="31826802" w14:textId="77777777">
                <w:pPr>
                  <w:jc w:val="both"/>
                  <w:rPr>
                    <w:color w:val="000000"/>
                    <w:szCs w:val="24"/>
                  </w:rPr>
                </w:pPr>
                <w:r>
                  <w:rPr>
                    <w:szCs w:val="24"/>
                  </w:rPr>
                  <w:t xml:space="preserve">Tikslinė grupė – </w:t>
                </w:r>
                <w:r>
                  <w:rPr>
                    <w:color w:val="000000"/>
                    <w:szCs w:val="24"/>
                  </w:rPr>
                  <w:t>Lietuvos Respublikos gyventojai, sveikatos priežiūros specialistai ir kiti specialistai, dirbantys visuomenės sveikatos priežiūros, farmacijos, asmens sveikatos priežiūros ir kontrolės funkcijas atliekančiose įstaigose.</w:t>
                </w:r>
              </w:p>
              <w:p w14:paraId="5C4F7B88" w14:textId="543F9DF6">
                <w:r>
                  <w:rPr>
                    <w:color w:val="000000"/>
                    <w:szCs w:val="24"/>
                  </w:rPr>
                  <w:t>Tikslinių grupių poreikiai bus išgryninti investiciniame projekte.</w:t>
                </w:r>
              </w:p>
            </w:tc>
          </w:tr>
          <w:tr w14:paraId="01E18384" w14:textId="77777777">
            <w:trPr>
              <w:trHeight w:val="285"/>
            </w:trPr>
            <w:tc>
              <w:tcPr>
                <w:tcW w:w="15026" w:type="dxa"/>
              </w:tcPr>
              <w:p w14:paraId="01E18383" w14:textId="698D1B49">
                <w:pPr>
                  <w:rPr>
                    <w:sz w:val="22"/>
                    <w:szCs w:val="22"/>
                  </w:rPr>
                </w:pPr>
                <w:r>
                  <w:rPr>
                    <w:b/>
                    <w:szCs w:val="24"/>
                  </w:rPr>
                  <w:t>5. Horizontaliųjų principų (toliau – HP) reikalavimai</w:t>
                </w:r>
              </w:p>
            </w:tc>
          </w:tr>
          <w:tr w14:paraId="01E18388" w14:textId="77777777">
            <w:tc>
              <w:tcPr>
                <w:tcW w:w="15026" w:type="dxa"/>
              </w:tcPr>
              <w:p w14:paraId="7393CFEF" w14:textId="7777777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89CE77C" w14:textId="06E06592">
                <w:pPr>
                  <w:jc w:val="both"/>
                  <w:rPr>
                    <w:bCs/>
                    <w:szCs w:val="24"/>
                  </w:rPr>
                </w:pPr>
                <w:r>
                  <w:rPr>
                    <w:szCs w:val="24"/>
                  </w:rPr>
                  <w:t xml:space="preserve">Įvertinus </w:t>
                </w:r>
                <w:r>
                  <w:rPr>
                    <w:szCs w:val="24"/>
                    <w:shd w:val="clear" w:color="auto" w:fill="FFFFFF"/>
                    <w:lang w:eastAsia="lt-LT"/>
                  </w:rPr>
                  <w:t>EGADP 1 komponento planuojamos 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066923A4" w14:textId="77777777">
                <w:pPr>
                  <w:jc w:val="both"/>
                </w:pPr>
                <w:r>
                  <w:t>Projektų atitikties reikšmingos žalos nedarymo HP vertinimo reikalavimai pateikiami Aprašo priede „Projekto atitikties reikšmingos žalos nedarymo horizontaliajam principui vertinimo reikalavimų aprašas“.</w:t>
                </w:r>
              </w:p>
              <w:p w14:paraId="01E18387" w14:textId="0A8908C6">
                <w:pPr>
                  <w:jc w:val="both"/>
                  <w:rPr>
                    <w:i/>
                    <w:iCs/>
                    <w:szCs w:val="24"/>
                  </w:rPr>
                </w:pPr>
                <w:r>
                  <w:rPr>
                    <w:szCs w:val="24"/>
                  </w:rPr>
                  <w:t>Projekto įgyvendinimo metu </w:t>
                </w:r>
                <w:r>
                  <w:rPr>
                    <w:szCs w:val="24"/>
                    <w:lang w:eastAsia="lt-LT"/>
                  </w:rPr>
                  <w:t>neturi būti pažeidžiamos Jungtinių Tautų neįgaliųjų teisių konvencijos nuostatos.</w:t>
                </w:r>
              </w:p>
            </w:tc>
          </w:tr>
          <w:tr w14:paraId="01E1838A" w14:textId="77777777">
            <w:tc>
              <w:tcPr>
                <w:tcW w:w="15026" w:type="dxa"/>
              </w:tcPr>
              <w:p w14:paraId="01E18389" w14:textId="51924014">
                <w:pPr>
                  <w:spacing w:line="259" w:lineRule="auto"/>
                  <w:jc w:val="both"/>
                  <w:rPr>
                    <w:b/>
                    <w:iCs/>
                    <w:szCs w:val="24"/>
                  </w:rPr>
                </w:pPr>
                <w:r>
                  <w:rPr>
                    <w:b/>
                    <w:iCs/>
                    <w:szCs w:val="24"/>
                  </w:rPr>
                  <w:t>6. Europos Sąjungos pagrindinių teisių chartijos (toliau – Chartija) reikalavimai</w:t>
                </w:r>
              </w:p>
            </w:tc>
          </w:tr>
          <w:tr w14:paraId="01E1838D" w14:textId="77777777">
            <w:tc>
              <w:tcPr>
                <w:tcW w:w="15026" w:type="dxa"/>
              </w:tcPr>
              <w:p w14:paraId="01E1838C" w14:textId="18B4AA3F">
                <w:pPr>
                  <w:jc w:val="both"/>
                  <w:rPr>
                    <w:i/>
                    <w:iCs/>
                    <w:color w:val="FF0000"/>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r>
                  <w:rPr>
                    <w:bCs/>
                    <w:iCs/>
                  </w:rPr>
                  <w:t xml:space="preserve"> </w:t>
                </w:r>
                <w:r>
                  <w:rPr>
                    <w:bCs/>
                    <w:iCs/>
                    <w:szCs w:val="24"/>
                  </w:rPr>
                  <w:t xml:space="preserve">  </w:t>
                </w:r>
              </w:p>
            </w:tc>
          </w:tr>
          <w:tr w14:paraId="01E1838F" w14:textId="77777777">
            <w:tc>
              <w:tcPr>
                <w:tcW w:w="15026" w:type="dxa"/>
              </w:tcPr>
              <w:p w14:paraId="01E1838E" w14:textId="4AB5BA05">
                <w:pPr>
                  <w:rPr>
                    <w:b/>
                    <w:szCs w:val="24"/>
                  </w:rPr>
                </w:pPr>
                <w:r>
                  <w:rPr>
                    <w:b/>
                    <w:szCs w:val="24"/>
                  </w:rPr>
                  <w:t>7. Apskritis, kurioje gali būti įgyvendinami projektai</w:t>
                </w:r>
              </w:p>
            </w:tc>
          </w:tr>
          <w:tr w14:paraId="01E18392" w14:textId="77777777">
            <w:tc>
              <w:tcPr>
                <w:tcW w:w="15026" w:type="dxa"/>
              </w:tcPr>
              <w:p w14:paraId="01E18390" w14:textId="77777777">
                <w:pPr>
                  <w:jc w:val="both"/>
                  <w:rPr>
                    <w:i/>
                    <w:iCs/>
                    <w:szCs w:val="24"/>
                  </w:rPr>
                </w:pPr>
                <w:r>
                  <w:rPr>
                    <w:i/>
                    <w:iCs/>
                    <w:szCs w:val="24"/>
                  </w:rPr>
                  <w:t>Netaikoma.</w:t>
                </w:r>
              </w:p>
              <w:p w14:paraId="01E18391" w14:textId="77777777">
                <w:pPr>
                  <w:jc w:val="both"/>
                  <w:rPr>
                    <w:i/>
                    <w:strike/>
                    <w:szCs w:val="24"/>
                  </w:rPr>
                </w:pPr>
              </w:p>
            </w:tc>
          </w:tr>
          <w:tr w14:paraId="01E18394" w14:textId="77777777">
            <w:tc>
              <w:tcPr>
                <w:tcW w:w="15026" w:type="dxa"/>
              </w:tcPr>
              <w:p w14:paraId="01E18393" w14:textId="4E71FA5F">
                <w:pPr>
                  <w:jc w:val="both"/>
                  <w:rPr>
                    <w:b/>
                    <w:szCs w:val="24"/>
                  </w:rPr>
                </w:pPr>
                <w:r>
                  <w:rPr>
                    <w:b/>
                    <w:szCs w:val="24"/>
                  </w:rPr>
                  <w:t>8.</w:t>
                </w:r>
                <w:r>
                  <w:rPr>
                    <w:szCs w:val="24"/>
                  </w:rPr>
                  <w:t xml:space="preserve"> </w:t>
                </w:r>
                <w:r>
                  <w:rPr>
                    <w:b/>
                    <w:szCs w:val="24"/>
                  </w:rPr>
                  <w:t>Reikalavimai valstybės pagalbai (kurie nėra nurodyti kituose Aprašo punktuose)</w:t>
                </w:r>
              </w:p>
            </w:tc>
          </w:tr>
          <w:tr w14:paraId="01E18397" w14:textId="77777777">
            <w:tc>
              <w:tcPr>
                <w:tcW w:w="15026" w:type="dxa"/>
              </w:tcPr>
              <w:p w14:paraId="01E18396" w14:textId="150F6835">
                <w:pPr>
                  <w:jc w:val="both"/>
                  <w:rPr>
                    <w:i/>
                    <w:iCs/>
                    <w:szCs w:val="24"/>
                  </w:rPr>
                </w:pPr>
                <w:r>
                  <w:rPr>
                    <w:bCs/>
                    <w:szCs w:val="24"/>
                  </w:rPr>
                  <w:t xml:space="preserve">Pagal šį Aprašą valstybės pagalba, kaip ji apibrėžta Sutarties dėl Europos Sąjungos veikimo (OL 2010 C 83, p. 47) 107 straipsnyje, ir </w:t>
                </w:r>
                <w:r>
                  <w:rPr>
                    <w:bCs/>
                    <w:i/>
                    <w:iCs/>
                    <w:szCs w:val="24"/>
                  </w:rPr>
                  <w:t>de minimis</w:t>
                </w:r>
                <w:r>
                  <w:rPr>
                    <w:bCs/>
                    <w:szCs w:val="24"/>
                  </w:rPr>
                  <w:t xml:space="preserve"> pagalba, kuri atitinka 2013 m. gruodžio 18 d. Komisijos reglamento </w:t>
                </w:r>
                <w:r>
                  <w:rPr>
                    <w:bCs/>
                    <w:color w:val="0563C1"/>
                    <w:szCs w:val="24"/>
                    <w:u w:val="single"/>
                  </w:rPr>
                  <w:t>(ES) Nr. 1407/2013</w:t>
                </w:r>
                <w:r>
                  <w:rPr>
                    <w:bCs/>
                    <w:szCs w:val="24"/>
                  </w:rPr>
                  <w:t xml:space="preserve"> dėl Sutarties dėl Europos Sąjungos veikimo 107 ir 108 straipsnių taikymo </w:t>
                </w:r>
                <w:r>
                  <w:rPr>
                    <w:bCs/>
                    <w:i/>
                    <w:iCs/>
                    <w:szCs w:val="24"/>
                  </w:rPr>
                  <w:t>de minimis</w:t>
                </w:r>
                <w:r>
                  <w:rPr>
                    <w:bCs/>
                    <w:szCs w:val="24"/>
                  </w:rPr>
                  <w:t xml:space="preserve"> pagalbai (OL 2013 L 352, p. 1) nuostatas, neteikiama.</w:t>
                </w:r>
              </w:p>
            </w:tc>
          </w:tr>
          <w:tr w14:paraId="01E18399" w14:textId="77777777">
            <w:tc>
              <w:tcPr>
                <w:tcW w:w="15026" w:type="dxa"/>
              </w:tcPr>
              <w:p w14:paraId="01E18398" w14:textId="07D20E92">
                <w:pPr>
                  <w:ind w:left="426" w:hanging="426"/>
                  <w:jc w:val="both"/>
                  <w:rPr>
                    <w:i/>
                    <w:szCs w:val="24"/>
                  </w:rPr>
                </w:pPr>
                <w:r>
                  <w:rPr>
                    <w:b/>
                    <w:szCs w:val="24"/>
                  </w:rPr>
                  <w:t>9. Projektų atrankos kriterijai</w:t>
                </w:r>
              </w:p>
            </w:tc>
          </w:tr>
          <w:tr w14:paraId="01E1839C" w14:textId="77777777">
            <w:trPr>
              <w:trHeight w:val="551"/>
            </w:trPr>
            <w:tc>
              <w:tcPr>
                <w:tcW w:w="15026" w:type="dxa"/>
              </w:tcPr>
              <w:p w14:paraId="01E1839B" w14:textId="3BBF9A92">
                <w:pPr>
                  <w:jc w:val="both"/>
                  <w:rPr>
                    <w:i/>
                    <w:strike/>
                    <w:sz w:val="22"/>
                    <w:szCs w:val="22"/>
                  </w:rPr>
                </w:pPr>
                <w:r>
                  <w:rPr>
                    <w:iCs/>
                    <w:szCs w:val="24"/>
                  </w:rPr>
                  <w:t>Specialieji ir prioritetiniai projektų atrankos kriterijai nėra nustatomi.</w:t>
                </w:r>
              </w:p>
            </w:tc>
          </w:tr>
          <w:tr w14:paraId="01E1839E" w14:textId="77777777">
            <w:trPr>
              <w:trHeight w:val="309"/>
            </w:trPr>
            <w:tc>
              <w:tcPr>
                <w:tcW w:w="15026" w:type="dxa"/>
              </w:tcPr>
              <w:p w14:paraId="01E1839D" w14:textId="29897A3D">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14:paraId="01E183A0" w14:textId="77777777">
            <w:trPr>
              <w:trHeight w:val="521"/>
            </w:trPr>
            <w:tc>
              <w:tcPr>
                <w:tcW w:w="15026" w:type="dxa"/>
              </w:tcPr>
              <w:p w14:paraId="01E1839F" w14:textId="77777777">
                <w:pPr>
                  <w:jc w:val="both"/>
                  <w:rPr>
                    <w:iCs/>
                    <w:szCs w:val="24"/>
                  </w:rPr>
                </w:pPr>
                <w:r>
                  <w:rPr>
                    <w:iCs/>
                    <w:szCs w:val="24"/>
                  </w:rPr>
                  <w:t>Netaikoma.</w:t>
                </w:r>
              </w:p>
            </w:tc>
          </w:tr>
          <w:tr w14:paraId="01E183A2" w14:textId="77777777">
            <w:tc>
              <w:tcPr>
                <w:tcW w:w="15026" w:type="dxa"/>
              </w:tcPr>
              <w:p w14:paraId="01E183A1" w14:textId="7946225E">
                <w:pPr>
                  <w:rPr>
                    <w:b/>
                    <w:szCs w:val="24"/>
                  </w:rPr>
                </w:pPr>
                <w:r>
                  <w:rPr>
                    <w:b/>
                    <w:szCs w:val="24"/>
                  </w:rPr>
                  <w:t xml:space="preserve">11. Reikalavimai įgyvendinus projektų veiklas </w:t>
                </w:r>
              </w:p>
            </w:tc>
          </w:tr>
          <w:tr w14:paraId="01E183A5" w14:textId="77777777">
            <w:tc>
              <w:tcPr>
                <w:tcW w:w="15026" w:type="dxa"/>
              </w:tcPr>
              <w:p w14:paraId="01E183A3" w14:textId="77777777">
                <w:pPr>
                  <w:rPr>
                    <w:iCs/>
                    <w:szCs w:val="24"/>
                  </w:rPr>
                </w:pPr>
                <w:r>
                  <w:rPr>
                    <w:iCs/>
                    <w:szCs w:val="24"/>
                  </w:rPr>
                  <w:t>Papildomi reikalavimai, kurie nėra nurodyti Projektų administravimo ir finansavimo taisyklėse, nenustatyti.</w:t>
                </w:r>
              </w:p>
              <w:p w14:paraId="01E183A4" w14:textId="77777777">
                <w:pPr>
                  <w:rPr>
                    <w:i/>
                    <w:strike/>
                    <w:szCs w:val="24"/>
                  </w:rPr>
                </w:pPr>
              </w:p>
            </w:tc>
          </w:tr>
          <w:tr w14:paraId="01E183A7" w14:textId="77777777">
            <w:tc>
              <w:tcPr>
                <w:tcW w:w="15026" w:type="dxa"/>
              </w:tcPr>
              <w:p w14:paraId="01E183A6" w14:textId="55EDD5D6">
                <w:pPr>
                  <w:rPr>
                    <w:szCs w:val="24"/>
                  </w:rPr>
                </w:pPr>
                <w:r>
                  <w:rPr>
                    <w:b/>
                    <w:szCs w:val="24"/>
                  </w:rPr>
                  <w:t>12. Kiti reikalavimai</w:t>
                </w:r>
              </w:p>
            </w:tc>
          </w:tr>
          <w:tr w14:paraId="01E183A9" w14:textId="77777777">
            <w:tc>
              <w:tcPr>
                <w:tcW w:w="15026" w:type="dxa"/>
              </w:tcPr>
              <w:p w14:paraId="44565126" w14:textId="7981FA54">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351D03A3" w14:textId="2C5B4442">
                <w:pPr>
                  <w:jc w:val="both"/>
                  <w:rPr>
                    <w:bCs/>
                    <w:szCs w:val="24"/>
                  </w:rPr>
                </w:pPr>
                <w:r>
                  <w:rPr>
                    <w:bCs/>
                    <w:szCs w:val="24"/>
                  </w:rPr>
                  <w:t>12.2. Papildomas finansavimas veiklos įgyvendinimui nebus skiriamas.</w:t>
                </w:r>
              </w:p>
              <w:p w14:paraId="0EBBBB72" w14:textId="04EBB202">
                <w:pPr>
                  <w:jc w:val="both"/>
                  <w:rPr>
                    <w:bCs/>
                    <w:szCs w:val="24"/>
                  </w:rPr>
                </w:pPr>
                <w:r>
                  <w:rPr>
                    <w:bCs/>
                    <w:szCs w:val="24"/>
                  </w:rPr>
                  <w:t xml:space="preserve">12.3. </w:t>
                </w:r>
                <w:r>
                  <w:rPr>
                    <w:color w:val="000000"/>
                  </w:rP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color w:val="000000"/>
                    <w:shd w:val="clear" w:color="auto" w:fill="FFFFFF"/>
                  </w:rPr>
                  <w:t xml:space="preserve">, kaip numatyta </w:t>
                </w:r>
                <w:r>
                  <w:rPr>
                    <w:szCs w:val="24"/>
                  </w:rPr>
                  <w:t xml:space="preserve">Projektų administravimo ir finansavimo taisyklių </w:t>
                </w:r>
                <w:r>
                  <w:rPr>
                    <w:color w:val="000000"/>
                    <w:shd w:val="clear" w:color="auto" w:fill="FFFFFF"/>
                  </w:rPr>
                  <w:t>341.5 papunktyje.</w:t>
                </w:r>
              </w:p>
              <w:p w14:paraId="01E183A8" w14:textId="6555D514">
                <w:pPr>
                  <w:spacing w:line="276" w:lineRule="auto"/>
                  <w:jc w:val="both"/>
                  <w:rPr>
                    <w:bCs/>
                    <w:szCs w:val="24"/>
                  </w:rPr>
                </w:pPr>
              </w:p>
            </w:tc>
          </w:tr>
          <w:tr w14:paraId="01E183AB" w14:textId="77777777">
            <w:tc>
              <w:tcPr>
                <w:tcW w:w="15026" w:type="dxa"/>
              </w:tcPr>
              <w:p w14:paraId="01E183AA" w14:textId="77777777">
                <w:pPr>
                  <w:rPr>
                    <w:b/>
                    <w:szCs w:val="24"/>
                  </w:rPr>
                </w:pPr>
                <w:r>
                  <w:rPr>
                    <w:b/>
                    <w:szCs w:val="24"/>
                  </w:rPr>
                  <w:t>IŠLAIDŲ TINKAMUMO FINANSUOTI REIKALAVIMAI</w:t>
                </w:r>
              </w:p>
            </w:tc>
          </w:tr>
          <w:tr w14:paraId="01E183AD" w14:textId="77777777">
            <w:tc>
              <w:tcPr>
                <w:tcW w:w="15026" w:type="dxa"/>
              </w:tcPr>
              <w:p w14:paraId="01E183AC" w14:textId="15BFEA9E">
                <w:pPr>
                  <w:jc w:val="both"/>
                  <w:rPr>
                    <w:b/>
                    <w:szCs w:val="24"/>
                  </w:rPr>
                </w:pPr>
                <w:r>
                  <w:rPr>
                    <w:b/>
                    <w:szCs w:val="24"/>
                  </w:rPr>
                  <w:t>13. Išlaidų tinkamumo finansuoti reikalavimai</w:t>
                </w:r>
              </w:p>
            </w:tc>
          </w:tr>
          <w:tr w14:paraId="01E183B8" w14:textId="77777777">
            <w:tc>
              <w:tcPr>
                <w:tcW w:w="15026" w:type="dxa"/>
              </w:tcPr>
              <w:p w14:paraId="46817DA9" w14:textId="5B7DB221">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7E018213" w14:textId="6C5C7A14">
                <w:pPr>
                  <w:jc w:val="both"/>
                  <w:rPr>
                    <w:bCs/>
                    <w:szCs w:val="24"/>
                  </w:rPr>
                </w:pPr>
                <w:r>
                  <w:rPr>
                    <w:bCs/>
                    <w:szCs w:val="24"/>
                  </w:rPr>
                  <w:t>13.2. Projekto vykdytojui, vadovaujantis PAFT numatytomis sąlygomis, gali būti mokamas avansas.</w:t>
                </w:r>
              </w:p>
              <w:p w14:paraId="642FE409" w14:textId="2B8D47A0">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1C0C0DD2" w14:textId="32046DEB">
                <w:pPr>
                  <w:jc w:val="both"/>
                  <w:rPr>
                    <w:bCs/>
                    <w:szCs w:val="24"/>
                  </w:rPr>
                </w:pPr>
                <w:r>
                  <w:rPr>
                    <w:bCs/>
                    <w:szCs w:val="24"/>
                  </w:rPr>
                  <w:t>13.4. Išlaidų tinkamumo finansuoti reikalavimai nustatyti Projektų administravimo ir finansavimo taisyklių VII skyriuje „Projektų išlaidų reikalavimai“.</w:t>
                </w:r>
              </w:p>
              <w:p w14:paraId="707CB96A" w14:textId="7407B639">
                <w:pPr>
                  <w:jc w:val="both"/>
                  <w:rPr>
                    <w:bCs/>
                    <w:szCs w:val="24"/>
                  </w:rPr>
                </w:pPr>
                <w:r>
                  <w:rPr>
                    <w:bCs/>
                    <w:szCs w:val="24"/>
                  </w:rPr>
                  <w:t>13.5. Netiesioginėms išlaidoms taikoma 7 proc. fiksuota norma nuo tinkamų finansuoti tiesioginių projekto išlaidų.</w:t>
                </w:r>
              </w:p>
              <w:p w14:paraId="7FE8397C" w14:textId="3EB51C12">
                <w:pPr>
                  <w:jc w:val="both"/>
                  <w:rPr>
                    <w:bCs/>
                    <w:szCs w:val="24"/>
                  </w:rPr>
                </w:pPr>
                <w:r>
                  <w:rPr>
                    <w:bCs/>
                    <w:szCs w:val="24"/>
                  </w:rPr>
                  <w:t>13.6. Projektui taikomi supaprastinti išlaidų dydžiai, kurie nurodyti šio Aprašo 14 lentelėje „Projektų veiklų ir jungtinio projekto projektų įgyvendinimui</w:t>
                  <w:br/>
                  <w:t>taikomi supaprastintai apmokamų išlaidų dydžiai“.</w:t>
                </w:r>
              </w:p>
              <w:p w14:paraId="3EDE3FB7" w14:textId="62CC282C">
                <w:pPr>
                  <w:jc w:val="both"/>
                  <w:rPr>
                    <w:bCs/>
                    <w:szCs w:val="24"/>
                  </w:rPr>
                </w:pPr>
                <w:r>
                  <w:rPr>
                    <w:bCs/>
                    <w:szCs w:val="24"/>
                  </w:rPr>
                  <w:t>13.7. Projekto vykdytojo surengtų komunikacinių renginių ar kitų komunikacinių veiklų, vadovaujantis PAFT 341.5 papunkčio reikalavimu, išlaidos apmokamos pagal faktinį jų patyrimą.</w:t>
                </w:r>
              </w:p>
              <w:p w14:paraId="14D492D1" w14:textId="7D75B260">
                <w:pPr>
                  <w:jc w:val="both"/>
                  <w:rPr>
                    <w:bCs/>
                    <w:szCs w:val="24"/>
                  </w:rPr>
                </w:pPr>
                <w:r>
                  <w:rPr>
                    <w:bCs/>
                    <w:szCs w:val="24"/>
                  </w:rPr>
                  <w:t>13.8. Lietuvos Respublikos valstybės biudžeto lėšų pridėtinės vertės mokestis (toliau – PVM) nėra tinkamas finansuoti EGADP lėšomis. PVM gali būti finansuojamas Lietuvos biudžeto lėšomis vadovaujantis PAFT ketvirtajame skirsnyje nustatyta tvarka. Projekte išlaidos nurodomos su PVM, o jo tinkamumas finansuoti bus nustatytas vertinimo metu.</w:t>
                </w:r>
              </w:p>
              <w:p w14:paraId="0FD506F6" w14:textId="519D8A83">
                <w:pPr>
                  <w:jc w:val="both"/>
                  <w:rPr>
                    <w:bCs/>
                    <w:szCs w:val="24"/>
                  </w:rPr>
                </w:pPr>
                <w:r>
                  <w:rPr>
                    <w:bCs/>
                    <w:szCs w:val="24"/>
                  </w:rPr>
                  <w:t>13.9. Netinkamos finansuoti projekto lėšomis išlaidos:</w:t>
                </w:r>
              </w:p>
              <w:p w14:paraId="0F56E371" w14:textId="1E0BB2E8">
                <w:pPr>
                  <w:jc w:val="both"/>
                  <w:rPr>
                    <w:bCs/>
                    <w:szCs w:val="24"/>
                  </w:rPr>
                </w:pPr>
                <w:r>
                  <w:rPr>
                    <w:bCs/>
                    <w:szCs w:val="24"/>
                  </w:rPr>
                  <w:t>13.9.1. žemės ir nekilnojamojo turto įsigijimo išlaidos;</w:t>
                </w:r>
              </w:p>
              <w:p w14:paraId="7C7B48AB" w14:textId="347402D7">
                <w:pPr>
                  <w:jc w:val="both"/>
                  <w:rPr>
                    <w:bCs/>
                    <w:szCs w:val="24"/>
                  </w:rPr>
                </w:pPr>
                <w:r>
                  <w:rPr>
                    <w:bCs/>
                    <w:szCs w:val="24"/>
                  </w:rPr>
                  <w:t>13.9.2. naudojamo ilgalaikio turto nusidėvėjimo (amortizacijos) sąnaudos;</w:t>
                </w:r>
              </w:p>
              <w:p w14:paraId="423AF53B" w14:textId="620E5DDA">
                <w:pPr>
                  <w:jc w:val="both"/>
                  <w:rPr>
                    <w:bCs/>
                    <w:szCs w:val="24"/>
                  </w:rPr>
                </w:pPr>
                <w:r>
                  <w:rPr>
                    <w:bCs/>
                    <w:szCs w:val="24"/>
                  </w:rPr>
                  <w:t>13.9.3. nepiniginis projekto vykdytojo / partnerio įnašas;</w:t>
                </w:r>
              </w:p>
              <w:p w14:paraId="7AE30AB0" w14:textId="6A8EDA2E">
                <w:pPr>
                  <w:jc w:val="both"/>
                  <w:rPr>
                    <w:bCs/>
                    <w:szCs w:val="24"/>
                  </w:rPr>
                </w:pPr>
                <w:r>
                  <w:rPr>
                    <w:bCs/>
                    <w:szCs w:val="24"/>
                  </w:rPr>
                  <w:t>13.9.4. remonto / rekonstrukcijos darbai;</w:t>
                </w:r>
              </w:p>
              <w:p w14:paraId="731DF2DA" w14:textId="6DF6CBB4">
                <w:pPr>
                  <w:jc w:val="both"/>
                  <w:rPr>
                    <w:bCs/>
                    <w:szCs w:val="24"/>
                  </w:rPr>
                </w:pPr>
                <w:r>
                  <w:rPr>
                    <w:bCs/>
                    <w:szCs w:val="24"/>
                  </w:rPr>
                  <w:t>13.9.5. baldai;</w:t>
                </w:r>
              </w:p>
              <w:p w14:paraId="287F506F" w14:textId="6546A7EE">
                <w:pPr>
                  <w:jc w:val="both"/>
                  <w:rPr>
                    <w:bCs/>
                    <w:szCs w:val="24"/>
                  </w:rPr>
                </w:pPr>
                <w:r>
                  <w:rPr>
                    <w:bCs/>
                    <w:szCs w:val="24"/>
                  </w:rPr>
                  <w:t>13.9.6. PĮP rengimo išlaidos (išskyrus investicijų projekto ar kitų su PĮP privalomų teikti dokumentų rengimo išlaidas);</w:t>
                </w:r>
              </w:p>
              <w:p w14:paraId="2F4C88B1" w14:textId="782DF675">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p w14:paraId="01E183B7" w14:textId="471636E5">
                <w:pPr>
                  <w:spacing w:line="276" w:lineRule="auto"/>
                  <w:jc w:val="both"/>
                  <w:rPr>
                    <w:bCs/>
                    <w:szCs w:val="24"/>
                  </w:rPr>
                </w:pPr>
                <w:r>
                  <w:rPr>
                    <w:bCs/>
                    <w:szCs w:val="24"/>
                  </w:rPr>
                  <w:t>13.10. Kryžminis finansavimas netaikomas.</w:t>
                </w:r>
              </w:p>
            </w:tc>
          </w:tr>
          <w:tr w14:paraId="01E183BA" w14:textId="77777777">
            <w:trPr>
              <w:trHeight w:val="349"/>
            </w:trPr>
            <w:tc>
              <w:tcPr>
                <w:tcW w:w="15026" w:type="dxa"/>
              </w:tcPr>
              <w:p w14:paraId="01E183B9" w14:textId="441FEBEB">
                <w:pPr>
                  <w:jc w:val="both"/>
                  <w:rPr>
                    <w:szCs w:val="24"/>
                  </w:rPr>
                </w:pPr>
                <w:r>
                  <w:rPr>
                    <w:b/>
                    <w:szCs w:val="24"/>
                  </w:rPr>
                  <w:t>14. Projektų veiklų ir jungtinio projekto projektų įgyvendinimui taikomi supaprastintai apmokamų išlaidų dydžiai</w:t>
                </w:r>
              </w:p>
            </w:tc>
          </w:tr>
          <w:tr w14:paraId="3F9680B1"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14:paraId="7E92AFD1" w14:textId="77777777">
                  <w:tc>
                    <w:tcPr>
                      <w:tcW w:w="14627" w:type="dxa"/>
                      <w:gridSpan w:val="5"/>
                    </w:tcPr>
                    <w:p w14:paraId="33FF3196"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01E1EDB" w14:textId="77777777">
                      <w:pPr>
                        <w:spacing w:line="276" w:lineRule="auto"/>
                        <w:jc w:val="both"/>
                        <w:rPr>
                          <w:b/>
                          <w:bCs/>
                          <w:szCs w:val="24"/>
                        </w:rPr>
                      </w:pPr>
                      <w:r>
                        <w:rPr>
                          <w:rFonts w:eastAsia="MS Gothic"/>
                          <w:b/>
                          <w:bCs/>
                          <w:szCs w:val="24"/>
                        </w:rPr>
                        <w:t>X</w:t>
                      </w:r>
                      <w:r>
                        <w:rPr>
                          <w:b/>
                          <w:bCs/>
                          <w:szCs w:val="24"/>
                        </w:rPr>
                        <w:t xml:space="preserve"> Neindeksuojama</w:t>
                      </w:r>
                    </w:p>
                  </w:tc>
                </w:tr>
                <w:tr w14:paraId="232CD9EB" w14:textId="77777777">
                  <w:tc>
                    <w:tcPr>
                      <w:tcW w:w="2579" w:type="dxa"/>
                      <w:vAlign w:val="center"/>
                    </w:tcPr>
                    <w:p w14:paraId="5C6FD338" w14:textId="77777777">
                      <w:pPr>
                        <w:jc w:val="center"/>
                        <w:rPr>
                          <w:b/>
                          <w:bCs/>
                          <w:szCs w:val="24"/>
                        </w:rPr>
                      </w:pPr>
                      <w:r>
                        <w:rPr>
                          <w:b/>
                          <w:bCs/>
                          <w:szCs w:val="24"/>
                        </w:rPr>
                        <w:t>Veiklos ir (ar) išlaidos, kurioms taikomi supaprastintai apmokamų išlaidų dydžiai</w:t>
                      </w:r>
                    </w:p>
                  </w:tc>
                  <w:tc>
                    <w:tcPr>
                      <w:tcW w:w="1984" w:type="dxa"/>
                      <w:vAlign w:val="center"/>
                    </w:tcPr>
                    <w:p w14:paraId="4906F392" w14:textId="77777777">
                      <w:pPr>
                        <w:jc w:val="center"/>
                        <w:rPr>
                          <w:b/>
                          <w:bCs/>
                          <w:szCs w:val="24"/>
                        </w:rPr>
                      </w:pPr>
                      <w:r>
                        <w:rPr>
                          <w:b/>
                          <w:bCs/>
                          <w:szCs w:val="24"/>
                        </w:rPr>
                        <w:t>Supaprastintai apmokamų išlaidų dydžio kodas</w:t>
                      </w:r>
                    </w:p>
                  </w:tc>
                  <w:tc>
                    <w:tcPr>
                      <w:tcW w:w="2126" w:type="dxa"/>
                      <w:vAlign w:val="center"/>
                    </w:tcPr>
                    <w:p w14:paraId="2ABAF4EB" w14:textId="77777777">
                      <w:pPr>
                        <w:jc w:val="center"/>
                        <w:rPr>
                          <w:b/>
                          <w:bCs/>
                          <w:i/>
                          <w:iCs/>
                          <w:color w:val="808080"/>
                          <w:szCs w:val="24"/>
                        </w:rPr>
                      </w:pPr>
                      <w:r>
                        <w:rPr>
                          <w:b/>
                          <w:bCs/>
                          <w:szCs w:val="24"/>
                        </w:rPr>
                        <w:t>Supaprastintai apmokamų išlaidų dydžio versija</w:t>
                      </w:r>
                    </w:p>
                  </w:tc>
                  <w:tc>
                    <w:tcPr>
                      <w:tcW w:w="4536" w:type="dxa"/>
                      <w:vAlign w:val="center"/>
                    </w:tcPr>
                    <w:p w14:paraId="61529CC8" w14:textId="77777777">
                      <w:pPr>
                        <w:jc w:val="center"/>
                        <w:rPr>
                          <w:b/>
                          <w:bCs/>
                          <w:szCs w:val="24"/>
                        </w:rPr>
                      </w:pPr>
                      <w:r>
                        <w:rPr>
                          <w:b/>
                          <w:bCs/>
                          <w:szCs w:val="24"/>
                        </w:rPr>
                        <w:t>Supaprastintai apmokamų išlaidų dydžio pavadinimas</w:t>
                      </w:r>
                    </w:p>
                  </w:tc>
                  <w:tc>
                    <w:tcPr>
                      <w:tcW w:w="3402" w:type="dxa"/>
                      <w:vAlign w:val="center"/>
                    </w:tcPr>
                    <w:p w14:paraId="39559473" w14:textId="77777777">
                      <w:pPr>
                        <w:jc w:val="center"/>
                        <w:rPr>
                          <w:b/>
                          <w:bCs/>
                          <w:szCs w:val="24"/>
                        </w:rPr>
                      </w:pPr>
                      <w:r>
                        <w:rPr>
                          <w:b/>
                          <w:bCs/>
                          <w:szCs w:val="24"/>
                        </w:rPr>
                        <w:t>Papildoma informacija</w:t>
                      </w:r>
                    </w:p>
                  </w:tc>
                </w:tr>
                <w:tr w14:paraId="103E87FC" w14:textId="77777777">
                  <w:trPr>
                    <w:trHeight w:val="852"/>
                  </w:trPr>
                  <w:tc>
                    <w:tcPr>
                      <w:tcW w:w="2579" w:type="dxa"/>
                    </w:tcPr>
                    <w:p w14:paraId="3CB0B77E" w14:textId="7D7036C9">
                      <w:pPr>
                        <w:jc w:val="center"/>
                        <w:rPr>
                          <w:szCs w:val="24"/>
                        </w:rPr>
                      </w:pPr>
                      <w:r>
                        <w:rPr>
                          <w:szCs w:val="24"/>
                        </w:rPr>
                        <w:t>Privalomos projektų matomumo ir informavimo apie projektus priemonės ir išlaidos</w:t>
                      </w:r>
                    </w:p>
                  </w:tc>
                  <w:tc>
                    <w:tcPr>
                      <w:tcW w:w="1984" w:type="dxa"/>
                    </w:tcPr>
                    <w:p w14:paraId="50C3E82A" w14:textId="542D0613">
                      <w:pPr>
                        <w:jc w:val="center"/>
                        <w:rPr>
                          <w:szCs w:val="24"/>
                        </w:rPr>
                      </w:pPr>
                      <w:r>
                        <w:rPr>
                          <w:szCs w:val="24"/>
                        </w:rPr>
                        <w:t>FS-01-04</w:t>
                      </w:r>
                    </w:p>
                  </w:tc>
                  <w:tc>
                    <w:tcPr>
                      <w:tcW w:w="2126" w:type="dxa"/>
                    </w:tcPr>
                    <w:p w14:paraId="06AE7FE8" w14:textId="77777777">
                      <w:pPr>
                        <w:jc w:val="center"/>
                        <w:rPr>
                          <w:szCs w:val="24"/>
                        </w:rPr>
                      </w:pPr>
                      <w:r>
                        <w:rPr>
                          <w:szCs w:val="24"/>
                        </w:rPr>
                        <w:t>01</w:t>
                      </w:r>
                    </w:p>
                  </w:tc>
                  <w:tc>
                    <w:tcPr>
                      <w:tcW w:w="4536" w:type="dxa"/>
                    </w:tcPr>
                    <w:p w14:paraId="6F6DA94A" w14:textId="77777777">
                      <w:pPr>
                        <w:jc w:val="both"/>
                        <w:rPr>
                          <w:szCs w:val="24"/>
                        </w:rPr>
                      </w:pPr>
                      <w:r>
                        <w:rPr>
                          <w:szCs w:val="24"/>
                        </w:rPr>
                        <w:t>Įgyvendintų privalomų matomumo ir informavimo priemonių apie ES fondų investicijų veiklas fiksuotoji suma, antrojo rinkinio FS su PVM</w:t>
                      </w:r>
                    </w:p>
                  </w:tc>
                  <w:tc>
                    <w:tcPr>
                      <w:tcW w:w="3402" w:type="dxa"/>
                    </w:tcPr>
                    <w:p w14:paraId="5D047D0F" w14:textId="1C06FA4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E64ED36" w14:textId="77777777">
                  <w:trPr>
                    <w:trHeight w:val="952"/>
                  </w:trPr>
                  <w:tc>
                    <w:tcPr>
                      <w:tcW w:w="2579" w:type="dxa"/>
                    </w:tcPr>
                    <w:p w14:paraId="49F398BA" w14:textId="216674F4">
                      <w:pPr>
                        <w:jc w:val="center"/>
                        <w:rPr>
                          <w:szCs w:val="24"/>
                        </w:rPr>
                      </w:pPr>
                      <w:r>
                        <w:rPr>
                          <w:szCs w:val="24"/>
                        </w:rPr>
                        <w:t>Privalomos projektų matomumo ir informavimo apie projektus priemonės ir išlaidos</w:t>
                      </w:r>
                    </w:p>
                  </w:tc>
                  <w:tc>
                    <w:tcPr>
                      <w:tcW w:w="1984" w:type="dxa"/>
                    </w:tcPr>
                    <w:p w14:paraId="2136EAAB" w14:textId="77777777">
                      <w:pPr>
                        <w:jc w:val="center"/>
                        <w:rPr>
                          <w:szCs w:val="24"/>
                        </w:rPr>
                      </w:pPr>
                      <w:r>
                        <w:rPr>
                          <w:szCs w:val="24"/>
                        </w:rPr>
                        <w:t>FS-01-03</w:t>
                      </w:r>
                    </w:p>
                  </w:tc>
                  <w:tc>
                    <w:tcPr>
                      <w:tcW w:w="2126" w:type="dxa"/>
                    </w:tcPr>
                    <w:p w14:paraId="52D56674" w14:textId="77777777">
                      <w:pPr>
                        <w:jc w:val="center"/>
                        <w:rPr>
                          <w:szCs w:val="24"/>
                        </w:rPr>
                      </w:pPr>
                      <w:r>
                        <w:rPr>
                          <w:szCs w:val="24"/>
                        </w:rPr>
                        <w:t>01</w:t>
                      </w:r>
                    </w:p>
                  </w:tc>
                  <w:tc>
                    <w:tcPr>
                      <w:tcW w:w="4536" w:type="dxa"/>
                    </w:tcPr>
                    <w:p w14:paraId="5FC86327" w14:textId="7777777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2590C867" w14:textId="272BAAE2">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09DAF5A" w14:textId="77777777">
                  <w:tc>
                    <w:tcPr>
                      <w:tcW w:w="2579" w:type="dxa"/>
                    </w:tcPr>
                    <w:p w14:paraId="40ED09A2" w14:textId="39FF8C10">
                      <w:pPr>
                        <w:jc w:val="center"/>
                        <w:rPr>
                          <w:szCs w:val="24"/>
                        </w:rPr>
                      </w:pPr>
                      <w:r>
                        <w:rPr>
                          <w:szCs w:val="24"/>
                        </w:rPr>
                        <w:t>Netiesioginės projekto veiklos ir išlaidos joms apmokėti</w:t>
                      </w:r>
                    </w:p>
                  </w:tc>
                  <w:tc>
                    <w:tcPr>
                      <w:tcW w:w="1984" w:type="dxa"/>
                    </w:tcPr>
                    <w:p w14:paraId="60975D99" w14:textId="77777777">
                      <w:pPr>
                        <w:jc w:val="center"/>
                        <w:rPr>
                          <w:szCs w:val="24"/>
                        </w:rPr>
                      </w:pPr>
                      <w:r>
                        <w:rPr>
                          <w:szCs w:val="24"/>
                        </w:rPr>
                        <w:t>FN-01</w:t>
                      </w:r>
                    </w:p>
                  </w:tc>
                  <w:tc>
                    <w:tcPr>
                      <w:tcW w:w="2126" w:type="dxa"/>
                    </w:tcPr>
                    <w:p w14:paraId="29EE96F1" w14:textId="05ED18D6">
                      <w:pPr>
                        <w:jc w:val="center"/>
                        <w:rPr>
                          <w:szCs w:val="24"/>
                        </w:rPr>
                      </w:pPr>
                      <w:r>
                        <w:rPr>
                          <w:szCs w:val="24"/>
                        </w:rPr>
                        <w:t>01</w:t>
                      </w:r>
                    </w:p>
                  </w:tc>
                  <w:tc>
                    <w:tcPr>
                      <w:tcW w:w="4536" w:type="dxa"/>
                    </w:tcPr>
                    <w:p w14:paraId="412165A8" w14:textId="6FDA813A">
                      <w:pPr>
                        <w:jc w:val="center"/>
                        <w:rPr>
                          <w:szCs w:val="24"/>
                        </w:rPr>
                      </w:pPr>
                      <w:r>
                        <w:rPr>
                          <w:szCs w:val="24"/>
                        </w:rPr>
                        <w:t>7 proc. netiesioginių išlaidų fiksuotoji norma</w:t>
                      </w:r>
                    </w:p>
                  </w:tc>
                  <w:tc>
                    <w:tcPr>
                      <w:tcW w:w="3402" w:type="dxa"/>
                    </w:tcPr>
                    <w:p w14:paraId="3945AA29" w14:textId="15A808C5">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11FDC70D" w14:textId="77777777">
                  <w:tc>
                    <w:tcPr>
                      <w:tcW w:w="2579" w:type="dxa"/>
                      <w:shd w:val="clear" w:color="auto" w:fill="auto"/>
                      <w:vAlign w:val="center"/>
                    </w:tcPr>
                    <w:p w14:paraId="7C5CDBF8" w14:textId="49010899">
                      <w:pPr>
                        <w:jc w:val="center"/>
                        <w:rPr>
                          <w:szCs w:val="24"/>
                        </w:rPr>
                      </w:pPr>
                      <w:r>
                        <w:rPr>
                          <w:szCs w:val="24"/>
                        </w:rPr>
                        <w:t>Projektą vykdančio personalo išlaidos už kasmetines atostogas</w:t>
                      </w:r>
                    </w:p>
                  </w:tc>
                  <w:tc>
                    <w:tcPr>
                      <w:tcW w:w="1984" w:type="dxa"/>
                      <w:shd w:val="clear" w:color="auto" w:fill="auto"/>
                      <w:vAlign w:val="center"/>
                    </w:tcPr>
                    <w:p w14:paraId="116FB5DA" w14:textId="77777777">
                      <w:pPr>
                        <w:jc w:val="center"/>
                        <w:rPr>
                          <w:szCs w:val="24"/>
                        </w:rPr>
                      </w:pPr>
                      <w:r>
                        <w:rPr>
                          <w:szCs w:val="24"/>
                        </w:rPr>
                        <w:t>FN-05-01</w:t>
                      </w:r>
                    </w:p>
                  </w:tc>
                  <w:tc>
                    <w:tcPr>
                      <w:tcW w:w="2126" w:type="dxa"/>
                      <w:vAlign w:val="center"/>
                    </w:tcPr>
                    <w:p w14:paraId="05A0304F" w14:textId="77777777">
                      <w:pPr>
                        <w:jc w:val="center"/>
                        <w:rPr>
                          <w:szCs w:val="24"/>
                        </w:rPr>
                      </w:pPr>
                      <w:r>
                        <w:rPr>
                          <w:szCs w:val="24"/>
                        </w:rPr>
                        <w:t>01</w:t>
                      </w:r>
                    </w:p>
                  </w:tc>
                  <w:tc>
                    <w:tcPr>
                      <w:tcW w:w="4536" w:type="dxa"/>
                    </w:tcPr>
                    <w:p w14:paraId="6D69FE72" w14:textId="7777777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16533AA7" w14:textId="1599D404">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7D2FFD5A" w14:textId="77777777">
                  <w:trPr>
                    <w:trHeight w:val="1280"/>
                  </w:trPr>
                  <w:tc>
                    <w:tcPr>
                      <w:tcW w:w="2579" w:type="dxa"/>
                      <w:shd w:val="clear" w:color="auto" w:fill="auto"/>
                      <w:vAlign w:val="center"/>
                    </w:tcPr>
                    <w:p w14:paraId="4FCA01E8" w14:textId="1568AA97">
                      <w:pPr>
                        <w:jc w:val="center"/>
                        <w:rPr>
                          <w:szCs w:val="24"/>
                        </w:rPr>
                      </w:pPr>
                      <w:r>
                        <w:rPr>
                          <w:szCs w:val="24"/>
                        </w:rPr>
                        <w:t>Projektą vykdančio personalo išlaidos už kasmetines atostogas</w:t>
                      </w:r>
                    </w:p>
                  </w:tc>
                  <w:tc>
                    <w:tcPr>
                      <w:tcW w:w="1984" w:type="dxa"/>
                      <w:shd w:val="clear" w:color="auto" w:fill="auto"/>
                      <w:vAlign w:val="center"/>
                    </w:tcPr>
                    <w:p w14:paraId="13B8065D" w14:textId="77777777">
                      <w:pPr>
                        <w:jc w:val="center"/>
                        <w:rPr>
                          <w:szCs w:val="24"/>
                        </w:rPr>
                      </w:pPr>
                      <w:r>
                        <w:rPr>
                          <w:szCs w:val="24"/>
                        </w:rPr>
                        <w:t>FN-05-02</w:t>
                      </w:r>
                    </w:p>
                  </w:tc>
                  <w:tc>
                    <w:tcPr>
                      <w:tcW w:w="2126" w:type="dxa"/>
                      <w:vAlign w:val="center"/>
                    </w:tcPr>
                    <w:p w14:paraId="15D8D28A" w14:textId="77777777">
                      <w:pPr>
                        <w:jc w:val="center"/>
                        <w:rPr>
                          <w:szCs w:val="24"/>
                        </w:rPr>
                      </w:pPr>
                      <w:r>
                        <w:rPr>
                          <w:szCs w:val="24"/>
                        </w:rPr>
                        <w:t>01</w:t>
                      </w:r>
                    </w:p>
                  </w:tc>
                  <w:tc>
                    <w:tcPr>
                      <w:tcW w:w="4536" w:type="dxa"/>
                      <w:shd w:val="clear" w:color="auto" w:fill="auto"/>
                      <w:vAlign w:val="center"/>
                    </w:tcPr>
                    <w:p w14:paraId="3A11A6D0" w14:textId="7777777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239599F" w14:textId="0D76082C">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51F5DE79" w14:textId="77777777">
                  <w:tc>
                    <w:tcPr>
                      <w:tcW w:w="2579" w:type="dxa"/>
                      <w:shd w:val="clear" w:color="auto" w:fill="auto"/>
                      <w:vAlign w:val="center"/>
                    </w:tcPr>
                    <w:p w14:paraId="351768AC" w14:textId="1331AAFC">
                      <w:pPr>
                        <w:jc w:val="center"/>
                        <w:rPr>
                          <w:szCs w:val="24"/>
                        </w:rPr>
                      </w:pPr>
                      <w:r>
                        <w:rPr>
                          <w:szCs w:val="24"/>
                        </w:rPr>
                        <w:t>Projektą vykdančio personalo išlaidos už kasmetines atostogas</w:t>
                      </w:r>
                    </w:p>
                  </w:tc>
                  <w:tc>
                    <w:tcPr>
                      <w:tcW w:w="1984" w:type="dxa"/>
                      <w:shd w:val="clear" w:color="auto" w:fill="auto"/>
                      <w:vAlign w:val="center"/>
                    </w:tcPr>
                    <w:p w14:paraId="5E175571" w14:textId="77777777">
                      <w:pPr>
                        <w:jc w:val="center"/>
                        <w:rPr>
                          <w:szCs w:val="24"/>
                        </w:rPr>
                      </w:pPr>
                      <w:r>
                        <w:rPr>
                          <w:szCs w:val="24"/>
                        </w:rPr>
                        <w:t>FN-05-03</w:t>
                      </w:r>
                    </w:p>
                  </w:tc>
                  <w:tc>
                    <w:tcPr>
                      <w:tcW w:w="2126" w:type="dxa"/>
                      <w:vAlign w:val="center"/>
                    </w:tcPr>
                    <w:p w14:paraId="4035AA6A" w14:textId="77777777">
                      <w:pPr>
                        <w:jc w:val="center"/>
                        <w:rPr>
                          <w:szCs w:val="24"/>
                        </w:rPr>
                      </w:pPr>
                      <w:r>
                        <w:rPr>
                          <w:szCs w:val="24"/>
                        </w:rPr>
                        <w:t>01</w:t>
                      </w:r>
                    </w:p>
                  </w:tc>
                  <w:tc>
                    <w:tcPr>
                      <w:tcW w:w="4536" w:type="dxa"/>
                      <w:shd w:val="clear" w:color="auto" w:fill="auto"/>
                      <w:vAlign w:val="bottom"/>
                    </w:tcPr>
                    <w:p w14:paraId="65D78098" w14:textId="77777777">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6D2A20" w14:textId="43EFB078">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5C004055" w14:textId="77777777">
                  <w:tc>
                    <w:tcPr>
                      <w:tcW w:w="2579" w:type="dxa"/>
                      <w:shd w:val="clear" w:color="auto" w:fill="auto"/>
                      <w:vAlign w:val="center"/>
                    </w:tcPr>
                    <w:p w14:paraId="6064A16B" w14:textId="0ECF32DC">
                      <w:pPr>
                        <w:jc w:val="center"/>
                        <w:rPr>
                          <w:szCs w:val="24"/>
                        </w:rPr>
                      </w:pPr>
                      <w:r>
                        <w:rPr>
                          <w:szCs w:val="24"/>
                        </w:rPr>
                        <w:t>Projektą vykdančio personalo išlaidos už kasmetines atostogas</w:t>
                      </w:r>
                    </w:p>
                  </w:tc>
                  <w:tc>
                    <w:tcPr>
                      <w:tcW w:w="1984" w:type="dxa"/>
                      <w:shd w:val="clear" w:color="auto" w:fill="auto"/>
                      <w:vAlign w:val="center"/>
                    </w:tcPr>
                    <w:p w14:paraId="0F91816E" w14:textId="77777777">
                      <w:pPr>
                        <w:jc w:val="center"/>
                        <w:rPr>
                          <w:szCs w:val="24"/>
                        </w:rPr>
                      </w:pPr>
                      <w:r>
                        <w:rPr>
                          <w:szCs w:val="24"/>
                        </w:rPr>
                        <w:t>FN-05-04</w:t>
                      </w:r>
                    </w:p>
                  </w:tc>
                  <w:tc>
                    <w:tcPr>
                      <w:tcW w:w="2126" w:type="dxa"/>
                      <w:vAlign w:val="center"/>
                    </w:tcPr>
                    <w:p w14:paraId="5C1F2097" w14:textId="77777777">
                      <w:pPr>
                        <w:jc w:val="center"/>
                        <w:rPr>
                          <w:szCs w:val="24"/>
                        </w:rPr>
                      </w:pPr>
                      <w:r>
                        <w:rPr>
                          <w:szCs w:val="24"/>
                        </w:rPr>
                        <w:t>01</w:t>
                      </w:r>
                    </w:p>
                  </w:tc>
                  <w:tc>
                    <w:tcPr>
                      <w:tcW w:w="4536" w:type="dxa"/>
                      <w:shd w:val="clear" w:color="auto" w:fill="auto"/>
                      <w:vAlign w:val="bottom"/>
                    </w:tcPr>
                    <w:p w14:paraId="31323392" w14:textId="77777777">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6DF14566" w14:textId="5A05059C">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A1C700C" w14:textId="77777777">
                  <w:tc>
                    <w:tcPr>
                      <w:tcW w:w="2579" w:type="dxa"/>
                      <w:shd w:val="clear" w:color="auto" w:fill="auto"/>
                      <w:vAlign w:val="center"/>
                    </w:tcPr>
                    <w:p w14:paraId="10B0D479" w14:textId="2AF7E158">
                      <w:pPr>
                        <w:jc w:val="center"/>
                        <w:rPr>
                          <w:szCs w:val="24"/>
                        </w:rPr>
                      </w:pPr>
                      <w:r>
                        <w:rPr>
                          <w:szCs w:val="24"/>
                        </w:rPr>
                        <w:t>Projektą vykdančio personalo išlaidos už kasmetines atostogas</w:t>
                      </w:r>
                    </w:p>
                  </w:tc>
                  <w:tc>
                    <w:tcPr>
                      <w:tcW w:w="1984" w:type="dxa"/>
                      <w:shd w:val="clear" w:color="auto" w:fill="auto"/>
                      <w:vAlign w:val="center"/>
                    </w:tcPr>
                    <w:p w14:paraId="6AD3E665" w14:textId="77777777">
                      <w:pPr>
                        <w:jc w:val="center"/>
                        <w:rPr>
                          <w:szCs w:val="24"/>
                        </w:rPr>
                      </w:pPr>
                      <w:r>
                        <w:rPr>
                          <w:szCs w:val="24"/>
                        </w:rPr>
                        <w:t>FN-05-05</w:t>
                      </w:r>
                    </w:p>
                  </w:tc>
                  <w:tc>
                    <w:tcPr>
                      <w:tcW w:w="2126" w:type="dxa"/>
                      <w:vAlign w:val="center"/>
                    </w:tcPr>
                    <w:p w14:paraId="5E3A929F" w14:textId="77777777">
                      <w:pPr>
                        <w:jc w:val="center"/>
                        <w:rPr>
                          <w:szCs w:val="24"/>
                        </w:rPr>
                      </w:pPr>
                      <w:r>
                        <w:rPr>
                          <w:szCs w:val="24"/>
                        </w:rPr>
                        <w:t>01</w:t>
                      </w:r>
                    </w:p>
                  </w:tc>
                  <w:tc>
                    <w:tcPr>
                      <w:tcW w:w="4536" w:type="dxa"/>
                      <w:shd w:val="clear" w:color="auto" w:fill="auto"/>
                      <w:vAlign w:val="bottom"/>
                    </w:tcPr>
                    <w:p w14:paraId="0817C731" w14:textId="7777777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134145B8" w14:textId="564D429E">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DE6C218" w14:textId="77777777">
                  <w:tc>
                    <w:tcPr>
                      <w:tcW w:w="2579" w:type="dxa"/>
                      <w:shd w:val="clear" w:color="auto" w:fill="auto"/>
                      <w:vAlign w:val="center"/>
                    </w:tcPr>
                    <w:p w14:paraId="40034BC9" w14:textId="6E20FFF4">
                      <w:pPr>
                        <w:jc w:val="center"/>
                        <w:rPr>
                          <w:szCs w:val="24"/>
                        </w:rPr>
                      </w:pPr>
                      <w:r>
                        <w:rPr>
                          <w:szCs w:val="24"/>
                        </w:rPr>
                        <w:t>Projektą vykdančio personalo išlaidos už kasmetines atostogas</w:t>
                      </w:r>
                    </w:p>
                  </w:tc>
                  <w:tc>
                    <w:tcPr>
                      <w:tcW w:w="1984" w:type="dxa"/>
                      <w:shd w:val="clear" w:color="auto" w:fill="auto"/>
                      <w:vAlign w:val="center"/>
                    </w:tcPr>
                    <w:p w14:paraId="597F262D" w14:textId="77777777">
                      <w:pPr>
                        <w:jc w:val="center"/>
                        <w:rPr>
                          <w:szCs w:val="24"/>
                        </w:rPr>
                      </w:pPr>
                      <w:r>
                        <w:rPr>
                          <w:szCs w:val="24"/>
                        </w:rPr>
                        <w:t>FN-05-06</w:t>
                      </w:r>
                    </w:p>
                  </w:tc>
                  <w:tc>
                    <w:tcPr>
                      <w:tcW w:w="2126" w:type="dxa"/>
                      <w:vAlign w:val="center"/>
                    </w:tcPr>
                    <w:p w14:paraId="7DE8631C" w14:textId="77777777">
                      <w:pPr>
                        <w:jc w:val="center"/>
                        <w:rPr>
                          <w:szCs w:val="24"/>
                        </w:rPr>
                      </w:pPr>
                      <w:r>
                        <w:rPr>
                          <w:szCs w:val="24"/>
                        </w:rPr>
                        <w:t>01</w:t>
                      </w:r>
                    </w:p>
                  </w:tc>
                  <w:tc>
                    <w:tcPr>
                      <w:tcW w:w="4536" w:type="dxa"/>
                      <w:shd w:val="clear" w:color="auto" w:fill="auto"/>
                      <w:vAlign w:val="bottom"/>
                    </w:tcPr>
                    <w:p w14:paraId="572F3669" w14:textId="7777777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4947431E" w14:textId="0BFCB195">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6A30A79E" w14:textId="77777777">
                  <w:tc>
                    <w:tcPr>
                      <w:tcW w:w="2579" w:type="dxa"/>
                      <w:shd w:val="clear" w:color="auto" w:fill="auto"/>
                      <w:vAlign w:val="center"/>
                    </w:tcPr>
                    <w:p w14:paraId="28B0F7A6" w14:textId="6C2FD459">
                      <w:pPr>
                        <w:jc w:val="center"/>
                        <w:rPr>
                          <w:szCs w:val="24"/>
                        </w:rPr>
                      </w:pPr>
                      <w:r>
                        <w:rPr>
                          <w:szCs w:val="24"/>
                        </w:rPr>
                        <w:t>Projektą vykdančio personalo išlaidos už kasmetines atostogas</w:t>
                      </w:r>
                    </w:p>
                  </w:tc>
                  <w:tc>
                    <w:tcPr>
                      <w:tcW w:w="1984" w:type="dxa"/>
                      <w:shd w:val="clear" w:color="auto" w:fill="auto"/>
                      <w:vAlign w:val="center"/>
                    </w:tcPr>
                    <w:p w14:paraId="2819687C" w14:textId="77777777">
                      <w:pPr>
                        <w:jc w:val="center"/>
                        <w:rPr>
                          <w:szCs w:val="24"/>
                        </w:rPr>
                      </w:pPr>
                      <w:r>
                        <w:rPr>
                          <w:szCs w:val="24"/>
                        </w:rPr>
                        <w:t>FN-05-07</w:t>
                      </w:r>
                    </w:p>
                  </w:tc>
                  <w:tc>
                    <w:tcPr>
                      <w:tcW w:w="2126" w:type="dxa"/>
                      <w:vAlign w:val="center"/>
                    </w:tcPr>
                    <w:p w14:paraId="71CA13F7" w14:textId="77777777">
                      <w:pPr>
                        <w:jc w:val="center"/>
                        <w:rPr>
                          <w:szCs w:val="24"/>
                        </w:rPr>
                      </w:pPr>
                      <w:r>
                        <w:rPr>
                          <w:szCs w:val="24"/>
                        </w:rPr>
                        <w:t>01</w:t>
                      </w:r>
                    </w:p>
                  </w:tc>
                  <w:tc>
                    <w:tcPr>
                      <w:tcW w:w="4536" w:type="dxa"/>
                      <w:shd w:val="clear" w:color="auto" w:fill="auto"/>
                      <w:vAlign w:val="bottom"/>
                    </w:tcPr>
                    <w:p w14:paraId="706CF066" w14:textId="7777777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E4F7B0F" w14:textId="7A134936">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5883490E" w14:textId="06E68755">
                <w:pPr>
                  <w:jc w:val="both"/>
                  <w:rPr>
                    <w:b/>
                    <w:szCs w:val="24"/>
                  </w:rPr>
                </w:pPr>
              </w:p>
            </w:tc>
          </w:tr>
        </w:tbl>
        <w:p w14:paraId="01E18403" w14:textId="77777777">
          <w:pPr>
            <w:rPr>
              <w:sz w:val="18"/>
              <w:szCs w:val="18"/>
            </w:rPr>
          </w:pPr>
        </w:p>
        <w:sdt>
          <w:sdtPr>
            <w:alias w:val="pabaiga"/>
            <w:tag w:val="part_f98d2c608c9344d0814fce6ccbb82ba1"/>
            <w:lock w:val="sdtLocked"/>
            <w:richText/>
          </w:sdtPr>
          <w:sdtContent>
            <w:p w14:paraId="01E18404" w14:textId="77777777">
              <w:pPr>
                <w:spacing w:line="276" w:lineRule="auto"/>
                <w:jc w:val="center"/>
                <w:rPr>
                  <w:szCs w:val="24"/>
                </w:rPr>
              </w:pPr>
              <w:r>
                <w:rPr>
                  <w:rFonts w:eastAsia="Calibri"/>
                  <w:szCs w:val="24"/>
                </w:rPr>
                <w:t>________________</w:t>
              </w:r>
            </w:p>
          </w:sdtContent>
        </w:sdt>
      </w:sdtContent>
    </w:sdt>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1418"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DF9BFE" w14:textId="77777777">
      <w:pPr>
        <w:rPr>
          <w:sz w:val="22"/>
          <w:szCs w:val="22"/>
        </w:rPr>
      </w:pPr>
      <w:r>
        <w:rPr>
          <w:sz w:val="22"/>
          <w:szCs w:val="22"/>
        </w:rPr>
        <w:separator/>
      </w:r>
    </w:p>
  </w:endnote>
  <w:endnote w:type="continuationSeparator" w:id="0">
    <w:p w14:paraId="0B6846F9" w14:textId="77777777">
      <w:pPr>
        <w:rPr>
          <w:sz w:val="22"/>
          <w:szCs w:val="22"/>
        </w:rPr>
      </w:pPr>
      <w:r>
        <w:rPr>
          <w:sz w:val="22"/>
          <w:szCs w:val="22"/>
        </w:rPr>
        <w:continuationSeparator/>
      </w:r>
    </w:p>
  </w:endnote>
  <w:endnote w:type="continuationNotice" w:id="1">
    <w:p w14:paraId="1335512E"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E"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1"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D7A7D" w14:textId="77777777">
      <w:pPr>
        <w:rPr>
          <w:sz w:val="22"/>
          <w:szCs w:val="22"/>
        </w:rPr>
      </w:pPr>
      <w:r>
        <w:rPr>
          <w:sz w:val="22"/>
          <w:szCs w:val="22"/>
        </w:rPr>
        <w:separator/>
      </w:r>
    </w:p>
  </w:footnote>
  <w:footnote w:type="continuationSeparator" w:id="0">
    <w:p w14:paraId="0C3C7102" w14:textId="77777777">
      <w:pPr>
        <w:rPr>
          <w:sz w:val="22"/>
          <w:szCs w:val="22"/>
        </w:rPr>
      </w:pPr>
      <w:r>
        <w:rPr>
          <w:sz w:val="22"/>
          <w:szCs w:val="22"/>
        </w:rPr>
        <w:continuationSeparator/>
      </w:r>
    </w:p>
  </w:footnote>
  <w:footnote w:type="continuationNotice" w:id="1">
    <w:p w14:paraId="66985698" w14:textId="77777777">
      <w:pPr>
        <w:rPr>
          <w:sz w:val="22"/>
          <w:szCs w:val="22"/>
        </w:rPr>
      </w:pPr>
    </w:p>
  </w:footnote>
  <w:footnote w:id="2">
    <w:p w14:paraId="4C9E2469" w14:textId="14154FBD">
      <w:pPr>
        <w:rPr>
          <w:sz w:val="20"/>
        </w:rPr>
      </w:pPr>
      <w:r>
        <w:rPr>
          <w:sz w:val="20"/>
          <w:vertAlign w:val="superscript"/>
        </w:rPr>
        <w:footnoteRef/>
      </w:r>
      <w:r>
        <w:rPr>
          <w:sz w:val="20"/>
        </w:rPr>
        <w:t xml:space="preserve"> </w:t>
      </w:r>
      <w:r>
        <w:rPr>
          <w:color w:val="0563C1"/>
          <w:sz w:val="20"/>
          <w:u w:val="single"/>
        </w:rPr>
        <w:t>https://www.e-tar.lt/portal/lt/legalAct/0431bbf0d83411ec8d9390588bf2de65</w:t>
      </w:r>
    </w:p>
  </w:footnote>
  <w:footnote w:id="3">
    <w:p w14:paraId="47A9BCBE" w14:textId="34A10778">
      <w:pPr>
        <w:rPr>
          <w:sz w:val="20"/>
        </w:rPr>
      </w:pPr>
      <w:r>
        <w:rPr>
          <w:sz w:val="20"/>
          <w:vertAlign w:val="superscript"/>
        </w:rPr>
        <w:footnoteRef/>
      </w:r>
      <w:r>
        <w:rPr>
          <w:color w:val="0563C1"/>
          <w:sz w:val="20"/>
          <w:u w:val="single"/>
        </w:rPr>
        <w:t xml:space="preserve"> https://eur-lex.europa.eu/legal-content/LT/TXT/?uri=CELEX%3A32021R0241</w:t>
      </w:r>
    </w:p>
  </w:footnote>
  <w:footnote w:id="4">
    <w:p w14:paraId="53CA345B" w14:textId="77777777">
      <w:pPr>
        <w:rPr>
          <w:sz w:val="20"/>
        </w:rPr>
      </w:pPr>
      <w:r>
        <w:rPr>
          <w:sz w:val="20"/>
          <w:vertAlign w:val="superscript"/>
        </w:rPr>
        <w:footnoteRef/>
      </w:r>
      <w:r>
        <w:rPr>
          <w:sz w:val="20"/>
        </w:rPr>
        <w:t xml:space="preserve"> </w:t>
      </w:r>
      <w:r>
        <w:rPr>
          <w:color w:val="0563C1"/>
          <w:sz w:val="20"/>
          <w:u w:val="single"/>
        </w:rPr>
        <w:t>https://finmin.lrv.lt/lt/es-ir-kitos-investicijos/naujos-kartos-lietuva</w:t>
      </w:r>
      <w:r>
        <w:rPr>
          <w:sz w:val="20"/>
          <w:u w:val="single"/>
        </w:rPr>
        <w:t xml:space="preserve"> </w:t>
      </w:r>
    </w:p>
  </w:footnote>
  <w:footnote w:id="5">
    <w:p w14:paraId="48AE8682" w14:textId="00AEE81B">
      <w:pPr>
        <w:rPr>
          <w:sz w:val="20"/>
        </w:rPr>
      </w:pPr>
      <w:r>
        <w:rPr>
          <w:sz w:val="20"/>
          <w:vertAlign w:val="superscript"/>
        </w:rPr>
        <w:footnoteRef/>
      </w:r>
      <w:r>
        <w:rPr>
          <w:sz w:val="20"/>
        </w:rPr>
        <w:t xml:space="preserve"> </w:t>
      </w:r>
      <w:r>
        <w:rPr>
          <w:color w:val="0563C1"/>
          <w:sz w:val="20"/>
          <w:u w:val="single"/>
        </w:rPr>
        <w:t>https://www.e-tar.lt/portal/lt/legalAct/14e33320f1ed11ec8fa7d02a65c371ad</w:t>
      </w:r>
      <w:r>
        <w:rPr>
          <w:sz w:val="20"/>
          <w:u w:val="single"/>
        </w:rPr>
        <w:t xml:space="preserve"> </w:t>
      </w:r>
    </w:p>
  </w:footnote>
  <w:footnote w:id="6">
    <w:p w14:paraId="1E07AF4E" w14:textId="308A9D07">
      <w:pPr>
        <w:rPr>
          <w:sz w:val="20"/>
        </w:rPr>
      </w:pPr>
      <w:r>
        <w:rPr>
          <w:sz w:val="20"/>
          <w:vertAlign w:val="superscript"/>
        </w:rPr>
        <w:footnoteRef/>
      </w:r>
      <w:r>
        <w:rPr>
          <w:sz w:val="20"/>
        </w:rPr>
        <w:t xml:space="preserve"> </w:t>
      </w:r>
      <w:r>
        <w:rPr>
          <w:color w:val="0563C1"/>
          <w:sz w:val="20"/>
          <w:u w:val="single"/>
        </w:rPr>
        <w:t>https://www.e-tar.lt/portal/lt/legalAct/0431bbf0d83411ec8d9390588bf2de65/asr</w:t>
      </w:r>
      <w:r>
        <w:rPr>
          <w:sz w:val="20"/>
          <w:u w:val="single"/>
        </w:rPr>
        <w:t xml:space="preserve"> </w:t>
      </w:r>
    </w:p>
  </w:footnote>
  <w:footnote w:id="7">
    <w:p w14:paraId="4BB5B713" w14:textId="62DA60FF">
      <w:pPr>
        <w:rPr>
          <w:sz w:val="20"/>
        </w:rPr>
      </w:pPr>
      <w:r>
        <w:rPr>
          <w:sz w:val="20"/>
          <w:vertAlign w:val="superscript"/>
        </w:rPr>
        <w:footnoteRef/>
      </w:r>
      <w:r>
        <w:rPr>
          <w:sz w:val="20"/>
        </w:rPr>
        <w:t xml:space="preserve"> </w:t>
      </w:r>
      <w:r>
        <w:rPr>
          <w:color w:val="0563C1"/>
          <w:sz w:val="20"/>
          <w:u w:val="single"/>
        </w:rPr>
        <w:t>https://www.e-tar.lt/portal/lt/legalAct/TAR.E2B2957B9182/asr</w:t>
      </w:r>
    </w:p>
  </w:footnote>
  <w:footnote w:id="8">
    <w:p w14:paraId="03DDAFCE" w14:textId="0C49717B">
      <w:pPr>
        <w:rPr>
          <w:sz w:val="20"/>
        </w:rPr>
      </w:pPr>
      <w:r>
        <w:rPr>
          <w:sz w:val="20"/>
          <w:vertAlign w:val="superscript"/>
        </w:rPr>
        <w:footnoteRef/>
      </w:r>
      <w:r>
        <w:rPr>
          <w:sz w:val="20"/>
        </w:rPr>
        <w:t xml:space="preserve"> </w:t>
      </w:r>
      <w:r>
        <w:rPr>
          <w:color w:val="0563C1"/>
          <w:sz w:val="20"/>
          <w:u w:val="single"/>
        </w:rPr>
        <w:t>https://www.e-tar.lt/portal/lt/legalAct/TAR.85C510BA700A/asr</w:t>
      </w:r>
    </w:p>
  </w:footnote>
  <w:footnote w:id="9">
    <w:p w14:paraId="617508DC" w14:textId="41CA0676">
      <w:pPr>
        <w:rPr>
          <w:sz w:val="20"/>
        </w:rPr>
      </w:pPr>
      <w:r>
        <w:rPr>
          <w:sz w:val="20"/>
          <w:vertAlign w:val="superscript"/>
        </w:rPr>
        <w:footnoteRef/>
      </w:r>
      <w:r>
        <w:rPr>
          <w:sz w:val="20"/>
        </w:rPr>
        <w:t xml:space="preserve"> </w:t>
      </w:r>
      <w:r>
        <w:rPr>
          <w:color w:val="0563C1"/>
          <w:sz w:val="20"/>
          <w:u w:val="single"/>
        </w:rPr>
        <w:t>https://www.e-tar.lt/portal/lt/legalAct/5468a25089ef11e4a98a9f2247652cf4/asr</w:t>
      </w:r>
    </w:p>
  </w:footnote>
  <w:footnote w:id="10">
    <w:p w14:paraId="63CBDC3E" w14:textId="47DD7402">
      <w:pPr>
        <w:rPr>
          <w:sz w:val="20"/>
        </w:rPr>
      </w:pPr>
      <w:r>
        <w:rPr>
          <w:sz w:val="20"/>
          <w:vertAlign w:val="superscript"/>
        </w:rPr>
        <w:footnoteRef/>
      </w:r>
      <w:r>
        <w:rPr>
          <w:sz w:val="20"/>
        </w:rPr>
        <w:t xml:space="preserve"> </w:t>
      </w:r>
      <w:r>
        <w:rPr>
          <w:color w:val="0563C1"/>
          <w:sz w:val="20"/>
          <w:u w:val="single"/>
        </w:rPr>
        <w:t>https://www.e-tar.lt/portal/lt/legalAct/TAR.A97664A25AC6/asr</w:t>
      </w:r>
    </w:p>
  </w:footnote>
  <w:footnote w:id="11">
    <w:p w14:paraId="4DB39B55" w14:textId="5B535FDD">
      <w:pPr>
        <w:rPr>
          <w:sz w:val="20"/>
        </w:rPr>
      </w:pPr>
      <w:r>
        <w:rPr>
          <w:sz w:val="20"/>
          <w:vertAlign w:val="superscript"/>
        </w:rPr>
        <w:footnoteRef/>
      </w:r>
      <w:r>
        <w:rPr>
          <w:sz w:val="20"/>
        </w:rPr>
        <w:t xml:space="preserve"> </w:t>
      </w:r>
      <w:r>
        <w:rPr>
          <w:color w:val="0563C1"/>
          <w:sz w:val="20"/>
          <w:u w:val="single"/>
        </w:rPr>
        <w:t>https://www.e-tar.lt/portal/lt/legalAct/b1a9e3909e2011e39cc2db29b1fd528f/asr</w:t>
      </w:r>
    </w:p>
  </w:footnote>
  <w:footnote w:id="12">
    <w:p w14:paraId="6C2B06A9" w14:textId="32B2F5E0">
      <w:pPr>
        <w:rPr>
          <w:sz w:val="20"/>
        </w:rPr>
      </w:pPr>
      <w:r>
        <w:rPr>
          <w:sz w:val="20"/>
          <w:vertAlign w:val="superscript"/>
        </w:rPr>
        <w:footnoteRef/>
      </w:r>
      <w:r>
        <w:rPr>
          <w:sz w:val="20"/>
        </w:rPr>
        <w:t xml:space="preserve"> </w:t>
      </w:r>
      <w:r>
        <w:rPr>
          <w:color w:val="0563C1"/>
          <w:sz w:val="20"/>
          <w:u w:val="single"/>
        </w:rPr>
        <w:t>https://www.e-tar.lt/portal/lt/legalAct/6a81fd606cc111e5906bc3a96c765ff4/asr</w:t>
      </w:r>
    </w:p>
  </w:footnote>
  <w:footnote w:id="13">
    <w:p w14:paraId="0CEE7220" w14:textId="6FEE0F24">
      <w:pPr>
        <w:rPr>
          <w:sz w:val="20"/>
        </w:rPr>
      </w:pPr>
      <w:r>
        <w:rPr>
          <w:sz w:val="20"/>
          <w:vertAlign w:val="superscript"/>
        </w:rPr>
        <w:footnoteRef/>
      </w:r>
      <w:r>
        <w:rPr>
          <w:sz w:val="20"/>
        </w:rPr>
        <w:t xml:space="preserve"> </w:t>
      </w:r>
      <w:r>
        <w:rPr>
          <w:color w:val="0563C1"/>
          <w:sz w:val="20"/>
          <w:u w:val="single"/>
        </w:rPr>
        <w:t>https://www.e-tar.lt/portal/lt/legalAct/TAR.3FB3953EFFDC/asr</w:t>
      </w:r>
    </w:p>
  </w:footnote>
  <w:footnote w:id="14">
    <w:p w14:paraId="325F156E" w14:textId="7C06BED6">
      <w:pPr>
        <w:rPr>
          <w:sz w:val="20"/>
        </w:rPr>
      </w:pPr>
      <w:r>
        <w:rPr>
          <w:sz w:val="20"/>
          <w:vertAlign w:val="superscript"/>
        </w:rPr>
        <w:footnoteRef/>
      </w:r>
      <w:r>
        <w:rPr>
          <w:sz w:val="20"/>
        </w:rPr>
        <w:t xml:space="preserve"> </w:t>
      </w:r>
      <w:r>
        <w:rPr>
          <w:color w:val="0563C1"/>
          <w:sz w:val="20"/>
          <w:u w:val="single"/>
        </w:rPr>
        <w:t>https://www.e-tar.lt/portal/lt/legalAct/a51d4910d45711e3bb00c40fca124f97</w:t>
      </w:r>
    </w:p>
  </w:footnote>
  <w:footnote w:id="15">
    <w:p w14:paraId="0E40CA46" w14:textId="47B31BBA">
      <w:pPr>
        <w:rPr>
          <w:sz w:val="20"/>
        </w:rPr>
      </w:pPr>
      <w:r>
        <w:rPr>
          <w:sz w:val="20"/>
          <w:vertAlign w:val="superscript"/>
        </w:rPr>
        <w:footnoteRef/>
      </w:r>
      <w:r>
        <w:rPr>
          <w:sz w:val="20"/>
        </w:rPr>
        <w:t xml:space="preserve"> </w:t>
      </w:r>
      <w:r>
        <w:rPr>
          <w:color w:val="0563C1"/>
          <w:sz w:val="20"/>
          <w:u w:val="single"/>
        </w:rPr>
        <w:t>https://www.e-tar.lt/portal/lt/legalAct/TAR.88F38F404A41</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C" w14:textId="33BA944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p w14:paraId="01E1840D"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18303"/>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5579356">
      <w:bodyDiv w:val="1"/>
      <w:marLeft w:val="0"/>
      <w:marRight w:val="0"/>
      <w:marTop w:val="0"/>
      <w:marBottom w:val="0"/>
      <w:divBdr>
        <w:top w:val="none" w:sz="0" w:space="0" w:color="auto"/>
        <w:left w:val="none" w:sz="0" w:space="0" w:color="auto"/>
        <w:bottom w:val="none" w:sz="0" w:space="0" w:color="auto"/>
        <w:right w:val="none" w:sz="0" w:space="0" w:color="auto"/>
      </w:divBdr>
      <w:divsChild>
        <w:div w:id="1750493061">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349720752">
      <w:bodyDiv w:val="1"/>
      <w:marLeft w:val="0"/>
      <w:marRight w:val="0"/>
      <w:marTop w:val="0"/>
      <w:marBottom w:val="0"/>
      <w:divBdr>
        <w:top w:val="none" w:sz="0" w:space="0" w:color="auto"/>
        <w:left w:val="none" w:sz="0" w:space="0" w:color="auto"/>
        <w:bottom w:val="none" w:sz="0" w:space="0" w:color="auto"/>
        <w:right w:val="none" w:sz="0" w:space="0" w:color="auto"/>
      </w:divBdr>
    </w:div>
    <w:div w:id="386416983">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4483193">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715542547">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0692486">
      <w:bodyDiv w:val="1"/>
      <w:marLeft w:val="0"/>
      <w:marRight w:val="0"/>
      <w:marTop w:val="0"/>
      <w:marBottom w:val="0"/>
      <w:divBdr>
        <w:top w:val="none" w:sz="0" w:space="0" w:color="auto"/>
        <w:left w:val="none" w:sz="0" w:space="0" w:color="auto"/>
        <w:bottom w:val="none" w:sz="0" w:space="0" w:color="auto"/>
        <w:right w:val="none" w:sz="0" w:space="0" w:color="auto"/>
      </w:divBdr>
    </w:div>
    <w:div w:id="1275819282">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476795997">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yperlink" TargetMode="External" Target="https://www.e-tar.lt/portal/lt/legalAct/14e33320f1ed11ec8fa7d02a65c371ad"/>
  <Relationship Id="rId12" Type="http://schemas.openxmlformats.org/officeDocument/2006/relationships/hyperlink" TargetMode="External" Target="https://www.e-tar.lt/portal/lt/legalAct/14e33320f1ed11ec8fa7d02a65c371ad"/>
  <Relationship Id="rId13" Type="http://schemas.openxmlformats.org/officeDocument/2006/relationships/hyperlink" TargetMode="External" Target="https://www.e-tar.lt/portal/lt/legalAct/14e33320f1ed11ec8fa7d02a65c371ad"/>
  <Relationship Id="rId14" Type="http://schemas.openxmlformats.org/officeDocument/2006/relationships/hyperlink" TargetMode="External" Target="https://www.e-tar.lt/portal/lt/legalAct/14e33320f1ed11ec8fa7d02a65c371ad"/>
  <Relationship Id="rId15" Type="http://schemas.openxmlformats.org/officeDocument/2006/relationships/hyperlink" TargetMode="External" Target="https://www.e-tar.lt/portal/lt/legalAct/14e33320f1ed11ec8fa7d02a65c371ad"/>
  <Relationship Id="rId16" Type="http://schemas.openxmlformats.org/officeDocument/2006/relationships/hyperlink" TargetMode="External" Target="https://www.e-tar.lt/portal/lt/legalAct/14e33320f1ed11ec8fa7d02a65c371ad"/>
  <Relationship Id="rId17" Type="http://schemas.openxmlformats.org/officeDocument/2006/relationships/hyperlink" TargetMode="External" Target="https://www.e-tar.lt/portal/lt/legalAct/14e33320f1ed11ec8fa7d02a65c371ad"/>
  <Relationship Id="rId18" Type="http://schemas.openxmlformats.org/officeDocument/2006/relationships/hyperlink" TargetMode="External" Target="https://www.e-tar.lt/portal/lt/legalAct/14e33320f1ed11ec8fa7d02a65c371ad"/>
  <Relationship Id="rId19" Type="http://schemas.openxmlformats.org/officeDocument/2006/relationships/hyperlink" TargetMode="External" Target="https://www.e-tar.lt/portal/lt/legalAct/14e33320f1ed11ec8fa7d02a65c371ad"/>
  <Relationship Id="rId2" Type="http://schemas.openxmlformats.org/officeDocument/2006/relationships/customXml" Target="../customXml/item2.xml"/>
  <Relationship Id="rId20" Type="http://schemas.openxmlformats.org/officeDocument/2006/relationships/hyperlink" TargetMode="External" Target="https://www.e-tar.lt/portal/lt/legalAct/14e33320f1ed11ec8fa7d02a65c371ad"/>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988c332436294de88a07a2cd3ff99ce1" PartId="072e75a439d0495c94e7564a4861fbfc">
    <Part Type="pabaiga" DocPartId="85319fc74a004932ac004e50e600765b" PartId="f98d2c608c9344d0814fce6ccbb82ba1"/>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AF0D1D79-AD3C-4CD3-AD1E-9CAFC7558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E1DC344-70CC-4E6E-9733-4356496F42EE}">
  <ds:schemaRefs>
    <ds:schemaRef ds:uri="http://schemas.openxmlformats.org/officeDocument/2006/bibliography"/>
  </ds:schemaRefs>
</ds:datastoreItem>
</file>

<file path=customXml/itemProps5.xml><?xml version="1.0" encoding="utf-8"?>
<ds:datastoreItem xmlns:ds="http://schemas.openxmlformats.org/officeDocument/2006/customXml" ds:itemID="{700B8DE1-3139-4C50-8AF2-6531B2728E40}">
  <ds:schemaRefs>
    <ds:schemaRef ds:uri="http://schemas.openxmlformats.org/officeDocument/2006/bibliography"/>
  </ds:schemaRefs>
</ds:datastoreItem>
</file>

<file path=customXml/itemProps6.xml><?xml version="1.0" encoding="utf-8"?>
<ds:datastoreItem xmlns:ds="http://schemas.openxmlformats.org/officeDocument/2006/customXml" ds:itemID="{F13FBAF6-BA21-48A0-B3D3-7E8280E779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3394</Words>
  <Characters>25626</Characters>
  <Application>Microsoft Office Word</Application>
  <DocSecurity>4</DocSecurity>
  <Lines>557</Lines>
  <Paragraphs>241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28779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2023-06-29T14:21:00Z</dcterms:created>
  <dc:creator>Virginija Levinskienė</dc:creator>
  <lastModifiedBy>adlibuser</lastModifiedBy>
  <lastPrinted>2023-04-27T13:41:00Z</lastPrinted>
  <dcterms:modified xsi:type="dcterms:W3CDTF">2023-06-29T14:21:00Z</dcterms:modified>
  <revision>2</revision>
  <dc:title>PFSA 2022-09-09 IT patobulinimas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1160;#Sonata Matakaitė-Čečotė;#90;#Laura Neliupšytė;#1119;#Mantas Bernotas;#166;#Margarita Kairienė;#24;#Ineta Valantinavičiūtė;#758;#Toma Šukienė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