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9e68b9cf0284338a4a9855d90c1d1e0"/>
        <w:lock w:val="sdtLocked"/>
        <w:richText/>
      </w:sdtPr>
      <w:sdtContent>
        <w:p>
          <w:pPr>
            <w:spacing w:line="276" w:lineRule="auto"/>
            <w:rPr>
              <w:b/>
              <w:szCs w:val="24"/>
              <w:lang w:eastAsia="lt-LT"/>
            </w:rPr>
          </w:pPr>
        </w:p>
        <w:tbl>
          <w:tblPr>
            <w:tblW w:w="0" w:type="auto"/>
            <w:tblLook w:val="04A0" w:firstRow="1" w:lastRow="0" w:firstColumn="1" w:lastColumn="0" w:noHBand="0" w:noVBand="1"/>
          </w:tblPr>
          <w:tblGrid>
            <w:gridCol w:w="5901"/>
            <w:gridCol w:w="3737"/>
          </w:tblGrid>
          <w:tr>
            <w:tc>
              <w:tcPr>
                <w:tcW w:w="6062" w:type="dxa"/>
                <w:vMerge w:val="restart"/>
              </w:tcPr>
              <w:p>
                <w:pPr>
                  <w:tabs>
                    <w:tab w:val="left" w:pos="1304"/>
                    <w:tab w:val="left" w:pos="1457"/>
                    <w:tab w:val="left" w:pos="1604"/>
                    <w:tab w:val="left" w:pos="1757"/>
                  </w:tabs>
                  <w:rPr>
                    <w:b/>
                    <w:szCs w:val="24"/>
                    <w:lang w:eastAsia="lt-LT"/>
                  </w:rPr>
                </w:pPr>
              </w:p>
            </w:tc>
            <w:tc>
              <w:tcPr>
                <w:tcW w:w="3792" w:type="dxa"/>
              </w:tcPr>
              <w:p>
                <w:pPr>
                  <w:rPr>
                    <w:szCs w:val="24"/>
                    <w:lang w:val="pt-BR"/>
                  </w:rPr>
                </w:pPr>
                <w:r>
                  <w:rPr>
                    <w:szCs w:val="24"/>
                    <w:lang w:val="pt-BR"/>
                  </w:rPr>
                  <w:t>PATVIRTINTA</w:t>
                </w:r>
              </w:p>
              <w:p>
                <w:pPr>
                  <w:rPr>
                    <w:szCs w:val="24"/>
                    <w:lang w:val="pt-BR"/>
                  </w:rPr>
                </w:pPr>
                <w:r>
                  <w:rPr>
                    <w:szCs w:val="24"/>
                    <w:lang w:val="pt-BR"/>
                  </w:rPr>
                  <w:t xml:space="preserve">Telšių rajono savivaldybės </w:t>
                </w:r>
              </w:p>
              <w:p>
                <w:pPr>
                  <w:rPr>
                    <w:szCs w:val="24"/>
                    <w:lang w:val="pt-BR"/>
                  </w:rPr>
                </w:pPr>
                <w:r>
                  <w:rPr>
                    <w:szCs w:val="24"/>
                    <w:lang w:val="pt-BR"/>
                  </w:rPr>
                  <w:t xml:space="preserve">administracijos 2022 m. gruodžio            16 d. įsakymu Nr. A1-1948</w:t>
                </w:r>
              </w:p>
            </w:tc>
          </w:tr>
          <w:tr>
            <w:tc>
              <w:tcPr>
                <w:tcW w:w="6062" w:type="dxa"/>
                <w:vMerge/>
              </w:tcPr>
              <w:p>
                <w:pPr>
                  <w:jc w:val="center"/>
                  <w:rPr>
                    <w:b/>
                    <w:szCs w:val="24"/>
                    <w:lang w:eastAsia="lt-LT"/>
                  </w:rPr>
                </w:pPr>
              </w:p>
            </w:tc>
            <w:tc>
              <w:tcPr>
                <w:tcW w:w="3792" w:type="dxa"/>
              </w:tcPr>
              <w:p>
                <w:pPr>
                  <w:rPr>
                    <w:sz w:val="22"/>
                    <w:szCs w:val="22"/>
                    <w:lang w:eastAsia="lt-LT"/>
                  </w:rPr>
                </w:pPr>
              </w:p>
            </w:tc>
          </w:tr>
          <w:tr>
            <w:tc>
              <w:tcPr>
                <w:tcW w:w="6062" w:type="dxa"/>
                <w:vMerge/>
              </w:tcPr>
              <w:p>
                <w:pPr>
                  <w:jc w:val="center"/>
                  <w:rPr>
                    <w:b/>
                    <w:szCs w:val="24"/>
                    <w:lang w:eastAsia="lt-LT"/>
                  </w:rPr>
                </w:pPr>
              </w:p>
            </w:tc>
            <w:tc>
              <w:tcPr>
                <w:tcW w:w="3792" w:type="dxa"/>
              </w:tcPr>
              <w:p>
                <w:pPr>
                  <w:jc w:val="center"/>
                  <w:rPr>
                    <w:sz w:val="22"/>
                    <w:szCs w:val="22"/>
                    <w:lang w:eastAsia="lt-LT"/>
                  </w:rPr>
                </w:pPr>
              </w:p>
            </w:tc>
          </w:tr>
          <w:tr>
            <w:tc>
              <w:tcPr>
                <w:tcW w:w="6062" w:type="dxa"/>
                <w:vMerge/>
              </w:tcPr>
              <w:p>
                <w:pPr>
                  <w:jc w:val="center"/>
                  <w:rPr>
                    <w:b/>
                    <w:szCs w:val="24"/>
                    <w:lang w:eastAsia="lt-LT"/>
                  </w:rPr>
                </w:pPr>
              </w:p>
            </w:tc>
            <w:tc>
              <w:tcPr>
                <w:tcW w:w="3792" w:type="dxa"/>
              </w:tcPr>
              <w:p>
                <w:pPr>
                  <w:rPr>
                    <w:sz w:val="22"/>
                    <w:szCs w:val="22"/>
                    <w:lang w:eastAsia="lt-LT"/>
                  </w:rPr>
                </w:pPr>
              </w:p>
            </w:tc>
          </w:tr>
        </w:tbl>
        <w:p>
          <w:pPr>
            <w:spacing w:line="276" w:lineRule="auto"/>
            <w:jc w:val="center"/>
            <w:rPr>
              <w:b/>
              <w:szCs w:val="24"/>
              <w:lang w:eastAsia="lt-LT"/>
            </w:rPr>
          </w:pPr>
        </w:p>
        <w:sdt>
          <w:sdtPr>
            <w:alias w:val="skirsnis"/>
            <w:tag w:val="part_6b3840f05dae422bb6bb6d93a4109267"/>
            <w:lock w:val="sdtLocked"/>
            <w:richText/>
          </w:sdtPr>
          <w:sdtContent>
            <w:p>
              <w:pPr>
                <w:tabs>
                  <w:tab w:val="left" w:pos="720"/>
                </w:tabs>
                <w:spacing w:line="276" w:lineRule="auto"/>
                <w:ind w:firstLine="720"/>
                <w:jc w:val="both"/>
                <w:rPr>
                  <w:b/>
                  <w:szCs w:val="24"/>
                  <w:lang w:eastAsia="lt-LT"/>
                </w:rPr>
              </w:pPr>
              <w:sdt>
                <w:sdtPr>
                  <w:alias w:val="Pavadinimas"/>
                  <w:tag w:val="title_6b3840f05dae422bb6bb6d93a4109267"/>
                  <w:lock w:val="sdtLocked"/>
                  <w:richText/>
                </w:sdtPr>
                <w:sdtContent>
                  <w:r>
                    <w:rPr>
                      <w:b/>
                      <w:caps/>
                      <w:szCs w:val="24"/>
                    </w:rPr>
                    <w:t>pasirengimo Į</w:t>
                  </w:r>
                  <w:r>
                    <w:rPr>
                      <w:b/>
                      <w:bCs/>
                      <w:szCs w:val="24"/>
                      <w:lang w:eastAsia="lt-LT"/>
                    </w:rPr>
                    <w:t xml:space="preserve">GYVENDINTI ĮTRAUKŲJĮ UGDYMĄ TELŠIŲ RAJONO SAVIVALDYBĖS UGDYMO ĮSTAIGOSE  2023–2024 METAIS PLANAS</w:t>
                  </w:r>
                </w:sdtContent>
              </w:sdt>
            </w:p>
            <w:p>
              <w:pPr>
                <w:tabs>
                  <w:tab w:val="left" w:pos="720"/>
                </w:tabs>
                <w:spacing w:line="276" w:lineRule="auto"/>
                <w:ind w:firstLine="720"/>
                <w:jc w:val="both"/>
                <w:rPr>
                  <w:b/>
                  <w:szCs w:val="24"/>
                  <w:lang w:eastAsia="lt-LT"/>
                </w:rPr>
              </w:pPr>
            </w:p>
          </w:sdtContent>
        </w:sdt>
        <w:sdt>
          <w:sdtPr>
            <w:alias w:val="skyrius"/>
            <w:tag w:val="part_322979c8ce4c49d995e8a7fb2328424e"/>
            <w:lock w:val="sdtLocked"/>
            <w:richText/>
          </w:sdtPr>
          <w:sdtContent>
            <w:p>
              <w:pPr>
                <w:tabs>
                  <w:tab w:val="left" w:pos="720"/>
                </w:tabs>
                <w:spacing w:line="276" w:lineRule="auto"/>
                <w:ind w:firstLine="720"/>
                <w:jc w:val="center"/>
                <w:rPr>
                  <w:b/>
                  <w:szCs w:val="24"/>
                  <w:lang w:eastAsia="lt-LT"/>
                </w:rPr>
              </w:pPr>
              <w:sdt>
                <w:sdtPr>
                  <w:alias w:val="Numeris"/>
                  <w:tag w:val="nr_322979c8ce4c49d995e8a7fb2328424e"/>
                  <w:lock w:val="sdtLocked"/>
                  <w:richText/>
                </w:sdtPr>
                <w:sdtContent>
                  <w:r>
                    <w:rPr>
                      <w:rFonts w:eastAsia="Calibri"/>
                      <w:b/>
                      <w:kern w:val="24"/>
                      <w:szCs w:val="24"/>
                      <w:lang w:eastAsia="lt-LT"/>
                    </w:rPr>
                    <w:t>I</w:t>
                  </w:r>
                </w:sdtContent>
              </w:sdt>
              <w:r>
                <w:rPr>
                  <w:rFonts w:eastAsia="Calibri"/>
                  <w:b/>
                  <w:kern w:val="24"/>
                  <w:szCs w:val="24"/>
                  <w:lang w:eastAsia="lt-LT"/>
                </w:rPr>
                <w:t xml:space="preserve"> SKYRIUS</w:t>
              </w:r>
            </w:p>
            <w:p>
              <w:pPr>
                <w:tabs>
                  <w:tab w:val="left" w:pos="720"/>
                </w:tabs>
                <w:spacing w:line="276" w:lineRule="auto"/>
                <w:ind w:firstLine="720"/>
                <w:jc w:val="center"/>
                <w:rPr>
                  <w:b/>
                  <w:szCs w:val="24"/>
                  <w:lang w:eastAsia="lt-LT"/>
                </w:rPr>
              </w:pPr>
              <w:sdt>
                <w:sdtPr>
                  <w:alias w:val="Pavadinimas"/>
                  <w:tag w:val="title_322979c8ce4c49d995e8a7fb2328424e"/>
                  <w:lock w:val="sdtLocked"/>
                  <w:richText/>
                </w:sdtPr>
                <w:sdtContent>
                  <w:r>
                    <w:rPr>
                      <w:rFonts w:eastAsia="Calibri"/>
                      <w:b/>
                      <w:kern w:val="24"/>
                      <w:szCs w:val="24"/>
                      <w:lang w:eastAsia="lt-LT"/>
                    </w:rPr>
                    <w:t>BENDROSIOS NUOSTATOS</w:t>
                  </w:r>
                </w:sdtContent>
              </w:sdt>
            </w:p>
            <w:p>
              <w:pPr>
                <w:tabs>
                  <w:tab w:val="left" w:pos="720"/>
                </w:tabs>
                <w:spacing w:line="276" w:lineRule="auto"/>
                <w:ind w:firstLine="720"/>
                <w:jc w:val="both"/>
                <w:rPr>
                  <w:b/>
                  <w:szCs w:val="24"/>
                  <w:lang w:eastAsia="lt-LT"/>
                </w:rPr>
              </w:pPr>
            </w:p>
            <w:sdt>
              <w:sdtPr>
                <w:alias w:val="1 p."/>
                <w:tag w:val="part_6319cc8b9ae244ec93b28af46a5dc4c3"/>
                <w:lock w:val="sdtLocked"/>
                <w:richText/>
              </w:sdtPr>
              <w:sdtContent>
                <w:p>
                  <w:pPr>
                    <w:spacing w:line="276" w:lineRule="auto"/>
                    <w:ind w:firstLine="567"/>
                    <w:jc w:val="both"/>
                    <w:rPr>
                      <w:szCs w:val="24"/>
                    </w:rPr>
                  </w:pPr>
                  <w:sdt>
                    <w:sdtPr>
                      <w:alias w:val="Numeris"/>
                      <w:tag w:val="nr_6319cc8b9ae244ec93b28af46a5dc4c3"/>
                      <w:lock w:val="sdtLocked"/>
                      <w:richText/>
                    </w:sdtPr>
                    <w:sdtContent>
                      <w:r>
                        <w:rPr>
                          <w:szCs w:val="24"/>
                        </w:rPr>
                        <w:t>1</w:t>
                      </w:r>
                    </w:sdtContent>
                  </w:sdt>
                  <w:r>
                    <w:rPr>
                      <w:szCs w:val="24"/>
                    </w:rPr>
                    <w:t>.</w:t>
                    <w:tab/>
                    <w:t xml:space="preserve">Įtraukusis ugdymas – ugdymas lanksčioje švietimo sistemoje,  kuri užtikrina visų vaikų teisę nebūti diskriminuojamiems dėl savo negalios, kitų ypatumų, teisę mokytis bendrojo ugdymo sistemoje, bendroje mokymosi aplinkoje, visiems besimokantiesiems sukuriant lygias mokymosi galimybes, tinkamai pritaikant ugdymosi sąlygas, suteikiant individualizuotos pagalbos priemones ir sudarant kiekvienam vaikui galimybę plėtoti savo galias ir gebėjimus, talentus, kūrybingumą, mokantis drauge su visais, ir patirti sėkmę socialinėse, kultūrinėse ir (ar) kitose veiklose.</w:t>
                  </w:r>
                </w:p>
              </w:sdtContent>
            </w:sdt>
            <w:sdt>
              <w:sdtPr>
                <w:alias w:val="2 p."/>
                <w:tag w:val="part_429226df6c2d4edd83518a243990e7be"/>
                <w:lock w:val="sdtLocked"/>
                <w:richText/>
              </w:sdtPr>
              <w:sdtContent>
                <w:p>
                  <w:pPr>
                    <w:spacing w:line="276" w:lineRule="auto"/>
                    <w:ind w:firstLine="567"/>
                    <w:jc w:val="both"/>
                    <w:rPr>
                      <w:szCs w:val="24"/>
                    </w:rPr>
                  </w:pPr>
                  <w:sdt>
                    <w:sdtPr>
                      <w:alias w:val="Numeris"/>
                      <w:tag w:val="nr_429226df6c2d4edd83518a243990e7be"/>
                      <w:lock w:val="sdtLocked"/>
                      <w:richText/>
                    </w:sdtPr>
                    <w:sdtContent>
                      <w:r>
                        <w:rPr>
                          <w:szCs w:val="24"/>
                        </w:rPr>
                        <w:t>2</w:t>
                      </w:r>
                    </w:sdtContent>
                  </w:sdt>
                  <w:r>
                    <w:rPr>
                      <w:szCs w:val="24"/>
                    </w:rPr>
                    <w:t>.</w:t>
                    <w:tab/>
                    <w:t>Pasirengimo į</w:t>
                  </w:r>
                  <w:r>
                    <w:rPr>
                      <w:bCs/>
                      <w:szCs w:val="24"/>
                      <w:lang w:eastAsia="lt-LT"/>
                    </w:rPr>
                    <w:t xml:space="preserve">gyvendinti įtraukųjį ugdymą Telšių rajono savivaldybės ugdymo įstaigose  2023–2024 metais plano (toliau – Planas) tikslas yra paruošti Telšių rajono savivaldybės bendrojo ir ikimokyklinio ugdymo įstaigas (toliau – ugdymo įstaigos) įgyvendinti įtraukųjį ugdymą, atsižvelgiant į </w:t>
                  </w:r>
                  <w:r>
                    <w:rPr>
                      <w:rFonts w:eastAsia="Calibri"/>
                      <w:kern w:val="24"/>
                      <w:szCs w:val="24"/>
                      <w:lang w:eastAsia="lt-LT"/>
                    </w:rPr>
                    <w:t>kiekvieno individualius gebėjimus ir poreikius, vengiant bet kokios diskriminacijos,</w:t>
                  </w:r>
                  <w:r>
                    <w:rPr>
                      <w:bCs/>
                      <w:szCs w:val="24"/>
                      <w:lang w:eastAsia="lt-LT"/>
                    </w:rPr>
                    <w:t xml:space="preserve"> siekiant skirtingų gebėjimų turinčių vaikų ugdymosi kokybės ir emocinio stabilumo. </w:t>
                  </w:r>
                </w:p>
              </w:sdtContent>
            </w:sdt>
            <w:sdt>
              <w:sdtPr>
                <w:alias w:val="3 p."/>
                <w:tag w:val="part_ccb567b42c764679a664f95f4dd8c774"/>
                <w:lock w:val="sdtLocked"/>
                <w:richText/>
              </w:sdtPr>
              <w:sdtContent>
                <w:p>
                  <w:pPr>
                    <w:spacing w:line="276" w:lineRule="auto"/>
                    <w:ind w:firstLine="504"/>
                    <w:jc w:val="both"/>
                    <w:rPr>
                      <w:color w:val="000000"/>
                      <w:szCs w:val="24"/>
                      <w:lang w:eastAsia="lt-LT"/>
                    </w:rPr>
                  </w:pPr>
                  <w:sdt>
                    <w:sdtPr>
                      <w:alias w:val="Numeris"/>
                      <w:tag w:val="nr_ccb567b42c764679a664f95f4dd8c774"/>
                      <w:lock w:val="sdtLocked"/>
                      <w:richText/>
                    </w:sdtPr>
                    <w:sdtContent>
                      <w:r>
                        <w:rPr>
                          <w:szCs w:val="24"/>
                          <w:lang w:eastAsia="lt-LT"/>
                        </w:rPr>
                        <w:t>3</w:t>
                      </w:r>
                    </w:sdtContent>
                  </w:sdt>
                  <w:r>
                    <w:rPr>
                      <w:szCs w:val="24"/>
                      <w:lang w:eastAsia="lt-LT"/>
                    </w:rPr>
                    <w:t>.</w:t>
                    <w:tab/>
                  </w:r>
                  <w:r>
                    <w:rPr>
                      <w:bCs/>
                      <w:szCs w:val="24"/>
                      <w:lang w:eastAsia="lt-LT"/>
                    </w:rPr>
                    <w:t>Planas parengtas vadovaujantis Lietuvos Respublikos švietimo įstatymu ir</w:t>
                  </w:r>
                  <w:r>
                    <w:rPr>
                      <w:szCs w:val="24"/>
                      <w:lang w:eastAsia="lt-LT"/>
                    </w:rPr>
                    <w:t xml:space="preserve"> Švietimo įstatymo Nr. I-1489 5, 14, 21, 29, 30, 34 ir 36 straipsnių pakeitimo </w:t>
                  </w:r>
                  <w:r>
                    <w:rPr>
                      <w:bCs/>
                      <w:color w:val="000000"/>
                      <w:szCs w:val="24"/>
                      <w:lang w:eastAsia="lt-LT"/>
                    </w:rPr>
                    <w:t>ir įstatymo papildymo 45</w:t>
                  </w:r>
                  <w:r>
                    <w:rPr>
                      <w:bCs/>
                      <w:color w:val="000000"/>
                      <w:szCs w:val="24"/>
                      <w:vertAlign w:val="superscript"/>
                      <w:lang w:eastAsia="lt-LT"/>
                    </w:rPr>
                    <w:t>1</w:t>
                  </w:r>
                  <w:r>
                    <w:rPr>
                      <w:bCs/>
                      <w:color w:val="000000"/>
                      <w:szCs w:val="24"/>
                      <w:lang w:eastAsia="lt-LT"/>
                    </w:rPr>
                    <w:t xml:space="preserve"> straipsniu </w:t>
                  </w:r>
                  <w:r>
                    <w:rPr>
                      <w:bCs/>
                      <w:szCs w:val="24"/>
                      <w:lang w:eastAsia="lt-LT"/>
                    </w:rPr>
                    <w:t>įstatymu, Lietuvos Respublikos Vyriausybės nutarimais, Pasirengimo įgyvendinti Švietimo įstatymo Nr. I-1489 5, 14, 21, 29, 30, 34 ir 36 straipsnių pakeitimo ir įstatymo papildymo 45</w:t>
                  </w:r>
                  <w:r>
                    <w:rPr>
                      <w:szCs w:val="24"/>
                      <w:lang w:eastAsia="lt-LT"/>
                    </w:rPr>
                    <w:t xml:space="preserve">¹ straipsnių nuostatas 2021-2024 metų veiksmų planu, patvirtintu Lietuvos Respublikos švietimo, mokslo ir sporto ministro 2021 m. spalio 14 d. įsakymu V-1879  „Dėl pasirengimo įgyvendinti Švietimo įstatymo Nr. I-1489 5, 14, 21, 29, 30, 34 ir 36 straipsnių pakeitimo </w:t>
                  </w:r>
                  <w:r>
                    <w:rPr>
                      <w:bCs/>
                      <w:szCs w:val="24"/>
                      <w:lang w:eastAsia="lt-LT"/>
                    </w:rPr>
                    <w:t>ir įstatymo papildymo 45</w:t>
                  </w:r>
                  <w:r>
                    <w:rPr>
                      <w:szCs w:val="24"/>
                      <w:lang w:eastAsia="lt-LT"/>
                    </w:rPr>
                    <w:t>¹ straipsnių nuostatas 2021-2024 metų veiksmų plano patvirtinimo“, Geros mokyklos koncepcija, Telšių rajono savivaldybės strateginiu plėtros planu iki 2030.</w:t>
                  </w:r>
                </w:p>
                <w:p>
                  <w:pPr>
                    <w:tabs>
                      <w:tab w:val="left" w:pos="720"/>
                    </w:tabs>
                    <w:spacing w:line="276" w:lineRule="auto"/>
                    <w:ind w:firstLine="720"/>
                    <w:jc w:val="both"/>
                    <w:rPr>
                      <w:b/>
                      <w:szCs w:val="24"/>
                      <w:lang w:eastAsia="lt-LT"/>
                    </w:rPr>
                  </w:pPr>
                </w:p>
              </w:sdtContent>
            </w:sdt>
          </w:sdtContent>
        </w:sdt>
        <w:sdt>
          <w:sdtPr>
            <w:alias w:val="skyrius"/>
            <w:tag w:val="part_d1a457ab49e540d08864aa0c5828e847"/>
            <w:lock w:val="sdtLocked"/>
            <w:richText/>
          </w:sdtPr>
          <w:sdtContent>
            <w:p>
              <w:pPr>
                <w:tabs>
                  <w:tab w:val="left" w:pos="720"/>
                </w:tabs>
                <w:spacing w:line="276" w:lineRule="auto"/>
                <w:ind w:firstLine="720"/>
                <w:jc w:val="center"/>
                <w:rPr>
                  <w:b/>
                  <w:szCs w:val="24"/>
                  <w:lang w:eastAsia="lt-LT"/>
                </w:rPr>
              </w:pPr>
              <w:sdt>
                <w:sdtPr>
                  <w:alias w:val="Numeris"/>
                  <w:tag w:val="nr_d1a457ab49e540d08864aa0c5828e847"/>
                  <w:lock w:val="sdtLocked"/>
                  <w:richText/>
                </w:sdtPr>
                <w:sdtContent>
                  <w:r>
                    <w:rPr>
                      <w:rFonts w:eastAsia="Calibri"/>
                      <w:b/>
                      <w:kern w:val="24"/>
                      <w:szCs w:val="24"/>
                      <w:lang w:eastAsia="lt-LT"/>
                    </w:rPr>
                    <w:t>II</w:t>
                  </w:r>
                </w:sdtContent>
              </w:sdt>
              <w:r>
                <w:rPr>
                  <w:rFonts w:eastAsia="Calibri"/>
                  <w:b/>
                  <w:kern w:val="24"/>
                  <w:szCs w:val="24"/>
                  <w:lang w:eastAsia="lt-LT"/>
                </w:rPr>
                <w:t xml:space="preserve"> SKYRIUS</w:t>
              </w:r>
            </w:p>
            <w:p>
              <w:pPr>
                <w:tabs>
                  <w:tab w:val="left" w:pos="720"/>
                </w:tabs>
                <w:spacing w:line="276" w:lineRule="auto"/>
                <w:ind w:firstLine="720"/>
                <w:jc w:val="center"/>
                <w:rPr>
                  <w:b/>
                  <w:szCs w:val="24"/>
                  <w:lang w:eastAsia="lt-LT"/>
                </w:rPr>
              </w:pPr>
              <w:sdt>
                <w:sdtPr>
                  <w:alias w:val="Pavadinimas"/>
                  <w:tag w:val="title_d1a457ab49e540d08864aa0c5828e847"/>
                  <w:lock w:val="sdtLocked"/>
                  <w:richText/>
                </w:sdtPr>
                <w:sdtContent>
                  <w:r>
                    <w:rPr>
                      <w:rFonts w:eastAsia="Calibri"/>
                      <w:b/>
                      <w:kern w:val="24"/>
                      <w:szCs w:val="24"/>
                      <w:lang w:eastAsia="lt-LT"/>
                    </w:rPr>
                    <w:t>SITUACIJOS ANALIZĖ</w:t>
                  </w:r>
                </w:sdtContent>
              </w:sdt>
            </w:p>
            <w:p>
              <w:pPr>
                <w:tabs>
                  <w:tab w:val="left" w:pos="720"/>
                </w:tabs>
                <w:spacing w:line="276" w:lineRule="auto"/>
                <w:ind w:firstLine="720"/>
                <w:jc w:val="center"/>
                <w:rPr>
                  <w:b/>
                  <w:szCs w:val="24"/>
                  <w:lang w:eastAsia="lt-LT"/>
                </w:rPr>
              </w:pPr>
            </w:p>
            <w:sdt>
              <w:sdtPr>
                <w:alias w:val="4 p."/>
                <w:tag w:val="part_e8aca892ab684e869dd444d88df76122"/>
                <w:lock w:val="sdtLocked"/>
                <w:richText/>
              </w:sdtPr>
              <w:sdtContent>
                <w:p>
                  <w:pPr>
                    <w:tabs>
                      <w:tab w:val="left" w:pos="567"/>
                    </w:tabs>
                    <w:spacing w:line="276" w:lineRule="auto"/>
                    <w:ind w:firstLine="567"/>
                    <w:jc w:val="both"/>
                    <w:rPr>
                      <w:b/>
                      <w:szCs w:val="24"/>
                      <w:lang w:eastAsia="lt-LT"/>
                    </w:rPr>
                  </w:pPr>
                  <w:sdt>
                    <w:sdtPr>
                      <w:alias w:val="Numeris"/>
                      <w:tag w:val="nr_e8aca892ab684e869dd444d88df76122"/>
                      <w:lock w:val="sdtLocked"/>
                      <w:richText/>
                    </w:sdtPr>
                    <w:sdtContent>
                      <w:r>
                        <w:rPr>
                          <w:rFonts w:eastAsia="Calibri"/>
                          <w:kern w:val="24"/>
                          <w:szCs w:val="24"/>
                          <w:lang w:eastAsia="lt-LT"/>
                        </w:rPr>
                        <w:t>4</w:t>
                      </w:r>
                    </w:sdtContent>
                  </w:sdt>
                  <w:r>
                    <w:rPr>
                      <w:rFonts w:eastAsia="Calibri"/>
                      <w:kern w:val="24"/>
                      <w:szCs w:val="24"/>
                      <w:lang w:eastAsia="lt-LT"/>
                    </w:rPr>
                    <w:t>. Teisiniai veiksniai.</w:t>
                  </w:r>
                </w:p>
                <w:p>
                  <w:pPr>
                    <w:ind w:firstLine="504"/>
                    <w:jc w:val="both"/>
                    <w:rPr>
                      <w:rFonts w:eastAsia="Calibri"/>
                      <w:color w:val="FF0000"/>
                      <w:kern w:val="24"/>
                      <w:szCs w:val="24"/>
                      <w:lang w:eastAsia="lt-LT"/>
                    </w:rPr>
                  </w:pPr>
                  <w:r>
                    <w:rPr>
                      <w:rFonts w:eastAsia="Calibri"/>
                      <w:kern w:val="24"/>
                      <w:szCs w:val="24"/>
                      <w:lang w:eastAsia="lt-LT"/>
                    </w:rPr>
                    <w:t xml:space="preserve">Įtraukiojo ugdymo principai ir nuostatos yra  įtvirtinti tarptautiniuose dokumentuose. Visos ES šalys, nepaisant jų skirtingų istorinių, socialinių, kultūrinių kontekstų, įsipareigojo kurti ir įgyvendinti įtraukiojo ugdymo sistemas ir jas grįsti bendromis etinėmis ir politinėmis nuostatomis. Įtraukusis ugdymas grindžiamas vaiko teise į mokymąsi bei švietimo pagalbą ir sistemine nuostata – siekti kokybiškai ugdyti kiekvieną besimokantįjį, vadovaujantis socialinio teisingumo, pagalbos besimokantiesiems, galimybės gauti aukštos kokybės ugdymo paslaugas, efektyvumo, veiksmingumo, dalyvavimo, ugdymo(si) poreikių ir lūkesčių tenkinimo principais. Tarptautiniai dokumentai apibrėžia standartus, kuriais turėtų vadovautis šalys, kurdamos teisinius dokumentus, programas ir paslaugas, būtinas įtraukiajam ugdymui įgyvendinti:</w:t>
                  </w:r>
                </w:p>
                <w:p>
                  <w:pPr>
                    <w:ind w:firstLine="927"/>
                    <w:jc w:val="both"/>
                    <w:rPr>
                      <w:rFonts w:eastAsia="Calibri"/>
                      <w:kern w:val="24"/>
                      <w:szCs w:val="24"/>
                      <w:lang w:eastAsia="lt-LT"/>
                    </w:rPr>
                  </w:pPr>
                  <w:r>
                    <w:rPr>
                      <w:rFonts w:ascii="Symbol" w:eastAsia="Calibri" w:hAnsi="Symbol"/>
                      <w:kern w:val="24"/>
                      <w:szCs w:val="24"/>
                      <w:lang w:eastAsia="lt-LT"/>
                    </w:rPr>
                    <w:t></w:t>
                    <w:tab/>
                  </w:r>
                  <w:r>
                    <w:rPr>
                      <w:rFonts w:eastAsia="Calibri"/>
                      <w:kern w:val="24"/>
                      <w:szCs w:val="24"/>
                      <w:lang w:eastAsia="lt-LT"/>
                    </w:rPr>
                    <w:t>Jungtinių Tautų</w:t>
                  </w:r>
                  <w:r>
                    <w:rPr>
                      <w:rFonts w:eastAsia="Calibri"/>
                      <w:b/>
                      <w:kern w:val="24"/>
                      <w:szCs w:val="24"/>
                      <w:lang w:eastAsia="lt-LT"/>
                    </w:rPr>
                    <w:t xml:space="preserve"> </w:t>
                  </w:r>
                  <w:r>
                    <w:rPr>
                      <w:rFonts w:eastAsia="Calibri"/>
                      <w:kern w:val="24"/>
                      <w:szCs w:val="24"/>
                      <w:lang w:eastAsia="lt-LT"/>
                    </w:rPr>
                    <w:t xml:space="preserve">vaiko teisių konvencija (1989 m., Lietuvoje ratifikuota 1992 m.)  įteisinta kiekvieno vaiko teisė į prieinamą kokybišką ugdymą. Įsipareigojama teikti vaikui tokią apsaugą ir globą, kokios reikia jo gerovei užtikrinti (3 str. 2 p.), akcentuojamas ugdymo visiems vaikams bei mokomosios, orientuojančios informacijos ir medžiagos prieinamumas ir užtikrinamas (28 str.).</w:t>
                  </w:r>
                </w:p>
                <w:p>
                  <w:pPr>
                    <w:spacing w:line="276" w:lineRule="auto"/>
                    <w:ind w:firstLine="927"/>
                    <w:jc w:val="both"/>
                    <w:rPr>
                      <w:rFonts w:eastAsia="Calibri"/>
                      <w:kern w:val="24"/>
                      <w:szCs w:val="24"/>
                      <w:lang w:eastAsia="lt-LT"/>
                    </w:rPr>
                  </w:pPr>
                  <w:r>
                    <w:rPr>
                      <w:rFonts w:ascii="Symbol" w:eastAsia="Calibri" w:hAnsi="Symbol"/>
                      <w:kern w:val="24"/>
                      <w:szCs w:val="24"/>
                      <w:lang w:eastAsia="lt-LT"/>
                    </w:rPr>
                    <w:t></w:t>
                    <w:tab/>
                  </w:r>
                  <w:r>
                    <w:rPr>
                      <w:rFonts w:eastAsia="Calibri"/>
                      <w:kern w:val="24"/>
                      <w:szCs w:val="24"/>
                      <w:lang w:eastAsia="lt-LT"/>
                    </w:rPr>
                    <w:t xml:space="preserve">Jungtinių Tautų švietimo, mokslo ir kultūros organizacija UNESCO pabrėžia teisingumo principą ir įtraukųjį ugdymą traktuoja kaip nenutrūkstantį procesą, kurio pagrindinis tikslas yra užtikrinti kokybišką ugdymąsi visiems visuomenės nariams, pripažįstant ir gerbiant įvairovę, atsižvelgiant į kiekvieno individualius gebėjimus ir poreikius, vengiant bet kokios diskriminacijos </w:t>
                  </w:r>
                  <w:r>
                    <w:rPr>
                      <w:rFonts w:eastAsia="Calibri"/>
                      <w:b/>
                      <w:kern w:val="24"/>
                      <w:szCs w:val="24"/>
                      <w:lang w:eastAsia="lt-LT"/>
                    </w:rPr>
                    <w:t>(UNESCO, 2015)</w:t>
                  </w:r>
                  <w:r>
                    <w:rPr>
                      <w:rFonts w:eastAsia="Calibri"/>
                      <w:kern w:val="24"/>
                      <w:szCs w:val="24"/>
                      <w:lang w:eastAsia="lt-LT"/>
                    </w:rPr>
                    <w:t>.</w:t>
                  </w:r>
                </w:p>
                <w:p>
                  <w:pPr>
                    <w:spacing w:line="276" w:lineRule="auto"/>
                    <w:ind w:firstLine="927"/>
                    <w:jc w:val="both"/>
                    <w:rPr>
                      <w:rFonts w:eastAsia="Calibri"/>
                      <w:kern w:val="24"/>
                      <w:szCs w:val="24"/>
                      <w:lang w:eastAsia="lt-LT"/>
                    </w:rPr>
                  </w:pPr>
                  <w:r>
                    <w:rPr>
                      <w:rFonts w:ascii="Symbol" w:eastAsia="Calibri" w:hAnsi="Symbol"/>
                      <w:kern w:val="24"/>
                      <w:szCs w:val="24"/>
                      <w:lang w:eastAsia="lt-LT"/>
                    </w:rPr>
                    <w:t></w:t>
                    <w:tab/>
                  </w:r>
                  <w:r>
                    <w:rPr>
                      <w:rFonts w:eastAsia="Calibri"/>
                      <w:kern w:val="24"/>
                      <w:szCs w:val="24"/>
                      <w:lang w:eastAsia="lt-LT"/>
                    </w:rPr>
                    <w:t>Europos Tarybos rekomendacija (2018 m. gegužės 22 d., 2018/C 195/01) dėl bendrų vertybių, įtraukaus švietimo akcentuoja, kad „Efektyvaus lygiateisiško įtraukiojo ugdymo visiems besimokantiesiems prieinamumo užtikrinimas sudaro darnios visuomenės sukūrimo pagrindą“.</w:t>
                  </w:r>
                </w:p>
                <w:p>
                  <w:pPr>
                    <w:spacing w:line="276" w:lineRule="auto"/>
                    <w:ind w:firstLine="927"/>
                    <w:jc w:val="both"/>
                    <w:rPr>
                      <w:rFonts w:eastAsia="Calibri"/>
                      <w:kern w:val="24"/>
                      <w:szCs w:val="24"/>
                      <w:lang w:eastAsia="lt-LT"/>
                    </w:rPr>
                  </w:pPr>
                  <w:r>
                    <w:rPr>
                      <w:rFonts w:ascii="Symbol" w:eastAsia="Calibri" w:hAnsi="Symbol"/>
                      <w:kern w:val="24"/>
                      <w:szCs w:val="24"/>
                      <w:lang w:eastAsia="lt-LT"/>
                    </w:rPr>
                    <w:t></w:t>
                    <w:tab/>
                  </w:r>
                  <w:r>
                    <w:rPr>
                      <w:rFonts w:eastAsia="Calibri"/>
                      <w:kern w:val="24"/>
                      <w:szCs w:val="24"/>
                      <w:lang w:eastAsia="lt-LT"/>
                    </w:rPr>
                    <w:t xml:space="preserve">Jungtinių Tautų neįgaliųjų teisių konvencijos 24 str. (2006) teigia, kad tik įtraukusis ugdymas suteikia neįgaliems vaikams, taip pat vaikams, turintiems specialiųjų ugdymosi poreikių, ugdymosi galimybes </w:t>
                  </w:r>
                  <w:r>
                    <w:rPr>
                      <w:szCs w:val="24"/>
                    </w:rPr>
                    <w:t>–</w:t>
                  </w:r>
                  <w:r>
                    <w:rPr>
                      <w:rFonts w:eastAsia="Calibri"/>
                      <w:kern w:val="24"/>
                      <w:szCs w:val="24"/>
                      <w:lang w:eastAsia="lt-LT"/>
                    </w:rPr>
                    <w:t xml:space="preserve"> „Tik įtraukus švietimas gali užtikrinti neįgaliųjų kokybišką išsilavinimą ir socialinį vystymąsi bei garantuoti, kad įgyvendinant teisę į mokslą būtų laikomasi visuotinumo ir nediskriminavimo principų“.</w:t>
                  </w:r>
                </w:p>
                <w:p>
                  <w:pPr>
                    <w:ind w:firstLine="927"/>
                    <w:jc w:val="both"/>
                    <w:rPr>
                      <w:rFonts w:eastAsia="Calibri"/>
                      <w:kern w:val="24"/>
                      <w:szCs w:val="24"/>
                      <w:lang w:eastAsia="lt-LT"/>
                    </w:rPr>
                  </w:pPr>
                  <w:r>
                    <w:rPr>
                      <w:rFonts w:ascii="Symbol" w:eastAsia="Calibri" w:hAnsi="Symbol"/>
                      <w:kern w:val="24"/>
                      <w:szCs w:val="24"/>
                      <w:lang w:eastAsia="lt-LT"/>
                    </w:rPr>
                    <w:t></w:t>
                    <w:tab/>
                  </w:r>
                  <w:r>
                    <w:rPr>
                      <w:rFonts w:eastAsia="Calibri"/>
                      <w:kern w:val="24"/>
                      <w:szCs w:val="24"/>
                      <w:lang w:eastAsia="lt-LT"/>
                    </w:rPr>
                    <w:t>Europos specialiojo ir inkliuzinio ugdymo plėtros agentūros (EASNIE) nurodo pagrindinius principus: dalyvavimo plėtojimas, siekiant padidinti švietimo veiksmingumą ir prieinamumą visiems mokiniams; mokytojų parengimas dirbti įtraukioje švietimo sistemoje; organizacijų kultūra ir etika, pagalbos sistemos, lanksti švietimo aprūpinimo sistema, politika ir teisėkūra, skatinančios įtraukiojo ugdymo plėtrą.</w:t>
                  </w:r>
                </w:p>
                <w:p>
                  <w:pPr>
                    <w:ind w:firstLine="566"/>
                    <w:jc w:val="both"/>
                    <w:rPr>
                      <w:rFonts w:eastAsia="Calibri"/>
                      <w:color w:val="FF0000"/>
                      <w:kern w:val="24"/>
                      <w:szCs w:val="24"/>
                      <w:lang w:eastAsia="lt-LT"/>
                    </w:rPr>
                  </w:pPr>
                  <w:r>
                    <w:rPr>
                      <w:rFonts w:eastAsia="Calibri"/>
                      <w:kern w:val="24"/>
                      <w:szCs w:val="24"/>
                      <w:lang w:eastAsia="lt-LT"/>
                    </w:rPr>
                    <w:t xml:space="preserve">Lietuvos nacionaliniai dokumentai iš esmės dera su pagrindinėmis tarptautinėmis įtraukiojo ugdymo nuostatomis ir yra orientuoti į įtraukties  švietime aktualizavimą ir įgyvendinimą. Lietuvos švietimo sistemą reglamentuojančioje įstatyminėje bazėje formuojama nuostata, teigianti, kad visuomenė turi pripažinti sveikatos sutrikimų ir / ar negalią turinčių ir socialinę atskirtį patiriančių asmenų teises,  išsaugoti ir stiprinti jų gyvenimo kokybę, padėti jiems integruotis į visuomenę, tapti visaverčiais visuomenės nariais, dalyvauti socialinės įtraukties politikoje, užtikrinti vaikų gerovę ir lygias galimybes.</w:t>
                  </w:r>
                </w:p>
                <w:p>
                  <w:pPr>
                    <w:spacing w:line="276" w:lineRule="auto"/>
                    <w:ind w:firstLine="927"/>
                    <w:jc w:val="both"/>
                    <w:rPr>
                      <w:szCs w:val="24"/>
                    </w:rPr>
                  </w:pPr>
                  <w:r>
                    <w:rPr>
                      <w:rFonts w:ascii="Symbol" w:hAnsi="Symbol"/>
                      <w:szCs w:val="24"/>
                    </w:rPr>
                    <w:t></w:t>
                    <w:tab/>
                  </w:r>
                  <w:r>
                    <w:rPr>
                      <w:szCs w:val="24"/>
                    </w:rPr>
                    <w:t>LR švietimo įstatyme akcentuojama, kad ugdymo prieinamumas – tai galimybė mokytis saugioje, tinkamoje edukacinėje aplinkoje, kurioje kiekvienas ugdomas pagal jo galimybes, poreikius ir polinkius.</w:t>
                  </w:r>
                </w:p>
                <w:p>
                  <w:pPr>
                    <w:spacing w:line="276" w:lineRule="auto"/>
                    <w:ind w:firstLine="927"/>
                    <w:jc w:val="both"/>
                    <w:rPr>
                      <w:szCs w:val="24"/>
                    </w:rPr>
                  </w:pPr>
                  <w:r>
                    <w:rPr>
                      <w:rFonts w:ascii="Symbol" w:hAnsi="Symbol"/>
                      <w:szCs w:val="24"/>
                    </w:rPr>
                    <w:t></w:t>
                    <w:tab/>
                  </w:r>
                  <w:r>
                    <w:rPr>
                      <w:szCs w:val="24"/>
                    </w:rPr>
                    <w:t>Valstybinė švietimo 2013–2022 m. strategija. Trečiuoju strateginiu tikslu siekiama, užtikrinant švietimo prieinamumą ir lygias galimybes, maksimaliai plėtojant vaikų ir jaunimo švietimo aprėptį, suteikti mokiniams, studentams ir jaunimui palankiausias galimybes išskleisti individualius gebėjimus ir tenkinti specialiuosius ugdymosi poreikius.</w:t>
                  </w:r>
                </w:p>
                <w:p>
                  <w:pPr>
                    <w:spacing w:line="276" w:lineRule="auto"/>
                    <w:ind w:firstLine="927"/>
                    <w:jc w:val="both"/>
                    <w:rPr>
                      <w:szCs w:val="24"/>
                    </w:rPr>
                  </w:pPr>
                  <w:r>
                    <w:rPr>
                      <w:rFonts w:ascii="Symbol" w:hAnsi="Symbol"/>
                      <w:szCs w:val="24"/>
                    </w:rPr>
                    <w:t></w:t>
                    <w:tab/>
                  </w:r>
                  <w:r>
                    <w:rPr>
                      <w:szCs w:val="24"/>
                    </w:rPr>
                    <w:t>Geros mokyklos koncepcijoje (2015) aptariama tendencija – nuo švietimo visiems pereinama prie švietimo kiekvienam, t. y. personalizuoto, suasmeninto ugdymo(si) ir mokymo(si), pripažįstant, kad žmonių patirtys, poreikiai, siekiai skiriasi ir mokomasi skirtingais tempais ir būdais.</w:t>
                  </w:r>
                </w:p>
                <w:p>
                  <w:pPr>
                    <w:spacing w:line="276" w:lineRule="auto"/>
                    <w:ind w:firstLine="927"/>
                    <w:jc w:val="both"/>
                    <w:rPr>
                      <w:szCs w:val="24"/>
                    </w:rPr>
                  </w:pPr>
                  <w:r>
                    <w:rPr>
                      <w:rFonts w:ascii="Symbol" w:hAnsi="Symbol"/>
                      <w:szCs w:val="24"/>
                    </w:rPr>
                    <w:t></w:t>
                    <w:tab/>
                  </w:r>
                  <w:r>
                    <w:rPr>
                      <w:szCs w:val="24"/>
                    </w:rPr>
                    <w:t xml:space="preserve">LR švietimo įstatymo Nr. I-1489 5, 14, 21, 29, 30, 34 ir 36 straipsnių pakeitimo ir įstatymo papildymo </w:t>
                  </w:r>
                  <w:r>
                    <w:rPr>
                      <w:bCs/>
                      <w:color w:val="000000"/>
                      <w:szCs w:val="24"/>
                      <w:lang w:eastAsia="lt-LT"/>
                    </w:rPr>
                    <w:t>45</w:t>
                  </w:r>
                  <w:r>
                    <w:rPr>
                      <w:bCs/>
                      <w:color w:val="000000"/>
                      <w:szCs w:val="24"/>
                      <w:vertAlign w:val="superscript"/>
                      <w:lang w:eastAsia="lt-LT"/>
                    </w:rPr>
                    <w:t>1</w:t>
                  </w:r>
                  <w:r>
                    <w:rPr>
                      <w:szCs w:val="24"/>
                    </w:rPr>
                    <w:t xml:space="preserve"> straipsniu įstatymu (2020) siekiama sudaryti teisines prielaidas įtraukčiai švietimo srityje.  Nuo 2024 m. rugsėjo 1 d. įteisinama nuostata, apibrėžianti įtraukties principus (5 str.):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 Įstatyme išplėtota švietimo pagalbos samprata, įtvirtinta galimybė pamokoje ir veiklose, kuriose dalyvauja mokiniai, turintys didelių ar labai didelių specialiųjų ugdymosi poreikių, dalyvauti daugiau kaip vienam mokytojui, švietimo pagalbos specialistams. Taip pat daugiau atsakomybės už ugdymo prieinamumą numatyta mokyklos savininko teises ir pareigas įgyvendinančiai institucijai – savivaldybėms.</w:t>
                  </w:r>
                  <w:r>
                    <w:rPr>
                      <w:color w:val="000000"/>
                      <w:szCs w:val="24"/>
                      <w:shd w:val="clear" w:color="auto" w:fill="FFFFFF"/>
                    </w:rPr>
                    <w:t xml:space="preserve"> Nuo 2024 m rugsėjo 1 d. mokinių, turinčių specialiųjų ugdymosi poreikių, ugdymą įgyvendina visos privalomąjį ir visuotinį švietimą teikiančios mokyklos, kiti švietimo teikėjai, atskirais atvejais – mokyklos (klasės), skirtos mokiniams, turintiems specialiųjų ugdymosi poreikių, ugdyti.</w:t>
                  </w:r>
                  <w:r>
                    <w:rPr>
                      <w:color w:val="000000"/>
                      <w:szCs w:val="24"/>
                    </w:rPr>
                    <w:t xml:space="preserve"> Mokiniui, turinčiam specialiųjų ugdymosi poreikių (toliau </w:t>
                  </w:r>
                  <w:r>
                    <w:rPr>
                      <w:color w:val="000000"/>
                      <w:szCs w:val="24"/>
                      <w:shd w:val="clear" w:color="auto" w:fill="FFFFFF"/>
                    </w:rPr>
                    <w:t xml:space="preserve">– </w:t>
                  </w:r>
                  <w:r>
                    <w:rPr>
                      <w:color w:val="000000"/>
                      <w:szCs w:val="24"/>
                    </w:rPr>
                    <w:t>SUP vaikai / mokiniai), jeigu jo tėvai (globėjai, rūpintojai) pageidauja, sudaromos sąlygos ugdytis arčiau jo gyvenamosios vietos esančioje ikimokyklinio ugdymo, bendrojo ugdymo mokykloje, profesinio mokymo įstaigoje arba bet kurioje valstybinėje ar savivaldybės (regiono) mokykloje, skirtoje mokiniams, turintiems specialiųjų ugdymosi poreikių.</w:t>
                  </w:r>
                  <w:r>
                    <w:rPr>
                      <w:rFonts w:ascii="Arial" w:hAnsi="Arial" w:cs="Arial"/>
                      <w:color w:val="000000"/>
                      <w:sz w:val="22"/>
                      <w:szCs w:val="22"/>
                    </w:rPr>
                    <w:t xml:space="preserve">  </w:t>
                  </w:r>
                  <w:r>
                    <w:rPr>
                      <w:szCs w:val="24"/>
                    </w:rPr>
                    <w:t xml:space="preserve"> </w:t>
                  </w:r>
                </w:p>
                <w:p>
                  <w:pPr>
                    <w:ind w:firstLine="927"/>
                    <w:jc w:val="both"/>
                    <w:rPr>
                      <w:color w:val="000000"/>
                      <w:szCs w:val="24"/>
                    </w:rPr>
                  </w:pPr>
                  <w:r>
                    <w:rPr>
                      <w:rFonts w:ascii="Symbol" w:hAnsi="Symbol"/>
                      <w:color w:val="000000"/>
                      <w:szCs w:val="24"/>
                    </w:rPr>
                    <w:t></w:t>
                    <w:tab/>
                  </w:r>
                  <w:r>
                    <w:rPr>
                      <w:rFonts w:eastAsia="Calibri"/>
                      <w:kern w:val="24"/>
                      <w:szCs w:val="24"/>
                      <w:lang w:eastAsia="lt-LT"/>
                    </w:rPr>
                    <w:t xml:space="preserve">Geros mokyklos koncepcijoje (ŠMM 2015 </w:t>
                  </w:r>
                  <w:r>
                    <w:rPr>
                      <w:color w:val="000000"/>
                      <w:szCs w:val="24"/>
                    </w:rPr>
                    <w:t>gruodžio 21 d. Nr. V-1308 „</w:t>
                  </w:r>
                  <w:r>
                    <w:rPr>
                      <w:bCs/>
                      <w:color w:val="000000"/>
                      <w:szCs w:val="24"/>
                    </w:rPr>
                    <w:t>Dėl geros mokyklos koncepcijos patvirtinimo“)</w:t>
                  </w:r>
                  <w:r>
                    <w:rPr>
                      <w:b/>
                      <w:bCs/>
                      <w:color w:val="000000"/>
                      <w:sz w:val="22"/>
                      <w:szCs w:val="22"/>
                    </w:rPr>
                    <w:t xml:space="preserve"> </w:t>
                  </w:r>
                  <w:r>
                    <w:rPr>
                      <w:rFonts w:eastAsia="Calibri"/>
                      <w:kern w:val="24"/>
                      <w:szCs w:val="24"/>
                      <w:lang w:eastAsia="lt-LT"/>
                    </w:rPr>
                    <w:t xml:space="preserve">numatytos perėjimo nuo švietimo visiems prie švietimo kiekvienam nuostatos, </w:t>
                  </w:r>
                  <w:r>
                    <w:rPr>
                      <w:color w:val="000000"/>
                      <w:szCs w:val="24"/>
                    </w:rPr>
                    <w:t>t. y. personalizuoto, suasmeninto ugdymo(si) ir mokymo(si) pripažįstant, kad žmonių patirtys, poreikiai, siekiai skiriasi, todėl mokomasi skirtingais tempais ir būdais, ugdymas individualizuojamas, akcentuojama asmenybės ūgtis, asmeninės raidos galimybės, kiekvieno individualius gebėjimus ir poreikius atitinkantis ugdymas.</w:t>
                  </w:r>
                </w:p>
                <w:p>
                  <w:pPr>
                    <w:ind w:firstLine="927"/>
                    <w:jc w:val="both"/>
                    <w:rPr>
                      <w:color w:val="000000"/>
                      <w:szCs w:val="24"/>
                    </w:rPr>
                  </w:pPr>
                  <w:r>
                    <w:rPr>
                      <w:rFonts w:ascii="Symbol" w:hAnsi="Symbol"/>
                      <w:color w:val="000000"/>
                      <w:szCs w:val="24"/>
                    </w:rPr>
                    <w:t></w:t>
                    <w:tab/>
                  </w:r>
                  <w:r>
                    <w:rPr>
                      <w:rFonts w:eastAsia="Calibri"/>
                      <w:szCs w:val="24"/>
                    </w:rPr>
                    <w:t xml:space="preserve">Lietuvos Respublikos švietimo, mokslo ir sporto ministerijos  Įtraukaus ugdymo plėtros 2021</w:t>
                  </w:r>
                  <w:r>
                    <w:rPr>
                      <w:szCs w:val="24"/>
                      <w:lang w:eastAsia="lt-LT"/>
                    </w:rPr>
                    <w:t>–</w:t>
                  </w:r>
                  <w:r>
                    <w:rPr>
                      <w:rFonts w:eastAsia="Calibri"/>
                      <w:szCs w:val="24"/>
                    </w:rPr>
                    <w:t xml:space="preserve">2024 metų plane numatomos priemonės, padėsiančios šalyje </w:t>
                  </w:r>
                  <w:r>
                    <w:rPr>
                      <w:rFonts w:eastAsia="Calibri"/>
                      <w:bCs/>
                      <w:szCs w:val="24"/>
                    </w:rPr>
                    <w:t xml:space="preserve">įgyvendinti </w:t>
                  </w:r>
                  <w:r>
                    <w:rPr>
                      <w:bCs/>
                      <w:color w:val="000000"/>
                      <w:szCs w:val="24"/>
                      <w:lang w:eastAsia="en-GB"/>
                    </w:rPr>
                    <w:t>Švietimo įstatymo Nr. I-1489 5, 14, 21, 29, 30, 34 ir 36 straipsnių pakeitimo ir įstatymo papildymo 45</w:t>
                  </w:r>
                  <w:r>
                    <w:rPr>
                      <w:bCs/>
                      <w:color w:val="000000"/>
                      <w:szCs w:val="24"/>
                      <w:vertAlign w:val="superscript"/>
                      <w:lang w:eastAsia="en-GB"/>
                    </w:rPr>
                    <w:t>1</w:t>
                  </w:r>
                  <w:r>
                    <w:rPr>
                      <w:bCs/>
                      <w:color w:val="000000"/>
                      <w:szCs w:val="24"/>
                      <w:lang w:eastAsia="en-GB"/>
                    </w:rPr>
                    <w:t> straipsniu</w:t>
                  </w:r>
                  <w:r>
                    <w:rPr>
                      <w:color w:val="000000"/>
                      <w:szCs w:val="24"/>
                      <w:lang w:eastAsia="en-GB"/>
                    </w:rPr>
                    <w:t xml:space="preserve"> </w:t>
                  </w:r>
                  <w:r>
                    <w:rPr>
                      <w:rFonts w:eastAsia="Calibri"/>
                      <w:bCs/>
                      <w:szCs w:val="24"/>
                    </w:rPr>
                    <w:t xml:space="preserve">nuostatas, </w:t>
                  </w:r>
                  <w:r>
                    <w:rPr>
                      <w:rFonts w:eastAsia="Calibri"/>
                      <w:szCs w:val="24"/>
                    </w:rPr>
                    <w:t xml:space="preserve">apibrėžiami tikslai, uždaviniai, siekiami rezultatai, numatomos lėšos, nurodomi priemonių vykdytojai. Šiuo planu siekiama </w:t>
                  </w:r>
                  <w:r>
                    <w:rPr>
                      <w:bCs/>
                      <w:szCs w:val="24"/>
                      <w:lang w:eastAsia="lt-LT"/>
                    </w:rPr>
                    <w:t xml:space="preserve">pašalinti fizines, informacines, socialines kliūtis ir užtikrinti kokybišką švietimą kiekvienam vaikui mokantis drauge su savo bendraamžiais jam artimiausioje švietimo įstaigoje, suteikiant reikalingą, jo ugdymosi poreikius atliepiančią pagalbą, t. y.: </w:t>
                  </w:r>
                  <w:r>
                    <w:rPr>
                      <w:szCs w:val="24"/>
                      <w:lang w:eastAsia="lt-LT"/>
                    </w:rPr>
                    <w:t>stiprinti teigiamas visuomenės ir švietimo bendruomenės nuostatas į įtrauktį švietime; didinti švietimo prieinamumą; gerinti pedagogų ir švietimo pagalbos specialistų pasirengimą įtraukčiai švietime; pritaikyti mokyklų aplinkas ir ugdymosi procesus įvairių ugdymosi poreikių turintiems mokiniams; kurti įtraukties švietime įsivertinimo ir stebėsenos sistemą.</w:t>
                  </w:r>
                </w:p>
                <w:p>
                  <w:pPr>
                    <w:spacing w:line="256" w:lineRule="auto"/>
                    <w:ind w:firstLine="504"/>
                    <w:jc w:val="both"/>
                    <w:rPr>
                      <w:rFonts w:eastAsia="Calibri"/>
                      <w:szCs w:val="24"/>
                    </w:rPr>
                  </w:pPr>
                  <w:r>
                    <w:rPr>
                      <w:rFonts w:eastAsia="Calibri"/>
                      <w:szCs w:val="24"/>
                    </w:rPr>
                    <w:t>Savivaldybėms, Įstatymo įgyvendinimo vykdytojoms, keliami uždaviniai – stiprinti bendrosios paskirties mokyklų pasirengimą ugdyti įvairių poreikių turinčius vaikus, pritaikyti ir modernizuoti bendrosios paskirties ikimokyklinio ir bendrojo ugdymo mokyklų aplinkas įvairių ugdymosi poreikių turintiems vaikams.</w:t>
                  </w:r>
                </w:p>
              </w:sdtContent>
            </w:sdt>
            <w:sdt>
              <w:sdtPr>
                <w:alias w:val="5 p."/>
                <w:tag w:val="part_aee8ff4f19ea411dbc509bcb94032af9"/>
                <w:lock w:val="sdtLocked"/>
                <w:richText/>
              </w:sdtPr>
              <w:sdtContent>
                <w:p>
                  <w:pPr>
                    <w:tabs>
                      <w:tab w:val="left" w:pos="567"/>
                      <w:tab w:val="left" w:pos="720"/>
                    </w:tabs>
                    <w:spacing w:line="276" w:lineRule="auto"/>
                    <w:ind w:left="720" w:firstLine="567"/>
                    <w:jc w:val="both"/>
                    <w:rPr>
                      <w:b/>
                      <w:szCs w:val="24"/>
                      <w:lang w:eastAsia="lt-LT"/>
                    </w:rPr>
                  </w:pPr>
                  <w:sdt>
                    <w:sdtPr>
                      <w:alias w:val="Numeris"/>
                      <w:tag w:val="nr_aee8ff4f19ea411dbc509bcb94032af9"/>
                      <w:lock w:val="sdtLocked"/>
                      <w:richText/>
                    </w:sdtPr>
                    <w:sdtContent>
                      <w:r>
                        <w:rPr>
                          <w:szCs w:val="24"/>
                          <w:lang w:eastAsia="lt-LT"/>
                        </w:rPr>
                        <w:t>5</w:t>
                      </w:r>
                    </w:sdtContent>
                  </w:sdt>
                  <w:r>
                    <w:rPr>
                      <w:szCs w:val="24"/>
                      <w:lang w:eastAsia="lt-LT"/>
                    </w:rPr>
                    <w:t xml:space="preserve">.  Socialiniai veiksniai. Situacijos rajone vertinimas.</w:t>
                  </w:r>
                </w:p>
                <w:p>
                  <w:pPr>
                    <w:tabs>
                      <w:tab w:val="left" w:pos="567"/>
                      <w:tab w:val="left" w:pos="720"/>
                    </w:tabs>
                    <w:spacing w:line="276" w:lineRule="auto"/>
                    <w:ind w:firstLine="567"/>
                    <w:jc w:val="both"/>
                    <w:rPr>
                      <w:szCs w:val="24"/>
                      <w:lang w:eastAsia="lt-LT"/>
                    </w:rPr>
                  </w:pPr>
                  <w:r>
                    <w:rPr>
                      <w:szCs w:val="24"/>
                      <w:lang w:eastAsia="lt-LT"/>
                    </w:rPr>
                    <w:t>2021–2022 mokslo metais Telšių rajono savivaldybės ugdymo įstaigose mokėsi 5929 mokiniai (rugsėjo mėn. duomenimis), iš jų 1201 mokinys, turintis nedidelių, vidutinių, didelių ir labai didelių specialiųjų ugdymosi poreikių (toliau – SUP vaikai / mokinai), iš jų 457 SUP vaikai / mokiniai, kuriems nustatyti vidutiniai, dideli ir labai dideli ugdymosi poreikiai. Visi SUP vaikai / mokiniai 2021–2022 m. m. sudarė 20,25 procento Telšių rajono mokyklose besimokančių mokinių. Vidutinių, didelių ir labai didelių poreikių turintys mokiniai sudarė 7,7 procento Telšių rajono mokyklose besimokančių mokinių ir 38 procentus SUP mokinių. Kiekvienam SUP vaikui / mokiniui, turinčiam specialiųjų ugdymosi poreikių, pagal Švietimo įstatymą ugdymo įstaigose privalo būti užtikrinamas švietimo prieinamumas teikiant psichologinę, specialiąją pedagoginę, specialiąją (mokytojo padėjėjo), socialinę pedagoginę pagalbą, socialines, sveikatos priežiūros ir kitas paslaugas, aprūpinant ugdymuisi skirtomis techninės pagalbos priemonėmis, specialiosiomis mokymo priemonėmis, pritaikant ugdymo aplinką (fizinę, informacinę). Visi SUP vaikai / mokiniai yra švietimo pagalbos gavėjai (toliau – ŠPG).</w:t>
                  </w:r>
                </w:p>
                <w:p>
                  <w:pPr>
                    <w:spacing w:line="276" w:lineRule="auto"/>
                    <w:ind w:firstLine="504"/>
                    <w:jc w:val="both"/>
                    <w:rPr>
                      <w:b/>
                      <w:szCs w:val="24"/>
                      <w:lang w:eastAsia="lt-LT"/>
                    </w:rPr>
                  </w:pPr>
                  <w:r>
                    <w:rPr>
                      <w:szCs w:val="24"/>
                      <w:lang w:eastAsia="lt-LT"/>
                    </w:rPr>
                    <w:t>Bendras mokinių skaičius Telšių rajone kiekvienais metais kinta, mažėja, tačiau SUP / ŠPG vaikų / mokinių, iš jų didelių ir labai didelių SUP turinčių vaikų / mokinių skaičius rajone išlieka panašus ir /ar kinta nežymiai (1 lentelė).</w:t>
                  </w:r>
                </w:p>
              </w:sdtContent>
            </w:sdt>
            <w:sdt>
              <w:sdtPr>
                <w:alias w:val="1 p."/>
                <w:tag w:val="part_c4542dbc35ca477e86bb440beb12d853"/>
                <w:lock w:val="sdtLocked"/>
                <w:richText/>
              </w:sdtPr>
              <w:sdtContent>
                <w:p>
                  <w:pPr>
                    <w:tabs>
                      <w:tab w:val="left" w:pos="567"/>
                      <w:tab w:val="left" w:pos="851"/>
                      <w:tab w:val="left" w:pos="1701"/>
                    </w:tabs>
                    <w:spacing w:line="276" w:lineRule="auto"/>
                    <w:ind w:firstLine="567"/>
                    <w:jc w:val="both"/>
                    <w:rPr>
                      <w:b/>
                      <w:szCs w:val="24"/>
                      <w:lang w:eastAsia="lt-LT"/>
                    </w:rPr>
                  </w:pPr>
                  <w:sdt>
                    <w:sdtPr>
                      <w:alias w:val="Numeris"/>
                      <w:tag w:val="nr_c4542dbc35ca477e86bb440beb12d853"/>
                      <w:lock w:val="sdtLocked"/>
                      <w:richText/>
                    </w:sdtPr>
                    <w:sdtContent>
                      <w:r>
                        <w:rPr>
                          <w:b/>
                          <w:szCs w:val="24"/>
                          <w:lang w:eastAsia="lt-LT"/>
                        </w:rPr>
                        <w:t>1</w:t>
                      </w:r>
                    </w:sdtContent>
                  </w:sdt>
                  <w:r>
                    <w:rPr>
                      <w:b/>
                      <w:szCs w:val="24"/>
                      <w:lang w:eastAsia="lt-LT"/>
                    </w:rPr>
                    <w:t>.</w:t>
                    <w:tab/>
                    <w:t>lentelė</w:t>
                  </w:r>
                  <w:r>
                    <w:rPr>
                      <w:szCs w:val="24"/>
                      <w:lang w:eastAsia="lt-LT"/>
                    </w:rPr>
                    <w:t>. Bendras mokinių skaičiaus ir SUP / ŠPG vaikų / mokinių pasiskirstymo rajono mokyklose pokytis pagal mokslo metus</w:t>
                  </w:r>
                  <w:r>
                    <w:rPr>
                      <w:b/>
                      <w:szCs w:val="24"/>
                      <w:lang w:eastAsia="lt-LT"/>
                    </w:rPr>
                    <w:t xml:space="preserve"> </w:t>
                  </w:r>
                  <w:r>
                    <w:rPr>
                      <w:szCs w:val="24"/>
                      <w:lang w:eastAsia="lt-LT"/>
                    </w:rPr>
                    <w:t>(rugsėjo 1 d. duomenimis)</w:t>
                  </w:r>
                  <w:r>
                    <w:rPr>
                      <w:b/>
                      <w:szCs w:val="24"/>
                      <w:lang w:eastAsia="lt-LT"/>
                    </w:rPr>
                    <w:t>:</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5"/>
                    <w:gridCol w:w="1327"/>
                    <w:gridCol w:w="1134"/>
                    <w:gridCol w:w="1134"/>
                    <w:gridCol w:w="1134"/>
                    <w:gridCol w:w="1134"/>
                    <w:gridCol w:w="1275"/>
                    <w:gridCol w:w="1134"/>
                  </w:tblGrid>
                  <w:tr>
                    <w:tc>
                      <w:tcPr>
                        <w:tcW w:w="1475" w:type="dxa"/>
                      </w:tcPr>
                      <w:p>
                        <w:pPr>
                          <w:jc w:val="center"/>
                          <w:rPr>
                            <w:sz w:val="22"/>
                            <w:szCs w:val="22"/>
                          </w:rPr>
                        </w:pPr>
                        <w:r>
                          <w:rPr>
                            <w:sz w:val="22"/>
                            <w:szCs w:val="22"/>
                          </w:rPr>
                          <w:t>SUP / ŠPG</w:t>
                        </w:r>
                      </w:p>
                    </w:tc>
                    <w:tc>
                      <w:tcPr>
                        <w:tcW w:w="1327" w:type="dxa"/>
                      </w:tcPr>
                      <w:p>
                        <w:pPr>
                          <w:jc w:val="center"/>
                          <w:rPr>
                            <w:sz w:val="20"/>
                          </w:rPr>
                        </w:pPr>
                        <w:r>
                          <w:rPr>
                            <w:sz w:val="20"/>
                          </w:rPr>
                          <w:t>2016</w:t>
                        </w:r>
                        <w:r>
                          <w:rPr>
                            <w:sz w:val="20"/>
                            <w:lang w:eastAsia="lt-LT"/>
                          </w:rPr>
                          <w:t>–</w:t>
                        </w:r>
                        <w:r>
                          <w:rPr>
                            <w:sz w:val="20"/>
                          </w:rPr>
                          <w:t>2017 m. m.</w:t>
                        </w:r>
                      </w:p>
                    </w:tc>
                    <w:tc>
                      <w:tcPr>
                        <w:tcW w:w="1134" w:type="dxa"/>
                      </w:tcPr>
                      <w:p>
                        <w:pPr>
                          <w:jc w:val="center"/>
                          <w:rPr>
                            <w:sz w:val="20"/>
                          </w:rPr>
                        </w:pPr>
                        <w:r>
                          <w:rPr>
                            <w:sz w:val="20"/>
                          </w:rPr>
                          <w:t>2017</w:t>
                        </w:r>
                        <w:r>
                          <w:rPr>
                            <w:sz w:val="20"/>
                            <w:lang w:eastAsia="lt-LT"/>
                          </w:rPr>
                          <w:t>–</w:t>
                        </w:r>
                        <w:r>
                          <w:rPr>
                            <w:sz w:val="20"/>
                          </w:rPr>
                          <w:t>2018 m. m.</w:t>
                        </w:r>
                      </w:p>
                    </w:tc>
                    <w:tc>
                      <w:tcPr>
                        <w:tcW w:w="1134" w:type="dxa"/>
                      </w:tcPr>
                      <w:p>
                        <w:pPr>
                          <w:jc w:val="center"/>
                          <w:rPr>
                            <w:sz w:val="20"/>
                          </w:rPr>
                        </w:pPr>
                        <w:r>
                          <w:rPr>
                            <w:sz w:val="20"/>
                          </w:rPr>
                          <w:t>2018</w:t>
                        </w:r>
                        <w:r>
                          <w:rPr>
                            <w:sz w:val="20"/>
                            <w:lang w:eastAsia="lt-LT"/>
                          </w:rPr>
                          <w:t>–</w:t>
                        </w:r>
                        <w:r>
                          <w:rPr>
                            <w:sz w:val="20"/>
                          </w:rPr>
                          <w:t>2019 m. m.</w:t>
                        </w:r>
                      </w:p>
                    </w:tc>
                    <w:tc>
                      <w:tcPr>
                        <w:tcW w:w="1134" w:type="dxa"/>
                      </w:tcPr>
                      <w:p>
                        <w:pPr>
                          <w:jc w:val="center"/>
                          <w:rPr>
                            <w:sz w:val="20"/>
                          </w:rPr>
                        </w:pPr>
                        <w:r>
                          <w:rPr>
                            <w:sz w:val="20"/>
                          </w:rPr>
                          <w:t>2019</w:t>
                        </w:r>
                        <w:r>
                          <w:rPr>
                            <w:sz w:val="20"/>
                            <w:lang w:eastAsia="lt-LT"/>
                          </w:rPr>
                          <w:t>–</w:t>
                        </w:r>
                        <w:r>
                          <w:rPr>
                            <w:sz w:val="20"/>
                          </w:rPr>
                          <w:t>2020 m. m.</w:t>
                        </w:r>
                      </w:p>
                    </w:tc>
                    <w:tc>
                      <w:tcPr>
                        <w:tcW w:w="1134" w:type="dxa"/>
                      </w:tcPr>
                      <w:p>
                        <w:pPr>
                          <w:jc w:val="center"/>
                          <w:rPr>
                            <w:sz w:val="20"/>
                          </w:rPr>
                        </w:pPr>
                        <w:r>
                          <w:rPr>
                            <w:sz w:val="20"/>
                          </w:rPr>
                          <w:t>2020</w:t>
                        </w:r>
                        <w:r>
                          <w:rPr>
                            <w:sz w:val="20"/>
                            <w:lang w:eastAsia="lt-LT"/>
                          </w:rPr>
                          <w:t>–</w:t>
                        </w:r>
                        <w:r>
                          <w:rPr>
                            <w:sz w:val="20"/>
                          </w:rPr>
                          <w:t>2021 m. m.</w:t>
                        </w:r>
                      </w:p>
                    </w:tc>
                    <w:tc>
                      <w:tcPr>
                        <w:tcW w:w="1275" w:type="dxa"/>
                      </w:tcPr>
                      <w:p>
                        <w:pPr>
                          <w:jc w:val="center"/>
                          <w:rPr>
                            <w:sz w:val="20"/>
                          </w:rPr>
                        </w:pPr>
                        <w:r>
                          <w:rPr>
                            <w:sz w:val="20"/>
                          </w:rPr>
                          <w:t>2021</w:t>
                        </w:r>
                        <w:r>
                          <w:rPr>
                            <w:sz w:val="20"/>
                            <w:lang w:eastAsia="lt-LT"/>
                          </w:rPr>
                          <w:t>–</w:t>
                        </w:r>
                        <w:r>
                          <w:rPr>
                            <w:sz w:val="20"/>
                          </w:rPr>
                          <w:t>2022 m. m.</w:t>
                        </w:r>
                      </w:p>
                    </w:tc>
                    <w:tc>
                      <w:tcPr>
                        <w:tcW w:w="1134" w:type="dxa"/>
                      </w:tcPr>
                      <w:p>
                        <w:pPr>
                          <w:jc w:val="both"/>
                          <w:rPr>
                            <w:sz w:val="20"/>
                            <w:lang w:eastAsia="lt-LT"/>
                          </w:rPr>
                        </w:pPr>
                        <w:r>
                          <w:rPr>
                            <w:sz w:val="20"/>
                            <w:lang w:eastAsia="lt-LT"/>
                          </w:rPr>
                          <w:t>2022–2023</w:t>
                        </w:r>
                      </w:p>
                      <w:p>
                        <w:pPr>
                          <w:jc w:val="both"/>
                          <w:rPr>
                            <w:sz w:val="20"/>
                            <w:lang w:eastAsia="lt-LT"/>
                          </w:rPr>
                        </w:pPr>
                        <w:r>
                          <w:rPr>
                            <w:sz w:val="20"/>
                            <w:lang w:eastAsia="lt-LT"/>
                          </w:rPr>
                          <w:t>m. m</w:t>
                        </w:r>
                      </w:p>
                    </w:tc>
                  </w:tr>
                  <w:tr>
                    <w:tc>
                      <w:tcPr>
                        <w:tcW w:w="1475" w:type="dxa"/>
                      </w:tcPr>
                      <w:p>
                        <w:pPr>
                          <w:jc w:val="center"/>
                          <w:rPr>
                            <w:b/>
                            <w:sz w:val="22"/>
                            <w:szCs w:val="22"/>
                          </w:rPr>
                        </w:pPr>
                        <w:r>
                          <w:rPr>
                            <w:b/>
                            <w:sz w:val="22"/>
                            <w:szCs w:val="22"/>
                          </w:rPr>
                          <w:t>Bendras mokinių skaičius</w:t>
                        </w:r>
                      </w:p>
                    </w:tc>
                    <w:tc>
                      <w:tcPr>
                        <w:tcW w:w="1327" w:type="dxa"/>
                      </w:tcPr>
                      <w:p>
                        <w:pPr>
                          <w:jc w:val="center"/>
                          <w:rPr>
                            <w:b/>
                            <w:sz w:val="22"/>
                            <w:szCs w:val="22"/>
                          </w:rPr>
                        </w:pPr>
                        <w:r>
                          <w:rPr>
                            <w:b/>
                            <w:sz w:val="22"/>
                            <w:szCs w:val="22"/>
                          </w:rPr>
                          <w:t>6606</w:t>
                        </w:r>
                      </w:p>
                    </w:tc>
                    <w:tc>
                      <w:tcPr>
                        <w:tcW w:w="1134" w:type="dxa"/>
                      </w:tcPr>
                      <w:p>
                        <w:pPr>
                          <w:jc w:val="center"/>
                          <w:rPr>
                            <w:b/>
                            <w:sz w:val="22"/>
                            <w:szCs w:val="22"/>
                          </w:rPr>
                        </w:pPr>
                        <w:r>
                          <w:rPr>
                            <w:b/>
                            <w:sz w:val="22"/>
                            <w:szCs w:val="22"/>
                          </w:rPr>
                          <w:t>6409</w:t>
                        </w:r>
                      </w:p>
                    </w:tc>
                    <w:tc>
                      <w:tcPr>
                        <w:tcW w:w="1134" w:type="dxa"/>
                      </w:tcPr>
                      <w:p>
                        <w:pPr>
                          <w:jc w:val="center"/>
                          <w:rPr>
                            <w:b/>
                            <w:sz w:val="22"/>
                            <w:szCs w:val="22"/>
                          </w:rPr>
                        </w:pPr>
                        <w:r>
                          <w:rPr>
                            <w:b/>
                            <w:sz w:val="22"/>
                            <w:szCs w:val="22"/>
                          </w:rPr>
                          <w:t>6185</w:t>
                        </w:r>
                      </w:p>
                    </w:tc>
                    <w:tc>
                      <w:tcPr>
                        <w:tcW w:w="1134" w:type="dxa"/>
                      </w:tcPr>
                      <w:p>
                        <w:pPr>
                          <w:jc w:val="center"/>
                          <w:rPr>
                            <w:b/>
                            <w:sz w:val="22"/>
                            <w:szCs w:val="22"/>
                          </w:rPr>
                        </w:pPr>
                        <w:r>
                          <w:rPr>
                            <w:b/>
                            <w:sz w:val="22"/>
                            <w:szCs w:val="22"/>
                          </w:rPr>
                          <w:t>6098</w:t>
                        </w:r>
                      </w:p>
                    </w:tc>
                    <w:tc>
                      <w:tcPr>
                        <w:tcW w:w="1134" w:type="dxa"/>
                      </w:tcPr>
                      <w:p>
                        <w:pPr>
                          <w:jc w:val="center"/>
                          <w:rPr>
                            <w:b/>
                            <w:sz w:val="22"/>
                            <w:szCs w:val="22"/>
                          </w:rPr>
                        </w:pPr>
                        <w:r>
                          <w:rPr>
                            <w:b/>
                            <w:sz w:val="22"/>
                            <w:szCs w:val="22"/>
                          </w:rPr>
                          <w:t>5951</w:t>
                        </w:r>
                      </w:p>
                    </w:tc>
                    <w:tc>
                      <w:tcPr>
                        <w:tcW w:w="1275" w:type="dxa"/>
                      </w:tcPr>
                      <w:p>
                        <w:pPr>
                          <w:jc w:val="center"/>
                          <w:rPr>
                            <w:b/>
                            <w:sz w:val="22"/>
                            <w:szCs w:val="22"/>
                          </w:rPr>
                        </w:pPr>
                        <w:r>
                          <w:rPr>
                            <w:b/>
                            <w:sz w:val="22"/>
                            <w:szCs w:val="22"/>
                            <w:lang w:eastAsia="lt-LT"/>
                          </w:rPr>
                          <w:t>5929</w:t>
                        </w:r>
                      </w:p>
                    </w:tc>
                    <w:tc>
                      <w:tcPr>
                        <w:tcW w:w="1134" w:type="dxa"/>
                      </w:tcPr>
                      <w:p>
                        <w:pPr>
                          <w:jc w:val="both"/>
                          <w:rPr>
                            <w:b/>
                            <w:sz w:val="22"/>
                            <w:szCs w:val="22"/>
                            <w:lang w:eastAsia="lt-LT"/>
                          </w:rPr>
                        </w:pPr>
                        <w:r>
                          <w:rPr>
                            <w:b/>
                            <w:sz w:val="22"/>
                            <w:szCs w:val="22"/>
                            <w:lang w:eastAsia="lt-LT"/>
                          </w:rPr>
                          <w:t>5906</w:t>
                        </w:r>
                      </w:p>
                    </w:tc>
                  </w:tr>
                  <w:tr>
                    <w:tc>
                      <w:tcPr>
                        <w:tcW w:w="1475" w:type="dxa"/>
                      </w:tcPr>
                      <w:p>
                        <w:pPr>
                          <w:jc w:val="center"/>
                          <w:rPr>
                            <w:sz w:val="22"/>
                            <w:szCs w:val="22"/>
                          </w:rPr>
                        </w:pPr>
                        <w:r>
                          <w:rPr>
                            <w:sz w:val="22"/>
                            <w:szCs w:val="22"/>
                          </w:rPr>
                          <w:t>Ikimokyklinio ugdymo įstaigose</w:t>
                        </w:r>
                      </w:p>
                    </w:tc>
                    <w:tc>
                      <w:tcPr>
                        <w:tcW w:w="1327" w:type="dxa"/>
                      </w:tcPr>
                      <w:p>
                        <w:pPr>
                          <w:jc w:val="center"/>
                          <w:rPr>
                            <w:sz w:val="22"/>
                            <w:szCs w:val="22"/>
                          </w:rPr>
                        </w:pPr>
                        <w:r>
                          <w:rPr>
                            <w:sz w:val="22"/>
                            <w:szCs w:val="22"/>
                          </w:rPr>
                          <w:t xml:space="preserve">269*, iš jų </w:t>
                        </w:r>
                      </w:p>
                      <w:p>
                        <w:pPr>
                          <w:jc w:val="center"/>
                          <w:rPr>
                            <w:sz w:val="22"/>
                            <w:szCs w:val="22"/>
                          </w:rPr>
                        </w:pPr>
                        <w:r>
                          <w:rPr>
                            <w:sz w:val="22"/>
                            <w:szCs w:val="22"/>
                          </w:rPr>
                          <w:t>(34**)</w:t>
                        </w:r>
                      </w:p>
                    </w:tc>
                    <w:tc>
                      <w:tcPr>
                        <w:tcW w:w="1134" w:type="dxa"/>
                      </w:tcPr>
                      <w:p>
                        <w:pPr>
                          <w:jc w:val="center"/>
                          <w:rPr>
                            <w:sz w:val="22"/>
                            <w:szCs w:val="22"/>
                          </w:rPr>
                        </w:pPr>
                        <w:r>
                          <w:rPr>
                            <w:sz w:val="22"/>
                            <w:szCs w:val="22"/>
                          </w:rPr>
                          <w:t xml:space="preserve">244*, iš jų </w:t>
                        </w:r>
                      </w:p>
                      <w:p>
                        <w:pPr>
                          <w:jc w:val="center"/>
                          <w:rPr>
                            <w:sz w:val="22"/>
                            <w:szCs w:val="22"/>
                          </w:rPr>
                        </w:pPr>
                        <w:r>
                          <w:rPr>
                            <w:sz w:val="22"/>
                            <w:szCs w:val="22"/>
                          </w:rPr>
                          <w:t>(44**)</w:t>
                        </w:r>
                      </w:p>
                    </w:tc>
                    <w:tc>
                      <w:tcPr>
                        <w:tcW w:w="1134" w:type="dxa"/>
                      </w:tcPr>
                      <w:p>
                        <w:pPr>
                          <w:jc w:val="center"/>
                          <w:rPr>
                            <w:sz w:val="22"/>
                            <w:szCs w:val="22"/>
                          </w:rPr>
                        </w:pPr>
                        <w:r>
                          <w:rPr>
                            <w:sz w:val="22"/>
                            <w:szCs w:val="22"/>
                          </w:rPr>
                          <w:t xml:space="preserve">251*, iš jų </w:t>
                        </w:r>
                      </w:p>
                      <w:p>
                        <w:pPr>
                          <w:jc w:val="center"/>
                          <w:rPr>
                            <w:sz w:val="22"/>
                            <w:szCs w:val="22"/>
                          </w:rPr>
                        </w:pPr>
                        <w:r>
                          <w:rPr>
                            <w:sz w:val="22"/>
                            <w:szCs w:val="22"/>
                          </w:rPr>
                          <w:t>(39**)</w:t>
                        </w:r>
                      </w:p>
                    </w:tc>
                    <w:tc>
                      <w:tcPr>
                        <w:tcW w:w="1134" w:type="dxa"/>
                      </w:tcPr>
                      <w:p>
                        <w:pPr>
                          <w:jc w:val="center"/>
                          <w:rPr>
                            <w:sz w:val="22"/>
                            <w:szCs w:val="22"/>
                          </w:rPr>
                        </w:pPr>
                        <w:r>
                          <w:rPr>
                            <w:sz w:val="22"/>
                            <w:szCs w:val="22"/>
                          </w:rPr>
                          <w:t>275*, iš jų</w:t>
                        </w:r>
                      </w:p>
                      <w:p>
                        <w:pPr>
                          <w:ind w:firstLine="57"/>
                          <w:jc w:val="center"/>
                          <w:rPr>
                            <w:sz w:val="22"/>
                            <w:szCs w:val="22"/>
                          </w:rPr>
                        </w:pPr>
                        <w:r>
                          <w:rPr>
                            <w:sz w:val="22"/>
                            <w:szCs w:val="22"/>
                          </w:rPr>
                          <w:t>(53**)</w:t>
                        </w:r>
                      </w:p>
                    </w:tc>
                    <w:tc>
                      <w:tcPr>
                        <w:tcW w:w="1134" w:type="dxa"/>
                      </w:tcPr>
                      <w:p>
                        <w:pPr>
                          <w:jc w:val="center"/>
                          <w:rPr>
                            <w:sz w:val="22"/>
                            <w:szCs w:val="22"/>
                          </w:rPr>
                        </w:pPr>
                        <w:r>
                          <w:rPr>
                            <w:sz w:val="22"/>
                            <w:szCs w:val="22"/>
                          </w:rPr>
                          <w:t xml:space="preserve">299*, iš jų </w:t>
                        </w:r>
                      </w:p>
                      <w:p>
                        <w:pPr>
                          <w:jc w:val="center"/>
                          <w:rPr>
                            <w:sz w:val="22"/>
                            <w:szCs w:val="22"/>
                          </w:rPr>
                        </w:pPr>
                        <w:r>
                          <w:rPr>
                            <w:sz w:val="22"/>
                            <w:szCs w:val="22"/>
                          </w:rPr>
                          <w:t>(63**)</w:t>
                        </w:r>
                      </w:p>
                    </w:tc>
                    <w:tc>
                      <w:tcPr>
                        <w:tcW w:w="1275" w:type="dxa"/>
                      </w:tcPr>
                      <w:p>
                        <w:pPr>
                          <w:jc w:val="center"/>
                          <w:rPr>
                            <w:sz w:val="22"/>
                            <w:szCs w:val="22"/>
                          </w:rPr>
                        </w:pPr>
                        <w:r>
                          <w:rPr>
                            <w:sz w:val="22"/>
                            <w:szCs w:val="22"/>
                          </w:rPr>
                          <w:t xml:space="preserve">290*, iš jų </w:t>
                        </w:r>
                      </w:p>
                      <w:p>
                        <w:pPr>
                          <w:jc w:val="center"/>
                          <w:rPr>
                            <w:sz w:val="22"/>
                            <w:szCs w:val="22"/>
                          </w:rPr>
                        </w:pPr>
                        <w:r>
                          <w:rPr>
                            <w:sz w:val="22"/>
                            <w:szCs w:val="22"/>
                          </w:rPr>
                          <w:t>(59**)</w:t>
                        </w:r>
                      </w:p>
                    </w:tc>
                    <w:tc>
                      <w:tcPr>
                        <w:tcW w:w="1134" w:type="dxa"/>
                      </w:tcPr>
                      <w:p>
                        <w:pPr>
                          <w:jc w:val="center"/>
                          <w:rPr>
                            <w:sz w:val="22"/>
                            <w:szCs w:val="22"/>
                            <w:lang w:eastAsia="lt-LT"/>
                          </w:rPr>
                        </w:pPr>
                        <w:r>
                          <w:rPr>
                            <w:sz w:val="22"/>
                            <w:szCs w:val="22"/>
                            <w:lang w:eastAsia="lt-LT"/>
                          </w:rPr>
                          <w:t>316*, iš jų (77**)</w:t>
                        </w:r>
                      </w:p>
                    </w:tc>
                  </w:tr>
                  <w:tr>
                    <w:tc>
                      <w:tcPr>
                        <w:tcW w:w="1475" w:type="dxa"/>
                      </w:tcPr>
                      <w:p>
                        <w:pPr>
                          <w:jc w:val="center"/>
                          <w:rPr>
                            <w:sz w:val="22"/>
                            <w:szCs w:val="22"/>
                          </w:rPr>
                        </w:pPr>
                        <w:r>
                          <w:rPr>
                            <w:sz w:val="22"/>
                            <w:szCs w:val="22"/>
                          </w:rPr>
                          <w:t>Bendrojo ugdymo įstaigose</w:t>
                        </w:r>
                      </w:p>
                    </w:tc>
                    <w:tc>
                      <w:tcPr>
                        <w:tcW w:w="1327" w:type="dxa"/>
                      </w:tcPr>
                      <w:p>
                        <w:pPr>
                          <w:jc w:val="center"/>
                          <w:rPr>
                            <w:sz w:val="22"/>
                            <w:szCs w:val="22"/>
                          </w:rPr>
                        </w:pPr>
                        <w:r>
                          <w:rPr>
                            <w:sz w:val="22"/>
                            <w:szCs w:val="22"/>
                          </w:rPr>
                          <w:t xml:space="preserve">925*, iš jų </w:t>
                        </w:r>
                      </w:p>
                      <w:p>
                        <w:pPr>
                          <w:jc w:val="center"/>
                          <w:rPr>
                            <w:sz w:val="22"/>
                            <w:szCs w:val="22"/>
                          </w:rPr>
                        </w:pPr>
                        <w:r>
                          <w:rPr>
                            <w:sz w:val="22"/>
                            <w:szCs w:val="22"/>
                          </w:rPr>
                          <w:t>(278**)</w:t>
                        </w:r>
                      </w:p>
                    </w:tc>
                    <w:tc>
                      <w:tcPr>
                        <w:tcW w:w="1134" w:type="dxa"/>
                      </w:tcPr>
                      <w:p>
                        <w:pPr>
                          <w:jc w:val="center"/>
                          <w:rPr>
                            <w:sz w:val="22"/>
                            <w:szCs w:val="22"/>
                          </w:rPr>
                        </w:pPr>
                        <w:r>
                          <w:rPr>
                            <w:sz w:val="22"/>
                            <w:szCs w:val="22"/>
                          </w:rPr>
                          <w:t>918*, iš jų (317**)</w:t>
                        </w:r>
                      </w:p>
                    </w:tc>
                    <w:tc>
                      <w:tcPr>
                        <w:tcW w:w="1134" w:type="dxa"/>
                      </w:tcPr>
                      <w:p>
                        <w:pPr>
                          <w:jc w:val="center"/>
                          <w:rPr>
                            <w:sz w:val="22"/>
                            <w:szCs w:val="22"/>
                          </w:rPr>
                        </w:pPr>
                        <w:r>
                          <w:rPr>
                            <w:sz w:val="22"/>
                            <w:szCs w:val="22"/>
                          </w:rPr>
                          <w:t xml:space="preserve">891*, iš jų </w:t>
                        </w:r>
                      </w:p>
                      <w:p>
                        <w:pPr>
                          <w:jc w:val="center"/>
                          <w:rPr>
                            <w:sz w:val="22"/>
                            <w:szCs w:val="22"/>
                          </w:rPr>
                        </w:pPr>
                        <w:r>
                          <w:rPr>
                            <w:sz w:val="22"/>
                            <w:szCs w:val="22"/>
                          </w:rPr>
                          <w:t>(324**)</w:t>
                        </w:r>
                      </w:p>
                    </w:tc>
                    <w:tc>
                      <w:tcPr>
                        <w:tcW w:w="1134" w:type="dxa"/>
                      </w:tcPr>
                      <w:p>
                        <w:pPr>
                          <w:jc w:val="center"/>
                          <w:rPr>
                            <w:sz w:val="22"/>
                            <w:szCs w:val="22"/>
                          </w:rPr>
                        </w:pPr>
                        <w:r>
                          <w:rPr>
                            <w:sz w:val="22"/>
                            <w:szCs w:val="22"/>
                          </w:rPr>
                          <w:t xml:space="preserve">818*, iš jų </w:t>
                        </w:r>
                      </w:p>
                      <w:p>
                        <w:pPr>
                          <w:jc w:val="center"/>
                          <w:rPr>
                            <w:sz w:val="22"/>
                            <w:szCs w:val="22"/>
                          </w:rPr>
                        </w:pPr>
                        <w:r>
                          <w:rPr>
                            <w:sz w:val="22"/>
                            <w:szCs w:val="22"/>
                          </w:rPr>
                          <w:t>(289**)</w:t>
                        </w:r>
                      </w:p>
                    </w:tc>
                    <w:tc>
                      <w:tcPr>
                        <w:tcW w:w="1134" w:type="dxa"/>
                      </w:tcPr>
                      <w:p>
                        <w:pPr>
                          <w:jc w:val="center"/>
                          <w:rPr>
                            <w:sz w:val="22"/>
                            <w:szCs w:val="22"/>
                          </w:rPr>
                        </w:pPr>
                        <w:r>
                          <w:rPr>
                            <w:sz w:val="22"/>
                            <w:szCs w:val="22"/>
                          </w:rPr>
                          <w:t xml:space="preserve">871*, iš jų </w:t>
                        </w:r>
                      </w:p>
                      <w:p>
                        <w:pPr>
                          <w:jc w:val="center"/>
                          <w:rPr>
                            <w:sz w:val="22"/>
                            <w:szCs w:val="22"/>
                          </w:rPr>
                        </w:pPr>
                        <w:r>
                          <w:rPr>
                            <w:sz w:val="22"/>
                            <w:szCs w:val="22"/>
                          </w:rPr>
                          <w:t>(301**)</w:t>
                        </w:r>
                      </w:p>
                    </w:tc>
                    <w:tc>
                      <w:tcPr>
                        <w:tcW w:w="1275" w:type="dxa"/>
                      </w:tcPr>
                      <w:p>
                        <w:pPr>
                          <w:jc w:val="center"/>
                          <w:rPr>
                            <w:sz w:val="22"/>
                            <w:szCs w:val="22"/>
                          </w:rPr>
                        </w:pPr>
                        <w:r>
                          <w:rPr>
                            <w:sz w:val="22"/>
                            <w:szCs w:val="22"/>
                          </w:rPr>
                          <w:t>817*, iš jų</w:t>
                        </w:r>
                      </w:p>
                      <w:p>
                        <w:pPr>
                          <w:jc w:val="center"/>
                          <w:rPr>
                            <w:sz w:val="22"/>
                            <w:szCs w:val="22"/>
                          </w:rPr>
                        </w:pPr>
                        <w:r>
                          <w:rPr>
                            <w:sz w:val="22"/>
                            <w:szCs w:val="22"/>
                          </w:rPr>
                          <w:t>(304**)</w:t>
                        </w:r>
                      </w:p>
                    </w:tc>
                    <w:tc>
                      <w:tcPr>
                        <w:tcW w:w="1134" w:type="dxa"/>
                      </w:tcPr>
                      <w:p>
                        <w:pPr>
                          <w:jc w:val="center"/>
                          <w:rPr>
                            <w:sz w:val="22"/>
                            <w:szCs w:val="22"/>
                            <w:lang w:eastAsia="lt-LT"/>
                          </w:rPr>
                        </w:pPr>
                        <w:r>
                          <w:rPr>
                            <w:sz w:val="22"/>
                            <w:szCs w:val="22"/>
                            <w:lang w:eastAsia="lt-LT"/>
                          </w:rPr>
                          <w:t>800*, iš jų (316**)</w:t>
                        </w:r>
                      </w:p>
                    </w:tc>
                  </w:tr>
                  <w:tr>
                    <w:tc>
                      <w:tcPr>
                        <w:tcW w:w="1475" w:type="dxa"/>
                      </w:tcPr>
                      <w:p>
                        <w:pPr>
                          <w:jc w:val="center"/>
                          <w:rPr>
                            <w:sz w:val="22"/>
                            <w:szCs w:val="22"/>
                          </w:rPr>
                        </w:pPr>
                        <w:r>
                          <w:rPr>
                            <w:sz w:val="22"/>
                            <w:szCs w:val="22"/>
                          </w:rPr>
                          <w:t>Specialiojo ugdymo įstaigose</w:t>
                        </w:r>
                      </w:p>
                    </w:tc>
                    <w:tc>
                      <w:tcPr>
                        <w:tcW w:w="1327" w:type="dxa"/>
                      </w:tcPr>
                      <w:p>
                        <w:pPr>
                          <w:jc w:val="center"/>
                          <w:rPr>
                            <w:sz w:val="22"/>
                            <w:szCs w:val="22"/>
                          </w:rPr>
                        </w:pPr>
                        <w:r>
                          <w:rPr>
                            <w:sz w:val="22"/>
                            <w:szCs w:val="22"/>
                          </w:rPr>
                          <w:t xml:space="preserve">133*, iš jų </w:t>
                        </w:r>
                      </w:p>
                      <w:p>
                        <w:pPr>
                          <w:jc w:val="center"/>
                          <w:rPr>
                            <w:sz w:val="22"/>
                            <w:szCs w:val="22"/>
                          </w:rPr>
                        </w:pPr>
                        <w:r>
                          <w:rPr>
                            <w:sz w:val="22"/>
                            <w:szCs w:val="22"/>
                          </w:rPr>
                          <w:t>(133**)</w:t>
                        </w:r>
                      </w:p>
                    </w:tc>
                    <w:tc>
                      <w:tcPr>
                        <w:tcW w:w="1134" w:type="dxa"/>
                      </w:tcPr>
                      <w:p>
                        <w:pPr>
                          <w:jc w:val="center"/>
                          <w:rPr>
                            <w:sz w:val="22"/>
                            <w:szCs w:val="22"/>
                          </w:rPr>
                        </w:pPr>
                        <w:r>
                          <w:rPr>
                            <w:sz w:val="22"/>
                            <w:szCs w:val="22"/>
                          </w:rPr>
                          <w:t xml:space="preserve">119*, iš jų </w:t>
                        </w:r>
                      </w:p>
                      <w:p>
                        <w:pPr>
                          <w:jc w:val="center"/>
                          <w:rPr>
                            <w:sz w:val="22"/>
                            <w:szCs w:val="22"/>
                          </w:rPr>
                        </w:pPr>
                        <w:r>
                          <w:rPr>
                            <w:sz w:val="22"/>
                            <w:szCs w:val="22"/>
                          </w:rPr>
                          <w:t>(119**)</w:t>
                        </w:r>
                      </w:p>
                    </w:tc>
                    <w:tc>
                      <w:tcPr>
                        <w:tcW w:w="1134" w:type="dxa"/>
                      </w:tcPr>
                      <w:p>
                        <w:pPr>
                          <w:jc w:val="center"/>
                          <w:rPr>
                            <w:sz w:val="22"/>
                            <w:szCs w:val="22"/>
                          </w:rPr>
                        </w:pPr>
                        <w:r>
                          <w:rPr>
                            <w:sz w:val="22"/>
                            <w:szCs w:val="22"/>
                          </w:rPr>
                          <w:t xml:space="preserve">109*, iš jų </w:t>
                        </w:r>
                      </w:p>
                      <w:p>
                        <w:pPr>
                          <w:jc w:val="center"/>
                          <w:rPr>
                            <w:sz w:val="22"/>
                            <w:szCs w:val="22"/>
                          </w:rPr>
                        </w:pPr>
                        <w:r>
                          <w:rPr>
                            <w:sz w:val="22"/>
                            <w:szCs w:val="22"/>
                          </w:rPr>
                          <w:t>(109**)</w:t>
                        </w:r>
                      </w:p>
                    </w:tc>
                    <w:tc>
                      <w:tcPr>
                        <w:tcW w:w="1134" w:type="dxa"/>
                      </w:tcPr>
                      <w:p>
                        <w:pPr>
                          <w:jc w:val="center"/>
                          <w:rPr>
                            <w:sz w:val="22"/>
                            <w:szCs w:val="22"/>
                          </w:rPr>
                        </w:pPr>
                        <w:r>
                          <w:rPr>
                            <w:sz w:val="22"/>
                            <w:szCs w:val="22"/>
                          </w:rPr>
                          <w:t>108*, iš jų</w:t>
                        </w:r>
                      </w:p>
                      <w:p>
                        <w:pPr>
                          <w:ind w:firstLine="57"/>
                          <w:jc w:val="center"/>
                          <w:rPr>
                            <w:sz w:val="22"/>
                            <w:szCs w:val="22"/>
                          </w:rPr>
                        </w:pPr>
                        <w:r>
                          <w:rPr>
                            <w:sz w:val="22"/>
                            <w:szCs w:val="22"/>
                          </w:rPr>
                          <w:t>(108**)</w:t>
                        </w:r>
                      </w:p>
                    </w:tc>
                    <w:tc>
                      <w:tcPr>
                        <w:tcW w:w="1134" w:type="dxa"/>
                      </w:tcPr>
                      <w:p>
                        <w:pPr>
                          <w:jc w:val="center"/>
                          <w:rPr>
                            <w:sz w:val="22"/>
                            <w:szCs w:val="22"/>
                          </w:rPr>
                        </w:pPr>
                        <w:r>
                          <w:rPr>
                            <w:sz w:val="22"/>
                            <w:szCs w:val="22"/>
                          </w:rPr>
                          <w:t>95*, iš jų</w:t>
                        </w:r>
                      </w:p>
                      <w:p>
                        <w:pPr>
                          <w:ind w:firstLine="57"/>
                          <w:jc w:val="center"/>
                          <w:rPr>
                            <w:sz w:val="22"/>
                            <w:szCs w:val="22"/>
                          </w:rPr>
                        </w:pPr>
                        <w:r>
                          <w:rPr>
                            <w:sz w:val="22"/>
                            <w:szCs w:val="22"/>
                          </w:rPr>
                          <w:t>(95**)</w:t>
                        </w:r>
                      </w:p>
                    </w:tc>
                    <w:tc>
                      <w:tcPr>
                        <w:tcW w:w="1275" w:type="dxa"/>
                      </w:tcPr>
                      <w:p>
                        <w:pPr>
                          <w:jc w:val="center"/>
                          <w:rPr>
                            <w:sz w:val="22"/>
                            <w:szCs w:val="22"/>
                          </w:rPr>
                        </w:pPr>
                        <w:r>
                          <w:rPr>
                            <w:sz w:val="22"/>
                            <w:szCs w:val="22"/>
                          </w:rPr>
                          <w:t xml:space="preserve">94*, iš jų </w:t>
                        </w:r>
                      </w:p>
                      <w:p>
                        <w:pPr>
                          <w:jc w:val="center"/>
                          <w:rPr>
                            <w:sz w:val="22"/>
                            <w:szCs w:val="22"/>
                          </w:rPr>
                        </w:pPr>
                        <w:r>
                          <w:rPr>
                            <w:sz w:val="22"/>
                            <w:szCs w:val="22"/>
                          </w:rPr>
                          <w:t>(94**)</w:t>
                        </w:r>
                      </w:p>
                    </w:tc>
                    <w:tc>
                      <w:tcPr>
                        <w:tcW w:w="1134" w:type="dxa"/>
                      </w:tcPr>
                      <w:p>
                        <w:pPr>
                          <w:jc w:val="center"/>
                          <w:rPr>
                            <w:sz w:val="22"/>
                            <w:szCs w:val="22"/>
                            <w:lang w:eastAsia="lt-LT"/>
                          </w:rPr>
                        </w:pPr>
                        <w:r>
                          <w:rPr>
                            <w:sz w:val="22"/>
                            <w:szCs w:val="22"/>
                            <w:lang w:eastAsia="lt-LT"/>
                          </w:rPr>
                          <w:t>83*, iš jų (83**)</w:t>
                        </w:r>
                      </w:p>
                    </w:tc>
                  </w:tr>
                  <w:tr>
                    <w:trPr>
                      <w:trHeight w:val="235"/>
                    </w:trPr>
                    <w:tc>
                      <w:tcPr>
                        <w:tcW w:w="1475" w:type="dxa"/>
                      </w:tcPr>
                      <w:p>
                        <w:pPr>
                          <w:spacing w:line="360" w:lineRule="auto"/>
                          <w:jc w:val="center"/>
                          <w:rPr>
                            <w:b/>
                            <w:sz w:val="22"/>
                            <w:szCs w:val="22"/>
                          </w:rPr>
                        </w:pPr>
                        <w:r>
                          <w:rPr>
                            <w:b/>
                            <w:sz w:val="22"/>
                            <w:szCs w:val="22"/>
                          </w:rPr>
                          <w:t xml:space="preserve">ŠPG </w:t>
                        </w:r>
                      </w:p>
                    </w:tc>
                    <w:tc>
                      <w:tcPr>
                        <w:tcW w:w="1327" w:type="dxa"/>
                      </w:tcPr>
                      <w:p>
                        <w:pPr>
                          <w:spacing w:line="360" w:lineRule="auto"/>
                          <w:jc w:val="center"/>
                          <w:rPr>
                            <w:sz w:val="22"/>
                            <w:szCs w:val="22"/>
                          </w:rPr>
                        </w:pPr>
                        <w:r>
                          <w:rPr>
                            <w:b/>
                            <w:sz w:val="22"/>
                            <w:szCs w:val="22"/>
                          </w:rPr>
                          <w:t>1327</w:t>
                        </w:r>
                        <w:r>
                          <w:rPr>
                            <w:sz w:val="22"/>
                            <w:szCs w:val="22"/>
                          </w:rPr>
                          <w:t>*</w:t>
                        </w:r>
                      </w:p>
                    </w:tc>
                    <w:tc>
                      <w:tcPr>
                        <w:tcW w:w="1134" w:type="dxa"/>
                      </w:tcPr>
                      <w:p>
                        <w:pPr>
                          <w:spacing w:line="360" w:lineRule="auto"/>
                          <w:jc w:val="center"/>
                          <w:rPr>
                            <w:sz w:val="22"/>
                            <w:szCs w:val="22"/>
                          </w:rPr>
                        </w:pPr>
                        <w:r>
                          <w:rPr>
                            <w:b/>
                            <w:sz w:val="22"/>
                            <w:szCs w:val="22"/>
                          </w:rPr>
                          <w:t>1281</w:t>
                        </w:r>
                        <w:r>
                          <w:rPr>
                            <w:sz w:val="22"/>
                            <w:szCs w:val="22"/>
                          </w:rPr>
                          <w:t xml:space="preserve">* </w:t>
                        </w:r>
                      </w:p>
                    </w:tc>
                    <w:tc>
                      <w:tcPr>
                        <w:tcW w:w="1134" w:type="dxa"/>
                      </w:tcPr>
                      <w:p>
                        <w:pPr>
                          <w:spacing w:line="360" w:lineRule="auto"/>
                          <w:jc w:val="center"/>
                          <w:rPr>
                            <w:sz w:val="22"/>
                            <w:szCs w:val="22"/>
                          </w:rPr>
                        </w:pPr>
                        <w:r>
                          <w:rPr>
                            <w:b/>
                            <w:sz w:val="22"/>
                            <w:szCs w:val="22"/>
                          </w:rPr>
                          <w:t>1251</w:t>
                        </w:r>
                        <w:r>
                          <w:rPr>
                            <w:sz w:val="22"/>
                            <w:szCs w:val="22"/>
                          </w:rPr>
                          <w:t xml:space="preserve">* </w:t>
                        </w:r>
                      </w:p>
                    </w:tc>
                    <w:tc>
                      <w:tcPr>
                        <w:tcW w:w="1134" w:type="dxa"/>
                      </w:tcPr>
                      <w:p>
                        <w:pPr>
                          <w:spacing w:line="360" w:lineRule="auto"/>
                          <w:jc w:val="center"/>
                          <w:rPr>
                            <w:sz w:val="22"/>
                            <w:szCs w:val="22"/>
                          </w:rPr>
                        </w:pPr>
                        <w:r>
                          <w:rPr>
                            <w:b/>
                            <w:sz w:val="22"/>
                            <w:szCs w:val="22"/>
                          </w:rPr>
                          <w:t>1201</w:t>
                        </w:r>
                        <w:r>
                          <w:rPr>
                            <w:sz w:val="22"/>
                            <w:szCs w:val="22"/>
                          </w:rPr>
                          <w:t xml:space="preserve">* </w:t>
                        </w:r>
                      </w:p>
                    </w:tc>
                    <w:tc>
                      <w:tcPr>
                        <w:tcW w:w="1134" w:type="dxa"/>
                      </w:tcPr>
                      <w:p>
                        <w:pPr>
                          <w:spacing w:line="360" w:lineRule="auto"/>
                          <w:jc w:val="center"/>
                          <w:rPr>
                            <w:sz w:val="22"/>
                            <w:szCs w:val="22"/>
                          </w:rPr>
                        </w:pPr>
                        <w:r>
                          <w:rPr>
                            <w:b/>
                            <w:sz w:val="22"/>
                            <w:szCs w:val="22"/>
                          </w:rPr>
                          <w:t>1265</w:t>
                        </w:r>
                        <w:r>
                          <w:rPr>
                            <w:sz w:val="22"/>
                            <w:szCs w:val="22"/>
                          </w:rPr>
                          <w:t xml:space="preserve">* </w:t>
                        </w:r>
                      </w:p>
                    </w:tc>
                    <w:tc>
                      <w:tcPr>
                        <w:tcW w:w="1275" w:type="dxa"/>
                      </w:tcPr>
                      <w:p>
                        <w:pPr>
                          <w:spacing w:line="360" w:lineRule="auto"/>
                          <w:jc w:val="center"/>
                          <w:rPr>
                            <w:sz w:val="22"/>
                            <w:szCs w:val="22"/>
                          </w:rPr>
                        </w:pPr>
                        <w:r>
                          <w:rPr>
                            <w:b/>
                            <w:sz w:val="22"/>
                            <w:szCs w:val="22"/>
                          </w:rPr>
                          <w:t>1201*</w:t>
                        </w:r>
                      </w:p>
                    </w:tc>
                    <w:tc>
                      <w:tcPr>
                        <w:tcW w:w="1134" w:type="dxa"/>
                      </w:tcPr>
                      <w:p>
                        <w:pPr>
                          <w:jc w:val="center"/>
                          <w:rPr>
                            <w:b/>
                            <w:sz w:val="22"/>
                            <w:szCs w:val="22"/>
                            <w:lang w:eastAsia="lt-LT"/>
                          </w:rPr>
                        </w:pPr>
                        <w:r>
                          <w:rPr>
                            <w:b/>
                            <w:sz w:val="22"/>
                            <w:szCs w:val="22"/>
                            <w:lang w:eastAsia="lt-LT"/>
                          </w:rPr>
                          <w:t>1199*</w:t>
                        </w:r>
                      </w:p>
                    </w:tc>
                  </w:tr>
                  <w:tr>
                    <w:trPr>
                      <w:trHeight w:val="298"/>
                    </w:trPr>
                    <w:tc>
                      <w:tcPr>
                        <w:tcW w:w="1475" w:type="dxa"/>
                      </w:tcPr>
                      <w:p>
                        <w:pPr>
                          <w:spacing w:line="360" w:lineRule="auto"/>
                          <w:jc w:val="center"/>
                          <w:rPr>
                            <w:b/>
                            <w:sz w:val="22"/>
                            <w:szCs w:val="22"/>
                          </w:rPr>
                        </w:pPr>
                        <w:r>
                          <w:rPr>
                            <w:b/>
                            <w:sz w:val="22"/>
                            <w:szCs w:val="22"/>
                          </w:rPr>
                          <w:t>iš jų :</w:t>
                        </w:r>
                      </w:p>
                    </w:tc>
                    <w:tc>
                      <w:tcPr>
                        <w:tcW w:w="1327" w:type="dxa"/>
                      </w:tcPr>
                      <w:p>
                        <w:pPr>
                          <w:spacing w:line="360" w:lineRule="auto"/>
                          <w:jc w:val="center"/>
                          <w:rPr>
                            <w:b/>
                            <w:sz w:val="22"/>
                            <w:szCs w:val="22"/>
                          </w:rPr>
                        </w:pPr>
                        <w:r>
                          <w:rPr>
                            <w:b/>
                            <w:sz w:val="22"/>
                            <w:szCs w:val="22"/>
                          </w:rPr>
                          <w:t>445**</w:t>
                        </w:r>
                      </w:p>
                    </w:tc>
                    <w:tc>
                      <w:tcPr>
                        <w:tcW w:w="1134" w:type="dxa"/>
                      </w:tcPr>
                      <w:p>
                        <w:pPr>
                          <w:spacing w:line="360" w:lineRule="auto"/>
                          <w:ind w:firstLine="57"/>
                          <w:jc w:val="center"/>
                          <w:rPr>
                            <w:b/>
                            <w:sz w:val="22"/>
                            <w:szCs w:val="22"/>
                          </w:rPr>
                        </w:pPr>
                        <w:r>
                          <w:rPr>
                            <w:b/>
                            <w:sz w:val="22"/>
                            <w:szCs w:val="22"/>
                          </w:rPr>
                          <w:t>480**</w:t>
                        </w:r>
                      </w:p>
                    </w:tc>
                    <w:tc>
                      <w:tcPr>
                        <w:tcW w:w="1134" w:type="dxa"/>
                      </w:tcPr>
                      <w:p>
                        <w:pPr>
                          <w:spacing w:line="360" w:lineRule="auto"/>
                          <w:jc w:val="center"/>
                          <w:rPr>
                            <w:b/>
                            <w:sz w:val="22"/>
                            <w:szCs w:val="22"/>
                          </w:rPr>
                        </w:pPr>
                        <w:r>
                          <w:rPr>
                            <w:b/>
                            <w:sz w:val="22"/>
                            <w:szCs w:val="22"/>
                          </w:rPr>
                          <w:t>472**</w:t>
                        </w:r>
                      </w:p>
                    </w:tc>
                    <w:tc>
                      <w:tcPr>
                        <w:tcW w:w="1134" w:type="dxa"/>
                      </w:tcPr>
                      <w:p>
                        <w:pPr>
                          <w:spacing w:line="360" w:lineRule="auto"/>
                          <w:jc w:val="center"/>
                          <w:rPr>
                            <w:b/>
                            <w:sz w:val="22"/>
                            <w:szCs w:val="22"/>
                          </w:rPr>
                        </w:pPr>
                        <w:r>
                          <w:rPr>
                            <w:b/>
                            <w:sz w:val="22"/>
                            <w:szCs w:val="22"/>
                          </w:rPr>
                          <w:t>450**</w:t>
                        </w:r>
                      </w:p>
                    </w:tc>
                    <w:tc>
                      <w:tcPr>
                        <w:tcW w:w="1134" w:type="dxa"/>
                      </w:tcPr>
                      <w:p>
                        <w:pPr>
                          <w:spacing w:line="360" w:lineRule="auto"/>
                          <w:jc w:val="center"/>
                          <w:rPr>
                            <w:b/>
                            <w:sz w:val="22"/>
                            <w:szCs w:val="22"/>
                          </w:rPr>
                        </w:pPr>
                        <w:r>
                          <w:rPr>
                            <w:b/>
                            <w:sz w:val="22"/>
                            <w:szCs w:val="22"/>
                          </w:rPr>
                          <w:t>459**</w:t>
                        </w:r>
                      </w:p>
                    </w:tc>
                    <w:tc>
                      <w:tcPr>
                        <w:tcW w:w="1275" w:type="dxa"/>
                      </w:tcPr>
                      <w:p>
                        <w:pPr>
                          <w:spacing w:line="360" w:lineRule="auto"/>
                          <w:jc w:val="center"/>
                          <w:rPr>
                            <w:b/>
                            <w:sz w:val="22"/>
                            <w:szCs w:val="22"/>
                          </w:rPr>
                        </w:pPr>
                        <w:r>
                          <w:rPr>
                            <w:b/>
                            <w:sz w:val="22"/>
                            <w:szCs w:val="22"/>
                          </w:rPr>
                          <w:t>457**</w:t>
                        </w:r>
                      </w:p>
                    </w:tc>
                    <w:tc>
                      <w:tcPr>
                        <w:tcW w:w="1134" w:type="dxa"/>
                      </w:tcPr>
                      <w:p>
                        <w:pPr>
                          <w:jc w:val="center"/>
                          <w:rPr>
                            <w:b/>
                            <w:sz w:val="22"/>
                            <w:szCs w:val="22"/>
                            <w:lang w:eastAsia="lt-LT"/>
                          </w:rPr>
                        </w:pPr>
                        <w:r>
                          <w:rPr>
                            <w:b/>
                            <w:sz w:val="22"/>
                            <w:szCs w:val="22"/>
                            <w:lang w:eastAsia="lt-LT"/>
                          </w:rPr>
                          <w:t>476**</w:t>
                        </w:r>
                      </w:p>
                    </w:tc>
                  </w:tr>
                </w:tbl>
                <w:p>
                  <w:pPr>
                    <w:rPr>
                      <w:rFonts w:eastAsia="Calibri"/>
                      <w:bCs/>
                      <w:i/>
                      <w:iCs/>
                      <w:sz w:val="18"/>
                      <w:szCs w:val="18"/>
                    </w:rPr>
                  </w:pPr>
                  <w:r>
                    <w:rPr>
                      <w:rFonts w:eastAsia="Calibri"/>
                      <w:bCs/>
                      <w:i/>
                      <w:iCs/>
                      <w:sz w:val="18"/>
                      <w:szCs w:val="18"/>
                    </w:rPr>
                    <w:t>SUP mokiniai švietimo pagalbos gavėjai (ŠPG)</w:t>
                  </w:r>
                </w:p>
                <w:p>
                  <w:pPr>
                    <w:rPr>
                      <w:rFonts w:eastAsia="Calibri"/>
                      <w:sz w:val="18"/>
                      <w:szCs w:val="18"/>
                    </w:rPr>
                  </w:pPr>
                  <w:r>
                    <w:rPr>
                      <w:rFonts w:eastAsia="Calibri"/>
                      <w:b/>
                      <w:bCs/>
                      <w:iCs/>
                      <w:sz w:val="18"/>
                      <w:szCs w:val="18"/>
                    </w:rPr>
                    <w:t xml:space="preserve">* </w:t>
                  </w:r>
                  <w:r>
                    <w:rPr>
                      <w:rFonts w:eastAsia="Calibri"/>
                      <w:sz w:val="18"/>
                      <w:szCs w:val="18"/>
                    </w:rPr>
                    <w:t xml:space="preserve"> visi mokiniai, kuriems skirtas specialusis ugdymasis ir  / ar kita švietimo pagalba. Tai yra vaikai, kurie turi nedidelius, vidutinius, didelius ir labai didelius specialiuosius ugdymosi poreikius. </w:t>
                  </w:r>
                </w:p>
                <w:p>
                  <w:pPr>
                    <w:spacing w:line="360" w:lineRule="auto"/>
                    <w:rPr>
                      <w:rFonts w:eastAsia="Calibri"/>
                      <w:b/>
                      <w:sz w:val="18"/>
                      <w:szCs w:val="18"/>
                    </w:rPr>
                  </w:pPr>
                  <w:r>
                    <w:rPr>
                      <w:rFonts w:eastAsia="Calibri"/>
                      <w:sz w:val="18"/>
                      <w:szCs w:val="18"/>
                    </w:rPr>
                    <w:t>** mokiniai, kurie turi vidutinius, didelius ir labai didelius specialiuosius ugdymosi poreikius.</w:t>
                  </w:r>
                </w:p>
                <w:p>
                  <w:pPr>
                    <w:ind w:firstLine="709"/>
                    <w:jc w:val="both"/>
                    <w:rPr>
                      <w:szCs w:val="24"/>
                      <w:lang w:eastAsia="lt-LT"/>
                    </w:rPr>
                  </w:pPr>
                  <w:r>
                    <w:rPr>
                      <w:szCs w:val="24"/>
                      <w:lang w:eastAsia="lt-LT"/>
                    </w:rPr>
                    <w:t>Per septynerius metus nuo 2016 iki 2023 metų vaikų skaičius rajono ugdymo įstaigose sumažėjo 700 vaikų (10,4 %), SUP / ŠPG vaikų / mokinių skaičius sumažėjo 128 vaikais (9,6%), o vidutinių, didelių ir labai didelių SUP turinčių vaikų skaičius padidėjo 31 vaiku (7%).</w:t>
                  </w:r>
                </w:p>
                <w:p>
                  <w:pPr>
                    <w:ind w:firstLine="709"/>
                    <w:jc w:val="both"/>
                    <w:rPr>
                      <w:szCs w:val="24"/>
                      <w:lang w:eastAsia="lt-LT"/>
                    </w:rPr>
                  </w:pPr>
                  <w:r>
                    <w:rPr>
                      <w:b/>
                      <w:szCs w:val="24"/>
                      <w:lang w:eastAsia="lt-LT"/>
                    </w:rPr>
                    <w:t>2021</w:t>
                  </w:r>
                  <w:r>
                    <w:rPr>
                      <w:szCs w:val="24"/>
                      <w:lang w:eastAsia="lt-LT"/>
                    </w:rPr>
                    <w:t>–</w:t>
                  </w:r>
                  <w:r>
                    <w:rPr>
                      <w:b/>
                      <w:szCs w:val="24"/>
                      <w:lang w:eastAsia="lt-LT"/>
                    </w:rPr>
                    <w:t>2022 m. m</w:t>
                  </w:r>
                  <w:r>
                    <w:rPr>
                      <w:szCs w:val="24"/>
                      <w:lang w:eastAsia="lt-LT"/>
                    </w:rPr>
                    <w:t>.:</w:t>
                  </w:r>
                </w:p>
                <w:p>
                  <w:pPr>
                    <w:tabs>
                      <w:tab w:val="left" w:pos="993"/>
                    </w:tabs>
                    <w:ind w:left="-142" w:firstLine="851"/>
                    <w:jc w:val="both"/>
                    <w:rPr>
                      <w:szCs w:val="24"/>
                      <w:lang w:eastAsia="lt-LT"/>
                    </w:rPr>
                  </w:pPr>
                  <w:r>
                    <w:rPr>
                      <w:rFonts w:ascii="Symbol" w:hAnsi="Symbol"/>
                      <w:szCs w:val="24"/>
                      <w:lang w:eastAsia="lt-LT"/>
                    </w:rPr>
                    <w:t></w:t>
                    <w:tab/>
                  </w:r>
                  <w:r>
                    <w:rPr>
                      <w:szCs w:val="24"/>
                      <w:lang w:eastAsia="lt-LT"/>
                    </w:rPr>
                    <w:t>rajono ikimokyklinio ugdymo įstaigose ir bendrojo ugdymo mokyklose integruotai mokėsi 1107 SUP vaikai / mokiniai, t. y. 92,17</w:t>
                  </w:r>
                  <w:r>
                    <w:rPr>
                      <w:b/>
                      <w:szCs w:val="24"/>
                      <w:lang w:eastAsia="lt-LT"/>
                    </w:rPr>
                    <w:t xml:space="preserve"> </w:t>
                  </w:r>
                  <w:r>
                    <w:rPr>
                      <w:szCs w:val="24"/>
                      <w:lang w:eastAsia="lt-LT"/>
                    </w:rPr>
                    <w:t>% visų SUP vaikų</w:t>
                  </w:r>
                  <w:r>
                    <w:rPr>
                      <w:b/>
                      <w:szCs w:val="24"/>
                      <w:lang w:eastAsia="lt-LT"/>
                    </w:rPr>
                    <w:t xml:space="preserve"> </w:t>
                  </w:r>
                  <w:r>
                    <w:rPr>
                      <w:szCs w:val="24"/>
                      <w:lang w:eastAsia="lt-LT"/>
                    </w:rPr>
                    <w:t>/ mokinių (18,67 % visų rajono mokinių), iš jų 363 vaikai, t. y. 79,43</w:t>
                  </w:r>
                  <w:r>
                    <w:rPr>
                      <w:b/>
                      <w:szCs w:val="24"/>
                      <w:lang w:eastAsia="lt-LT"/>
                    </w:rPr>
                    <w:t xml:space="preserve"> %</w:t>
                  </w:r>
                  <w:r>
                    <w:rPr>
                      <w:szCs w:val="24"/>
                      <w:lang w:eastAsia="lt-LT"/>
                    </w:rPr>
                    <w:t xml:space="preserve"> visų SUP vaikų / mokinių, kuriems nustatyti vidutiniai, dideli ir labai dideli SUP.</w:t>
                  </w:r>
                </w:p>
                <w:p>
                  <w:pPr>
                    <w:tabs>
                      <w:tab w:val="left" w:pos="993"/>
                    </w:tabs>
                    <w:ind w:left="-142" w:firstLine="851"/>
                    <w:jc w:val="both"/>
                    <w:rPr>
                      <w:szCs w:val="24"/>
                      <w:lang w:eastAsia="lt-LT"/>
                    </w:rPr>
                  </w:pPr>
                  <w:r>
                    <w:rPr>
                      <w:rFonts w:ascii="Symbol" w:hAnsi="Symbol"/>
                      <w:szCs w:val="24"/>
                      <w:lang w:eastAsia="lt-LT"/>
                    </w:rPr>
                    <w:t></w:t>
                    <w:tab/>
                  </w:r>
                  <w:r>
                    <w:rPr>
                      <w:szCs w:val="24"/>
                      <w:lang w:eastAsia="lt-LT"/>
                    </w:rPr>
                    <w:t xml:space="preserve">Specialiosiose klasėse Telšių „Atžalyno“ progimnazijos Naujamiesčio skyriuje mokėsi 94  didelių ir labai didelių SUP vaikai, t. y. 7,83 % visų SUP vaikų ir</w:t>
                  </w:r>
                  <w:r>
                    <w:rPr>
                      <w:b/>
                      <w:szCs w:val="24"/>
                      <w:lang w:eastAsia="lt-LT"/>
                    </w:rPr>
                    <w:t xml:space="preserve"> </w:t>
                  </w:r>
                  <w:r>
                    <w:rPr>
                      <w:szCs w:val="24"/>
                      <w:lang w:eastAsia="lt-LT"/>
                    </w:rPr>
                    <w:t>20,57</w:t>
                  </w:r>
                  <w:r>
                    <w:rPr>
                      <w:b/>
                      <w:szCs w:val="24"/>
                      <w:lang w:eastAsia="lt-LT"/>
                    </w:rPr>
                    <w:t xml:space="preserve"> </w:t>
                  </w:r>
                  <w:r>
                    <w:rPr>
                      <w:szCs w:val="24"/>
                      <w:lang w:eastAsia="lt-LT"/>
                    </w:rPr>
                    <w:t>% SUP vaikų / mokinių, kuriems nustatyti vidutiniai, dideli ir labai dideli SUP</w:t>
                  </w:r>
                  <w:r>
                    <w:rPr>
                      <w:b/>
                      <w:szCs w:val="24"/>
                      <w:lang w:eastAsia="lt-LT"/>
                    </w:rPr>
                    <w:t xml:space="preserve"> (</w:t>
                  </w:r>
                  <w:r>
                    <w:rPr>
                      <w:szCs w:val="24"/>
                      <w:lang w:eastAsia="lt-LT"/>
                    </w:rPr>
                    <w:t>1,58 % visų rajono vaikų / mokinių).</w:t>
                  </w:r>
                </w:p>
                <w:p>
                  <w:pPr>
                    <w:ind w:firstLine="709"/>
                    <w:jc w:val="both"/>
                    <w:rPr>
                      <w:szCs w:val="24"/>
                      <w:lang w:eastAsia="lt-LT"/>
                    </w:rPr>
                  </w:pPr>
                  <w:r>
                    <w:rPr>
                      <w:b/>
                      <w:szCs w:val="24"/>
                      <w:lang w:eastAsia="lt-LT"/>
                    </w:rPr>
                    <w:t>2022</w:t>
                  </w:r>
                  <w:r>
                    <w:rPr>
                      <w:szCs w:val="24"/>
                      <w:lang w:eastAsia="lt-LT"/>
                    </w:rPr>
                    <w:t>–</w:t>
                  </w:r>
                  <w:r>
                    <w:rPr>
                      <w:b/>
                      <w:szCs w:val="24"/>
                      <w:lang w:eastAsia="lt-LT"/>
                    </w:rPr>
                    <w:t>2023 m. m.</w:t>
                  </w:r>
                  <w:r>
                    <w:rPr>
                      <w:szCs w:val="24"/>
                      <w:lang w:eastAsia="lt-LT"/>
                    </w:rPr>
                    <w:t>:</w:t>
                  </w:r>
                </w:p>
                <w:p>
                  <w:pPr>
                    <w:tabs>
                      <w:tab w:val="left" w:pos="993"/>
                    </w:tabs>
                    <w:ind w:left="-142" w:firstLine="851"/>
                    <w:jc w:val="both"/>
                    <w:rPr>
                      <w:szCs w:val="24"/>
                      <w:lang w:eastAsia="lt-LT"/>
                    </w:rPr>
                  </w:pPr>
                  <w:r>
                    <w:rPr>
                      <w:rFonts w:ascii="Symbol" w:hAnsi="Symbol"/>
                      <w:szCs w:val="24"/>
                      <w:lang w:eastAsia="lt-LT"/>
                    </w:rPr>
                    <w:t></w:t>
                    <w:tab/>
                  </w:r>
                  <w:r>
                    <w:rPr>
                      <w:szCs w:val="24"/>
                      <w:lang w:eastAsia="lt-LT"/>
                    </w:rPr>
                    <w:t>rajono ikimokyklinio ugdymo įstaigose ir bendrojo ugdymo mokyklose integruotai mokosi 1116 SUP vaikų / mokinių, t. y. 93,08</w:t>
                  </w:r>
                  <w:r>
                    <w:rPr>
                      <w:b/>
                      <w:szCs w:val="24"/>
                      <w:lang w:eastAsia="lt-LT"/>
                    </w:rPr>
                    <w:t xml:space="preserve"> </w:t>
                  </w:r>
                  <w:r>
                    <w:rPr>
                      <w:szCs w:val="24"/>
                      <w:lang w:eastAsia="lt-LT"/>
                    </w:rPr>
                    <w:t>% visų SUP vaikų</w:t>
                  </w:r>
                  <w:r>
                    <w:rPr>
                      <w:b/>
                      <w:szCs w:val="24"/>
                      <w:lang w:eastAsia="lt-LT"/>
                    </w:rPr>
                    <w:t xml:space="preserve"> </w:t>
                  </w:r>
                  <w:r>
                    <w:rPr>
                      <w:szCs w:val="24"/>
                      <w:lang w:eastAsia="lt-LT"/>
                    </w:rPr>
                    <w:t>/ mokinių (18,9 % visų rajono mokinių), iš jų 393 vaikai, t. y. 82,56</w:t>
                  </w:r>
                  <w:r>
                    <w:rPr>
                      <w:b/>
                      <w:szCs w:val="24"/>
                      <w:lang w:eastAsia="lt-LT"/>
                    </w:rPr>
                    <w:t xml:space="preserve"> </w:t>
                  </w:r>
                  <w:r>
                    <w:rPr>
                      <w:szCs w:val="24"/>
                      <w:lang w:eastAsia="lt-LT"/>
                    </w:rPr>
                    <w:t>% visų SUP vaikų / mokinių, kuriems nustatyti vidutiniai, dideli ir labai dideli SUP.</w:t>
                  </w:r>
                </w:p>
                <w:p>
                  <w:pPr>
                    <w:tabs>
                      <w:tab w:val="left" w:pos="993"/>
                    </w:tabs>
                    <w:ind w:left="-142" w:firstLine="851"/>
                    <w:jc w:val="both"/>
                    <w:rPr>
                      <w:szCs w:val="24"/>
                      <w:lang w:eastAsia="lt-LT"/>
                    </w:rPr>
                  </w:pPr>
                  <w:r>
                    <w:rPr>
                      <w:rFonts w:ascii="Symbol" w:hAnsi="Symbol"/>
                      <w:szCs w:val="24"/>
                      <w:lang w:eastAsia="lt-LT"/>
                    </w:rPr>
                    <w:t></w:t>
                    <w:tab/>
                  </w:r>
                  <w:r>
                    <w:rPr>
                      <w:szCs w:val="24"/>
                      <w:lang w:eastAsia="lt-LT"/>
                    </w:rPr>
                    <w:t xml:space="preserve">Specialiosiose klasėse Telšių „Atžalyno“ progimnazijos Naujamiesčio skyriuje mokėsi 83  didelių ir labai didelių SUP turintys vaikai, t. y. 6,92 % visų SUP vaikų ir</w:t>
                  </w:r>
                  <w:r>
                    <w:rPr>
                      <w:b/>
                      <w:szCs w:val="24"/>
                      <w:lang w:eastAsia="lt-LT"/>
                    </w:rPr>
                    <w:t xml:space="preserve"> </w:t>
                  </w:r>
                  <w:r>
                    <w:rPr>
                      <w:szCs w:val="24"/>
                      <w:lang w:eastAsia="lt-LT"/>
                    </w:rPr>
                    <w:t>17,44 % SUP</w:t>
                  </w:r>
                  <w:r>
                    <w:rPr>
                      <w:b/>
                      <w:szCs w:val="24"/>
                      <w:lang w:eastAsia="lt-LT"/>
                    </w:rPr>
                    <w:t xml:space="preserve"> </w:t>
                  </w:r>
                  <w:r>
                    <w:rPr>
                      <w:szCs w:val="24"/>
                      <w:lang w:eastAsia="lt-LT"/>
                    </w:rPr>
                    <w:t>vaikų / mokinių, kuriems nustatyti vidutiniai, dideli ir labai dideli SUP</w:t>
                  </w:r>
                  <w:r>
                    <w:rPr>
                      <w:b/>
                      <w:szCs w:val="24"/>
                      <w:lang w:eastAsia="lt-LT"/>
                    </w:rPr>
                    <w:t xml:space="preserve"> (</w:t>
                  </w:r>
                  <w:r>
                    <w:rPr>
                      <w:szCs w:val="24"/>
                      <w:lang w:eastAsia="lt-LT"/>
                    </w:rPr>
                    <w:t>1,58 % visų rajono vaikų / mokinių) (2 lentelė).</w:t>
                  </w:r>
                </w:p>
              </w:sdtContent>
            </w:sdt>
            <w:sdt>
              <w:sdtPr>
                <w:alias w:val="2 p."/>
                <w:tag w:val="part_4fb17b9fed98494a90beeda206b9e1e4"/>
                <w:lock w:val="sdtLocked"/>
                <w:richText/>
              </w:sdtPr>
              <w:sdtContent>
                <w:p>
                  <w:pPr>
                    <w:ind w:left="-142" w:firstLine="709"/>
                    <w:jc w:val="both"/>
                    <w:rPr>
                      <w:szCs w:val="24"/>
                      <w:lang w:eastAsia="lt-LT"/>
                    </w:rPr>
                  </w:pPr>
                  <w:sdt>
                    <w:sdtPr>
                      <w:alias w:val="Numeris"/>
                      <w:tag w:val="nr_4fb17b9fed98494a90beeda206b9e1e4"/>
                      <w:lock w:val="sdtLocked"/>
                      <w:richText/>
                    </w:sdtPr>
                    <w:sdtContent>
                      <w:r>
                        <w:rPr>
                          <w:szCs w:val="24"/>
                          <w:lang w:eastAsia="lt-LT"/>
                        </w:rPr>
                        <w:t>2</w:t>
                      </w:r>
                    </w:sdtContent>
                  </w:sdt>
                  <w:r>
                    <w:rPr>
                      <w:szCs w:val="24"/>
                      <w:lang w:eastAsia="lt-LT"/>
                    </w:rPr>
                    <w:t>.</w:t>
                    <w:tab/>
                  </w:r>
                  <w:r>
                    <w:rPr>
                      <w:b/>
                      <w:szCs w:val="24"/>
                      <w:lang w:eastAsia="lt-LT"/>
                    </w:rPr>
                    <w:t>lentelė</w:t>
                  </w:r>
                  <w:r>
                    <w:rPr>
                      <w:szCs w:val="24"/>
                      <w:lang w:eastAsia="lt-LT"/>
                    </w:rPr>
                    <w:t>. Bendrose grupėse integruotai besimokančių SUP* vaikų / mokinių skaičius ir procentinė dalis (rugsėjo 1 d. duomenimis).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417"/>
                    <w:gridCol w:w="1418"/>
                    <w:gridCol w:w="2551"/>
                    <w:gridCol w:w="2835"/>
                  </w:tblGrid>
                  <w:tr>
                    <w:tc>
                      <w:tcPr>
                        <w:tcW w:w="1526" w:type="dxa"/>
                      </w:tcPr>
                      <w:p>
                        <w:pPr>
                          <w:jc w:val="both"/>
                          <w:rPr>
                            <w:szCs w:val="24"/>
                            <w:lang w:eastAsia="lt-LT"/>
                          </w:rPr>
                        </w:pPr>
                        <w:r>
                          <w:rPr>
                            <w:szCs w:val="24"/>
                            <w:lang w:eastAsia="lt-LT"/>
                          </w:rPr>
                          <w:t>Mokslo metai</w:t>
                        </w:r>
                      </w:p>
                    </w:tc>
                    <w:tc>
                      <w:tcPr>
                        <w:tcW w:w="1417" w:type="dxa"/>
                      </w:tcPr>
                      <w:p>
                        <w:pPr>
                          <w:jc w:val="both"/>
                          <w:rPr>
                            <w:szCs w:val="24"/>
                            <w:lang w:eastAsia="lt-LT"/>
                          </w:rPr>
                        </w:pPr>
                        <w:r>
                          <w:rPr>
                            <w:szCs w:val="24"/>
                            <w:lang w:eastAsia="lt-LT"/>
                          </w:rPr>
                          <w:t>Bendras mokinių, besimokančių rajono mokyklose, skaičius</w:t>
                        </w:r>
                      </w:p>
                    </w:tc>
                    <w:tc>
                      <w:tcPr>
                        <w:tcW w:w="1418" w:type="dxa"/>
                      </w:tcPr>
                      <w:p>
                        <w:pPr>
                          <w:ind w:firstLine="62"/>
                          <w:jc w:val="both"/>
                          <w:rPr>
                            <w:szCs w:val="24"/>
                            <w:lang w:eastAsia="lt-LT"/>
                          </w:rPr>
                        </w:pPr>
                        <w:r>
                          <w:rPr>
                            <w:szCs w:val="24"/>
                            <w:lang w:eastAsia="lt-LT"/>
                          </w:rPr>
                          <w:t xml:space="preserve">Mokinių skaičius, kuriems nustatyti SUP* </w:t>
                        </w:r>
                      </w:p>
                    </w:tc>
                    <w:tc>
                      <w:tcPr>
                        <w:tcW w:w="2551" w:type="dxa"/>
                      </w:tcPr>
                      <w:p>
                        <w:pPr>
                          <w:jc w:val="both"/>
                          <w:rPr>
                            <w:szCs w:val="24"/>
                            <w:lang w:eastAsia="lt-LT"/>
                          </w:rPr>
                        </w:pPr>
                        <w:r>
                          <w:rPr>
                            <w:szCs w:val="24"/>
                            <w:lang w:eastAsia="lt-LT"/>
                          </w:rPr>
                          <w:t xml:space="preserve">iš jų </w:t>
                        </w:r>
                        <w:r>
                          <w:rPr>
                            <w:b/>
                            <w:szCs w:val="24"/>
                            <w:lang w:eastAsia="lt-LT"/>
                          </w:rPr>
                          <w:t>integruotai bendrose grupėse</w:t>
                        </w:r>
                        <w:r>
                          <w:rPr>
                            <w:szCs w:val="24"/>
                            <w:lang w:eastAsia="lt-LT"/>
                          </w:rPr>
                          <w:t xml:space="preserve"> rajono mokyklose besimokančių visų SUP* bendras skaičius</w:t>
                        </w:r>
                      </w:p>
                    </w:tc>
                    <w:tc>
                      <w:tcPr>
                        <w:tcW w:w="2835" w:type="dxa"/>
                      </w:tcPr>
                      <w:p>
                        <w:pPr>
                          <w:jc w:val="both"/>
                          <w:rPr>
                            <w:szCs w:val="24"/>
                            <w:lang w:eastAsia="lt-LT"/>
                          </w:rPr>
                        </w:pPr>
                        <w:r>
                          <w:rPr>
                            <w:b/>
                            <w:szCs w:val="24"/>
                            <w:lang w:eastAsia="lt-LT"/>
                          </w:rPr>
                          <w:t>integruotai bendrose grupėse</w:t>
                        </w:r>
                        <w:r>
                          <w:rPr>
                            <w:szCs w:val="24"/>
                            <w:lang w:eastAsia="lt-LT"/>
                          </w:rPr>
                          <w:t xml:space="preserve"> rajono mokyklose besimokančių visų SUP*</w:t>
                        </w:r>
                      </w:p>
                      <w:p>
                        <w:pPr>
                          <w:jc w:val="both"/>
                          <w:rPr>
                            <w:szCs w:val="24"/>
                            <w:lang w:eastAsia="lt-LT"/>
                          </w:rPr>
                        </w:pPr>
                        <w:r>
                          <w:rPr>
                            <w:szCs w:val="24"/>
                            <w:lang w:eastAsia="lt-LT"/>
                          </w:rPr>
                          <w:t>mokinių procentinė dalis bendrose grupėse</w:t>
                        </w:r>
                      </w:p>
                    </w:tc>
                  </w:tr>
                  <w:tr>
                    <w:tc>
                      <w:tcPr>
                        <w:tcW w:w="1526" w:type="dxa"/>
                      </w:tcPr>
                      <w:p>
                        <w:pPr>
                          <w:jc w:val="center"/>
                          <w:rPr>
                            <w:szCs w:val="24"/>
                            <w:lang w:eastAsia="lt-LT"/>
                          </w:rPr>
                        </w:pPr>
                        <w:r>
                          <w:rPr>
                            <w:szCs w:val="24"/>
                            <w:lang w:eastAsia="lt-LT"/>
                          </w:rPr>
                          <w:t>2021–2022</w:t>
                        </w:r>
                      </w:p>
                    </w:tc>
                    <w:tc>
                      <w:tcPr>
                        <w:tcW w:w="1417" w:type="dxa"/>
                      </w:tcPr>
                      <w:p>
                        <w:pPr>
                          <w:jc w:val="center"/>
                          <w:rPr>
                            <w:szCs w:val="24"/>
                            <w:lang w:eastAsia="lt-LT"/>
                          </w:rPr>
                        </w:pPr>
                        <w:r>
                          <w:rPr>
                            <w:szCs w:val="24"/>
                            <w:lang w:eastAsia="lt-LT"/>
                          </w:rPr>
                          <w:t>5929</w:t>
                        </w:r>
                      </w:p>
                    </w:tc>
                    <w:tc>
                      <w:tcPr>
                        <w:tcW w:w="1418" w:type="dxa"/>
                      </w:tcPr>
                      <w:p>
                        <w:pPr>
                          <w:jc w:val="center"/>
                          <w:rPr>
                            <w:szCs w:val="24"/>
                            <w:lang w:eastAsia="lt-LT"/>
                          </w:rPr>
                        </w:pPr>
                        <w:r>
                          <w:rPr>
                            <w:szCs w:val="24"/>
                          </w:rPr>
                          <w:t>1201*</w:t>
                        </w:r>
                      </w:p>
                    </w:tc>
                    <w:tc>
                      <w:tcPr>
                        <w:tcW w:w="2551" w:type="dxa"/>
                      </w:tcPr>
                      <w:p>
                        <w:pPr>
                          <w:jc w:val="center"/>
                          <w:rPr>
                            <w:b/>
                            <w:color w:val="FF0000"/>
                            <w:szCs w:val="24"/>
                            <w:lang w:eastAsia="lt-LT"/>
                          </w:rPr>
                        </w:pPr>
                        <w:r>
                          <w:rPr>
                            <w:szCs w:val="24"/>
                            <w:lang w:eastAsia="lt-LT"/>
                          </w:rPr>
                          <w:t>1107</w:t>
                        </w:r>
                      </w:p>
                    </w:tc>
                    <w:tc>
                      <w:tcPr>
                        <w:tcW w:w="2835" w:type="dxa"/>
                      </w:tcPr>
                      <w:p>
                        <w:pPr>
                          <w:jc w:val="center"/>
                          <w:rPr>
                            <w:szCs w:val="24"/>
                            <w:lang w:eastAsia="lt-LT"/>
                          </w:rPr>
                        </w:pPr>
                        <w:r>
                          <w:rPr>
                            <w:szCs w:val="24"/>
                            <w:lang w:eastAsia="lt-LT"/>
                          </w:rPr>
                          <w:t>92,17 %</w:t>
                        </w:r>
                      </w:p>
                    </w:tc>
                  </w:tr>
                  <w:tr>
                    <w:tc>
                      <w:tcPr>
                        <w:tcW w:w="1526" w:type="dxa"/>
                      </w:tcPr>
                      <w:p>
                        <w:pPr>
                          <w:jc w:val="center"/>
                          <w:rPr>
                            <w:szCs w:val="24"/>
                            <w:lang w:eastAsia="lt-LT"/>
                          </w:rPr>
                        </w:pPr>
                        <w:r>
                          <w:rPr>
                            <w:szCs w:val="24"/>
                            <w:lang w:eastAsia="lt-LT"/>
                          </w:rPr>
                          <w:t>2022–2023</w:t>
                        </w:r>
                      </w:p>
                    </w:tc>
                    <w:tc>
                      <w:tcPr>
                        <w:tcW w:w="1417" w:type="dxa"/>
                      </w:tcPr>
                      <w:p>
                        <w:pPr>
                          <w:jc w:val="center"/>
                          <w:rPr>
                            <w:szCs w:val="24"/>
                            <w:lang w:eastAsia="lt-LT"/>
                          </w:rPr>
                        </w:pPr>
                        <w:r>
                          <w:rPr>
                            <w:szCs w:val="24"/>
                            <w:lang w:eastAsia="lt-LT"/>
                          </w:rPr>
                          <w:t>5906</w:t>
                        </w:r>
                      </w:p>
                    </w:tc>
                    <w:tc>
                      <w:tcPr>
                        <w:tcW w:w="1418" w:type="dxa"/>
                      </w:tcPr>
                      <w:p>
                        <w:pPr>
                          <w:jc w:val="center"/>
                          <w:rPr>
                            <w:szCs w:val="24"/>
                            <w:lang w:eastAsia="lt-LT"/>
                          </w:rPr>
                        </w:pPr>
                        <w:r>
                          <w:rPr>
                            <w:szCs w:val="24"/>
                            <w:lang w:eastAsia="lt-LT"/>
                          </w:rPr>
                          <w:t>1199*</w:t>
                        </w:r>
                      </w:p>
                    </w:tc>
                    <w:tc>
                      <w:tcPr>
                        <w:tcW w:w="2551" w:type="dxa"/>
                      </w:tcPr>
                      <w:p>
                        <w:pPr>
                          <w:jc w:val="center"/>
                          <w:rPr>
                            <w:b/>
                            <w:color w:val="FF0000"/>
                            <w:szCs w:val="24"/>
                            <w:lang w:eastAsia="lt-LT"/>
                          </w:rPr>
                        </w:pPr>
                        <w:r>
                          <w:rPr>
                            <w:szCs w:val="24"/>
                            <w:lang w:eastAsia="lt-LT"/>
                          </w:rPr>
                          <w:t>1116</w:t>
                        </w:r>
                      </w:p>
                    </w:tc>
                    <w:tc>
                      <w:tcPr>
                        <w:tcW w:w="2835" w:type="dxa"/>
                      </w:tcPr>
                      <w:p>
                        <w:pPr>
                          <w:jc w:val="center"/>
                          <w:rPr>
                            <w:szCs w:val="24"/>
                            <w:lang w:eastAsia="lt-LT"/>
                          </w:rPr>
                        </w:pPr>
                        <w:r>
                          <w:rPr>
                            <w:szCs w:val="24"/>
                            <w:lang w:eastAsia="lt-LT"/>
                          </w:rPr>
                          <w:t>93,08 %</w:t>
                        </w:r>
                      </w:p>
                    </w:tc>
                  </w:tr>
                </w:tbl>
                <w:p>
                  <w:pPr>
                    <w:rPr>
                      <w:rFonts w:eastAsia="Calibri"/>
                      <w:bCs/>
                      <w:i/>
                      <w:iCs/>
                      <w:sz w:val="18"/>
                      <w:szCs w:val="18"/>
                    </w:rPr>
                  </w:pPr>
                  <w:r>
                    <w:rPr>
                      <w:rFonts w:eastAsia="Calibri"/>
                      <w:bCs/>
                      <w:i/>
                      <w:iCs/>
                      <w:sz w:val="18"/>
                      <w:szCs w:val="18"/>
                    </w:rPr>
                    <w:t>SUP mokiniai švietimo pagalbos gavėjai (ŠPG)</w:t>
                  </w:r>
                </w:p>
                <w:p>
                  <w:pPr>
                    <w:rPr>
                      <w:rFonts w:eastAsia="Calibri"/>
                      <w:sz w:val="18"/>
                      <w:szCs w:val="18"/>
                    </w:rPr>
                  </w:pPr>
                  <w:r>
                    <w:rPr>
                      <w:rFonts w:eastAsia="Calibri"/>
                      <w:b/>
                      <w:bCs/>
                      <w:iCs/>
                      <w:sz w:val="18"/>
                      <w:szCs w:val="18"/>
                    </w:rPr>
                    <w:t xml:space="preserve">* </w:t>
                  </w:r>
                  <w:r>
                    <w:rPr>
                      <w:rFonts w:eastAsia="Calibri"/>
                      <w:sz w:val="18"/>
                      <w:szCs w:val="18"/>
                    </w:rPr>
                    <w:t xml:space="preserve"> </w:t>
                  </w:r>
                  <w:r>
                    <w:rPr>
                      <w:rFonts w:eastAsia="Calibri"/>
                      <w:b/>
                      <w:sz w:val="18"/>
                      <w:szCs w:val="18"/>
                    </w:rPr>
                    <w:t>visi</w:t>
                  </w:r>
                  <w:r>
                    <w:rPr>
                      <w:rFonts w:eastAsia="Calibri"/>
                      <w:sz w:val="18"/>
                      <w:szCs w:val="18"/>
                    </w:rPr>
                    <w:t xml:space="preserve"> mokiniai, kuriems skirtas specialusis ugdymasis ir  / ar kita švietimo pagalba. Tai yra vaikai, kurie turi nedidelius, vidutinius, didelius ir labai didelius specialiuosius ugdymosi poreikius. </w:t>
                  </w:r>
                </w:p>
              </w:sdtContent>
            </w:sdt>
            <w:sdt>
              <w:sdtPr>
                <w:alias w:val="3 p."/>
                <w:tag w:val="part_7ce8a05fcfa0427ea765d9605f8c22e8"/>
                <w:lock w:val="sdtLocked"/>
                <w:richText/>
              </w:sdtPr>
              <w:sdtContent>
                <w:p>
                  <w:pPr>
                    <w:tabs>
                      <w:tab w:val="left" w:pos="709"/>
                    </w:tabs>
                    <w:spacing w:line="276" w:lineRule="auto"/>
                    <w:ind w:firstLine="709"/>
                    <w:jc w:val="both"/>
                    <w:rPr>
                      <w:szCs w:val="24"/>
                      <w:lang w:eastAsia="lt-LT"/>
                    </w:rPr>
                  </w:pPr>
                  <w:sdt>
                    <w:sdtPr>
                      <w:alias w:val="Numeris"/>
                      <w:tag w:val="nr_7ce8a05fcfa0427ea765d9605f8c22e8"/>
                      <w:lock w:val="sdtLocked"/>
                      <w:richText/>
                    </w:sdtPr>
                    <w:sdtContent>
                      <w:r>
                        <w:rPr>
                          <w:szCs w:val="24"/>
                          <w:lang w:eastAsia="lt-LT"/>
                        </w:rPr>
                        <w:t>3</w:t>
                      </w:r>
                    </w:sdtContent>
                  </w:sdt>
                  <w:r>
                    <w:rPr>
                      <w:szCs w:val="24"/>
                      <w:lang w:eastAsia="lt-LT"/>
                    </w:rPr>
                    <w:t xml:space="preserve">. </w:t>
                  </w:r>
                  <w:r>
                    <w:rPr>
                      <w:b/>
                      <w:szCs w:val="24"/>
                      <w:lang w:eastAsia="lt-LT"/>
                    </w:rPr>
                    <w:t>lentelė.</w:t>
                  </w:r>
                  <w:r>
                    <w:rPr>
                      <w:szCs w:val="24"/>
                      <w:lang w:eastAsia="lt-LT"/>
                    </w:rPr>
                    <w:t xml:space="preserve"> Bendrose grupėse integruotai besimokančių SUP** (vidutinių, didelių ir labai didelių)  vaikų / mokinių skaičius ir procentinė dalis (rugsėjo 1 d. duomenimis).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9"/>
                    <w:gridCol w:w="1790"/>
                    <w:gridCol w:w="1814"/>
                    <w:gridCol w:w="2243"/>
                    <w:gridCol w:w="2232"/>
                  </w:tblGrid>
                  <w:tr>
                    <w:tc>
                      <w:tcPr>
                        <w:tcW w:w="1570" w:type="dxa"/>
                      </w:tcPr>
                      <w:p>
                        <w:pPr>
                          <w:jc w:val="both"/>
                          <w:rPr>
                            <w:szCs w:val="24"/>
                            <w:lang w:eastAsia="lt-LT"/>
                          </w:rPr>
                        </w:pPr>
                        <w:r>
                          <w:rPr>
                            <w:szCs w:val="24"/>
                            <w:lang w:eastAsia="lt-LT"/>
                          </w:rPr>
                          <w:t>Mokslo metai</w:t>
                        </w:r>
                      </w:p>
                    </w:tc>
                    <w:tc>
                      <w:tcPr>
                        <w:tcW w:w="1799" w:type="dxa"/>
                      </w:tcPr>
                      <w:p>
                        <w:pPr>
                          <w:jc w:val="both"/>
                          <w:rPr>
                            <w:szCs w:val="24"/>
                            <w:lang w:eastAsia="lt-LT"/>
                          </w:rPr>
                        </w:pPr>
                        <w:r>
                          <w:rPr>
                            <w:szCs w:val="24"/>
                            <w:lang w:eastAsia="lt-LT"/>
                          </w:rPr>
                          <w:t>Bendras mokinių, besimokančių rajono mokyklose, skaičius</w:t>
                        </w:r>
                      </w:p>
                    </w:tc>
                    <w:tc>
                      <w:tcPr>
                        <w:tcW w:w="1842" w:type="dxa"/>
                      </w:tcPr>
                      <w:p>
                        <w:pPr>
                          <w:jc w:val="both"/>
                          <w:rPr>
                            <w:szCs w:val="24"/>
                            <w:lang w:eastAsia="lt-LT"/>
                          </w:rPr>
                        </w:pPr>
                        <w:r>
                          <w:rPr>
                            <w:szCs w:val="24"/>
                            <w:lang w:eastAsia="lt-LT"/>
                          </w:rPr>
                          <w:t>Mokinių skaičius, kuriems nustatyti SUP**</w:t>
                        </w:r>
                      </w:p>
                    </w:tc>
                    <w:tc>
                      <w:tcPr>
                        <w:tcW w:w="2268" w:type="dxa"/>
                      </w:tcPr>
                      <w:p>
                        <w:pPr>
                          <w:jc w:val="both"/>
                          <w:rPr>
                            <w:szCs w:val="24"/>
                            <w:lang w:eastAsia="lt-LT"/>
                          </w:rPr>
                        </w:pPr>
                        <w:r>
                          <w:rPr>
                            <w:szCs w:val="24"/>
                            <w:lang w:eastAsia="lt-LT"/>
                          </w:rPr>
                          <w:t>iš jų integruotai rajono mokyklose besimokančių visų SUP** bendras skaičius</w:t>
                        </w:r>
                      </w:p>
                    </w:tc>
                    <w:tc>
                      <w:tcPr>
                        <w:tcW w:w="2268" w:type="dxa"/>
                      </w:tcPr>
                      <w:p>
                        <w:pPr>
                          <w:jc w:val="both"/>
                          <w:rPr>
                            <w:szCs w:val="24"/>
                            <w:lang w:eastAsia="lt-LT"/>
                          </w:rPr>
                        </w:pPr>
                        <w:r>
                          <w:rPr>
                            <w:szCs w:val="24"/>
                            <w:lang w:eastAsia="lt-LT"/>
                          </w:rPr>
                          <w:t>visų SUP** mokinių procentinė dalis bendrose grupėse</w:t>
                        </w:r>
                      </w:p>
                    </w:tc>
                  </w:tr>
                  <w:tr>
                    <w:trPr>
                      <w:trHeight w:val="362"/>
                    </w:trPr>
                    <w:tc>
                      <w:tcPr>
                        <w:tcW w:w="1570" w:type="dxa"/>
                      </w:tcPr>
                      <w:p>
                        <w:pPr>
                          <w:jc w:val="center"/>
                          <w:rPr>
                            <w:szCs w:val="24"/>
                            <w:lang w:eastAsia="lt-LT"/>
                          </w:rPr>
                        </w:pPr>
                        <w:r>
                          <w:rPr>
                            <w:szCs w:val="24"/>
                            <w:lang w:eastAsia="lt-LT"/>
                          </w:rPr>
                          <w:t>2021–2022</w:t>
                        </w:r>
                      </w:p>
                    </w:tc>
                    <w:tc>
                      <w:tcPr>
                        <w:tcW w:w="1799" w:type="dxa"/>
                      </w:tcPr>
                      <w:p>
                        <w:pPr>
                          <w:jc w:val="center"/>
                          <w:rPr>
                            <w:szCs w:val="24"/>
                            <w:lang w:eastAsia="lt-LT"/>
                          </w:rPr>
                        </w:pPr>
                        <w:r>
                          <w:rPr>
                            <w:szCs w:val="24"/>
                            <w:lang w:eastAsia="lt-LT"/>
                          </w:rPr>
                          <w:t>5929</w:t>
                        </w:r>
                      </w:p>
                    </w:tc>
                    <w:tc>
                      <w:tcPr>
                        <w:tcW w:w="1842" w:type="dxa"/>
                      </w:tcPr>
                      <w:p>
                        <w:pPr>
                          <w:jc w:val="center"/>
                          <w:rPr>
                            <w:szCs w:val="24"/>
                            <w:lang w:eastAsia="lt-LT"/>
                          </w:rPr>
                        </w:pPr>
                        <w:r>
                          <w:rPr>
                            <w:szCs w:val="24"/>
                          </w:rPr>
                          <w:t>457**</w:t>
                        </w:r>
                      </w:p>
                    </w:tc>
                    <w:tc>
                      <w:tcPr>
                        <w:tcW w:w="2268" w:type="dxa"/>
                      </w:tcPr>
                      <w:p>
                        <w:pPr>
                          <w:jc w:val="center"/>
                          <w:rPr>
                            <w:b/>
                            <w:sz w:val="20"/>
                          </w:rPr>
                        </w:pPr>
                        <w:r>
                          <w:rPr>
                            <w:szCs w:val="24"/>
                            <w:lang w:eastAsia="lt-LT"/>
                          </w:rPr>
                          <w:t>363</w:t>
                        </w:r>
                      </w:p>
                    </w:tc>
                    <w:tc>
                      <w:tcPr>
                        <w:tcW w:w="2268" w:type="dxa"/>
                      </w:tcPr>
                      <w:p>
                        <w:pPr>
                          <w:jc w:val="center"/>
                          <w:rPr>
                            <w:szCs w:val="24"/>
                            <w:lang w:eastAsia="lt-LT"/>
                          </w:rPr>
                        </w:pPr>
                        <w:r>
                          <w:rPr>
                            <w:szCs w:val="24"/>
                            <w:lang w:eastAsia="lt-LT"/>
                          </w:rPr>
                          <w:t xml:space="preserve">79,43 </w:t>
                        </w:r>
                        <w:r>
                          <w:rPr>
                            <w:b/>
                            <w:szCs w:val="24"/>
                            <w:lang w:eastAsia="lt-LT"/>
                          </w:rPr>
                          <w:t>%</w:t>
                        </w:r>
                      </w:p>
                    </w:tc>
                  </w:tr>
                  <w:tr>
                    <w:trPr>
                      <w:trHeight w:val="409"/>
                    </w:trPr>
                    <w:tc>
                      <w:tcPr>
                        <w:tcW w:w="1570" w:type="dxa"/>
                      </w:tcPr>
                      <w:p>
                        <w:pPr>
                          <w:jc w:val="center"/>
                          <w:rPr>
                            <w:szCs w:val="24"/>
                            <w:lang w:eastAsia="lt-LT"/>
                          </w:rPr>
                        </w:pPr>
                        <w:r>
                          <w:rPr>
                            <w:szCs w:val="24"/>
                            <w:lang w:eastAsia="lt-LT"/>
                          </w:rPr>
                          <w:t>2022–2023</w:t>
                        </w:r>
                      </w:p>
                    </w:tc>
                    <w:tc>
                      <w:tcPr>
                        <w:tcW w:w="1799" w:type="dxa"/>
                      </w:tcPr>
                      <w:p>
                        <w:pPr>
                          <w:jc w:val="center"/>
                          <w:rPr>
                            <w:szCs w:val="24"/>
                            <w:lang w:eastAsia="lt-LT"/>
                          </w:rPr>
                        </w:pPr>
                        <w:r>
                          <w:rPr>
                            <w:szCs w:val="24"/>
                            <w:lang w:eastAsia="lt-LT"/>
                          </w:rPr>
                          <w:t>5906</w:t>
                        </w:r>
                      </w:p>
                    </w:tc>
                    <w:tc>
                      <w:tcPr>
                        <w:tcW w:w="1842" w:type="dxa"/>
                      </w:tcPr>
                      <w:p>
                        <w:pPr>
                          <w:jc w:val="center"/>
                          <w:rPr>
                            <w:szCs w:val="24"/>
                            <w:lang w:eastAsia="lt-LT"/>
                          </w:rPr>
                        </w:pPr>
                        <w:r>
                          <w:rPr>
                            <w:szCs w:val="24"/>
                            <w:lang w:eastAsia="lt-LT"/>
                          </w:rPr>
                          <w:t>476**</w:t>
                        </w:r>
                      </w:p>
                    </w:tc>
                    <w:tc>
                      <w:tcPr>
                        <w:tcW w:w="2268" w:type="dxa"/>
                      </w:tcPr>
                      <w:p>
                        <w:pPr>
                          <w:jc w:val="center"/>
                          <w:rPr>
                            <w:b/>
                            <w:szCs w:val="24"/>
                            <w:lang w:eastAsia="lt-LT"/>
                          </w:rPr>
                        </w:pPr>
                        <w:r>
                          <w:rPr>
                            <w:szCs w:val="24"/>
                            <w:lang w:eastAsia="lt-LT"/>
                          </w:rPr>
                          <w:t>393</w:t>
                        </w:r>
                      </w:p>
                    </w:tc>
                    <w:tc>
                      <w:tcPr>
                        <w:tcW w:w="2268" w:type="dxa"/>
                      </w:tcPr>
                      <w:p>
                        <w:pPr>
                          <w:jc w:val="center"/>
                          <w:rPr>
                            <w:b/>
                            <w:szCs w:val="24"/>
                            <w:lang w:eastAsia="lt-LT"/>
                          </w:rPr>
                        </w:pPr>
                        <w:r>
                          <w:rPr>
                            <w:szCs w:val="24"/>
                            <w:lang w:eastAsia="lt-LT"/>
                          </w:rPr>
                          <w:t>82,56</w:t>
                        </w:r>
                        <w:r>
                          <w:rPr>
                            <w:b/>
                            <w:szCs w:val="24"/>
                            <w:lang w:eastAsia="lt-LT"/>
                          </w:rPr>
                          <w:t xml:space="preserve"> %</w:t>
                        </w:r>
                      </w:p>
                    </w:tc>
                  </w:tr>
                </w:tbl>
                <w:p>
                  <w:pPr>
                    <w:rPr>
                      <w:rFonts w:eastAsia="Calibri"/>
                      <w:bCs/>
                      <w:i/>
                      <w:iCs/>
                      <w:sz w:val="18"/>
                      <w:szCs w:val="18"/>
                    </w:rPr>
                  </w:pPr>
                  <w:r>
                    <w:rPr>
                      <w:rFonts w:eastAsia="Calibri"/>
                      <w:bCs/>
                      <w:i/>
                      <w:iCs/>
                      <w:sz w:val="18"/>
                      <w:szCs w:val="18"/>
                    </w:rPr>
                    <w:t>SUP mokiniai švietimo pagalbos gavėjai (ŠPG)</w:t>
                  </w:r>
                </w:p>
                <w:p>
                  <w:pPr>
                    <w:spacing w:line="360" w:lineRule="auto"/>
                    <w:rPr>
                      <w:rFonts w:eastAsia="Calibri"/>
                      <w:b/>
                      <w:sz w:val="18"/>
                      <w:szCs w:val="18"/>
                    </w:rPr>
                  </w:pPr>
                  <w:r>
                    <w:rPr>
                      <w:rFonts w:eastAsia="Calibri"/>
                      <w:sz w:val="18"/>
                      <w:szCs w:val="18"/>
                    </w:rPr>
                    <w:t>** mokiniai, kurie turi vidutinius, didelius ir labai didelius specialiuosius ugdymosi poreikius.</w:t>
                  </w:r>
                </w:p>
              </w:sdtContent>
            </w:sdt>
            <w:sdt>
              <w:sdtPr>
                <w:alias w:val="4 p."/>
                <w:tag w:val="part_d25121cfeb544fb0a680428bec24fc42"/>
                <w:lock w:val="sdtLocked"/>
                <w:richText/>
              </w:sdtPr>
              <w:sdtContent>
                <w:p>
                  <w:pPr>
                    <w:tabs>
                      <w:tab w:val="left" w:pos="993"/>
                    </w:tabs>
                    <w:spacing w:line="276" w:lineRule="auto"/>
                    <w:ind w:left="-142" w:firstLine="646"/>
                    <w:rPr>
                      <w:szCs w:val="24"/>
                      <w:lang w:eastAsia="lt-LT"/>
                    </w:rPr>
                  </w:pPr>
                  <w:sdt>
                    <w:sdtPr>
                      <w:alias w:val="Numeris"/>
                      <w:tag w:val="nr_d25121cfeb544fb0a680428bec24fc42"/>
                      <w:lock w:val="sdtLocked"/>
                      <w:richText/>
                    </w:sdtPr>
                    <w:sdtContent>
                      <w:r>
                        <w:rPr>
                          <w:szCs w:val="24"/>
                          <w:lang w:eastAsia="lt-LT"/>
                        </w:rPr>
                        <w:t>4</w:t>
                      </w:r>
                    </w:sdtContent>
                  </w:sdt>
                  <w:r>
                    <w:rPr>
                      <w:szCs w:val="24"/>
                      <w:lang w:eastAsia="lt-LT"/>
                    </w:rPr>
                    <w:t>.</w:t>
                    <w:tab/>
                  </w:r>
                  <w:r>
                    <w:rPr>
                      <w:b/>
                      <w:szCs w:val="24"/>
                      <w:lang w:eastAsia="lt-LT"/>
                    </w:rPr>
                    <w:t>lentelė</w:t>
                  </w:r>
                  <w:r>
                    <w:rPr>
                      <w:szCs w:val="24"/>
                      <w:lang w:eastAsia="lt-LT"/>
                    </w:rPr>
                    <w:t>. Specialiosiose klasėse besimokančių SUP** (vidutinių, didelių ir labai didelių) vaikų / mokinių skaičius ir procentinė dalis (rugsėjo 1 d. duomenimis).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7"/>
                    <w:gridCol w:w="1789"/>
                    <w:gridCol w:w="1812"/>
                    <w:gridCol w:w="2240"/>
                    <w:gridCol w:w="2240"/>
                  </w:tblGrid>
                  <w:tr>
                    <w:tc>
                      <w:tcPr>
                        <w:tcW w:w="1570" w:type="dxa"/>
                      </w:tcPr>
                      <w:p>
                        <w:pPr>
                          <w:jc w:val="both"/>
                          <w:rPr>
                            <w:szCs w:val="24"/>
                            <w:lang w:eastAsia="lt-LT"/>
                          </w:rPr>
                        </w:pPr>
                        <w:r>
                          <w:rPr>
                            <w:szCs w:val="24"/>
                            <w:lang w:eastAsia="lt-LT"/>
                          </w:rPr>
                          <w:t>Mokslo metai</w:t>
                        </w:r>
                      </w:p>
                    </w:tc>
                    <w:tc>
                      <w:tcPr>
                        <w:tcW w:w="1799" w:type="dxa"/>
                      </w:tcPr>
                      <w:p>
                        <w:pPr>
                          <w:jc w:val="both"/>
                          <w:rPr>
                            <w:szCs w:val="24"/>
                            <w:lang w:eastAsia="lt-LT"/>
                          </w:rPr>
                        </w:pPr>
                        <w:r>
                          <w:rPr>
                            <w:szCs w:val="24"/>
                            <w:lang w:eastAsia="lt-LT"/>
                          </w:rPr>
                          <w:t>Bendras mokinių, besimokančių rajono mokyklose, skaičius</w:t>
                        </w:r>
                      </w:p>
                    </w:tc>
                    <w:tc>
                      <w:tcPr>
                        <w:tcW w:w="1842" w:type="dxa"/>
                      </w:tcPr>
                      <w:p>
                        <w:pPr>
                          <w:jc w:val="both"/>
                          <w:rPr>
                            <w:szCs w:val="24"/>
                            <w:lang w:eastAsia="lt-LT"/>
                          </w:rPr>
                        </w:pPr>
                        <w:r>
                          <w:rPr>
                            <w:szCs w:val="24"/>
                            <w:lang w:eastAsia="lt-LT"/>
                          </w:rPr>
                          <w:t>Mokinių skaičius, kuriems nustatyti SUP**</w:t>
                        </w:r>
                      </w:p>
                    </w:tc>
                    <w:tc>
                      <w:tcPr>
                        <w:tcW w:w="2268" w:type="dxa"/>
                      </w:tcPr>
                      <w:p>
                        <w:pPr>
                          <w:jc w:val="both"/>
                          <w:rPr>
                            <w:szCs w:val="24"/>
                            <w:lang w:eastAsia="lt-LT"/>
                          </w:rPr>
                        </w:pPr>
                        <w:r>
                          <w:rPr>
                            <w:szCs w:val="24"/>
                            <w:lang w:eastAsia="lt-LT"/>
                          </w:rPr>
                          <w:t>iš jų specialiosiose klasėse besimokančių SUP** bendras skaičius</w:t>
                        </w:r>
                      </w:p>
                    </w:tc>
                    <w:tc>
                      <w:tcPr>
                        <w:tcW w:w="2268" w:type="dxa"/>
                      </w:tcPr>
                      <w:p>
                        <w:pPr>
                          <w:jc w:val="both"/>
                          <w:rPr>
                            <w:szCs w:val="24"/>
                            <w:lang w:eastAsia="lt-LT"/>
                          </w:rPr>
                        </w:pPr>
                        <w:r>
                          <w:rPr>
                            <w:szCs w:val="24"/>
                            <w:lang w:eastAsia="lt-LT"/>
                          </w:rPr>
                          <w:t xml:space="preserve">specialiosiose klasėse besimokančių SUP** mokinių procentinė dalis </w:t>
                        </w:r>
                      </w:p>
                    </w:tc>
                  </w:tr>
                  <w:tr>
                    <w:trPr>
                      <w:trHeight w:val="362"/>
                    </w:trPr>
                    <w:tc>
                      <w:tcPr>
                        <w:tcW w:w="1570" w:type="dxa"/>
                      </w:tcPr>
                      <w:p>
                        <w:pPr>
                          <w:jc w:val="center"/>
                          <w:rPr>
                            <w:szCs w:val="24"/>
                            <w:lang w:eastAsia="lt-LT"/>
                          </w:rPr>
                        </w:pPr>
                        <w:r>
                          <w:rPr>
                            <w:szCs w:val="24"/>
                            <w:lang w:eastAsia="lt-LT"/>
                          </w:rPr>
                          <w:t>2021–2022</w:t>
                        </w:r>
                      </w:p>
                    </w:tc>
                    <w:tc>
                      <w:tcPr>
                        <w:tcW w:w="1799" w:type="dxa"/>
                      </w:tcPr>
                      <w:p>
                        <w:pPr>
                          <w:jc w:val="center"/>
                          <w:rPr>
                            <w:szCs w:val="24"/>
                            <w:lang w:eastAsia="lt-LT"/>
                          </w:rPr>
                        </w:pPr>
                        <w:r>
                          <w:rPr>
                            <w:szCs w:val="24"/>
                            <w:lang w:eastAsia="lt-LT"/>
                          </w:rPr>
                          <w:t>5929</w:t>
                        </w:r>
                      </w:p>
                    </w:tc>
                    <w:tc>
                      <w:tcPr>
                        <w:tcW w:w="1842" w:type="dxa"/>
                      </w:tcPr>
                      <w:p>
                        <w:pPr>
                          <w:jc w:val="center"/>
                          <w:rPr>
                            <w:szCs w:val="24"/>
                            <w:lang w:eastAsia="lt-LT"/>
                          </w:rPr>
                        </w:pPr>
                        <w:r>
                          <w:rPr>
                            <w:szCs w:val="24"/>
                          </w:rPr>
                          <w:t>457**</w:t>
                        </w:r>
                      </w:p>
                    </w:tc>
                    <w:tc>
                      <w:tcPr>
                        <w:tcW w:w="2268" w:type="dxa"/>
                      </w:tcPr>
                      <w:p>
                        <w:pPr>
                          <w:jc w:val="center"/>
                          <w:rPr>
                            <w:b/>
                            <w:sz w:val="20"/>
                          </w:rPr>
                        </w:pPr>
                        <w:r>
                          <w:rPr>
                            <w:szCs w:val="24"/>
                            <w:lang w:eastAsia="lt-LT"/>
                          </w:rPr>
                          <w:t>94</w:t>
                        </w:r>
                      </w:p>
                    </w:tc>
                    <w:tc>
                      <w:tcPr>
                        <w:tcW w:w="2268" w:type="dxa"/>
                      </w:tcPr>
                      <w:p>
                        <w:pPr>
                          <w:jc w:val="center"/>
                          <w:rPr>
                            <w:szCs w:val="24"/>
                            <w:lang w:eastAsia="lt-LT"/>
                          </w:rPr>
                        </w:pPr>
                        <w:r>
                          <w:rPr>
                            <w:szCs w:val="24"/>
                            <w:lang w:eastAsia="lt-LT"/>
                          </w:rPr>
                          <w:t xml:space="preserve">20,56 </w:t>
                        </w:r>
                        <w:r>
                          <w:rPr>
                            <w:b/>
                            <w:szCs w:val="24"/>
                            <w:lang w:eastAsia="lt-LT"/>
                          </w:rPr>
                          <w:t>%</w:t>
                        </w:r>
                      </w:p>
                    </w:tc>
                  </w:tr>
                  <w:tr>
                    <w:trPr>
                      <w:trHeight w:val="409"/>
                    </w:trPr>
                    <w:tc>
                      <w:tcPr>
                        <w:tcW w:w="1570" w:type="dxa"/>
                      </w:tcPr>
                      <w:p>
                        <w:pPr>
                          <w:jc w:val="center"/>
                          <w:rPr>
                            <w:szCs w:val="24"/>
                            <w:lang w:eastAsia="lt-LT"/>
                          </w:rPr>
                        </w:pPr>
                        <w:r>
                          <w:rPr>
                            <w:szCs w:val="24"/>
                            <w:lang w:eastAsia="lt-LT"/>
                          </w:rPr>
                          <w:t>2022–2023</w:t>
                        </w:r>
                      </w:p>
                    </w:tc>
                    <w:tc>
                      <w:tcPr>
                        <w:tcW w:w="1799" w:type="dxa"/>
                      </w:tcPr>
                      <w:p>
                        <w:pPr>
                          <w:jc w:val="center"/>
                          <w:rPr>
                            <w:szCs w:val="24"/>
                            <w:lang w:eastAsia="lt-LT"/>
                          </w:rPr>
                        </w:pPr>
                        <w:r>
                          <w:rPr>
                            <w:szCs w:val="24"/>
                            <w:lang w:eastAsia="lt-LT"/>
                          </w:rPr>
                          <w:t>5906</w:t>
                        </w:r>
                      </w:p>
                    </w:tc>
                    <w:tc>
                      <w:tcPr>
                        <w:tcW w:w="1842" w:type="dxa"/>
                      </w:tcPr>
                      <w:p>
                        <w:pPr>
                          <w:jc w:val="center"/>
                          <w:rPr>
                            <w:szCs w:val="24"/>
                            <w:lang w:eastAsia="lt-LT"/>
                          </w:rPr>
                        </w:pPr>
                        <w:r>
                          <w:rPr>
                            <w:szCs w:val="24"/>
                            <w:lang w:eastAsia="lt-LT"/>
                          </w:rPr>
                          <w:t>476**</w:t>
                        </w:r>
                      </w:p>
                    </w:tc>
                    <w:tc>
                      <w:tcPr>
                        <w:tcW w:w="2268" w:type="dxa"/>
                      </w:tcPr>
                      <w:p>
                        <w:pPr>
                          <w:jc w:val="center"/>
                          <w:rPr>
                            <w:szCs w:val="24"/>
                            <w:lang w:eastAsia="lt-LT"/>
                          </w:rPr>
                        </w:pPr>
                        <w:r>
                          <w:rPr>
                            <w:szCs w:val="24"/>
                            <w:lang w:eastAsia="lt-LT"/>
                          </w:rPr>
                          <w:t>83</w:t>
                        </w:r>
                      </w:p>
                    </w:tc>
                    <w:tc>
                      <w:tcPr>
                        <w:tcW w:w="2268" w:type="dxa"/>
                      </w:tcPr>
                      <w:p>
                        <w:pPr>
                          <w:jc w:val="center"/>
                          <w:rPr>
                            <w:szCs w:val="24"/>
                            <w:lang w:eastAsia="lt-LT"/>
                          </w:rPr>
                        </w:pPr>
                        <w:r>
                          <w:rPr>
                            <w:szCs w:val="24"/>
                            <w:lang w:eastAsia="lt-LT"/>
                          </w:rPr>
                          <w:t>17,43 %</w:t>
                        </w:r>
                      </w:p>
                    </w:tc>
                  </w:tr>
                </w:tbl>
                <w:p>
                  <w:pPr>
                    <w:rPr>
                      <w:rFonts w:eastAsia="Calibri"/>
                      <w:bCs/>
                      <w:i/>
                      <w:iCs/>
                      <w:sz w:val="18"/>
                      <w:szCs w:val="18"/>
                    </w:rPr>
                  </w:pPr>
                  <w:r>
                    <w:rPr>
                      <w:rFonts w:eastAsia="Calibri"/>
                      <w:bCs/>
                      <w:i/>
                      <w:iCs/>
                      <w:sz w:val="18"/>
                      <w:szCs w:val="18"/>
                    </w:rPr>
                    <w:t>SUP mokiniai švietimo pagalbos gavėjai (ŠPG)</w:t>
                  </w:r>
                </w:p>
                <w:p>
                  <w:pPr>
                    <w:spacing w:line="360" w:lineRule="auto"/>
                    <w:rPr>
                      <w:rFonts w:eastAsia="Calibri"/>
                      <w:sz w:val="18"/>
                      <w:szCs w:val="18"/>
                    </w:rPr>
                  </w:pPr>
                  <w:r>
                    <w:rPr>
                      <w:rFonts w:eastAsia="Calibri"/>
                      <w:sz w:val="18"/>
                      <w:szCs w:val="18"/>
                    </w:rPr>
                    <w:t>** mokiniai, kurie turi vidutinius, didelius ir labai didelius specialiuosius ugdymosi poreikius.</w:t>
                  </w:r>
                </w:p>
                <w:p>
                  <w:pPr>
                    <w:spacing w:line="360" w:lineRule="auto"/>
                    <w:rPr>
                      <w:rFonts w:eastAsia="Calibri"/>
                      <w:b/>
                      <w:sz w:val="18"/>
                      <w:szCs w:val="18"/>
                    </w:rPr>
                  </w:pPr>
                  <w:r>
                    <w:rPr>
                      <w:rFonts w:eastAsia="Calibri"/>
                      <w:sz w:val="18"/>
                      <w:szCs w:val="18"/>
                    </w:rPr>
                    <w:t xml:space="preserve">Pastaba:  į apskaitą neįtraukti SUP vaikai, kurie yra ugdomi Telšių lopšelyje-darželyje „Žemaitukas “.</w:t>
                  </w:r>
                </w:p>
                <w:p>
                  <w:pPr>
                    <w:tabs>
                      <w:tab w:val="left" w:pos="709"/>
                    </w:tabs>
                    <w:spacing w:line="276" w:lineRule="auto"/>
                    <w:ind w:firstLine="709"/>
                    <w:jc w:val="both"/>
                    <w:rPr>
                      <w:szCs w:val="24"/>
                      <w:lang w:eastAsia="lt-LT"/>
                    </w:rPr>
                  </w:pPr>
                  <w:r>
                    <w:rPr>
                      <w:szCs w:val="24"/>
                      <w:lang w:eastAsia="lt-LT"/>
                    </w:rPr>
                    <w:t>Galime teigti, kad Telšių rajone įtraukusis ugdymas jau yra pradėtas įgyvendinti ir įgyvendinamas santykinai sklandžiai ne vienerius metus.</w:t>
                  </w:r>
                </w:p>
              </w:sdtContent>
            </w:sdt>
            <w:sdt>
              <w:sdtPr>
                <w:alias w:val="5 p."/>
                <w:tag w:val="part_9699e3ff34dd4126a4ecceee9643bbe9"/>
                <w:lock w:val="sdtLocked"/>
                <w:richText/>
              </w:sdtPr>
              <w:sdtContent>
                <w:p>
                  <w:pPr>
                    <w:tabs>
                      <w:tab w:val="left" w:pos="709"/>
                    </w:tabs>
                    <w:spacing w:line="276" w:lineRule="auto"/>
                    <w:ind w:firstLine="709"/>
                    <w:jc w:val="both"/>
                    <w:rPr>
                      <w:szCs w:val="24"/>
                      <w:lang w:eastAsia="lt-LT"/>
                    </w:rPr>
                  </w:pPr>
                  <w:sdt>
                    <w:sdtPr>
                      <w:alias w:val="Numeris"/>
                      <w:tag w:val="nr_9699e3ff34dd4126a4ecceee9643bbe9"/>
                      <w:lock w:val="sdtLocked"/>
                      <w:richText/>
                    </w:sdtPr>
                    <w:sdtContent>
                      <w:r>
                        <w:rPr>
                          <w:b/>
                          <w:szCs w:val="24"/>
                          <w:lang w:eastAsia="lt-LT"/>
                        </w:rPr>
                        <w:t>5</w:t>
                      </w:r>
                    </w:sdtContent>
                  </w:sdt>
                  <w:r>
                    <w:rPr>
                      <w:b/>
                      <w:szCs w:val="24"/>
                      <w:lang w:eastAsia="lt-LT"/>
                    </w:rPr>
                    <w:t>. lentelė</w:t>
                  </w:r>
                  <w:r>
                    <w:rPr>
                      <w:szCs w:val="24"/>
                      <w:lang w:eastAsia="lt-LT"/>
                    </w:rPr>
                    <w:t>. SUP vaikų / mokinių pasiskirstymas ugdymo įstaigose pagal specialiųjų poreikių lygius (rugsėjo 1 d. duomenimis).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851"/>
                    <w:gridCol w:w="1559"/>
                    <w:gridCol w:w="1276"/>
                    <w:gridCol w:w="1275"/>
                    <w:gridCol w:w="1418"/>
                    <w:gridCol w:w="1276"/>
                    <w:gridCol w:w="1382"/>
                  </w:tblGrid>
                  <w:tr>
                    <w:tc>
                      <w:tcPr>
                        <w:tcW w:w="817" w:type="dxa"/>
                      </w:tcPr>
                      <w:p>
                        <w:pPr>
                          <w:tabs>
                            <w:tab w:val="left" w:pos="709"/>
                          </w:tabs>
                          <w:jc w:val="center"/>
                          <w:rPr>
                            <w:szCs w:val="24"/>
                            <w:lang w:eastAsia="lt-LT"/>
                          </w:rPr>
                        </w:pPr>
                        <w:r>
                          <w:rPr>
                            <w:szCs w:val="24"/>
                            <w:lang w:eastAsia="lt-LT"/>
                          </w:rPr>
                          <w:t>Metai</w:t>
                        </w:r>
                      </w:p>
                    </w:tc>
                    <w:tc>
                      <w:tcPr>
                        <w:tcW w:w="851" w:type="dxa"/>
                      </w:tcPr>
                      <w:p>
                        <w:pPr>
                          <w:tabs>
                            <w:tab w:val="left" w:pos="709"/>
                          </w:tabs>
                          <w:jc w:val="center"/>
                          <w:rPr>
                            <w:szCs w:val="24"/>
                            <w:lang w:eastAsia="lt-LT"/>
                          </w:rPr>
                        </w:pPr>
                        <w:r>
                          <w:rPr>
                            <w:szCs w:val="24"/>
                            <w:lang w:eastAsia="lt-LT"/>
                          </w:rPr>
                          <w:t>iš viso SUP</w:t>
                        </w:r>
                      </w:p>
                    </w:tc>
                    <w:tc>
                      <w:tcPr>
                        <w:tcW w:w="1559" w:type="dxa"/>
                      </w:tcPr>
                      <w:p>
                        <w:pPr>
                          <w:tabs>
                            <w:tab w:val="left" w:pos="709"/>
                          </w:tabs>
                          <w:jc w:val="center"/>
                          <w:rPr>
                            <w:szCs w:val="24"/>
                            <w:lang w:eastAsia="lt-LT"/>
                          </w:rPr>
                        </w:pPr>
                        <w:r>
                          <w:rPr>
                            <w:szCs w:val="24"/>
                            <w:lang w:eastAsia="lt-LT"/>
                          </w:rPr>
                          <w:t>Ugdomi</w:t>
                        </w:r>
                      </w:p>
                    </w:tc>
                    <w:tc>
                      <w:tcPr>
                        <w:tcW w:w="1276" w:type="dxa"/>
                      </w:tcPr>
                      <w:p>
                        <w:pPr>
                          <w:tabs>
                            <w:tab w:val="left" w:pos="709"/>
                          </w:tabs>
                          <w:jc w:val="center"/>
                          <w:rPr>
                            <w:szCs w:val="24"/>
                            <w:lang w:eastAsia="lt-LT"/>
                          </w:rPr>
                        </w:pPr>
                        <w:r>
                          <w:rPr>
                            <w:szCs w:val="24"/>
                            <w:lang w:eastAsia="lt-LT"/>
                          </w:rPr>
                          <w:t>iš viso SUP</w:t>
                        </w:r>
                      </w:p>
                    </w:tc>
                    <w:tc>
                      <w:tcPr>
                        <w:tcW w:w="1275" w:type="dxa"/>
                      </w:tcPr>
                      <w:p>
                        <w:pPr>
                          <w:tabs>
                            <w:tab w:val="left" w:pos="709"/>
                          </w:tabs>
                          <w:jc w:val="center"/>
                          <w:rPr>
                            <w:szCs w:val="24"/>
                            <w:lang w:eastAsia="lt-LT"/>
                          </w:rPr>
                        </w:pPr>
                        <w:r>
                          <w:rPr>
                            <w:szCs w:val="24"/>
                            <w:lang w:eastAsia="lt-LT"/>
                          </w:rPr>
                          <w:t>Nedideli</w:t>
                        </w:r>
                      </w:p>
                    </w:tc>
                    <w:tc>
                      <w:tcPr>
                        <w:tcW w:w="1418" w:type="dxa"/>
                      </w:tcPr>
                      <w:p>
                        <w:pPr>
                          <w:tabs>
                            <w:tab w:val="left" w:pos="709"/>
                          </w:tabs>
                          <w:jc w:val="center"/>
                          <w:rPr>
                            <w:szCs w:val="24"/>
                            <w:lang w:eastAsia="lt-LT"/>
                          </w:rPr>
                        </w:pPr>
                        <w:r>
                          <w:rPr>
                            <w:szCs w:val="24"/>
                            <w:lang w:eastAsia="lt-LT"/>
                          </w:rPr>
                          <w:t>Vidutiniai</w:t>
                        </w:r>
                      </w:p>
                    </w:tc>
                    <w:tc>
                      <w:tcPr>
                        <w:tcW w:w="1276" w:type="dxa"/>
                      </w:tcPr>
                      <w:p>
                        <w:pPr>
                          <w:tabs>
                            <w:tab w:val="left" w:pos="709"/>
                          </w:tabs>
                          <w:jc w:val="center"/>
                          <w:rPr>
                            <w:szCs w:val="24"/>
                            <w:lang w:eastAsia="lt-LT"/>
                          </w:rPr>
                        </w:pPr>
                        <w:r>
                          <w:rPr>
                            <w:szCs w:val="24"/>
                            <w:lang w:eastAsia="lt-LT"/>
                          </w:rPr>
                          <w:t>Dideli</w:t>
                        </w:r>
                      </w:p>
                    </w:tc>
                    <w:tc>
                      <w:tcPr>
                        <w:tcW w:w="1382" w:type="dxa"/>
                      </w:tcPr>
                      <w:p>
                        <w:pPr>
                          <w:tabs>
                            <w:tab w:val="left" w:pos="709"/>
                          </w:tabs>
                          <w:jc w:val="center"/>
                          <w:rPr>
                            <w:szCs w:val="24"/>
                            <w:lang w:eastAsia="lt-LT"/>
                          </w:rPr>
                        </w:pPr>
                        <w:r>
                          <w:rPr>
                            <w:szCs w:val="24"/>
                            <w:lang w:eastAsia="lt-LT"/>
                          </w:rPr>
                          <w:t>Labai dideli</w:t>
                        </w:r>
                      </w:p>
                    </w:tc>
                  </w:tr>
                  <w:tr>
                    <w:tc>
                      <w:tcPr>
                        <w:tcW w:w="817" w:type="dxa"/>
                        <w:vMerge w:val="restart"/>
                      </w:tcPr>
                      <w:p>
                        <w:pPr>
                          <w:tabs>
                            <w:tab w:val="left" w:pos="709"/>
                          </w:tabs>
                          <w:jc w:val="center"/>
                          <w:rPr>
                            <w:szCs w:val="24"/>
                            <w:lang w:eastAsia="lt-LT"/>
                          </w:rPr>
                        </w:pPr>
                      </w:p>
                      <w:p>
                        <w:pPr>
                          <w:tabs>
                            <w:tab w:val="left" w:pos="709"/>
                          </w:tabs>
                          <w:jc w:val="center"/>
                          <w:rPr>
                            <w:szCs w:val="24"/>
                            <w:lang w:eastAsia="lt-LT"/>
                          </w:rPr>
                        </w:pPr>
                      </w:p>
                      <w:p>
                        <w:pPr>
                          <w:tabs>
                            <w:tab w:val="left" w:pos="709"/>
                          </w:tabs>
                          <w:jc w:val="center"/>
                          <w:rPr>
                            <w:szCs w:val="24"/>
                            <w:lang w:eastAsia="lt-LT"/>
                          </w:rPr>
                        </w:pPr>
                        <w:r>
                          <w:rPr>
                            <w:szCs w:val="24"/>
                            <w:lang w:eastAsia="lt-LT"/>
                          </w:rPr>
                          <w:t>2021</w:t>
                        </w:r>
                      </w:p>
                      <w:p>
                        <w:pPr>
                          <w:tabs>
                            <w:tab w:val="left" w:pos="709"/>
                          </w:tabs>
                          <w:jc w:val="center"/>
                          <w:rPr>
                            <w:sz w:val="20"/>
                            <w:lang w:eastAsia="lt-LT"/>
                          </w:rPr>
                        </w:pPr>
                      </w:p>
                    </w:tc>
                    <w:tc>
                      <w:tcPr>
                        <w:tcW w:w="851" w:type="dxa"/>
                        <w:vMerge w:val="restart"/>
                      </w:tcPr>
                      <w:p>
                        <w:pPr>
                          <w:tabs>
                            <w:tab w:val="left" w:pos="709"/>
                          </w:tabs>
                          <w:jc w:val="center"/>
                          <w:rPr>
                            <w:szCs w:val="24"/>
                            <w:lang w:eastAsia="lt-LT"/>
                          </w:rPr>
                        </w:pPr>
                      </w:p>
                      <w:p>
                        <w:pPr>
                          <w:tabs>
                            <w:tab w:val="left" w:pos="709"/>
                          </w:tabs>
                          <w:jc w:val="center"/>
                          <w:rPr>
                            <w:szCs w:val="24"/>
                            <w:lang w:eastAsia="lt-LT"/>
                          </w:rPr>
                        </w:pPr>
                      </w:p>
                      <w:p>
                        <w:pPr>
                          <w:tabs>
                            <w:tab w:val="left" w:pos="709"/>
                          </w:tabs>
                          <w:jc w:val="center"/>
                          <w:rPr>
                            <w:szCs w:val="24"/>
                            <w:lang w:eastAsia="lt-LT"/>
                          </w:rPr>
                        </w:pPr>
                        <w:r>
                          <w:rPr>
                            <w:szCs w:val="24"/>
                            <w:lang w:eastAsia="lt-LT"/>
                          </w:rPr>
                          <w:t>1201</w:t>
                        </w:r>
                      </w:p>
                    </w:tc>
                    <w:tc>
                      <w:tcPr>
                        <w:tcW w:w="1559" w:type="dxa"/>
                      </w:tcPr>
                      <w:p>
                        <w:pPr>
                          <w:tabs>
                            <w:tab w:val="left" w:pos="709"/>
                          </w:tabs>
                          <w:jc w:val="center"/>
                          <w:rPr>
                            <w:szCs w:val="24"/>
                            <w:lang w:eastAsia="lt-LT"/>
                          </w:rPr>
                        </w:pPr>
                        <w:r>
                          <w:rPr>
                            <w:szCs w:val="24"/>
                            <w:lang w:eastAsia="lt-LT"/>
                          </w:rPr>
                          <w:t xml:space="preserve">Integruotai bendrose  klasėse</w:t>
                        </w:r>
                      </w:p>
                    </w:tc>
                    <w:tc>
                      <w:tcPr>
                        <w:tcW w:w="1276" w:type="dxa"/>
                      </w:tcPr>
                      <w:p>
                        <w:pPr>
                          <w:tabs>
                            <w:tab w:val="left" w:pos="709"/>
                          </w:tabs>
                          <w:jc w:val="center"/>
                          <w:rPr>
                            <w:szCs w:val="24"/>
                            <w:lang w:eastAsia="lt-LT"/>
                          </w:rPr>
                        </w:pPr>
                        <w:r>
                          <w:rPr>
                            <w:szCs w:val="24"/>
                            <w:lang w:eastAsia="lt-LT"/>
                          </w:rPr>
                          <w:t>1107</w:t>
                        </w:r>
                      </w:p>
                    </w:tc>
                    <w:tc>
                      <w:tcPr>
                        <w:tcW w:w="1275" w:type="dxa"/>
                      </w:tcPr>
                      <w:p>
                        <w:pPr>
                          <w:tabs>
                            <w:tab w:val="left" w:pos="709"/>
                          </w:tabs>
                          <w:jc w:val="center"/>
                          <w:rPr>
                            <w:szCs w:val="24"/>
                            <w:lang w:eastAsia="lt-LT"/>
                          </w:rPr>
                        </w:pPr>
                        <w:r>
                          <w:rPr>
                            <w:szCs w:val="24"/>
                            <w:lang w:eastAsia="lt-LT"/>
                          </w:rPr>
                          <w:t>776</w:t>
                        </w:r>
                      </w:p>
                    </w:tc>
                    <w:tc>
                      <w:tcPr>
                        <w:tcW w:w="1418" w:type="dxa"/>
                      </w:tcPr>
                      <w:p>
                        <w:pPr>
                          <w:tabs>
                            <w:tab w:val="left" w:pos="709"/>
                          </w:tabs>
                          <w:jc w:val="center"/>
                          <w:rPr>
                            <w:szCs w:val="24"/>
                            <w:lang w:eastAsia="lt-LT"/>
                          </w:rPr>
                        </w:pPr>
                        <w:r>
                          <w:rPr>
                            <w:szCs w:val="24"/>
                            <w:lang w:eastAsia="lt-LT"/>
                          </w:rPr>
                          <w:t>270</w:t>
                        </w:r>
                      </w:p>
                    </w:tc>
                    <w:tc>
                      <w:tcPr>
                        <w:tcW w:w="1276" w:type="dxa"/>
                      </w:tcPr>
                      <w:p>
                        <w:pPr>
                          <w:tabs>
                            <w:tab w:val="left" w:pos="709"/>
                          </w:tabs>
                          <w:jc w:val="center"/>
                          <w:rPr>
                            <w:szCs w:val="24"/>
                            <w:lang w:eastAsia="lt-LT"/>
                          </w:rPr>
                        </w:pPr>
                        <w:r>
                          <w:rPr>
                            <w:szCs w:val="24"/>
                            <w:lang w:eastAsia="lt-LT"/>
                          </w:rPr>
                          <w:t>61</w:t>
                        </w:r>
                      </w:p>
                    </w:tc>
                    <w:tc>
                      <w:tcPr>
                        <w:tcW w:w="1382" w:type="dxa"/>
                      </w:tcPr>
                      <w:p>
                        <w:pPr>
                          <w:tabs>
                            <w:tab w:val="left" w:pos="709"/>
                          </w:tabs>
                          <w:jc w:val="center"/>
                          <w:rPr>
                            <w:szCs w:val="24"/>
                            <w:lang w:eastAsia="lt-LT"/>
                          </w:rPr>
                        </w:pPr>
                        <w:r>
                          <w:rPr>
                            <w:szCs w:val="24"/>
                            <w:lang w:eastAsia="lt-LT"/>
                          </w:rPr>
                          <w:t>0</w:t>
                        </w:r>
                      </w:p>
                    </w:tc>
                  </w:tr>
                  <w:tr>
                    <w:tc>
                      <w:tcPr>
                        <w:tcW w:w="817" w:type="dxa"/>
                        <w:vMerge/>
                      </w:tcPr>
                      <w:p>
                        <w:pPr>
                          <w:tabs>
                            <w:tab w:val="left" w:pos="709"/>
                          </w:tabs>
                          <w:jc w:val="center"/>
                          <w:rPr>
                            <w:szCs w:val="24"/>
                            <w:lang w:eastAsia="lt-LT"/>
                          </w:rPr>
                        </w:pPr>
                      </w:p>
                    </w:tc>
                    <w:tc>
                      <w:tcPr>
                        <w:tcW w:w="851" w:type="dxa"/>
                        <w:vMerge/>
                      </w:tcPr>
                      <w:p>
                        <w:pPr>
                          <w:tabs>
                            <w:tab w:val="left" w:pos="709"/>
                          </w:tabs>
                          <w:jc w:val="center"/>
                          <w:rPr>
                            <w:szCs w:val="24"/>
                            <w:lang w:eastAsia="lt-LT"/>
                          </w:rPr>
                        </w:pPr>
                      </w:p>
                    </w:tc>
                    <w:tc>
                      <w:tcPr>
                        <w:tcW w:w="1559" w:type="dxa"/>
                      </w:tcPr>
                      <w:p>
                        <w:pPr>
                          <w:tabs>
                            <w:tab w:val="left" w:pos="709"/>
                          </w:tabs>
                          <w:jc w:val="center"/>
                          <w:rPr>
                            <w:szCs w:val="24"/>
                            <w:lang w:eastAsia="lt-LT"/>
                          </w:rPr>
                        </w:pPr>
                        <w:r>
                          <w:rPr>
                            <w:szCs w:val="24"/>
                            <w:lang w:eastAsia="lt-LT"/>
                          </w:rPr>
                          <w:t>specialiosiose klasėse</w:t>
                        </w:r>
                      </w:p>
                    </w:tc>
                    <w:tc>
                      <w:tcPr>
                        <w:tcW w:w="1276" w:type="dxa"/>
                      </w:tcPr>
                      <w:p>
                        <w:pPr>
                          <w:tabs>
                            <w:tab w:val="left" w:pos="709"/>
                          </w:tabs>
                          <w:jc w:val="center"/>
                          <w:rPr>
                            <w:szCs w:val="24"/>
                            <w:lang w:eastAsia="lt-LT"/>
                          </w:rPr>
                        </w:pPr>
                        <w:r>
                          <w:rPr>
                            <w:szCs w:val="24"/>
                            <w:lang w:eastAsia="lt-LT"/>
                          </w:rPr>
                          <w:t>94</w:t>
                        </w:r>
                      </w:p>
                    </w:tc>
                    <w:tc>
                      <w:tcPr>
                        <w:tcW w:w="1275" w:type="dxa"/>
                      </w:tcPr>
                      <w:p>
                        <w:pPr>
                          <w:tabs>
                            <w:tab w:val="left" w:pos="709"/>
                          </w:tabs>
                          <w:jc w:val="center"/>
                          <w:rPr>
                            <w:szCs w:val="24"/>
                            <w:lang w:eastAsia="lt-LT"/>
                          </w:rPr>
                        </w:pPr>
                        <w:r>
                          <w:rPr>
                            <w:szCs w:val="24"/>
                            <w:lang w:eastAsia="lt-LT"/>
                          </w:rPr>
                          <w:t>0</w:t>
                        </w:r>
                      </w:p>
                    </w:tc>
                    <w:tc>
                      <w:tcPr>
                        <w:tcW w:w="1418" w:type="dxa"/>
                      </w:tcPr>
                      <w:p>
                        <w:pPr>
                          <w:tabs>
                            <w:tab w:val="left" w:pos="709"/>
                          </w:tabs>
                          <w:jc w:val="center"/>
                          <w:rPr>
                            <w:szCs w:val="24"/>
                            <w:lang w:eastAsia="lt-LT"/>
                          </w:rPr>
                        </w:pPr>
                        <w:r>
                          <w:rPr>
                            <w:szCs w:val="24"/>
                            <w:lang w:eastAsia="lt-LT"/>
                          </w:rPr>
                          <w:t>0</w:t>
                        </w:r>
                      </w:p>
                    </w:tc>
                    <w:tc>
                      <w:tcPr>
                        <w:tcW w:w="1276" w:type="dxa"/>
                      </w:tcPr>
                      <w:p>
                        <w:pPr>
                          <w:tabs>
                            <w:tab w:val="left" w:pos="709"/>
                          </w:tabs>
                          <w:jc w:val="center"/>
                          <w:rPr>
                            <w:szCs w:val="24"/>
                            <w:lang w:eastAsia="lt-LT"/>
                          </w:rPr>
                        </w:pPr>
                        <w:r>
                          <w:rPr>
                            <w:szCs w:val="24"/>
                            <w:lang w:eastAsia="lt-LT"/>
                          </w:rPr>
                          <w:t>85</w:t>
                        </w:r>
                      </w:p>
                    </w:tc>
                    <w:tc>
                      <w:tcPr>
                        <w:tcW w:w="1382" w:type="dxa"/>
                      </w:tcPr>
                      <w:p>
                        <w:pPr>
                          <w:tabs>
                            <w:tab w:val="left" w:pos="709"/>
                          </w:tabs>
                          <w:jc w:val="center"/>
                          <w:rPr>
                            <w:szCs w:val="24"/>
                            <w:lang w:eastAsia="lt-LT"/>
                          </w:rPr>
                        </w:pPr>
                        <w:r>
                          <w:rPr>
                            <w:szCs w:val="24"/>
                            <w:lang w:eastAsia="lt-LT"/>
                          </w:rPr>
                          <w:t>9</w:t>
                        </w:r>
                      </w:p>
                    </w:tc>
                  </w:tr>
                  <w:tr>
                    <w:tc>
                      <w:tcPr>
                        <w:tcW w:w="817" w:type="dxa"/>
                        <w:vMerge w:val="restart"/>
                      </w:tcPr>
                      <w:p>
                        <w:pPr>
                          <w:tabs>
                            <w:tab w:val="left" w:pos="709"/>
                          </w:tabs>
                          <w:jc w:val="center"/>
                          <w:rPr>
                            <w:szCs w:val="24"/>
                            <w:lang w:eastAsia="lt-LT"/>
                          </w:rPr>
                        </w:pPr>
                      </w:p>
                      <w:p>
                        <w:pPr>
                          <w:tabs>
                            <w:tab w:val="left" w:pos="709"/>
                          </w:tabs>
                          <w:jc w:val="center"/>
                          <w:rPr>
                            <w:szCs w:val="24"/>
                            <w:lang w:eastAsia="lt-LT"/>
                          </w:rPr>
                        </w:pPr>
                      </w:p>
                      <w:p>
                        <w:pPr>
                          <w:tabs>
                            <w:tab w:val="left" w:pos="709"/>
                          </w:tabs>
                          <w:jc w:val="center"/>
                          <w:rPr>
                            <w:szCs w:val="24"/>
                            <w:lang w:eastAsia="lt-LT"/>
                          </w:rPr>
                        </w:pPr>
                        <w:r>
                          <w:rPr>
                            <w:szCs w:val="24"/>
                            <w:lang w:eastAsia="lt-LT"/>
                          </w:rPr>
                          <w:t>2022</w:t>
                        </w:r>
                      </w:p>
                      <w:p>
                        <w:pPr>
                          <w:tabs>
                            <w:tab w:val="left" w:pos="709"/>
                          </w:tabs>
                          <w:jc w:val="center"/>
                          <w:rPr>
                            <w:szCs w:val="24"/>
                            <w:lang w:eastAsia="lt-LT"/>
                          </w:rPr>
                        </w:pPr>
                      </w:p>
                    </w:tc>
                    <w:tc>
                      <w:tcPr>
                        <w:tcW w:w="851" w:type="dxa"/>
                        <w:vMerge w:val="restart"/>
                      </w:tcPr>
                      <w:p>
                        <w:pPr>
                          <w:tabs>
                            <w:tab w:val="left" w:pos="709"/>
                          </w:tabs>
                          <w:jc w:val="center"/>
                          <w:rPr>
                            <w:szCs w:val="24"/>
                            <w:lang w:eastAsia="lt-LT"/>
                          </w:rPr>
                        </w:pPr>
                      </w:p>
                      <w:p>
                        <w:pPr>
                          <w:tabs>
                            <w:tab w:val="left" w:pos="709"/>
                          </w:tabs>
                          <w:jc w:val="center"/>
                          <w:rPr>
                            <w:szCs w:val="24"/>
                            <w:lang w:eastAsia="lt-LT"/>
                          </w:rPr>
                        </w:pPr>
                      </w:p>
                      <w:p>
                        <w:pPr>
                          <w:tabs>
                            <w:tab w:val="left" w:pos="709"/>
                          </w:tabs>
                          <w:jc w:val="center"/>
                          <w:rPr>
                            <w:szCs w:val="24"/>
                            <w:lang w:eastAsia="lt-LT"/>
                          </w:rPr>
                        </w:pPr>
                        <w:r>
                          <w:rPr>
                            <w:szCs w:val="24"/>
                            <w:lang w:eastAsia="lt-LT"/>
                          </w:rPr>
                          <w:t>1199</w:t>
                        </w:r>
                      </w:p>
                    </w:tc>
                    <w:tc>
                      <w:tcPr>
                        <w:tcW w:w="1559" w:type="dxa"/>
                      </w:tcPr>
                      <w:p>
                        <w:pPr>
                          <w:tabs>
                            <w:tab w:val="left" w:pos="709"/>
                          </w:tabs>
                          <w:jc w:val="center"/>
                          <w:rPr>
                            <w:szCs w:val="24"/>
                            <w:lang w:eastAsia="lt-LT"/>
                          </w:rPr>
                        </w:pPr>
                        <w:r>
                          <w:rPr>
                            <w:szCs w:val="24"/>
                            <w:lang w:eastAsia="lt-LT"/>
                          </w:rPr>
                          <w:t xml:space="preserve">Integruotai bendrose  klasėse</w:t>
                        </w:r>
                      </w:p>
                    </w:tc>
                    <w:tc>
                      <w:tcPr>
                        <w:tcW w:w="1276" w:type="dxa"/>
                      </w:tcPr>
                      <w:p>
                        <w:pPr>
                          <w:jc w:val="center"/>
                          <w:rPr>
                            <w:szCs w:val="24"/>
                          </w:rPr>
                        </w:pPr>
                        <w:r>
                          <w:rPr>
                            <w:szCs w:val="24"/>
                          </w:rPr>
                          <w:t>1116</w:t>
                        </w:r>
                      </w:p>
                    </w:tc>
                    <w:tc>
                      <w:tcPr>
                        <w:tcW w:w="1275" w:type="dxa"/>
                      </w:tcPr>
                      <w:p>
                        <w:pPr>
                          <w:jc w:val="center"/>
                          <w:rPr>
                            <w:szCs w:val="24"/>
                          </w:rPr>
                        </w:pPr>
                        <w:r>
                          <w:rPr>
                            <w:szCs w:val="24"/>
                          </w:rPr>
                          <w:t>737</w:t>
                        </w:r>
                      </w:p>
                    </w:tc>
                    <w:tc>
                      <w:tcPr>
                        <w:tcW w:w="1418" w:type="dxa"/>
                      </w:tcPr>
                      <w:p>
                        <w:pPr>
                          <w:jc w:val="center"/>
                          <w:rPr>
                            <w:szCs w:val="24"/>
                          </w:rPr>
                        </w:pPr>
                        <w:r>
                          <w:rPr>
                            <w:szCs w:val="24"/>
                          </w:rPr>
                          <w:t>281</w:t>
                        </w:r>
                      </w:p>
                    </w:tc>
                    <w:tc>
                      <w:tcPr>
                        <w:tcW w:w="1276" w:type="dxa"/>
                      </w:tcPr>
                      <w:p>
                        <w:pPr>
                          <w:jc w:val="center"/>
                          <w:rPr>
                            <w:szCs w:val="24"/>
                          </w:rPr>
                        </w:pPr>
                        <w:r>
                          <w:rPr>
                            <w:szCs w:val="24"/>
                          </w:rPr>
                          <w:t>96</w:t>
                        </w:r>
                      </w:p>
                    </w:tc>
                    <w:tc>
                      <w:tcPr>
                        <w:tcW w:w="1382" w:type="dxa"/>
                      </w:tcPr>
                      <w:p>
                        <w:pPr>
                          <w:jc w:val="center"/>
                          <w:rPr>
                            <w:szCs w:val="24"/>
                          </w:rPr>
                        </w:pPr>
                        <w:r>
                          <w:rPr>
                            <w:szCs w:val="24"/>
                          </w:rPr>
                          <w:t>2</w:t>
                        </w:r>
                      </w:p>
                    </w:tc>
                  </w:tr>
                  <w:tr>
                    <w:tc>
                      <w:tcPr>
                        <w:tcW w:w="817" w:type="dxa"/>
                        <w:vMerge/>
                      </w:tcPr>
                      <w:p>
                        <w:pPr>
                          <w:tabs>
                            <w:tab w:val="left" w:pos="709"/>
                          </w:tabs>
                          <w:jc w:val="center"/>
                          <w:rPr>
                            <w:szCs w:val="24"/>
                            <w:lang w:eastAsia="lt-LT"/>
                          </w:rPr>
                        </w:pPr>
                      </w:p>
                    </w:tc>
                    <w:tc>
                      <w:tcPr>
                        <w:tcW w:w="851" w:type="dxa"/>
                        <w:vMerge/>
                      </w:tcPr>
                      <w:p>
                        <w:pPr>
                          <w:tabs>
                            <w:tab w:val="left" w:pos="709"/>
                          </w:tabs>
                          <w:jc w:val="center"/>
                          <w:rPr>
                            <w:szCs w:val="24"/>
                            <w:lang w:eastAsia="lt-LT"/>
                          </w:rPr>
                        </w:pPr>
                      </w:p>
                    </w:tc>
                    <w:tc>
                      <w:tcPr>
                        <w:tcW w:w="1559" w:type="dxa"/>
                      </w:tcPr>
                      <w:p>
                        <w:pPr>
                          <w:tabs>
                            <w:tab w:val="left" w:pos="709"/>
                          </w:tabs>
                          <w:jc w:val="center"/>
                          <w:rPr>
                            <w:szCs w:val="24"/>
                            <w:lang w:eastAsia="lt-LT"/>
                          </w:rPr>
                        </w:pPr>
                        <w:r>
                          <w:rPr>
                            <w:szCs w:val="24"/>
                            <w:lang w:eastAsia="lt-LT"/>
                          </w:rPr>
                          <w:t>specialiosiose klasėse</w:t>
                        </w:r>
                      </w:p>
                    </w:tc>
                    <w:tc>
                      <w:tcPr>
                        <w:tcW w:w="1276" w:type="dxa"/>
                      </w:tcPr>
                      <w:p>
                        <w:pPr>
                          <w:jc w:val="center"/>
                          <w:rPr>
                            <w:szCs w:val="24"/>
                          </w:rPr>
                        </w:pPr>
                        <w:r>
                          <w:rPr>
                            <w:szCs w:val="24"/>
                          </w:rPr>
                          <w:t>83</w:t>
                        </w:r>
                      </w:p>
                    </w:tc>
                    <w:tc>
                      <w:tcPr>
                        <w:tcW w:w="1275" w:type="dxa"/>
                      </w:tcPr>
                      <w:p>
                        <w:pPr>
                          <w:jc w:val="center"/>
                          <w:rPr>
                            <w:szCs w:val="24"/>
                          </w:rPr>
                        </w:pPr>
                        <w:r>
                          <w:rPr>
                            <w:szCs w:val="24"/>
                          </w:rPr>
                          <w:t>0</w:t>
                        </w:r>
                      </w:p>
                    </w:tc>
                    <w:tc>
                      <w:tcPr>
                        <w:tcW w:w="1418" w:type="dxa"/>
                      </w:tcPr>
                      <w:p>
                        <w:pPr>
                          <w:jc w:val="center"/>
                          <w:rPr>
                            <w:szCs w:val="24"/>
                          </w:rPr>
                        </w:pPr>
                        <w:r>
                          <w:rPr>
                            <w:szCs w:val="24"/>
                          </w:rPr>
                          <w:t>0</w:t>
                        </w:r>
                      </w:p>
                    </w:tc>
                    <w:tc>
                      <w:tcPr>
                        <w:tcW w:w="1276" w:type="dxa"/>
                      </w:tcPr>
                      <w:p>
                        <w:pPr>
                          <w:jc w:val="center"/>
                          <w:rPr>
                            <w:szCs w:val="24"/>
                          </w:rPr>
                        </w:pPr>
                        <w:r>
                          <w:rPr>
                            <w:szCs w:val="24"/>
                          </w:rPr>
                          <w:t>72</w:t>
                        </w:r>
                      </w:p>
                    </w:tc>
                    <w:tc>
                      <w:tcPr>
                        <w:tcW w:w="1382" w:type="dxa"/>
                      </w:tcPr>
                      <w:p>
                        <w:pPr>
                          <w:jc w:val="center"/>
                          <w:rPr>
                            <w:szCs w:val="24"/>
                          </w:rPr>
                        </w:pPr>
                        <w:r>
                          <w:rPr>
                            <w:szCs w:val="24"/>
                          </w:rPr>
                          <w:t>11</w:t>
                        </w:r>
                      </w:p>
                    </w:tc>
                  </w:tr>
                </w:tbl>
                <w:p>
                  <w:pPr>
                    <w:spacing w:line="276" w:lineRule="auto"/>
                    <w:ind w:firstLine="567"/>
                    <w:jc w:val="both"/>
                    <w:rPr>
                      <w:szCs w:val="24"/>
                      <w:lang w:eastAsia="lt-LT"/>
                    </w:rPr>
                  </w:pPr>
                  <w:r>
                    <w:rPr>
                      <w:szCs w:val="24"/>
                      <w:lang w:eastAsia="lt-LT"/>
                    </w:rPr>
                    <w:t>Mokinio specialiųjų ugdymosi poreikių (SUP) pirminį įvertinimą atlieka mokyklų Vaiko gerovės komisija, toliau, mokinio tėvams sutikus, mokinio specialiuosius ugdymosi poreikius pedagoginiu, psichologiniu, socialiniu pedagoginiu aspektais įvertina ir specialųjį ugdymąsi skiria ir / ar švietimo pagalbą mokiniui rekomenduoja Pedagoginė psichologinė tarnyba (toliau – PPT). Atskirais atvejais, atsižvelgdamas į Mokyklos vaiko gerovės komisijos siūlymą, švietimo pagalbą mokiniui numato mokyklos vadovas (toliau – Mokykla) su tėvų (globėjų, rūpintojų) sutikimu švietimo ir mokslo ministro nustatyta tvarka.</w:t>
                  </w:r>
                </w:p>
                <w:p>
                  <w:pPr>
                    <w:spacing w:line="276" w:lineRule="auto"/>
                    <w:ind w:firstLine="567"/>
                    <w:jc w:val="both"/>
                    <w:rPr>
                      <w:szCs w:val="24"/>
                      <w:lang w:eastAsia="lt-LT"/>
                    </w:rPr>
                  </w:pPr>
                  <w:r>
                    <w:rPr>
                      <w:szCs w:val="24"/>
                      <w:lang w:eastAsia="lt-LT"/>
                    </w:rPr>
                    <w:t>2022</w:t>
                  </w:r>
                  <w:r>
                    <w:rPr>
                      <w:sz w:val="20"/>
                      <w:lang w:eastAsia="lt-LT"/>
                    </w:rPr>
                    <w:t>–</w:t>
                  </w:r>
                  <w:r>
                    <w:rPr>
                      <w:szCs w:val="24"/>
                      <w:lang w:eastAsia="lt-LT"/>
                    </w:rPr>
                    <w:t xml:space="preserve">2023 m. m. rajone mokosi 1199 SUP vaikai, iš jų Pedagoginė psichologinė tarnyba skyrė ir Mokykla  rekomendavo:</w:t>
                  </w:r>
                </w:p>
                <w:p>
                  <w:pPr>
                    <w:spacing w:line="276" w:lineRule="auto"/>
                    <w:ind w:firstLine="850"/>
                    <w:jc w:val="both"/>
                    <w:rPr>
                      <w:szCs w:val="24"/>
                      <w:lang w:eastAsia="lt-LT"/>
                    </w:rPr>
                  </w:pPr>
                  <w:r>
                    <w:rPr>
                      <w:rFonts w:ascii="Symbol" w:hAnsi="Symbol"/>
                      <w:szCs w:val="24"/>
                      <w:lang w:eastAsia="lt-LT"/>
                    </w:rPr>
                    <w:t></w:t>
                    <w:tab/>
                  </w:r>
                  <w:r>
                    <w:rPr>
                      <w:szCs w:val="24"/>
                      <w:lang w:eastAsia="lt-LT"/>
                    </w:rPr>
                    <w:t>logopedo pagalbą (PPT) 349 vaikams, iš jų logopedo pagalbą gauna 283, negauna 66. Pagal Mokyklų VGK pirminį SUP vertinimą, logopedo pagalba reikalinga 725 vaikams. Iš viso logopedo pagalbos reikia 1074 vaikams;</w:t>
                  </w:r>
                </w:p>
                <w:p>
                  <w:pPr>
                    <w:tabs>
                      <w:tab w:val="left" w:pos="567"/>
                    </w:tabs>
                    <w:spacing w:line="276" w:lineRule="auto"/>
                    <w:ind w:firstLine="850"/>
                    <w:jc w:val="both"/>
                    <w:rPr>
                      <w:szCs w:val="24"/>
                      <w:lang w:eastAsia="lt-LT"/>
                    </w:rPr>
                  </w:pPr>
                  <w:r>
                    <w:rPr>
                      <w:rFonts w:ascii="Symbol" w:hAnsi="Symbol"/>
                      <w:szCs w:val="24"/>
                      <w:lang w:eastAsia="lt-LT"/>
                    </w:rPr>
                    <w:t></w:t>
                    <w:tab/>
                  </w:r>
                  <w:r>
                    <w:rPr>
                      <w:szCs w:val="24"/>
                      <w:lang w:eastAsia="lt-LT"/>
                    </w:rPr>
                    <w:t>specialiojo pedagogo pagalbą (PPT) 445 vaikams, ją gauna 394 vaikai, pagalbos negauna 51 vaikas;</w:t>
                  </w:r>
                </w:p>
                <w:p>
                  <w:pPr>
                    <w:spacing w:line="276" w:lineRule="auto"/>
                    <w:ind w:firstLine="850"/>
                    <w:jc w:val="both"/>
                    <w:rPr>
                      <w:szCs w:val="24"/>
                      <w:lang w:eastAsia="lt-LT"/>
                    </w:rPr>
                  </w:pPr>
                  <w:r>
                    <w:rPr>
                      <w:rFonts w:ascii="Symbol" w:hAnsi="Symbol"/>
                      <w:szCs w:val="24"/>
                      <w:lang w:eastAsia="lt-LT"/>
                    </w:rPr>
                    <w:t></w:t>
                    <w:tab/>
                  </w:r>
                  <w:r>
                    <w:rPr>
                      <w:szCs w:val="24"/>
                      <w:lang w:eastAsia="lt-LT"/>
                    </w:rPr>
                    <w:t>specialioji (mokytojo padėjėjo) pagalba (PPT) 263 vaikams, pagalbą teikiama 225 vaikams, pagalbos negauna 38 vaikai. Mokyklų VGK pirminiu vertinimu, mokytojo padėjėjo pagalbos reiktų papildomai dar 63 vaikams;</w:t>
                  </w:r>
                </w:p>
                <w:p>
                  <w:pPr>
                    <w:spacing w:line="276" w:lineRule="auto"/>
                    <w:ind w:firstLine="850"/>
                    <w:jc w:val="both"/>
                    <w:rPr>
                      <w:szCs w:val="24"/>
                      <w:lang w:eastAsia="lt-LT"/>
                    </w:rPr>
                  </w:pPr>
                  <w:r>
                    <w:rPr>
                      <w:rFonts w:ascii="Symbol" w:hAnsi="Symbol"/>
                      <w:szCs w:val="24"/>
                      <w:lang w:eastAsia="lt-LT"/>
                    </w:rPr>
                    <w:t></w:t>
                    <w:tab/>
                  </w:r>
                  <w:r>
                    <w:rPr>
                      <w:szCs w:val="24"/>
                      <w:lang w:eastAsia="lt-LT"/>
                    </w:rPr>
                    <w:t xml:space="preserve"> nepakankamai tenkinamas psichologinės pagalbos poreikis (trūksta žmogiškųjų resursų);</w:t>
                  </w:r>
                </w:p>
                <w:p>
                  <w:pPr>
                    <w:spacing w:line="276" w:lineRule="auto"/>
                    <w:ind w:firstLine="850"/>
                    <w:jc w:val="both"/>
                    <w:rPr>
                      <w:szCs w:val="24"/>
                      <w:lang w:eastAsia="lt-LT"/>
                    </w:rPr>
                  </w:pPr>
                  <w:r>
                    <w:rPr>
                      <w:rFonts w:ascii="Symbol" w:hAnsi="Symbol"/>
                      <w:szCs w:val="24"/>
                      <w:lang w:eastAsia="lt-LT"/>
                    </w:rPr>
                    <w:t></w:t>
                    <w:tab/>
                  </w:r>
                  <w:r>
                    <w:rPr>
                      <w:szCs w:val="24"/>
                      <w:lang w:eastAsia="lt-LT"/>
                    </w:rPr>
                    <w:t>nepakankamai tenkinamas socialinės pedagoginės pagalbos poreikis (esant dideliam SUP vaikų skaičiui, sparčiai kintant visuomenės emociniam, socialiniam fonui (stresas, neigiami socialiniai veiksniai, perteklinės informacijos srautai internetinėje erdvėje ir panašiai) intensyvios socialinės pedagoginės pagalbos poreikis didėja).</w:t>
                  </w:r>
                </w:p>
                <w:p>
                  <w:pPr>
                    <w:spacing w:line="276" w:lineRule="auto"/>
                    <w:ind w:firstLine="567"/>
                    <w:jc w:val="both"/>
                    <w:rPr>
                      <w:szCs w:val="24"/>
                      <w:lang w:eastAsia="lt-LT"/>
                    </w:rPr>
                  </w:pPr>
                  <w:r>
                    <w:rPr>
                      <w:szCs w:val="24"/>
                      <w:lang w:eastAsia="lt-LT"/>
                    </w:rPr>
                    <w:t xml:space="preserve">Atsižvelgiant į tai, kad dalis mokinių negauna švietimo pagalbos, taip pat į tai,  kad dėl įvairių SUP, ypač vidutinių, didelių ir labai didelių, kai vaikams nustatyti raidos, kompleksiniai sutrikimai, autizmo spektro sutrikimai, protinis atsilikimas, elgesio ir emocijų sutrikimai ir kt., didelei daliai vaikų, kuriems paskirta ir teikiama švietimo pagalba, šios pagalbos nepakanka, nes  šiems vaikams būtina nuolatinė, kompleksinė, sisteminga, intensyvi specialistų pagalba, t. y. didesnis užsiėmimų, konsultacijų kiekis, nei Mokykla gali suteikti. Darytina išvada, kad švietimo pagalbos poreikis Telšių rajono ugdymo įstaigose nėra pilnai tenkinamas.</w:t>
                  </w:r>
                </w:p>
                <w:p>
                  <w:pPr>
                    <w:rPr>
                      <w:sz w:val="2"/>
                      <w:szCs w:val="2"/>
                    </w:rPr>
                  </w:pPr>
                </w:p>
                <w:p>
                  <w:pPr>
                    <w:spacing w:line="276" w:lineRule="auto"/>
                    <w:ind w:firstLine="360"/>
                    <w:jc w:val="both"/>
                    <w:rPr>
                      <w:szCs w:val="24"/>
                      <w:lang w:eastAsia="lt-LT"/>
                    </w:rPr>
                  </w:pPr>
                  <w:r>
                    <w:rPr>
                      <w:szCs w:val="24"/>
                      <w:lang w:eastAsia="lt-LT"/>
                    </w:rPr>
                    <w:t>Priežastys, dėl kurių nėra teikiama arba teikiama nepakankama švietimo pagalba:</w:t>
                  </w:r>
                </w:p>
                <w:p>
                  <w:pPr>
                    <w:rPr>
                      <w:sz w:val="2"/>
                      <w:szCs w:val="2"/>
                    </w:rPr>
                  </w:pPr>
                </w:p>
                <w:p>
                  <w:pPr>
                    <w:tabs>
                      <w:tab w:val="left" w:pos="709"/>
                    </w:tabs>
                    <w:spacing w:line="276" w:lineRule="auto"/>
                    <w:ind w:firstLine="850"/>
                    <w:rPr>
                      <w:szCs w:val="24"/>
                      <w:lang w:eastAsia="lt-LT"/>
                    </w:rPr>
                  </w:pPr>
                  <w:r>
                    <w:rPr>
                      <w:rFonts w:ascii="Symbol" w:hAnsi="Symbol"/>
                      <w:szCs w:val="24"/>
                      <w:lang w:eastAsia="lt-LT"/>
                    </w:rPr>
                    <w:t></w:t>
                    <w:tab/>
                  </w:r>
                  <w:r>
                    <w:rPr>
                      <w:szCs w:val="24"/>
                      <w:lang w:eastAsia="lt-LT"/>
                    </w:rPr>
                    <w:t>Dėl didelio SUP mokinių skaičiaus nėra galimybės visiems mokiniams suteikti reikalingą kiekį švietimo pagalbos valandų, švietimo pagalba teikiama, tačiau nepakankamai.</w:t>
                  </w:r>
                </w:p>
                <w:p>
                  <w:pPr>
                    <w:tabs>
                      <w:tab w:val="left" w:pos="709"/>
                    </w:tabs>
                    <w:spacing w:line="276" w:lineRule="auto"/>
                    <w:ind w:firstLine="850"/>
                    <w:rPr>
                      <w:szCs w:val="24"/>
                      <w:lang w:eastAsia="lt-LT"/>
                    </w:rPr>
                  </w:pPr>
                  <w:r>
                    <w:rPr>
                      <w:rFonts w:ascii="Symbol" w:hAnsi="Symbol"/>
                      <w:szCs w:val="24"/>
                      <w:lang w:eastAsia="lt-LT"/>
                    </w:rPr>
                    <w:t></w:t>
                    <w:tab/>
                  </w:r>
                  <w:r>
                    <w:rPr>
                      <w:szCs w:val="24"/>
                      <w:lang w:eastAsia="lt-LT"/>
                    </w:rPr>
                    <w:t>Ugdymo įstaigose (ypač kaimo mokyklose) dėl mažėjančio mokinių skaičiaus nėra švietimo pagalbos specialistų.</w:t>
                  </w:r>
                </w:p>
                <w:p>
                  <w:pPr>
                    <w:tabs>
                      <w:tab w:val="left" w:pos="709"/>
                    </w:tabs>
                    <w:spacing w:line="276" w:lineRule="auto"/>
                    <w:ind w:firstLine="850"/>
                    <w:rPr>
                      <w:szCs w:val="24"/>
                      <w:lang w:eastAsia="lt-LT"/>
                    </w:rPr>
                  </w:pPr>
                  <w:r>
                    <w:rPr>
                      <w:rFonts w:ascii="Symbol" w:hAnsi="Symbol"/>
                      <w:szCs w:val="24"/>
                      <w:lang w:eastAsia="lt-LT"/>
                    </w:rPr>
                    <w:t></w:t>
                    <w:tab/>
                  </w:r>
                  <w:r>
                    <w:rPr>
                      <w:szCs w:val="24"/>
                      <w:lang w:eastAsia="lt-LT"/>
                    </w:rPr>
                    <w:t>Mokinių tėvai (globėjai, rūpintojai) atsisako kreiptis į PPT atlikti ugdymosi poreikių nustatymo testą, kol nėra nustatyti SUP, pagalba mokykloje teikiama epizodiškai.</w:t>
                  </w:r>
                </w:p>
                <w:p>
                  <w:pPr>
                    <w:tabs>
                      <w:tab w:val="left" w:pos="709"/>
                    </w:tabs>
                    <w:spacing w:line="276" w:lineRule="auto"/>
                    <w:ind w:firstLine="850"/>
                    <w:rPr>
                      <w:szCs w:val="24"/>
                      <w:lang w:eastAsia="lt-LT"/>
                    </w:rPr>
                  </w:pPr>
                  <w:r>
                    <w:rPr>
                      <w:rFonts w:ascii="Symbol" w:hAnsi="Symbol"/>
                      <w:szCs w:val="24"/>
                      <w:lang w:eastAsia="lt-LT"/>
                    </w:rPr>
                    <w:t></w:t>
                    <w:tab/>
                  </w:r>
                  <w:r>
                    <w:rPr>
                      <w:szCs w:val="24"/>
                      <w:lang w:eastAsia="lt-LT"/>
                    </w:rPr>
                    <w:t>Mokinių tėvai (globėjai, rūpintojai) dėl subjektyvių priežasčių atsisako vaikui pagal poreikį paskirtos specialiojo ugdymo(si) ir/ar švietimo pagalbos.</w:t>
                  </w:r>
                </w:p>
                <w:p>
                  <w:pPr>
                    <w:tabs>
                      <w:tab w:val="left" w:pos="709"/>
                    </w:tabs>
                    <w:spacing w:line="276" w:lineRule="auto"/>
                    <w:ind w:firstLine="850"/>
                    <w:rPr>
                      <w:szCs w:val="24"/>
                      <w:lang w:eastAsia="lt-LT"/>
                    </w:rPr>
                  </w:pPr>
                  <w:r>
                    <w:rPr>
                      <w:rFonts w:ascii="Symbol" w:hAnsi="Symbol"/>
                      <w:szCs w:val="24"/>
                      <w:lang w:eastAsia="lt-LT"/>
                    </w:rPr>
                    <w:t></w:t>
                    <w:tab/>
                  </w:r>
                  <w:r>
                    <w:rPr>
                      <w:szCs w:val="24"/>
                      <w:lang w:eastAsia="lt-LT"/>
                    </w:rPr>
                    <w:t>Tėvai atsisako bendradarbiauti arba nepakankamai bendradarbiauja su ugdymo įstaiga, PPT sprendžiant jų vaikų problemas.</w:t>
                  </w:r>
                </w:p>
                <w:p>
                  <w:pPr>
                    <w:ind w:firstLine="360"/>
                    <w:jc w:val="both"/>
                    <w:rPr>
                      <w:szCs w:val="24"/>
                      <w:lang w:eastAsia="lt-LT"/>
                    </w:rPr>
                  </w:pPr>
                  <w:r>
                    <w:rPr>
                      <w:szCs w:val="24"/>
                    </w:rPr>
                    <w:t>Siekiant mažinti socialinę atskirtį ir didinti asmens, turinčio specialiųjų ugdymosi poreikių, ugdymosi veiksmingumą,</w:t>
                  </w:r>
                  <w:r>
                    <w:rPr>
                      <w:sz w:val="22"/>
                      <w:szCs w:val="22"/>
                    </w:rPr>
                    <w:t xml:space="preserve"> </w:t>
                  </w:r>
                  <w:r>
                    <w:rPr>
                      <w:szCs w:val="24"/>
                      <w:lang w:eastAsia="lt-LT"/>
                    </w:rPr>
                    <w:t>visiems SUP mokiniams reikalinga nuolatinė nuosekliai teikiama kompleksinė švietimo specialistų pagalba (psichologinė, specialioji pedagoginė, socialinė pedagoginė, specialioji).</w:t>
                  </w:r>
                </w:p>
                <w:p>
                  <w:pPr>
                    <w:ind w:firstLine="360"/>
                    <w:jc w:val="both"/>
                    <w:rPr>
                      <w:szCs w:val="24"/>
                      <w:lang w:eastAsia="lt-LT"/>
                    </w:rPr>
                  </w:pPr>
                  <w:r>
                    <w:rPr>
                      <w:szCs w:val="24"/>
                      <w:lang w:eastAsia="lt-LT"/>
                    </w:rPr>
                    <w:t>2022</w:t>
                  </w:r>
                  <w:r>
                    <w:rPr>
                      <w:sz w:val="20"/>
                      <w:lang w:eastAsia="lt-LT"/>
                    </w:rPr>
                    <w:t>–</w:t>
                  </w:r>
                  <w:r>
                    <w:rPr>
                      <w:szCs w:val="24"/>
                      <w:lang w:eastAsia="lt-LT"/>
                    </w:rPr>
                    <w:t xml:space="preserve">2023 m. m. rugsėjo mėn. duomenimis (informacija kintanti), Telšių rajone švietimo pagalbai teikti  rajono ugdymo įstaigose ir Švietimo centro pedagoginėje psichologinėje tarnyboje įsteigta 105,97 švietimo specialistų etato: iš jų: 26,25 – logopedo, 14,30 specialiojo pedagogo, 0,5 surdopedagogo, 8,75 psichologo ir 3,75 psichologo asistento, 15,25 socialinio pedagogo, 37,17  mokytojo padėjėjo etato.  </w:t>
                  </w:r>
                </w:p>
                <w:p>
                  <w:pPr>
                    <w:ind w:firstLine="426"/>
                    <w:rPr>
                      <w:rFonts w:eastAsia="Calibri"/>
                      <w:color w:val="000000"/>
                      <w:szCs w:val="24"/>
                    </w:rPr>
                  </w:pPr>
                  <w:r>
                    <w:rPr>
                      <w:rFonts w:eastAsia="Calibri"/>
                      <w:szCs w:val="22"/>
                    </w:rPr>
                    <w:t xml:space="preserve">Švietimo pagalbos specialistų etatų skaičių reglamentuoja </w:t>
                  </w:r>
                  <w:r>
                    <w:rPr>
                      <w:rFonts w:eastAsia="Calibri"/>
                      <w:color w:val="000000"/>
                      <w:szCs w:val="24"/>
                    </w:rPr>
                    <w:t xml:space="preserve">Lietuvos Respublikos švietimo ir mokslo ministro patvirtinti normatyvai (2017 m. rugpjūčio 30   d. įsakymu Nr. V-657). Šis ir kiti dokumentai peržiūrimi ir bus keičiami. </w:t>
                  </w:r>
                </w:p>
                <w:p>
                  <w:pPr>
                    <w:ind w:firstLine="426"/>
                    <w:jc w:val="both"/>
                    <w:rPr>
                      <w:rFonts w:eastAsia="Calibri"/>
                      <w:color w:val="000000"/>
                      <w:sz w:val="18"/>
                      <w:szCs w:val="18"/>
                    </w:rPr>
                  </w:pPr>
                  <w:r>
                    <w:rPr>
                      <w:rFonts w:eastAsia="Calibri"/>
                      <w:color w:val="000000"/>
                      <w:sz w:val="18"/>
                      <w:szCs w:val="18"/>
                    </w:rPr>
                    <w:t xml:space="preserve">Pastaba: diskutuojamu metu Vienu etatu dirbantis </w:t>
                  </w:r>
                  <w:r>
                    <w:rPr>
                      <w:rFonts w:eastAsia="Calibri"/>
                      <w:b/>
                      <w:color w:val="000000"/>
                      <w:sz w:val="18"/>
                      <w:szCs w:val="18"/>
                    </w:rPr>
                    <w:t>logopedas</w:t>
                  </w:r>
                  <w:r>
                    <w:rPr>
                      <w:rFonts w:eastAsia="Calibri"/>
                      <w:color w:val="000000"/>
                      <w:sz w:val="18"/>
                      <w:szCs w:val="18"/>
                    </w:rPr>
                    <w:t xml:space="preserve"> teikia pagalbą: </w:t>
                  </w:r>
                  <w:r>
                    <w:rPr>
                      <w:rFonts w:eastAsia="Calibri"/>
                      <w:i/>
                      <w:color w:val="000000"/>
                      <w:sz w:val="18"/>
                      <w:szCs w:val="18"/>
                    </w:rPr>
                    <w:t xml:space="preserve">ne daugiau kaip </w:t>
                  </w:r>
                  <w:r>
                    <w:rPr>
                      <w:rFonts w:eastAsia="Calibri"/>
                      <w:b/>
                      <w:i/>
                      <w:color w:val="000000"/>
                      <w:sz w:val="18"/>
                      <w:szCs w:val="18"/>
                    </w:rPr>
                    <w:t>30</w:t>
                  </w:r>
                  <w:r>
                    <w:rPr>
                      <w:rFonts w:eastAsia="Calibri"/>
                      <w:b/>
                      <w:color w:val="000000"/>
                      <w:sz w:val="18"/>
                      <w:szCs w:val="18"/>
                    </w:rPr>
                    <w:t xml:space="preserve"> </w:t>
                  </w:r>
                  <w:r>
                    <w:rPr>
                      <w:rFonts w:eastAsia="Calibri"/>
                      <w:color w:val="000000"/>
                      <w:sz w:val="18"/>
                      <w:szCs w:val="18"/>
                    </w:rPr>
                    <w:t xml:space="preserve">specialiųjų ugdymosi poreikių turinčių </w:t>
                  </w:r>
                  <w:r>
                    <w:rPr>
                      <w:rFonts w:eastAsia="Calibri"/>
                      <w:sz w:val="18"/>
                      <w:szCs w:val="18"/>
                    </w:rPr>
                    <w:t xml:space="preserve">mokinių, ugdomų </w:t>
                  </w:r>
                  <w:r>
                    <w:rPr>
                      <w:rFonts w:eastAsia="Calibri"/>
                      <w:i/>
                      <w:sz w:val="18"/>
                      <w:szCs w:val="18"/>
                    </w:rPr>
                    <w:t xml:space="preserve">pagal ikimokyklinio ir / ar  priešmokyklinio</w:t>
                  </w:r>
                  <w:r>
                    <w:rPr>
                      <w:rFonts w:eastAsia="Calibri"/>
                      <w:i/>
                      <w:color w:val="000000"/>
                      <w:sz w:val="18"/>
                      <w:szCs w:val="18"/>
                    </w:rPr>
                    <w:t xml:space="preserve"> ugdymo programas</w:t>
                  </w:r>
                  <w:r>
                    <w:rPr>
                      <w:rFonts w:eastAsia="Calibri"/>
                      <w:color w:val="000000"/>
                      <w:sz w:val="18"/>
                      <w:szCs w:val="18"/>
                    </w:rPr>
                    <w:t xml:space="preserve">, kuriems reikalinga logopedo pagalba; </w:t>
                  </w:r>
                  <w:r>
                    <w:rPr>
                      <w:rFonts w:eastAsia="Calibri"/>
                      <w:i/>
                      <w:color w:val="000000"/>
                      <w:sz w:val="18"/>
                      <w:szCs w:val="18"/>
                    </w:rPr>
                    <w:t xml:space="preserve">ne daugiau kaip </w:t>
                  </w:r>
                  <w:r>
                    <w:rPr>
                      <w:rFonts w:eastAsia="Calibri"/>
                      <w:b/>
                      <w:i/>
                      <w:color w:val="000000"/>
                      <w:sz w:val="18"/>
                      <w:szCs w:val="18"/>
                    </w:rPr>
                    <w:t>40</w:t>
                  </w:r>
                  <w:r>
                    <w:rPr>
                      <w:rFonts w:eastAsia="Calibri"/>
                      <w:b/>
                      <w:color w:val="000000"/>
                      <w:sz w:val="18"/>
                      <w:szCs w:val="18"/>
                    </w:rPr>
                    <w:t xml:space="preserve"> </w:t>
                  </w:r>
                  <w:r>
                    <w:rPr>
                      <w:rFonts w:eastAsia="Calibri"/>
                      <w:color w:val="000000"/>
                      <w:sz w:val="18"/>
                      <w:szCs w:val="18"/>
                    </w:rPr>
                    <w:t xml:space="preserve">specialiųjų ugdymosi poreikių turinčių mokinių,  ugdomų </w:t>
                  </w:r>
                  <w:r>
                    <w:rPr>
                      <w:rFonts w:eastAsia="Calibri"/>
                      <w:i/>
                      <w:color w:val="000000"/>
                      <w:sz w:val="18"/>
                      <w:szCs w:val="18"/>
                    </w:rPr>
                    <w:t>pagal priešmokyklinio ir (ar) pradinio ugdymo programas</w:t>
                  </w:r>
                  <w:r>
                    <w:rPr>
                      <w:rFonts w:eastAsia="Calibri"/>
                      <w:color w:val="000000"/>
                      <w:sz w:val="18"/>
                      <w:szCs w:val="18"/>
                    </w:rPr>
                    <w:t xml:space="preserve">, kuriems reikalinga logopedo pagalba; </w:t>
                  </w:r>
                  <w:r>
                    <w:rPr>
                      <w:rFonts w:eastAsia="Calibri"/>
                      <w:i/>
                      <w:color w:val="000000"/>
                      <w:sz w:val="18"/>
                      <w:szCs w:val="18"/>
                    </w:rPr>
                    <w:t xml:space="preserve">ne daugiau kaip </w:t>
                  </w:r>
                  <w:r>
                    <w:rPr>
                      <w:rFonts w:eastAsia="Calibri"/>
                      <w:b/>
                      <w:i/>
                      <w:color w:val="000000"/>
                      <w:sz w:val="18"/>
                      <w:szCs w:val="18"/>
                    </w:rPr>
                    <w:t>50</w:t>
                  </w:r>
                  <w:r>
                    <w:rPr>
                      <w:rFonts w:eastAsia="Calibri"/>
                      <w:color w:val="000000"/>
                      <w:sz w:val="18"/>
                      <w:szCs w:val="18"/>
                    </w:rPr>
                    <w:t xml:space="preserve"> specialiųjų ugdymosi poreikių turinčių mokinių, ugdomų pagal </w:t>
                  </w:r>
                  <w:r>
                    <w:rPr>
                      <w:rFonts w:eastAsia="Calibri"/>
                      <w:i/>
                      <w:color w:val="000000"/>
                      <w:sz w:val="18"/>
                      <w:szCs w:val="18"/>
                    </w:rPr>
                    <w:t>priešmokyklinio, pradinio, pagrindinio ir / ar vidurinio ugdymo bei profesinio mokymo programas</w:t>
                  </w:r>
                  <w:r>
                    <w:rPr>
                      <w:rFonts w:eastAsia="Calibri"/>
                      <w:color w:val="000000"/>
                      <w:sz w:val="18"/>
                      <w:szCs w:val="18"/>
                    </w:rPr>
                    <w:t>, kuriems reikalinga logopedo pagalba.</w:t>
                  </w:r>
                </w:p>
                <w:p>
                  <w:pPr>
                    <w:ind w:firstLine="426"/>
                    <w:jc w:val="both"/>
                    <w:rPr>
                      <w:rFonts w:eastAsia="Calibri"/>
                      <w:color w:val="000000"/>
                      <w:sz w:val="18"/>
                      <w:szCs w:val="18"/>
                    </w:rPr>
                  </w:pPr>
                  <w:r>
                    <w:rPr>
                      <w:rFonts w:eastAsia="Calibri"/>
                      <w:color w:val="000000"/>
                      <w:sz w:val="18"/>
                      <w:szCs w:val="18"/>
                    </w:rPr>
                    <w:t xml:space="preserve">Vienu etatu dirbantis </w:t>
                  </w:r>
                  <w:r>
                    <w:rPr>
                      <w:rFonts w:eastAsia="Calibri"/>
                      <w:b/>
                      <w:color w:val="000000"/>
                      <w:sz w:val="18"/>
                      <w:szCs w:val="18"/>
                    </w:rPr>
                    <w:t>specialusis pedagogas</w:t>
                  </w:r>
                  <w:r>
                    <w:rPr>
                      <w:rFonts w:eastAsia="Calibri"/>
                      <w:color w:val="000000"/>
                      <w:sz w:val="18"/>
                      <w:szCs w:val="18"/>
                    </w:rPr>
                    <w:t xml:space="preserve"> teikia pagalbą: </w:t>
                  </w:r>
                  <w:r>
                    <w:rPr>
                      <w:rFonts w:eastAsia="Calibri"/>
                      <w:i/>
                      <w:color w:val="000000"/>
                      <w:sz w:val="18"/>
                      <w:szCs w:val="18"/>
                    </w:rPr>
                    <w:t xml:space="preserve">ne daugiau kaip </w:t>
                  </w:r>
                  <w:r>
                    <w:rPr>
                      <w:rFonts w:eastAsia="Calibri"/>
                      <w:b/>
                      <w:i/>
                      <w:color w:val="000000"/>
                      <w:sz w:val="18"/>
                      <w:szCs w:val="18"/>
                    </w:rPr>
                    <w:t>24</w:t>
                  </w:r>
                  <w:r>
                    <w:rPr>
                      <w:rFonts w:eastAsia="Calibri"/>
                      <w:b/>
                      <w:color w:val="000000"/>
                      <w:sz w:val="18"/>
                      <w:szCs w:val="18"/>
                    </w:rPr>
                    <w:t xml:space="preserve"> </w:t>
                  </w:r>
                  <w:r>
                    <w:rPr>
                      <w:rFonts w:eastAsia="Calibri"/>
                      <w:color w:val="000000"/>
                      <w:sz w:val="18"/>
                      <w:szCs w:val="18"/>
                    </w:rPr>
                    <w:t xml:space="preserve">specialiųjų ugdymosi poreikių turintiems mokiniams, ugdomiems  </w:t>
                  </w:r>
                  <w:r>
                    <w:rPr>
                      <w:rFonts w:eastAsia="Calibri"/>
                      <w:i/>
                      <w:color w:val="000000"/>
                      <w:sz w:val="18"/>
                      <w:szCs w:val="18"/>
                    </w:rPr>
                    <w:t>pagal ikimokyklinio ir priešmokyklinio ugdymo programas</w:t>
                  </w:r>
                  <w:r>
                    <w:rPr>
                      <w:rFonts w:eastAsia="Calibri"/>
                      <w:color w:val="000000"/>
                      <w:sz w:val="18"/>
                      <w:szCs w:val="18"/>
                    </w:rPr>
                    <w:t xml:space="preserve">, kuriems reikalinga specialiojo pedagogo pagalba (ne daugiau kaip 20 mokinių, turinčių regos, klausos sutrikimų (tarp jų turinčių kochlerinių implantų), jei nėra tiflopedagogo ar surdopedagogo); </w:t>
                  </w:r>
                  <w:r>
                    <w:rPr>
                      <w:rFonts w:eastAsia="Calibri"/>
                      <w:i/>
                      <w:color w:val="000000"/>
                      <w:sz w:val="18"/>
                      <w:szCs w:val="18"/>
                    </w:rPr>
                    <w:t xml:space="preserve">ne daugiau kaip </w:t>
                  </w:r>
                  <w:r>
                    <w:rPr>
                      <w:rFonts w:eastAsia="Calibri"/>
                      <w:b/>
                      <w:i/>
                      <w:color w:val="000000"/>
                      <w:sz w:val="18"/>
                      <w:szCs w:val="18"/>
                    </w:rPr>
                    <w:t>27</w:t>
                  </w:r>
                  <w:r>
                    <w:rPr>
                      <w:rFonts w:eastAsia="Calibri"/>
                      <w:i/>
                      <w:color w:val="000000"/>
                      <w:sz w:val="18"/>
                      <w:szCs w:val="18"/>
                    </w:rPr>
                    <w:t xml:space="preserve"> </w:t>
                  </w:r>
                  <w:r>
                    <w:rPr>
                      <w:rFonts w:eastAsia="Calibri"/>
                      <w:color w:val="000000"/>
                      <w:sz w:val="18"/>
                      <w:szCs w:val="18"/>
                    </w:rPr>
                    <w:t xml:space="preserve">specialiųjų ugdymosi poreikių turintiems mokiniams, ugdomiems  pagal </w:t>
                  </w:r>
                  <w:r>
                    <w:rPr>
                      <w:rFonts w:eastAsia="Calibri"/>
                      <w:i/>
                      <w:color w:val="000000"/>
                      <w:sz w:val="18"/>
                      <w:szCs w:val="18"/>
                    </w:rPr>
                    <w:t>priešmokyklinio, pradinio, pagrindinio ir / ar vidurinio ugdymo bei profesinio mokymo programas</w:t>
                  </w:r>
                  <w:r>
                    <w:rPr>
                      <w:rFonts w:eastAsia="Calibri"/>
                      <w:color w:val="000000"/>
                      <w:sz w:val="18"/>
                      <w:szCs w:val="18"/>
                    </w:rPr>
                    <w:t xml:space="preserve">, kuriems reikalinga specialiojo pedagogo pagalba (ne daugiau kaip 20 mokinių, turinčių regos, klausos sutrikimų (tarp jų turinčių kochlerinių implantų), jei nėra tiflopedagogo ar surdopedagogo). </w:t>
                  </w:r>
                  <w:r>
                    <w:rPr>
                      <w:sz w:val="18"/>
                      <w:szCs w:val="18"/>
                      <w:lang w:eastAsia="lt-LT"/>
                    </w:rPr>
                    <w:t>Specialiosios pagalbos (mokytojo ar mokinio padėjėjo, mokinio asistento) etatas steigiamas, jei mokykloje mokosi mokinys, turintis vidutinių, didelių ir labai didelių specialiųjų ugdymosi poreikių ir negalintis savarankiškai dalyvauti pamokoje. Mokytojo / mokinio padėjėjas teikia pagalbą mokiniui ar mokinių grupei, padeda atlikti su ugdymusi, savitarna, savitvarka, maitinimusi susijusias veiklas, padeda orientuotis aplinkoje, tinkamai naudotis ugdymo priemonėmis ir panašiai.</w:t>
                  </w:r>
                </w:p>
                <w:p>
                  <w:pPr>
                    <w:spacing w:line="276" w:lineRule="auto"/>
                    <w:ind w:firstLine="567"/>
                    <w:jc w:val="both"/>
                    <w:rPr>
                      <w:szCs w:val="24"/>
                    </w:rPr>
                  </w:pPr>
                  <w:r>
                    <w:rPr>
                      <w:szCs w:val="24"/>
                      <w:lang w:eastAsia="lt-LT"/>
                    </w:rPr>
                    <w:t>Atsižvelgiant į teisės aktų reikalavimus, švietimo pagalbos specialistų etatai steigiami pagal SUP mokinių skaičių. Šiuo atžvilgiu turėtume sakyti, kad pagal SUP vaikų /mokinių skaičių švietimo pagalbos poreikis yra tenkinamas: jei vaikas gavo keletą valandų švietimo pagalbos, ataskaitose žymima „pagalba suteikta“. Tačiau didelei daliai SUP vaikų / mokinių atsižvelgiant į kiekvieno vaiko individualius SUP dažnai nepakanka keleto užsiėmimų, jiems reikalinga intensyvesnė švietimo pagalba, didesnis užsiėmimų, konsultacijų valandų skaičius, nei per nustatytą darbo valandų skaičių gali suteikti vienu etatu dirbantis švietimo pagalbos specialistas. Tad realiai vaikai pagalbą gauna, tačiau nepakankamai arba ne laiku, nes pagalbos tenka palaukti.</w:t>
                  </w:r>
                  <w:r>
                    <w:rPr>
                      <w:szCs w:val="24"/>
                    </w:rPr>
                    <w:t xml:space="preserve"> Siekiant didinti asmens, turinčio specialiųjų ugdymosi poreikių, ugdymosi veiksmingumą reiktų ieškoti galimybių, kad kiekvienas vaikas gautų švietimo pagalbos tiek, kiek jam jos reikia, ir tada, kada reikia. Didėjant bendram SUP vaikų / mokinių skaičiui, išaugo švietimo pagalbos reikmės apimtys. </w:t>
                  </w:r>
                </w:p>
                <w:p>
                  <w:pPr>
                    <w:rPr>
                      <w:sz w:val="2"/>
                      <w:szCs w:val="2"/>
                    </w:rPr>
                  </w:pPr>
                </w:p>
                <w:p>
                  <w:pPr>
                    <w:spacing w:line="276" w:lineRule="auto"/>
                    <w:ind w:firstLine="629"/>
                    <w:jc w:val="both"/>
                    <w:rPr>
                      <w:szCs w:val="24"/>
                    </w:rPr>
                  </w:pPr>
                  <w:r>
                    <w:rPr>
                      <w:szCs w:val="24"/>
                    </w:rPr>
                    <w:t>Taip pat atkreiptinas dėmesys, kad mokyklose yra laisvų (įsteigtų, bet neužimtų) švietimo pagalbos specialistų etatų (3,5 etato), nes dėl didelių darbo apimčių, veiklų sudėtingumo, aukštų visuomenės lūkesčių bei reikalavimų jauni žmonės nesirenka pedagoginių specialybių, neateina dirbti į mokyklas.</w:t>
                  </w:r>
                </w:p>
                <w:p>
                  <w:pPr>
                    <w:rPr>
                      <w:sz w:val="2"/>
                      <w:szCs w:val="2"/>
                    </w:rPr>
                  </w:pPr>
                </w:p>
              </w:sdtContent>
            </w:sdt>
            <w:sdt>
              <w:sdtPr>
                <w:alias w:val="6 p."/>
                <w:tag w:val="part_a499dbeb25d04c19865eb49c065c1179"/>
                <w:lock w:val="sdtLocked"/>
                <w:richText/>
              </w:sdtPr>
              <w:sdtContent>
                <w:p>
                  <w:pPr>
                    <w:spacing w:line="276" w:lineRule="auto"/>
                    <w:ind w:left="864"/>
                    <w:jc w:val="both"/>
                    <w:rPr>
                      <w:szCs w:val="24"/>
                    </w:rPr>
                  </w:pPr>
                  <w:sdt>
                    <w:sdtPr>
                      <w:alias w:val="Numeris"/>
                      <w:tag w:val="nr_a499dbeb25d04c19865eb49c065c1179"/>
                      <w:lock w:val="sdtLocked"/>
                      <w:richText/>
                    </w:sdtPr>
                    <w:sdtContent>
                      <w:r>
                        <w:rPr>
                          <w:b/>
                          <w:szCs w:val="24"/>
                        </w:rPr>
                        <w:t>6</w:t>
                      </w:r>
                    </w:sdtContent>
                  </w:sdt>
                  <w:r>
                    <w:rPr>
                      <w:b/>
                      <w:szCs w:val="24"/>
                    </w:rPr>
                    <w:t>.lentelė</w:t>
                  </w:r>
                  <w:r>
                    <w:rPr>
                      <w:szCs w:val="24"/>
                    </w:rPr>
                    <w:t>. Švietimo pagalbos 2022</w:t>
                  </w:r>
                  <w:r>
                    <w:rPr>
                      <w:sz w:val="20"/>
                      <w:lang w:eastAsia="lt-LT"/>
                    </w:rPr>
                    <w:t>–</w:t>
                  </w:r>
                  <w:r>
                    <w:rPr>
                      <w:szCs w:val="24"/>
                    </w:rPr>
                    <w:t xml:space="preserve">2023 m. m. situacija ir poreikis* </w:t>
                  </w:r>
                  <w:r>
                    <w:rPr>
                      <w:szCs w:val="24"/>
                      <w:lang w:eastAsia="lt-LT"/>
                    </w:rPr>
                    <w:t>(rugsėjo 1 d.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4"/>
                    <w:gridCol w:w="1509"/>
                    <w:gridCol w:w="1493"/>
                    <w:gridCol w:w="1056"/>
                    <w:gridCol w:w="1296"/>
                    <w:gridCol w:w="2762"/>
                  </w:tblGrid>
                  <w:tr>
                    <w:tc>
                      <w:tcPr>
                        <w:tcW w:w="1418" w:type="dxa"/>
                      </w:tcPr>
                      <w:p>
                        <w:pPr>
                          <w:jc w:val="center"/>
                          <w:rPr>
                            <w:szCs w:val="24"/>
                          </w:rPr>
                        </w:pPr>
                        <w:r>
                          <w:rPr>
                            <w:szCs w:val="24"/>
                          </w:rPr>
                          <w:t>Pagalba</w:t>
                        </w:r>
                      </w:p>
                    </w:tc>
                    <w:tc>
                      <w:tcPr>
                        <w:tcW w:w="1417" w:type="dxa"/>
                      </w:tcPr>
                      <w:p>
                        <w:pPr>
                          <w:jc w:val="center"/>
                          <w:rPr>
                            <w:szCs w:val="24"/>
                          </w:rPr>
                        </w:pPr>
                        <w:r>
                          <w:rPr>
                            <w:szCs w:val="24"/>
                          </w:rPr>
                          <w:t>Nustatyti normatyvai vienam specialisto etatui (svertinis vidurkis)</w:t>
                        </w:r>
                      </w:p>
                    </w:tc>
                    <w:tc>
                      <w:tcPr>
                        <w:tcW w:w="1566" w:type="dxa"/>
                      </w:tcPr>
                      <w:p>
                        <w:pPr>
                          <w:jc w:val="center"/>
                          <w:rPr>
                            <w:szCs w:val="24"/>
                          </w:rPr>
                        </w:pPr>
                        <w:r>
                          <w:rPr>
                            <w:szCs w:val="24"/>
                          </w:rPr>
                          <w:t xml:space="preserve">vaikų skaičius, kuriems reikia  pagalbos</w:t>
                        </w:r>
                      </w:p>
                    </w:tc>
                    <w:tc>
                      <w:tcPr>
                        <w:tcW w:w="1033" w:type="dxa"/>
                      </w:tcPr>
                      <w:p>
                        <w:pPr>
                          <w:jc w:val="center"/>
                          <w:rPr>
                            <w:szCs w:val="24"/>
                          </w:rPr>
                        </w:pPr>
                        <w:r>
                          <w:rPr>
                            <w:szCs w:val="24"/>
                          </w:rPr>
                          <w:t>Įsteigtų etatų skaičius ugdymo įstaigose</w:t>
                        </w:r>
                      </w:p>
                    </w:tc>
                    <w:tc>
                      <w:tcPr>
                        <w:tcW w:w="1296" w:type="dxa"/>
                      </w:tcPr>
                      <w:p>
                        <w:pPr>
                          <w:jc w:val="center"/>
                          <w:rPr>
                            <w:szCs w:val="24"/>
                          </w:rPr>
                        </w:pPr>
                        <w:r>
                          <w:rPr>
                            <w:szCs w:val="24"/>
                          </w:rPr>
                          <w:t>vienam specialistui tenka</w:t>
                        </w:r>
                      </w:p>
                    </w:tc>
                    <w:tc>
                      <w:tcPr>
                        <w:tcW w:w="2962" w:type="dxa"/>
                      </w:tcPr>
                      <w:p>
                        <w:pPr>
                          <w:jc w:val="center"/>
                          <w:rPr>
                            <w:szCs w:val="24"/>
                          </w:rPr>
                        </w:pPr>
                        <w:r>
                          <w:rPr>
                            <w:szCs w:val="24"/>
                          </w:rPr>
                          <w:t>Pastabos</w:t>
                        </w:r>
                      </w:p>
                    </w:tc>
                  </w:tr>
                  <w:tr>
                    <w:tc>
                      <w:tcPr>
                        <w:tcW w:w="1418" w:type="dxa"/>
                      </w:tcPr>
                      <w:p>
                        <w:pPr>
                          <w:jc w:val="both"/>
                          <w:rPr>
                            <w:szCs w:val="24"/>
                          </w:rPr>
                        </w:pPr>
                        <w:r>
                          <w:rPr>
                            <w:szCs w:val="24"/>
                          </w:rPr>
                          <w:t>specialioji pedagoginė</w:t>
                        </w:r>
                      </w:p>
                    </w:tc>
                    <w:tc>
                      <w:tcPr>
                        <w:tcW w:w="1417" w:type="dxa"/>
                      </w:tcPr>
                      <w:p>
                        <w:pPr>
                          <w:jc w:val="center"/>
                          <w:rPr>
                            <w:szCs w:val="24"/>
                          </w:rPr>
                        </w:pPr>
                        <w:r>
                          <w:rPr>
                            <w:szCs w:val="24"/>
                          </w:rPr>
                          <w:t>~24 vaikai</w:t>
                        </w:r>
                      </w:p>
                    </w:tc>
                    <w:tc>
                      <w:tcPr>
                        <w:tcW w:w="1566" w:type="dxa"/>
                      </w:tcPr>
                      <w:p>
                        <w:pPr>
                          <w:jc w:val="center"/>
                          <w:rPr>
                            <w:szCs w:val="24"/>
                          </w:rPr>
                        </w:pPr>
                        <w:r>
                          <w:rPr>
                            <w:szCs w:val="24"/>
                          </w:rPr>
                          <w:t>445</w:t>
                        </w:r>
                      </w:p>
                    </w:tc>
                    <w:tc>
                      <w:tcPr>
                        <w:tcW w:w="1033" w:type="dxa"/>
                      </w:tcPr>
                      <w:p>
                        <w:pPr>
                          <w:jc w:val="center"/>
                          <w:rPr>
                            <w:szCs w:val="24"/>
                          </w:rPr>
                        </w:pPr>
                        <w:r>
                          <w:rPr>
                            <w:szCs w:val="24"/>
                          </w:rPr>
                          <w:t>12,80</w:t>
                        </w:r>
                      </w:p>
                    </w:tc>
                    <w:tc>
                      <w:tcPr>
                        <w:tcW w:w="1296" w:type="dxa"/>
                      </w:tcPr>
                      <w:p>
                        <w:pPr>
                          <w:jc w:val="center"/>
                          <w:rPr>
                            <w:szCs w:val="24"/>
                          </w:rPr>
                        </w:pPr>
                        <w:r>
                          <w:rPr>
                            <w:szCs w:val="24"/>
                          </w:rPr>
                          <w:t>35 vaikai</w:t>
                        </w:r>
                      </w:p>
                    </w:tc>
                    <w:tc>
                      <w:tcPr>
                        <w:tcW w:w="2962" w:type="dxa"/>
                      </w:tcPr>
                      <w:p>
                        <w:pPr>
                          <w:jc w:val="both"/>
                          <w:rPr>
                            <w:szCs w:val="24"/>
                          </w:rPr>
                        </w:pPr>
                        <w:r>
                          <w:rPr>
                            <w:szCs w:val="24"/>
                          </w:rPr>
                          <w:t xml:space="preserve">Papildomai reiktų 0,5 etato. Tačiau atsižvelgiant į individualius SUP  vaikų poreikius, kai būtina intensyvesnė, ilgalaikė specialisto pagalba, taip pat į tai, kad ne visi tėvai sutinka vertinti vaikams pagalbos poreikį, specialiosios pagalbos specialistų poreikis būtų didesnis.</w:t>
                        </w:r>
                      </w:p>
                    </w:tc>
                  </w:tr>
                  <w:tr>
                    <w:tc>
                      <w:tcPr>
                        <w:tcW w:w="1418" w:type="dxa"/>
                      </w:tcPr>
                      <w:p>
                        <w:pPr>
                          <w:jc w:val="both"/>
                          <w:rPr>
                            <w:szCs w:val="24"/>
                          </w:rPr>
                        </w:pPr>
                        <w:r>
                          <w:rPr>
                            <w:szCs w:val="24"/>
                          </w:rPr>
                          <w:t>logopedo</w:t>
                        </w:r>
                      </w:p>
                    </w:tc>
                    <w:tc>
                      <w:tcPr>
                        <w:tcW w:w="1417" w:type="dxa"/>
                      </w:tcPr>
                      <w:p>
                        <w:pPr>
                          <w:jc w:val="center"/>
                          <w:rPr>
                            <w:szCs w:val="24"/>
                          </w:rPr>
                        </w:pPr>
                        <w:r>
                          <w:rPr>
                            <w:szCs w:val="24"/>
                          </w:rPr>
                          <w:t>~ 40 vaikų</w:t>
                        </w:r>
                      </w:p>
                    </w:tc>
                    <w:tc>
                      <w:tcPr>
                        <w:tcW w:w="1566" w:type="dxa"/>
                      </w:tcPr>
                      <w:p>
                        <w:pPr>
                          <w:jc w:val="center"/>
                          <w:rPr>
                            <w:szCs w:val="24"/>
                          </w:rPr>
                        </w:pPr>
                        <w:r>
                          <w:rPr>
                            <w:szCs w:val="24"/>
                          </w:rPr>
                          <w:t>1074</w:t>
                        </w:r>
                      </w:p>
                    </w:tc>
                    <w:tc>
                      <w:tcPr>
                        <w:tcW w:w="1033" w:type="dxa"/>
                      </w:tcPr>
                      <w:p>
                        <w:pPr>
                          <w:jc w:val="center"/>
                          <w:rPr>
                            <w:szCs w:val="24"/>
                          </w:rPr>
                        </w:pPr>
                        <w:r>
                          <w:rPr>
                            <w:szCs w:val="24"/>
                          </w:rPr>
                          <w:t>25,25</w:t>
                        </w:r>
                      </w:p>
                    </w:tc>
                    <w:tc>
                      <w:tcPr>
                        <w:tcW w:w="1296" w:type="dxa"/>
                      </w:tcPr>
                      <w:p>
                        <w:pPr>
                          <w:jc w:val="center"/>
                          <w:rPr>
                            <w:szCs w:val="24"/>
                          </w:rPr>
                        </w:pPr>
                        <w:r>
                          <w:rPr>
                            <w:szCs w:val="24"/>
                          </w:rPr>
                          <w:t>43 vaikas</w:t>
                        </w:r>
                      </w:p>
                    </w:tc>
                    <w:tc>
                      <w:tcPr>
                        <w:tcW w:w="2962" w:type="dxa"/>
                      </w:tcPr>
                      <w:p>
                        <w:pPr>
                          <w:jc w:val="both"/>
                          <w:rPr>
                            <w:szCs w:val="24"/>
                          </w:rPr>
                        </w:pPr>
                        <w:r>
                          <w:rPr>
                            <w:szCs w:val="24"/>
                          </w:rPr>
                          <w:t xml:space="preserve">Atsižvelgiant į individualius SUP  vaikų poreikius, kai būtina intensyvesnė, ilgalaikė specialisto pagalba, taip pat į tai, kad ne visi tėvai sutinka vertinti vaikams pagalbos poreikį, specialiosios pagalbos specialistų poreikis būtų didesnis.</w:t>
                        </w:r>
                      </w:p>
                    </w:tc>
                  </w:tr>
                  <w:tr>
                    <w:tc>
                      <w:tcPr>
                        <w:tcW w:w="1418" w:type="dxa"/>
                      </w:tcPr>
                      <w:p>
                        <w:pPr>
                          <w:jc w:val="both"/>
                          <w:rPr>
                            <w:szCs w:val="24"/>
                          </w:rPr>
                        </w:pPr>
                        <w:r>
                          <w:rPr>
                            <w:szCs w:val="24"/>
                          </w:rPr>
                          <w:t>socialinė pedagoginė</w:t>
                        </w:r>
                      </w:p>
                    </w:tc>
                    <w:tc>
                      <w:tcPr>
                        <w:tcW w:w="1417" w:type="dxa"/>
                      </w:tcPr>
                      <w:p>
                        <w:pPr>
                          <w:jc w:val="center"/>
                          <w:rPr>
                            <w:szCs w:val="24"/>
                          </w:rPr>
                        </w:pPr>
                        <w:r>
                          <w:rPr>
                            <w:szCs w:val="24"/>
                          </w:rPr>
                          <w:t>iki 400 vaikų</w:t>
                        </w:r>
                      </w:p>
                    </w:tc>
                    <w:tc>
                      <w:tcPr>
                        <w:tcW w:w="1566" w:type="dxa"/>
                      </w:tcPr>
                      <w:p>
                        <w:pPr>
                          <w:jc w:val="center"/>
                          <w:rPr>
                            <w:szCs w:val="24"/>
                          </w:rPr>
                        </w:pPr>
                        <w:r>
                          <w:rPr>
                            <w:szCs w:val="24"/>
                            <w:lang w:eastAsia="lt-LT"/>
                          </w:rPr>
                          <w:t>5906</w:t>
                        </w:r>
                      </w:p>
                    </w:tc>
                    <w:tc>
                      <w:tcPr>
                        <w:tcW w:w="1033" w:type="dxa"/>
                      </w:tcPr>
                      <w:p>
                        <w:pPr>
                          <w:jc w:val="center"/>
                          <w:rPr>
                            <w:szCs w:val="24"/>
                          </w:rPr>
                        </w:pPr>
                        <w:r>
                          <w:rPr>
                            <w:szCs w:val="24"/>
                          </w:rPr>
                          <w:t>14,25</w:t>
                        </w:r>
                      </w:p>
                    </w:tc>
                    <w:tc>
                      <w:tcPr>
                        <w:tcW w:w="1296" w:type="dxa"/>
                      </w:tcPr>
                      <w:p>
                        <w:pPr>
                          <w:jc w:val="center"/>
                          <w:rPr>
                            <w:szCs w:val="24"/>
                          </w:rPr>
                        </w:pPr>
                        <w:r>
                          <w:rPr>
                            <w:szCs w:val="24"/>
                          </w:rPr>
                          <w:t>415 vaikų</w:t>
                        </w:r>
                      </w:p>
                    </w:tc>
                    <w:tc>
                      <w:tcPr>
                        <w:tcW w:w="2962" w:type="dxa"/>
                      </w:tcPr>
                      <w:p>
                        <w:pPr>
                          <w:jc w:val="both"/>
                          <w:rPr>
                            <w:szCs w:val="24"/>
                          </w:rPr>
                        </w:pPr>
                        <w:r>
                          <w:rPr>
                            <w:szCs w:val="24"/>
                          </w:rPr>
                          <w:t xml:space="preserve">Vienam specialistui tenkančių vaikų skaičius viršija maksimalų  etatui numatytą vaikų skaičių. Atsižvelgiant į tai, vaikų psichologinės, elgesio, socialinės, emocinės problemos ryškėja ir pasireiškia ankstyvame amžiuje, socialinių pedagogų etatai turėtų būti įsteigti visose ugdymo įstaigose, įskaitant ir ikimokyklinio ugdymo įstaigas. Taip pat socialinis pedagogas mokykloje  nagrinėja ir sprendžia dažnėjančias smurto ir kitų neigiamų socialinių veiksnių prevencinius klausimus, koordinuoja socialinių emocijų ugdymo ir kt. programas, atlieka kitus su vaiko gerove susijusius veiksmus, socialinio pedagogo poreikis būtų didesnis.</w:t>
                        </w:r>
                      </w:p>
                    </w:tc>
                  </w:tr>
                  <w:tr>
                    <w:tc>
                      <w:tcPr>
                        <w:tcW w:w="1418" w:type="dxa"/>
                      </w:tcPr>
                      <w:p>
                        <w:pPr>
                          <w:jc w:val="both"/>
                          <w:rPr>
                            <w:szCs w:val="24"/>
                          </w:rPr>
                        </w:pPr>
                        <w:r>
                          <w:rPr>
                            <w:szCs w:val="24"/>
                          </w:rPr>
                          <w:t>psichologo</w:t>
                        </w:r>
                      </w:p>
                    </w:tc>
                    <w:tc>
                      <w:tcPr>
                        <w:tcW w:w="1417" w:type="dxa"/>
                      </w:tcPr>
                      <w:p>
                        <w:pPr>
                          <w:jc w:val="center"/>
                          <w:rPr>
                            <w:szCs w:val="24"/>
                          </w:rPr>
                        </w:pPr>
                        <w:r>
                          <w:rPr>
                            <w:szCs w:val="24"/>
                          </w:rPr>
                          <w:t>iki 400 vaikų</w:t>
                        </w:r>
                      </w:p>
                    </w:tc>
                    <w:tc>
                      <w:tcPr>
                        <w:tcW w:w="1566" w:type="dxa"/>
                      </w:tcPr>
                      <w:p>
                        <w:pPr>
                          <w:jc w:val="center"/>
                          <w:rPr>
                            <w:szCs w:val="24"/>
                          </w:rPr>
                        </w:pPr>
                        <w:r>
                          <w:rPr>
                            <w:szCs w:val="24"/>
                            <w:lang w:eastAsia="lt-LT"/>
                          </w:rPr>
                          <w:t>5906</w:t>
                        </w:r>
                      </w:p>
                    </w:tc>
                    <w:tc>
                      <w:tcPr>
                        <w:tcW w:w="1033" w:type="dxa"/>
                      </w:tcPr>
                      <w:p>
                        <w:pPr>
                          <w:jc w:val="center"/>
                          <w:rPr>
                            <w:szCs w:val="24"/>
                          </w:rPr>
                        </w:pPr>
                        <w:r>
                          <w:rPr>
                            <w:szCs w:val="24"/>
                          </w:rPr>
                          <w:t>7,50</w:t>
                        </w:r>
                      </w:p>
                    </w:tc>
                    <w:tc>
                      <w:tcPr>
                        <w:tcW w:w="1296" w:type="dxa"/>
                      </w:tcPr>
                      <w:p>
                        <w:pPr>
                          <w:jc w:val="center"/>
                          <w:rPr>
                            <w:szCs w:val="24"/>
                          </w:rPr>
                        </w:pPr>
                        <w:r>
                          <w:rPr>
                            <w:szCs w:val="24"/>
                          </w:rPr>
                          <w:t>788 vaikų</w:t>
                        </w:r>
                      </w:p>
                    </w:tc>
                    <w:tc>
                      <w:tcPr>
                        <w:tcW w:w="2962" w:type="dxa"/>
                      </w:tcPr>
                      <w:p>
                        <w:pPr>
                          <w:jc w:val="both"/>
                          <w:rPr>
                            <w:szCs w:val="24"/>
                          </w:rPr>
                        </w:pPr>
                        <w:r>
                          <w:rPr>
                            <w:szCs w:val="24"/>
                          </w:rPr>
                          <w:t>Papildomai reiktų 7,25 etato psichologo</w:t>
                        </w:r>
                      </w:p>
                    </w:tc>
                  </w:tr>
                  <w:tr>
                    <w:tc>
                      <w:tcPr>
                        <w:tcW w:w="1418" w:type="dxa"/>
                      </w:tcPr>
                      <w:p>
                        <w:pPr>
                          <w:jc w:val="both"/>
                          <w:rPr>
                            <w:szCs w:val="24"/>
                          </w:rPr>
                        </w:pPr>
                        <w:r>
                          <w:rPr>
                            <w:szCs w:val="24"/>
                          </w:rPr>
                          <w:t>specialioji (mokytojo padėjėjo)</w:t>
                        </w:r>
                      </w:p>
                    </w:tc>
                    <w:tc>
                      <w:tcPr>
                        <w:tcW w:w="1417" w:type="dxa"/>
                      </w:tcPr>
                      <w:p>
                        <w:pPr>
                          <w:jc w:val="center"/>
                          <w:rPr>
                            <w:szCs w:val="24"/>
                          </w:rPr>
                        </w:pPr>
                        <w:r>
                          <w:rPr>
                            <w:szCs w:val="24"/>
                          </w:rPr>
                          <w:t>1</w:t>
                        </w:r>
                        <w:r>
                          <w:rPr>
                            <w:sz w:val="20"/>
                            <w:lang w:eastAsia="lt-LT"/>
                          </w:rPr>
                          <w:t>–</w:t>
                        </w:r>
                        <w:r>
                          <w:rPr>
                            <w:szCs w:val="24"/>
                          </w:rPr>
                          <w:t>5 (atsižvelgiant į individualius poreikius)</w:t>
                        </w:r>
                      </w:p>
                    </w:tc>
                    <w:tc>
                      <w:tcPr>
                        <w:tcW w:w="1566" w:type="dxa"/>
                      </w:tcPr>
                      <w:p>
                        <w:pPr>
                          <w:jc w:val="center"/>
                          <w:rPr>
                            <w:szCs w:val="24"/>
                          </w:rPr>
                        </w:pPr>
                        <w:r>
                          <w:rPr>
                            <w:szCs w:val="24"/>
                          </w:rPr>
                          <w:t>326</w:t>
                        </w:r>
                      </w:p>
                    </w:tc>
                    <w:tc>
                      <w:tcPr>
                        <w:tcW w:w="1033" w:type="dxa"/>
                      </w:tcPr>
                      <w:p>
                        <w:pPr>
                          <w:jc w:val="center"/>
                          <w:rPr>
                            <w:szCs w:val="24"/>
                          </w:rPr>
                        </w:pPr>
                        <w:r>
                          <w:rPr>
                            <w:szCs w:val="24"/>
                          </w:rPr>
                          <w:t>37,17</w:t>
                        </w:r>
                      </w:p>
                    </w:tc>
                    <w:tc>
                      <w:tcPr>
                        <w:tcW w:w="1296" w:type="dxa"/>
                      </w:tcPr>
                      <w:p>
                        <w:pPr>
                          <w:jc w:val="center"/>
                          <w:rPr>
                            <w:szCs w:val="24"/>
                          </w:rPr>
                        </w:pPr>
                        <w:r>
                          <w:rPr>
                            <w:szCs w:val="24"/>
                          </w:rPr>
                          <w:t>9 vaikai</w:t>
                        </w:r>
                      </w:p>
                    </w:tc>
                    <w:tc>
                      <w:tcPr>
                        <w:tcW w:w="2962" w:type="dxa"/>
                      </w:tcPr>
                      <w:p>
                        <w:pPr>
                          <w:jc w:val="both"/>
                          <w:rPr>
                            <w:szCs w:val="24"/>
                          </w:rPr>
                        </w:pPr>
                        <w:r>
                          <w:rPr>
                            <w:szCs w:val="24"/>
                          </w:rPr>
                          <w:t xml:space="preserve">Atsižvelgiant į SUP vaikų individualius poreikius,  dažnai vienam vaikui turėtų būti paskirti 1</w:t>
                        </w:r>
                        <w:r>
                          <w:rPr>
                            <w:sz w:val="20"/>
                            <w:lang w:eastAsia="lt-LT"/>
                          </w:rPr>
                          <w:t>–</w:t>
                        </w:r>
                        <w:r>
                          <w:rPr>
                            <w:szCs w:val="24"/>
                          </w:rPr>
                          <w:t xml:space="preserve">2 specialiosios pagalbos darbuotojai. Papildomas poreikis </w:t>
                        </w:r>
                        <w:r>
                          <w:rPr>
                            <w:sz w:val="20"/>
                            <w:lang w:eastAsia="lt-LT"/>
                          </w:rPr>
                          <w:t>–</w:t>
                        </w:r>
                        <w:r>
                          <w:rPr>
                            <w:szCs w:val="24"/>
                          </w:rPr>
                          <w:t xml:space="preserve"> apie 28 mokytojo padėjėjai.</w:t>
                        </w:r>
                      </w:p>
                    </w:tc>
                  </w:tr>
                  <w:tr>
                    <w:tc>
                      <w:tcPr>
                        <w:tcW w:w="1418" w:type="dxa"/>
                      </w:tcPr>
                      <w:p>
                        <w:pPr>
                          <w:jc w:val="both"/>
                          <w:rPr>
                            <w:szCs w:val="24"/>
                          </w:rPr>
                        </w:pPr>
                      </w:p>
                    </w:tc>
                    <w:tc>
                      <w:tcPr>
                        <w:tcW w:w="1417" w:type="dxa"/>
                      </w:tcPr>
                      <w:p>
                        <w:pPr>
                          <w:jc w:val="both"/>
                          <w:rPr>
                            <w:szCs w:val="24"/>
                          </w:rPr>
                        </w:pPr>
                      </w:p>
                    </w:tc>
                    <w:tc>
                      <w:tcPr>
                        <w:tcW w:w="1566" w:type="dxa"/>
                      </w:tcPr>
                      <w:p>
                        <w:pPr>
                          <w:jc w:val="both"/>
                          <w:rPr>
                            <w:szCs w:val="24"/>
                          </w:rPr>
                        </w:pPr>
                      </w:p>
                    </w:tc>
                    <w:tc>
                      <w:tcPr>
                        <w:tcW w:w="1033" w:type="dxa"/>
                      </w:tcPr>
                      <w:p>
                        <w:pPr>
                          <w:jc w:val="both"/>
                          <w:rPr>
                            <w:szCs w:val="24"/>
                          </w:rPr>
                        </w:pPr>
                      </w:p>
                    </w:tc>
                    <w:tc>
                      <w:tcPr>
                        <w:tcW w:w="1296" w:type="dxa"/>
                      </w:tcPr>
                      <w:p>
                        <w:pPr>
                          <w:jc w:val="both"/>
                          <w:rPr>
                            <w:szCs w:val="24"/>
                          </w:rPr>
                        </w:pPr>
                      </w:p>
                    </w:tc>
                    <w:tc>
                      <w:tcPr>
                        <w:tcW w:w="2962" w:type="dxa"/>
                      </w:tcPr>
                      <w:p>
                        <w:pPr>
                          <w:jc w:val="both"/>
                          <w:rPr>
                            <w:szCs w:val="24"/>
                          </w:rPr>
                        </w:pPr>
                      </w:p>
                    </w:tc>
                  </w:tr>
                </w:tbl>
                <w:p>
                  <w:pPr>
                    <w:spacing w:line="276" w:lineRule="auto"/>
                    <w:jc w:val="both"/>
                    <w:rPr>
                      <w:szCs w:val="24"/>
                    </w:rPr>
                  </w:pPr>
                  <w:r>
                    <w:rPr>
                      <w:szCs w:val="24"/>
                    </w:rPr>
                    <w:t xml:space="preserve">*į lentelės specialistų etatų skaičių neįtraukti PPT specialistų etatai. </w:t>
                  </w:r>
                </w:p>
                <w:p>
                  <w:pPr>
                    <w:rPr>
                      <w:sz w:val="2"/>
                      <w:szCs w:val="2"/>
                    </w:rPr>
                  </w:pPr>
                </w:p>
                <w:p>
                  <w:pPr>
                    <w:spacing w:line="276" w:lineRule="auto"/>
                    <w:ind w:firstLine="567"/>
                    <w:jc w:val="both"/>
                    <w:rPr>
                      <w:szCs w:val="24"/>
                    </w:rPr>
                  </w:pPr>
                  <w:r>
                    <w:rPr>
                      <w:szCs w:val="24"/>
                    </w:rPr>
                    <w:t>Telšių rajone 2022</w:t>
                  </w:r>
                  <w:r>
                    <w:rPr>
                      <w:sz w:val="20"/>
                      <w:lang w:eastAsia="lt-LT"/>
                    </w:rPr>
                    <w:t>–</w:t>
                  </w:r>
                  <w:r>
                    <w:rPr>
                      <w:szCs w:val="24"/>
                    </w:rPr>
                    <w:t xml:space="preserve">2023 m. m.  mažiausiai prieinama yra psichologo, specialioji (mokytojo padėjėjo) pagalba. Kitų švietimo pagalbos specialistų (specialiojo pedagogo, socialinio pedagogo) yra tenkinama, tačiau, atsižvelgiant į aplinkybę, kad daugumai SUP vaikų reikalingas didesnis pagalbos valandų skaičius, nei jų gali suteikti vienu etatu dirbantis pedagogas, ši pagalba teikiama tik iš dalies (nepakankamu intensyvumu, valandų kiekiu, ne „tuoj ir dabar“). Sprendžiant švietimo specialistų ugdymo įstaigose trūkumo klausimą susiduriama su žmogiškųjų resursų trūkumu, todėl vis dar lieka įsteigtų, bet neužpildytų etatų. Švietimo pagalbos specialistų trūkumą santykinai padėtų spręsti turimų etatų pervadinimas, mokytojų perkvalifikavimas, naujų specialistų paieška, nuoseklus bendradarbiavimas su kitomis institucijomis. Švietimo pagalbos prieinamumas didėtų didinant ugdymo įstaigose švietimo pagalbos specialistų etatų skaičių ar perkant paslaugas, keliant turimų darbuotojų kvalifikaciją.</w:t>
                  </w:r>
                </w:p>
                <w:p>
                  <w:pPr>
                    <w:rPr>
                      <w:sz w:val="2"/>
                      <w:szCs w:val="2"/>
                    </w:rPr>
                  </w:pPr>
                </w:p>
                <w:p>
                  <w:pPr>
                    <w:spacing w:line="276" w:lineRule="auto"/>
                    <w:ind w:firstLine="567"/>
                    <w:jc w:val="both"/>
                    <w:rPr>
                      <w:szCs w:val="24"/>
                      <w:lang w:eastAsia="lt-LT"/>
                    </w:rPr>
                  </w:pPr>
                  <w:r>
                    <w:rPr>
                      <w:szCs w:val="24"/>
                    </w:rPr>
                    <w:t xml:space="preserve">Švietimo pagalbos specialistai teikia pedagoginę psichologinę pagalbą vaikams / mokiniams, jų tėvams (globėjams, rūpintojams), mokytojams dėl vaikų / mokinių ugdymosi sunkumų, elgesio problemų, formuoja pozityvias bendruomenės nuostatas į SUP vaikus / mokinius. Švietimo pagalbos klausimais ugdymo įstaigos palaiko ryšį ir bendradarbiauja su Telšių švietimo centro Pedagogine psichologine tarnyba, kuri teikia metodinę, konsultacinę, informacinę pagalbą mokyklų švietimo pagalbos specialistams, mokytojams, mokinių tėvams SUP vaikų / mokinių  ugdymo klausimais.</w:t>
                  </w:r>
                </w:p>
                <w:p>
                  <w:pPr>
                    <w:rPr>
                      <w:sz w:val="2"/>
                      <w:szCs w:val="2"/>
                    </w:rPr>
                  </w:pPr>
                </w:p>
                <w:p>
                  <w:pPr>
                    <w:spacing w:line="276" w:lineRule="auto"/>
                    <w:ind w:firstLine="426"/>
                    <w:jc w:val="both"/>
                    <w:rPr>
                      <w:szCs w:val="24"/>
                      <w:lang w:eastAsia="lt-LT"/>
                    </w:rPr>
                  </w:pPr>
                  <w:r>
                    <w:rPr>
                      <w:szCs w:val="24"/>
                      <w:lang w:eastAsia="lt-LT"/>
                    </w:rPr>
                    <w:t>Siekiant stiprinti ugdymo įstaigų pasirengimą priimti įvairių ugdymosi poreikių turinčius mokinius, analizuojant ugdymo įstaigų jau taikomas įtrauktiems, lyderystės, švietimo pagalbos priemones Savivaldybės administracijos Švietimo ir sporto skyrius 2018</w:t>
                  </w:r>
                  <w:r>
                    <w:rPr>
                      <w:sz w:val="20"/>
                      <w:lang w:eastAsia="lt-LT"/>
                    </w:rPr>
                    <w:t>–</w:t>
                  </w:r>
                  <w:r>
                    <w:rPr>
                      <w:szCs w:val="24"/>
                      <w:lang w:eastAsia="lt-LT"/>
                    </w:rPr>
                    <w:t>2019, 2019</w:t>
                  </w:r>
                  <w:r>
                    <w:rPr>
                      <w:sz w:val="20"/>
                      <w:lang w:eastAsia="lt-LT"/>
                    </w:rPr>
                    <w:t>–</w:t>
                  </w:r>
                  <w:r>
                    <w:rPr>
                      <w:szCs w:val="24"/>
                      <w:lang w:eastAsia="lt-LT"/>
                    </w:rPr>
                    <w:t>2020, 2021</w:t>
                  </w:r>
                  <w:r>
                    <w:rPr>
                      <w:sz w:val="20"/>
                      <w:lang w:eastAsia="lt-LT"/>
                    </w:rPr>
                    <w:t>–</w:t>
                  </w:r>
                  <w:r>
                    <w:rPr>
                      <w:szCs w:val="24"/>
                      <w:lang w:eastAsia="lt-LT"/>
                    </w:rPr>
                    <w:t xml:space="preserve">2022 mokslo metais atliko  mokyklų  „Mokyklų vaiko gerovės komisijų veiklos organizavimas“, „Smurto prevencijos įgyvendinimas mokyklose“ ir kitas patikras, apklausas. Švietimo ir sporto skyriaus specialistai, Savivaldybės administracijos vaiko gerovės komisijos nariai dalyvavo mokyklų vaiko gerovės komisijų posėdžiuose, kai  buvo svarstomos pagalbos priemonės delinkventinio elgesio ar SUP turintiems mokiniams. Iš mokyklų vaiko gerovės komisijų posėdžių protokolų, VGK veiklos ir pamokų lankomumo ataskaitų, kitų dokumentų ir mokytojų, švietimo pagalbos specialistų, mokinių, mokinių tėvų, mokyklos administracijos pasisakymų darytina išvada, kad pagrindinės priežastys, įtakojančios nepageidaujamą vaikų elgesį, mokinių, mokytojų, tėvų tarpusavio nesusikalbėjimą ir konfliktinius santykius yra:</w:t>
                  </w:r>
                </w:p>
                <w:p>
                  <w:pPr>
                    <w:tabs>
                      <w:tab w:val="left" w:pos="851"/>
                      <w:tab w:val="left" w:pos="1985"/>
                    </w:tabs>
                    <w:spacing w:line="276" w:lineRule="auto"/>
                    <w:ind w:firstLine="426"/>
                    <w:jc w:val="both"/>
                    <w:rPr>
                      <w:szCs w:val="24"/>
                      <w:lang w:eastAsia="lt-LT"/>
                    </w:rPr>
                  </w:pPr>
                  <w:r>
                    <w:rPr>
                      <w:rFonts w:ascii="Symbol" w:hAnsi="Symbol"/>
                      <w:szCs w:val="24"/>
                      <w:lang w:eastAsia="lt-LT"/>
                    </w:rPr>
                    <w:t></w:t>
                    <w:tab/>
                  </w:r>
                  <w:r>
                    <w:rPr>
                      <w:szCs w:val="24"/>
                      <w:lang w:eastAsia="lt-LT"/>
                    </w:rPr>
                    <w:t>pedagoginių darbuotojų ir / ar tėvų specifinių žinių, gebėjimų bei įgūdžių stoka, kaip vienu metu dirbti su gabiais ir su į bendrojo ugdymo mokyklas integruotais skirtingus SUP turinčiais vaikais. Mokytojai pripažįsta, kad pamokos turinys orientuotas į akademinius pasiekimus, programose keliami aukšti reikalavimai, ugdymo kokybė ir pati mokykla šiandieną vertinama tik pagal mokymosi rezultatus. Siekti aukštų akademinių rezultatų ir tuo pačiu integruotai ugdyti skirtingus, kontrastingus gebėjimus turinčius ir dažnai emocijų nevaldančius SUP vaikus, kad šie pamokos metu suvoktų, spėtų, išmoktų ir prie viso to jaustųsi pilnaverčiais ir pilnateisiais, nebūtų ignoruojami, yra sunkiai tarpusavyje suderinami uždaviniai;</w:t>
                  </w:r>
                </w:p>
                <w:p>
                  <w:pPr>
                    <w:tabs>
                      <w:tab w:val="left" w:pos="426"/>
                      <w:tab w:val="left" w:pos="851"/>
                      <w:tab w:val="left" w:pos="1985"/>
                    </w:tabs>
                    <w:spacing w:line="276" w:lineRule="auto"/>
                    <w:ind w:firstLine="426"/>
                    <w:jc w:val="both"/>
                    <w:rPr>
                      <w:szCs w:val="24"/>
                      <w:lang w:eastAsia="lt-LT"/>
                    </w:rPr>
                  </w:pPr>
                  <w:r>
                    <w:rPr>
                      <w:rFonts w:ascii="Symbol" w:hAnsi="Symbol"/>
                      <w:szCs w:val="24"/>
                      <w:lang w:eastAsia="lt-LT"/>
                    </w:rPr>
                    <w:t></w:t>
                    <w:tab/>
                  </w:r>
                  <w:r>
                    <w:rPr>
                      <w:szCs w:val="24"/>
                      <w:lang w:eastAsia="lt-LT"/>
                    </w:rPr>
                    <w:t>stipriai išreikštas tėvų ir kitų bendruomenės narių nepakantumas kitaip besielgiantiems SUP (ypač intelekto ir psichikos sutrikimų turintiems) vaikams. Reikalaujama, kad nedrausmingiems, netinkamo elgesio, pamoką trukdantiems SUP mokiniams būtų taikomos drausminimo ar pagalbos priemonės, neretai siūloma tokius vaikus šalinti iš klasės / mokyklos;</w:t>
                  </w:r>
                </w:p>
                <w:p>
                  <w:pPr>
                    <w:tabs>
                      <w:tab w:val="left" w:pos="851"/>
                      <w:tab w:val="left" w:pos="1985"/>
                    </w:tabs>
                    <w:spacing w:line="276" w:lineRule="auto"/>
                    <w:ind w:firstLine="426"/>
                    <w:jc w:val="both"/>
                    <w:rPr>
                      <w:szCs w:val="24"/>
                      <w:lang w:eastAsia="lt-LT"/>
                    </w:rPr>
                  </w:pPr>
                  <w:r>
                    <w:rPr>
                      <w:rFonts w:ascii="Symbol" w:hAnsi="Symbol"/>
                      <w:szCs w:val="24"/>
                      <w:lang w:eastAsia="lt-LT"/>
                    </w:rPr>
                    <w:t></w:t>
                    <w:tab/>
                  </w:r>
                  <w:r>
                    <w:rPr>
                      <w:szCs w:val="24"/>
                      <w:lang w:eastAsia="lt-LT"/>
                    </w:rPr>
                    <w:t>trūksta metodinių ir mokymosi priemonių;</w:t>
                  </w:r>
                </w:p>
                <w:p>
                  <w:pPr>
                    <w:tabs>
                      <w:tab w:val="left" w:pos="851"/>
                      <w:tab w:val="left" w:pos="1985"/>
                    </w:tabs>
                    <w:spacing w:line="276" w:lineRule="auto"/>
                    <w:ind w:firstLine="426"/>
                    <w:jc w:val="both"/>
                    <w:rPr>
                      <w:szCs w:val="24"/>
                      <w:lang w:eastAsia="lt-LT"/>
                    </w:rPr>
                  </w:pPr>
                  <w:r>
                    <w:rPr>
                      <w:rFonts w:ascii="Symbol" w:hAnsi="Symbol"/>
                      <w:szCs w:val="24"/>
                      <w:lang w:eastAsia="lt-LT"/>
                    </w:rPr>
                    <w:t></w:t>
                    <w:tab/>
                  </w:r>
                  <w:r>
                    <w:rPr>
                      <w:szCs w:val="24"/>
                      <w:lang w:eastAsia="lt-LT"/>
                    </w:rPr>
                    <w:t>trūksta švietimo pagalbos specialistų, darbuotojų;</w:t>
                  </w:r>
                </w:p>
                <w:p>
                  <w:pPr>
                    <w:tabs>
                      <w:tab w:val="left" w:pos="0"/>
                    </w:tabs>
                    <w:ind w:left="851" w:hanging="425"/>
                    <w:jc w:val="both"/>
                    <w:rPr>
                      <w:szCs w:val="24"/>
                      <w:lang w:eastAsia="lt-LT"/>
                    </w:rPr>
                  </w:pPr>
                  <w:r>
                    <w:rPr>
                      <w:rFonts w:ascii="Symbol" w:hAnsi="Symbol"/>
                      <w:szCs w:val="24"/>
                      <w:lang w:eastAsia="lt-LT"/>
                    </w:rPr>
                    <w:t></w:t>
                    <w:tab/>
                  </w:r>
                  <w:r>
                    <w:rPr>
                      <w:szCs w:val="24"/>
                      <w:lang w:eastAsia="lt-LT"/>
                    </w:rPr>
                    <w:t>trūksta tinkamo dėmesio ir pagalbos, SUP vaikų / mokinių poreikius atitinkančio užimtumo (visos dienos edukacijos), NVŠ, stovyklų;</w:t>
                  </w:r>
                </w:p>
                <w:p>
                  <w:pPr>
                    <w:tabs>
                      <w:tab w:val="left" w:pos="851"/>
                      <w:tab w:val="left" w:pos="1985"/>
                    </w:tabs>
                    <w:spacing w:line="276" w:lineRule="auto"/>
                    <w:ind w:firstLine="426"/>
                    <w:jc w:val="both"/>
                    <w:rPr>
                      <w:szCs w:val="24"/>
                      <w:lang w:eastAsia="lt-LT"/>
                    </w:rPr>
                  </w:pPr>
                  <w:r>
                    <w:rPr>
                      <w:rFonts w:ascii="Symbol" w:hAnsi="Symbol"/>
                      <w:szCs w:val="24"/>
                      <w:lang w:eastAsia="lt-LT"/>
                    </w:rPr>
                    <w:t></w:t>
                    <w:tab/>
                  </w:r>
                  <w:r>
                    <w:rPr>
                      <w:szCs w:val="24"/>
                      <w:lang w:eastAsia="lt-LT"/>
                    </w:rPr>
                    <w:t>nepakankamai pritaikytos ugdymo įstaigų erdvės SUP vaikams / mokiniams;</w:t>
                  </w:r>
                </w:p>
                <w:p>
                  <w:pPr>
                    <w:tabs>
                      <w:tab w:val="left" w:pos="851"/>
                      <w:tab w:val="left" w:pos="1985"/>
                    </w:tabs>
                    <w:spacing w:line="276" w:lineRule="auto"/>
                    <w:ind w:firstLine="426"/>
                    <w:jc w:val="both"/>
                    <w:rPr>
                      <w:szCs w:val="24"/>
                      <w:lang w:eastAsia="lt-LT"/>
                    </w:rPr>
                  </w:pPr>
                  <w:r>
                    <w:rPr>
                      <w:rFonts w:ascii="Symbol" w:hAnsi="Symbol"/>
                      <w:szCs w:val="24"/>
                      <w:lang w:eastAsia="lt-LT"/>
                    </w:rPr>
                    <w:t></w:t>
                    <w:tab/>
                  </w:r>
                  <w:r>
                    <w:rPr>
                      <w:szCs w:val="24"/>
                      <w:lang w:eastAsia="lt-LT"/>
                    </w:rPr>
                    <w:t>visuomenė vis dar negeba priimti kitaip atrodančius ir kitaip besielgiančius SUP vaikus.</w:t>
                  </w:r>
                </w:p>
                <w:p>
                  <w:pPr>
                    <w:ind w:firstLine="360"/>
                    <w:jc w:val="both"/>
                    <w:rPr>
                      <w:szCs w:val="24"/>
                      <w:lang w:eastAsia="lt-LT"/>
                    </w:rPr>
                  </w:pPr>
                  <w:r>
                    <w:rPr>
                      <w:szCs w:val="24"/>
                      <w:lang w:eastAsia="lt-LT"/>
                    </w:rPr>
                    <w:t>Vertinant išvardintas priežastis atsiskleidė tobulintinos sritys: pedagogų kompetencijų plėtra, tėvų įsitraukimo sprendžiant vaikų ugdymosi ir elgesio problemas didinimas, bendradarbiavimo skatinimas, švietimo pagalbos specialistų poreikio tenkinimas, fizinės aplinkos ir ugdymo(si) priemonių pritaikymo užtikrinimas, bendruomenės švietimas ir socialinės atskirties mažinimas.</w:t>
                  </w:r>
                </w:p>
                <w:p>
                  <w:pPr>
                    <w:ind w:firstLine="360"/>
                    <w:jc w:val="center"/>
                    <w:rPr>
                      <w:b/>
                      <w:szCs w:val="24"/>
                      <w:lang w:eastAsia="lt-LT"/>
                    </w:rPr>
                  </w:pPr>
                </w:p>
              </w:sdtContent>
            </w:sdt>
          </w:sdtContent>
        </w:sdt>
        <w:sdt>
          <w:sdtPr>
            <w:alias w:val="skyrius"/>
            <w:tag w:val="part_ba0977a7122f499085c608764de787ab"/>
            <w:lock w:val="sdtLocked"/>
            <w:richText/>
          </w:sdtPr>
          <w:sdtContent>
            <w:p>
              <w:pPr>
                <w:ind w:firstLine="360"/>
                <w:jc w:val="center"/>
                <w:rPr>
                  <w:b/>
                  <w:szCs w:val="24"/>
                  <w:lang w:eastAsia="lt-LT"/>
                </w:rPr>
              </w:pPr>
              <w:sdt>
                <w:sdtPr>
                  <w:alias w:val="Numeris"/>
                  <w:tag w:val="nr_ba0977a7122f499085c608764de787ab"/>
                  <w:lock w:val="sdtLocked"/>
                  <w:richText/>
                </w:sdtPr>
                <w:sdtContent>
                  <w:r>
                    <w:rPr>
                      <w:b/>
                      <w:szCs w:val="24"/>
                      <w:lang w:eastAsia="lt-LT"/>
                    </w:rPr>
                    <w:t>III</w:t>
                  </w:r>
                </w:sdtContent>
              </w:sdt>
              <w:r>
                <w:rPr>
                  <w:b/>
                  <w:szCs w:val="24"/>
                  <w:lang w:eastAsia="lt-LT"/>
                </w:rPr>
                <w:t xml:space="preserve"> SKYRIUS</w:t>
              </w:r>
            </w:p>
            <w:p>
              <w:pPr>
                <w:ind w:firstLine="360"/>
                <w:jc w:val="center"/>
                <w:rPr>
                  <w:b/>
                  <w:szCs w:val="24"/>
                  <w:lang w:eastAsia="lt-LT"/>
                </w:rPr>
              </w:pPr>
            </w:p>
            <w:p>
              <w:pPr>
                <w:ind w:firstLine="360"/>
                <w:jc w:val="center"/>
                <w:rPr>
                  <w:b/>
                  <w:szCs w:val="24"/>
                  <w:lang w:eastAsia="lt-LT"/>
                </w:rPr>
              </w:pPr>
              <w:sdt>
                <w:sdtPr>
                  <w:alias w:val="Pavadinimas"/>
                  <w:tag w:val="title_ba0977a7122f499085c608764de787ab"/>
                  <w:lock w:val="sdtLocked"/>
                  <w:richText/>
                </w:sdtPr>
                <w:sdtContent>
                  <w:r>
                    <w:rPr>
                      <w:b/>
                      <w:szCs w:val="24"/>
                      <w:lang w:eastAsia="lt-LT"/>
                    </w:rPr>
                    <w:t>PASIRENGIMO ĮTRAUKČIAI TIKSLAS, UŽDAVINIAI, PRIEMONĖS, VYKDYTOJAI</w:t>
                  </w:r>
                </w:sdtContent>
              </w:sdt>
            </w:p>
            <w:p>
              <w:pPr>
                <w:ind w:firstLine="360"/>
                <w:jc w:val="center"/>
                <w:rPr>
                  <w:b/>
                  <w:szCs w:val="24"/>
                  <w:lang w:eastAsia="lt-LT"/>
                </w:rPr>
              </w:pPr>
            </w:p>
            <w:p>
              <w:pPr>
                <w:ind w:firstLine="360"/>
                <w:rPr>
                  <w:szCs w:val="24"/>
                  <w:lang w:eastAsia="lt-LT"/>
                </w:rPr>
              </w:pPr>
            </w:p>
            <w:p>
              <w:pPr>
                <w:ind w:firstLine="360"/>
                <w:jc w:val="both"/>
                <w:rPr>
                  <w:szCs w:val="24"/>
                  <w:lang w:eastAsia="lt-LT"/>
                </w:rPr>
              </w:pPr>
              <w:r>
                <w:rPr>
                  <w:b/>
                  <w:bCs/>
                  <w:color w:val="000000"/>
                  <w:szCs w:val="24"/>
                  <w:lang w:eastAsia="lt-LT"/>
                </w:rPr>
                <w:t xml:space="preserve">Tikslas </w:t>
              </w:r>
              <w:r>
                <w:rPr>
                  <w:bCs/>
                  <w:color w:val="000000"/>
                  <w:szCs w:val="24"/>
                  <w:lang w:eastAsia="lt-LT"/>
                </w:rPr>
                <w:t>–</w:t>
              </w:r>
              <w:r>
                <w:rPr>
                  <w:b/>
                  <w:bCs/>
                  <w:color w:val="000000"/>
                  <w:szCs w:val="24"/>
                  <w:lang w:eastAsia="lt-LT"/>
                </w:rPr>
                <w:t xml:space="preserve"> </w:t>
              </w:r>
              <w:r>
                <w:rPr>
                  <w:szCs w:val="24"/>
                  <w:lang w:eastAsia="lt-LT"/>
                </w:rPr>
                <w:t>nuosekliai, kryptingai pasirengti įtraukiajam ugdymui Telšių rajono ugdymo įstaigose atsižvelgiant į kiekvieno vaiko individualius poreikius ir gebėjimus, sudarant jų poreikius atitinkančias sąlygas, siekiant ugdymosi kokybės ir veiksmingumo.</w:t>
              </w:r>
            </w:p>
            <w:sdt>
              <w:sdtPr>
                <w:alias w:val="poskyris"/>
                <w:tag w:val="part_30d794b0412f4c9c8074b3a06e2d4a12"/>
                <w:lock w:val="sdtLocked"/>
                <w:richText/>
              </w:sdtPr>
              <w:sdtContent>
                <w:p>
                  <w:pPr>
                    <w:ind w:firstLine="360"/>
                    <w:rPr>
                      <w:szCs w:val="24"/>
                      <w:lang w:eastAsia="lt-LT"/>
                    </w:rPr>
                  </w:pPr>
                  <w:sdt>
                    <w:sdtPr>
                      <w:alias w:val="Pavadinimas"/>
                      <w:tag w:val="title_30d794b0412f4c9c8074b3a06e2d4a12"/>
                      <w:lock w:val="sdtLocked"/>
                      <w:richText/>
                    </w:sdtPr>
                    <w:sdtContent>
                      <w:r>
                        <w:rPr>
                          <w:b/>
                          <w:bCs/>
                          <w:color w:val="000000"/>
                          <w:szCs w:val="24"/>
                          <w:lang w:eastAsia="lt-LT"/>
                        </w:rPr>
                        <w:t>Uždaviniai:</w:t>
                      </w:r>
                    </w:sdtContent>
                  </w:sdt>
                </w:p>
                <w:sdt>
                  <w:sdtPr>
                    <w:alias w:val="1 p."/>
                    <w:tag w:val="part_3fc55921fdc9439ba93233ba1e322298"/>
                    <w:lock w:val="sdtLocked"/>
                    <w:richText/>
                  </w:sdtPr>
                  <w:sdtContent>
                    <w:p>
                      <w:pPr>
                        <w:tabs>
                          <w:tab w:val="left" w:pos="851"/>
                        </w:tabs>
                        <w:ind w:firstLine="360"/>
                        <w:rPr>
                          <w:szCs w:val="24"/>
                          <w:lang w:eastAsia="lt-LT"/>
                        </w:rPr>
                      </w:pPr>
                      <w:sdt>
                        <w:sdtPr>
                          <w:alias w:val="Numeris"/>
                          <w:tag w:val="nr_3fc55921fdc9439ba93233ba1e322298"/>
                          <w:lock w:val="sdtLocked"/>
                          <w:richText/>
                        </w:sdtPr>
                        <w:sdtContent>
                          <w:r>
                            <w:rPr>
                              <w:b/>
                              <w:color w:val="000000"/>
                              <w:szCs w:val="24"/>
                              <w:lang w:eastAsia="lt-LT"/>
                            </w:rPr>
                            <w:t>1</w:t>
                          </w:r>
                        </w:sdtContent>
                      </w:sdt>
                      <w:r>
                        <w:rPr>
                          <w:b/>
                          <w:color w:val="000000"/>
                          <w:szCs w:val="24"/>
                          <w:lang w:eastAsia="lt-LT"/>
                        </w:rPr>
                        <w:t>.</w:t>
                        <w:tab/>
                      </w:r>
                      <w:r>
                        <w:rPr>
                          <w:color w:val="000000"/>
                          <w:szCs w:val="24"/>
                          <w:lang w:eastAsia="lt-LT"/>
                        </w:rPr>
                        <w:t xml:space="preserve">išsiaiškinti, koks rajono ugdymo įstaigų pasirengimas ugdyti  bendrose grupėse </w:t>
                      </w:r>
                      <w:r>
                        <w:rPr>
                          <w:szCs w:val="24"/>
                          <w:lang w:eastAsia="lt-LT"/>
                        </w:rPr>
                        <w:t xml:space="preserve">vidutinių, didelių ir labai didelių </w:t>
                      </w:r>
                      <w:r>
                        <w:rPr>
                          <w:color w:val="000000"/>
                          <w:szCs w:val="24"/>
                          <w:lang w:eastAsia="lt-LT"/>
                        </w:rPr>
                        <w:t>specialiųjų</w:t>
                      </w:r>
                      <w:r>
                        <w:rPr>
                          <w:szCs w:val="24"/>
                          <w:lang w:eastAsia="lt-LT"/>
                        </w:rPr>
                        <w:t xml:space="preserve"> </w:t>
                      </w:r>
                      <w:r>
                        <w:rPr>
                          <w:color w:val="000000"/>
                          <w:szCs w:val="24"/>
                          <w:lang w:eastAsia="lt-LT"/>
                        </w:rPr>
                        <w:t>ugdymosi poreikių turinčius vaikus;</w:t>
                      </w:r>
                    </w:p>
                  </w:sdtContent>
                </w:sdt>
                <w:sdt>
                  <w:sdtPr>
                    <w:alias w:val="2 p."/>
                    <w:tag w:val="part_fb7c7ebdf92f43c7ada9c75bb3e15e56"/>
                    <w:lock w:val="sdtLocked"/>
                    <w:richText/>
                  </w:sdtPr>
                  <w:sdtContent>
                    <w:p>
                      <w:pPr>
                        <w:tabs>
                          <w:tab w:val="left" w:pos="851"/>
                        </w:tabs>
                        <w:ind w:left="1215" w:hanging="855"/>
                        <w:rPr>
                          <w:szCs w:val="24"/>
                          <w:lang w:eastAsia="lt-LT"/>
                        </w:rPr>
                      </w:pPr>
                      <w:sdt>
                        <w:sdtPr>
                          <w:alias w:val="Numeris"/>
                          <w:tag w:val="nr_fb7c7ebdf92f43c7ada9c75bb3e15e56"/>
                          <w:lock w:val="sdtLocked"/>
                          <w:richText/>
                        </w:sdtPr>
                        <w:sdtContent>
                          <w:r>
                            <w:rPr>
                              <w:b/>
                              <w:color w:val="000000"/>
                              <w:szCs w:val="24"/>
                              <w:lang w:eastAsia="lt-LT"/>
                            </w:rPr>
                            <w:t>2</w:t>
                          </w:r>
                        </w:sdtContent>
                      </w:sdt>
                      <w:r>
                        <w:rPr>
                          <w:b/>
                          <w:color w:val="000000"/>
                          <w:szCs w:val="24"/>
                          <w:lang w:eastAsia="lt-LT"/>
                        </w:rPr>
                        <w:t>.</w:t>
                        <w:tab/>
                      </w:r>
                      <w:r>
                        <w:rPr>
                          <w:color w:val="000000"/>
                          <w:szCs w:val="24"/>
                          <w:lang w:eastAsia="lt-LT"/>
                        </w:rPr>
                        <w:t>didinti pedagoginių darbuotojų kompetencijas įtraukiojo švietimo srityje;</w:t>
                      </w:r>
                    </w:p>
                  </w:sdtContent>
                </w:sdt>
                <w:sdt>
                  <w:sdtPr>
                    <w:alias w:val="3 p."/>
                    <w:tag w:val="part_4896f0a3203341468ca15ae21d3f8e31"/>
                    <w:lock w:val="sdtLocked"/>
                    <w:richText/>
                  </w:sdtPr>
                  <w:sdtContent>
                    <w:p>
                      <w:pPr>
                        <w:tabs>
                          <w:tab w:val="left" w:pos="851"/>
                        </w:tabs>
                        <w:ind w:left="1215" w:hanging="855"/>
                        <w:rPr>
                          <w:szCs w:val="24"/>
                          <w:lang w:eastAsia="lt-LT"/>
                        </w:rPr>
                      </w:pPr>
                      <w:sdt>
                        <w:sdtPr>
                          <w:alias w:val="Numeris"/>
                          <w:tag w:val="nr_4896f0a3203341468ca15ae21d3f8e31"/>
                          <w:lock w:val="sdtLocked"/>
                          <w:richText/>
                        </w:sdtPr>
                        <w:sdtContent>
                          <w:r>
                            <w:rPr>
                              <w:b/>
                              <w:color w:val="000000"/>
                              <w:szCs w:val="24"/>
                              <w:lang w:eastAsia="lt-LT"/>
                            </w:rPr>
                            <w:t>3</w:t>
                          </w:r>
                        </w:sdtContent>
                      </w:sdt>
                      <w:r>
                        <w:rPr>
                          <w:b/>
                          <w:color w:val="000000"/>
                          <w:szCs w:val="24"/>
                          <w:lang w:eastAsia="lt-LT"/>
                        </w:rPr>
                        <w:t>.</w:t>
                        <w:tab/>
                      </w:r>
                      <w:r>
                        <w:rPr>
                          <w:color w:val="000000"/>
                          <w:szCs w:val="24"/>
                          <w:lang w:eastAsia="lt-LT"/>
                        </w:rPr>
                        <w:t>užtikrinti švietimo pagalbos prieinamumą kiekvienam SUP vaikui steigiant pagal poreikį</w:t>
                      </w:r>
                    </w:p>
                    <w:p>
                      <w:pPr>
                        <w:rPr>
                          <w:szCs w:val="24"/>
                          <w:lang w:eastAsia="lt-LT"/>
                        </w:rPr>
                      </w:pPr>
                      <w:r>
                        <w:rPr>
                          <w:color w:val="000000"/>
                          <w:szCs w:val="24"/>
                          <w:lang w:eastAsia="lt-LT"/>
                        </w:rPr>
                        <w:t>švietimo specialistų etatus;</w:t>
                      </w:r>
                    </w:p>
                  </w:sdtContent>
                </w:sdt>
                <w:sdt>
                  <w:sdtPr>
                    <w:alias w:val="4 p."/>
                    <w:tag w:val="part_1160cf33c73f41338d96db811e2798ab"/>
                    <w:lock w:val="sdtLocked"/>
                    <w:richText/>
                  </w:sdtPr>
                  <w:sdtContent>
                    <w:p>
                      <w:pPr>
                        <w:tabs>
                          <w:tab w:val="left" w:pos="851"/>
                        </w:tabs>
                        <w:ind w:left="1215" w:hanging="855"/>
                        <w:rPr>
                          <w:szCs w:val="24"/>
                          <w:lang w:eastAsia="lt-LT"/>
                        </w:rPr>
                      </w:pPr>
                      <w:sdt>
                        <w:sdtPr>
                          <w:alias w:val="Numeris"/>
                          <w:tag w:val="nr_1160cf33c73f41338d96db811e2798ab"/>
                          <w:lock w:val="sdtLocked"/>
                          <w:richText/>
                        </w:sdtPr>
                        <w:sdtContent>
                          <w:r>
                            <w:rPr>
                              <w:b/>
                              <w:color w:val="000000"/>
                              <w:szCs w:val="24"/>
                              <w:lang w:eastAsia="lt-LT"/>
                            </w:rPr>
                            <w:t>4</w:t>
                          </w:r>
                        </w:sdtContent>
                      </w:sdt>
                      <w:r>
                        <w:rPr>
                          <w:b/>
                          <w:color w:val="000000"/>
                          <w:szCs w:val="24"/>
                          <w:lang w:eastAsia="lt-LT"/>
                        </w:rPr>
                        <w:t>.</w:t>
                        <w:tab/>
                      </w:r>
                      <w:r>
                        <w:rPr>
                          <w:szCs w:val="24"/>
                          <w:lang w:eastAsia="lt-LT"/>
                        </w:rPr>
                        <w:t>pritaikyti ugdymo aplinką ir priemones įvairių ugdymosi poreikių turintiems mokiniams;</w:t>
                      </w:r>
                    </w:p>
                  </w:sdtContent>
                </w:sdt>
                <w:sdt>
                  <w:sdtPr>
                    <w:alias w:val="5 p."/>
                    <w:tag w:val="part_5e2dab7f0e474eb89d619f89478e180a"/>
                    <w:lock w:val="sdtLocked"/>
                    <w:richText/>
                  </w:sdtPr>
                  <w:sdtContent>
                    <w:p>
                      <w:pPr>
                        <w:tabs>
                          <w:tab w:val="left" w:pos="851"/>
                        </w:tabs>
                        <w:ind w:left="1215" w:hanging="855"/>
                        <w:rPr>
                          <w:szCs w:val="24"/>
                          <w:lang w:eastAsia="lt-LT"/>
                        </w:rPr>
                      </w:pPr>
                      <w:sdt>
                        <w:sdtPr>
                          <w:alias w:val="Numeris"/>
                          <w:tag w:val="nr_5e2dab7f0e474eb89d619f89478e180a"/>
                          <w:lock w:val="sdtLocked"/>
                          <w:richText/>
                        </w:sdtPr>
                        <w:sdtContent>
                          <w:r>
                            <w:rPr>
                              <w:b/>
                              <w:color w:val="000000"/>
                              <w:szCs w:val="24"/>
                              <w:lang w:eastAsia="lt-LT"/>
                            </w:rPr>
                            <w:t>5</w:t>
                          </w:r>
                        </w:sdtContent>
                      </w:sdt>
                      <w:r>
                        <w:rPr>
                          <w:b/>
                          <w:color w:val="000000"/>
                          <w:szCs w:val="24"/>
                          <w:lang w:eastAsia="lt-LT"/>
                        </w:rPr>
                        <w:t>.</w:t>
                        <w:tab/>
                      </w:r>
                      <w:r>
                        <w:rPr>
                          <w:color w:val="000000"/>
                          <w:szCs w:val="24"/>
                          <w:lang w:eastAsia="lt-LT"/>
                        </w:rPr>
                        <w:t>formuoti teigiamas švietimo bendruomenės nuostatas į įtrauktį švietime;</w:t>
                      </w:r>
                    </w:p>
                  </w:sdtContent>
                </w:sdt>
                <w:sdt>
                  <w:sdtPr>
                    <w:alias w:val="6 p."/>
                    <w:tag w:val="part_21eb303acfa546c5bfd630672810b543"/>
                    <w:lock w:val="sdtLocked"/>
                    <w:richText/>
                  </w:sdtPr>
                  <w:sdtContent>
                    <w:p>
                      <w:pPr>
                        <w:tabs>
                          <w:tab w:val="left" w:pos="851"/>
                        </w:tabs>
                        <w:ind w:left="1215" w:hanging="855"/>
                        <w:rPr>
                          <w:szCs w:val="24"/>
                          <w:lang w:eastAsia="lt-LT"/>
                        </w:rPr>
                      </w:pPr>
                      <w:sdt>
                        <w:sdtPr>
                          <w:alias w:val="Numeris"/>
                          <w:tag w:val="nr_21eb303acfa546c5bfd630672810b543"/>
                          <w:lock w:val="sdtLocked"/>
                          <w:richText/>
                        </w:sdtPr>
                        <w:sdtContent>
                          <w:r>
                            <w:rPr>
                              <w:b/>
                              <w:color w:val="000000"/>
                              <w:szCs w:val="24"/>
                              <w:lang w:eastAsia="lt-LT"/>
                            </w:rPr>
                            <w:t>6</w:t>
                          </w:r>
                        </w:sdtContent>
                      </w:sdt>
                      <w:r>
                        <w:rPr>
                          <w:b/>
                          <w:color w:val="000000"/>
                          <w:szCs w:val="24"/>
                          <w:lang w:eastAsia="lt-LT"/>
                        </w:rPr>
                        <w:t>.</w:t>
                        <w:tab/>
                      </w:r>
                      <w:r>
                        <w:rPr>
                          <w:color w:val="000000"/>
                          <w:szCs w:val="24"/>
                          <w:lang w:eastAsia="lt-LT"/>
                        </w:rPr>
                        <w:t>skatinti įtraukiojo ugdymo strategijas, užtikrinant kiekvieno vaiko ugdymosi sėkmę.</w:t>
                      </w:r>
                    </w:p>
                    <w:p>
                      <w:pPr>
                        <w:ind w:firstLine="62"/>
                        <w:rPr>
                          <w:szCs w:val="24"/>
                          <w:lang w:eastAsia="lt-LT"/>
                        </w:rPr>
                      </w:pPr>
                    </w:p>
                  </w:sdtContent>
                </w:sdt>
              </w:sdtContent>
            </w:sdt>
            <w:sdt>
              <w:sdtPr>
                <w:alias w:val="poskyris"/>
                <w:tag w:val="part_608617716ccb4a219ffa7ebfca39b7be"/>
                <w:lock w:val="sdtLocked"/>
                <w:richText/>
              </w:sdtPr>
              <w:sdtContent>
                <w:p>
                  <w:pPr>
                    <w:jc w:val="center"/>
                    <w:rPr>
                      <w:szCs w:val="24"/>
                      <w:lang w:eastAsia="lt-LT"/>
                    </w:rPr>
                  </w:pPr>
                  <w:sdt>
                    <w:sdtPr>
                      <w:alias w:val="Pavadinimas"/>
                      <w:tag w:val="title_608617716ccb4a219ffa7ebfca39b7be"/>
                      <w:lock w:val="sdtLocked"/>
                      <w:richText/>
                    </w:sdtPr>
                    <w:sdtContent>
                      <w:r>
                        <w:rPr>
                          <w:b/>
                          <w:bCs/>
                          <w:color w:val="000000"/>
                          <w:szCs w:val="24"/>
                          <w:lang w:eastAsia="lt-LT"/>
                        </w:rPr>
                        <w:t>Pasirengimo įtraukčiai priemonių planas</w:t>
                      </w:r>
                    </w:sdtContent>
                  </w:sdt>
                </w:p>
                <w:p>
                  <w:pPr>
                    <w:rPr>
                      <w:sz w:val="20"/>
                    </w:rPr>
                  </w:pPr>
                </w:p>
                <w:tbl>
                  <w:tblPr>
                    <w:tblW w:w="0" w:type="auto"/>
                    <w:tblCellMar>
                      <w:top w:w="15" w:type="dxa"/>
                      <w:left w:w="15" w:type="dxa"/>
                      <w:bottom w:w="15" w:type="dxa"/>
                      <w:right w:w="15" w:type="dxa"/>
                    </w:tblCellMar>
                    <w:tblLook w:val="04A0" w:firstRow="1" w:lastRow="0" w:firstColumn="1" w:lastColumn="0" w:noHBand="0" w:noVBand="1"/>
                  </w:tblPr>
                  <w:tblGrid>
                    <w:gridCol w:w="2450"/>
                    <w:gridCol w:w="1201"/>
                    <w:gridCol w:w="2129"/>
                    <w:gridCol w:w="3838"/>
                  </w:tblGrid>
                  <w:tr>
                    <w:trPr>
                      <w:trHeight w:val="53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720"/>
                          <w:rPr>
                            <w:szCs w:val="24"/>
                            <w:lang w:eastAsia="lt-LT"/>
                          </w:rPr>
                        </w:pPr>
                        <w:r>
                          <w:rPr>
                            <w:b/>
                            <w:bCs/>
                            <w:color w:val="000000"/>
                            <w:szCs w:val="24"/>
                            <w:lang w:eastAsia="lt-LT"/>
                          </w:rPr>
                          <w:t>Priemonės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jc w:val="center"/>
                          <w:rPr>
                            <w:szCs w:val="24"/>
                            <w:lang w:eastAsia="lt-LT"/>
                          </w:rPr>
                        </w:pPr>
                        <w:r>
                          <w:rPr>
                            <w:b/>
                            <w:bCs/>
                            <w:color w:val="000000"/>
                            <w:szCs w:val="24"/>
                            <w:lang w:eastAsia="lt-LT"/>
                          </w:rPr>
                          <w:t>Terminas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jc w:val="center"/>
                          <w:rPr>
                            <w:szCs w:val="24"/>
                            <w:lang w:eastAsia="lt-LT"/>
                          </w:rPr>
                        </w:pPr>
                        <w:r>
                          <w:rPr>
                            <w:b/>
                            <w:bCs/>
                            <w:color w:val="000000"/>
                            <w:szCs w:val="24"/>
                            <w:lang w:eastAsia="lt-LT"/>
                          </w:rPr>
                          <w:t>Atsakingi vykdytojai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right="-138"/>
                          <w:jc w:val="center"/>
                          <w:rPr>
                            <w:szCs w:val="24"/>
                            <w:lang w:eastAsia="lt-LT"/>
                          </w:rPr>
                        </w:pPr>
                        <w:r>
                          <w:rPr>
                            <w:b/>
                            <w:bCs/>
                            <w:color w:val="000000"/>
                            <w:szCs w:val="24"/>
                            <w:lang w:eastAsia="lt-LT"/>
                          </w:rPr>
                          <w:t>Laukiamas rezultatas</w:t>
                        </w:r>
                      </w:p>
                    </w:tc>
                  </w:tr>
                  <w:tr>
                    <w:trPr>
                      <w:trHeight w:val="677"/>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tabs>
                            <w:tab w:val="left" w:pos="720"/>
                          </w:tabs>
                          <w:ind w:left="720" w:hanging="360"/>
                          <w:textAlignment w:val="baseline"/>
                          <w:rPr>
                            <w:szCs w:val="24"/>
                            <w:lang w:eastAsia="lt-LT"/>
                          </w:rPr>
                        </w:pPr>
                        <w:r>
                          <w:rPr>
                            <w:szCs w:val="24"/>
                            <w:lang w:eastAsia="lt-LT"/>
                          </w:rPr>
                          <w:t>1.</w:t>
                          <w:tab/>
                        </w:r>
                        <w:r>
                          <w:rPr>
                            <w:b/>
                            <w:bCs/>
                            <w:color w:val="000000"/>
                            <w:szCs w:val="24"/>
                            <w:lang w:eastAsia="lt-LT"/>
                          </w:rPr>
                          <w:t xml:space="preserve">Uždavinys. </w:t>
                        </w:r>
                        <w:r>
                          <w:rPr>
                            <w:color w:val="000000"/>
                            <w:szCs w:val="24"/>
                            <w:lang w:eastAsia="lt-LT"/>
                          </w:rPr>
                          <w:t xml:space="preserve">Išsiaiškinti, koks rajono ugdymo įstaigų pasirengimas ugdyti  bendrose grupėse </w:t>
                        </w:r>
                        <w:r>
                          <w:rPr>
                            <w:szCs w:val="24"/>
                            <w:lang w:eastAsia="lt-LT"/>
                          </w:rPr>
                          <w:t xml:space="preserve">vidutinių, didelių ir labai didelių </w:t>
                        </w:r>
                        <w:r>
                          <w:rPr>
                            <w:color w:val="000000"/>
                            <w:szCs w:val="24"/>
                            <w:lang w:eastAsia="lt-LT"/>
                          </w:rPr>
                          <w:t>specialiųjų</w:t>
                        </w:r>
                        <w:r>
                          <w:rPr>
                            <w:szCs w:val="24"/>
                            <w:lang w:eastAsia="lt-LT"/>
                          </w:rPr>
                          <w:t xml:space="preserve"> </w:t>
                        </w:r>
                        <w:r>
                          <w:rPr>
                            <w:color w:val="000000"/>
                            <w:szCs w:val="24"/>
                            <w:lang w:eastAsia="lt-LT"/>
                          </w:rPr>
                          <w:t>ugdymosi poreikių turinčius vaikus</w:t>
                        </w:r>
                      </w:p>
                    </w:tc>
                  </w:tr>
                  <w:tr>
                    <w:trPr>
                      <w:trHeight w:val="213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1.1. Situacijos analizė</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2022</w:t>
                        </w:r>
                        <w:r>
                          <w:rPr>
                            <w:bCs/>
                            <w:color w:val="000000"/>
                            <w:szCs w:val="24"/>
                            <w:lang w:eastAsia="lt-LT"/>
                          </w:rPr>
                          <w:t>–</w:t>
                        </w:r>
                        <w:r>
                          <w:rPr>
                            <w:color w:val="000000"/>
                            <w:szCs w:val="24"/>
                            <w:lang w:eastAsia="lt-LT"/>
                          </w:rPr>
                          <w:t>2024 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Telšių rajono savivaldybės administracijos Švietimo ir sporto skyrius,</w:t>
                        </w:r>
                      </w:p>
                      <w:p>
                        <w:pPr>
                          <w:rPr>
                            <w:szCs w:val="24"/>
                            <w:lang w:eastAsia="lt-LT"/>
                          </w:rPr>
                        </w:pPr>
                        <w:r>
                          <w:rPr>
                            <w:color w:val="000000"/>
                            <w:szCs w:val="24"/>
                            <w:lang w:eastAsia="lt-LT"/>
                          </w:rPr>
                          <w:t>Telšių švietimo centro PPT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Atlikta bendrųjų ugdymo duomenų analizė.</w:t>
                        </w:r>
                      </w:p>
                      <w:p>
                        <w:pPr>
                          <w:rPr>
                            <w:szCs w:val="24"/>
                            <w:lang w:eastAsia="lt-LT"/>
                          </w:rPr>
                        </w:pPr>
                        <w:r>
                          <w:rPr>
                            <w:color w:val="000000"/>
                            <w:szCs w:val="24"/>
                            <w:lang w:eastAsia="lt-LT"/>
                          </w:rPr>
                          <w:t>Anketinė rajono ugdymo įstaigų apklausa dėl įstaigos pasirengimo įtraukiajam ugdymui.</w:t>
                        </w:r>
                      </w:p>
                      <w:p>
                        <w:pPr>
                          <w:rPr>
                            <w:szCs w:val="24"/>
                            <w:lang w:eastAsia="lt-LT"/>
                          </w:rPr>
                        </w:pPr>
                        <w:r>
                          <w:rPr>
                            <w:color w:val="000000"/>
                            <w:szCs w:val="24"/>
                            <w:lang w:eastAsia="lt-LT"/>
                          </w:rPr>
                          <w:t>Švietimo pagalbos poreikio ir prieinamumo analizė.</w:t>
                        </w:r>
                      </w:p>
                      <w:p>
                        <w:pPr>
                          <w:rPr>
                            <w:szCs w:val="24"/>
                            <w:lang w:eastAsia="lt-LT"/>
                          </w:rPr>
                        </w:pPr>
                        <w:r>
                          <w:rPr>
                            <w:color w:val="000000"/>
                            <w:szCs w:val="24"/>
                            <w:lang w:eastAsia="lt-LT"/>
                          </w:rPr>
                          <w:t>Švietimo pagalbos gavėjų sąrašų analizė, suderinimas, statistinės informacijos rinkimas.</w:t>
                        </w:r>
                      </w:p>
                    </w:tc>
                  </w:tr>
                  <w:tr>
                    <w:trPr>
                      <w:trHeight w:val="477"/>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tabs>
                            <w:tab w:val="left" w:pos="720"/>
                            <w:tab w:val="left" w:pos="851"/>
                          </w:tabs>
                          <w:ind w:left="720" w:hanging="360"/>
                          <w:rPr>
                            <w:szCs w:val="24"/>
                            <w:lang w:eastAsia="lt-LT"/>
                          </w:rPr>
                        </w:pPr>
                        <w:r>
                          <w:rPr>
                            <w:szCs w:val="24"/>
                            <w:lang w:eastAsia="lt-LT"/>
                          </w:rPr>
                          <w:t>2.</w:t>
                          <w:tab/>
                        </w:r>
                        <w:r>
                          <w:rPr>
                            <w:b/>
                            <w:bCs/>
                            <w:color w:val="000000"/>
                            <w:szCs w:val="24"/>
                            <w:lang w:eastAsia="lt-LT"/>
                          </w:rPr>
                          <w:t>Uždavinys.</w:t>
                        </w:r>
                        <w:r>
                          <w:rPr>
                            <w:color w:val="000000"/>
                            <w:szCs w:val="24"/>
                            <w:lang w:eastAsia="lt-LT"/>
                          </w:rPr>
                          <w:t xml:space="preserve"> Didinti pedagoginių darbuotojų kompetencijas įtraukiojo švietimo srityje</w:t>
                        </w:r>
                      </w:p>
                    </w:tc>
                  </w:tr>
                  <w:tr>
                    <w:trPr>
                      <w:trHeight w:val="204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2.1. Organizuoti mokymus mokytojams, švietimo pagalbos specialistams, tėvams, kitiems mokyklos bendruomenės nariams įtraukiojo ugdymo klausimais.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2023</w:t>
                        </w:r>
                        <w:r>
                          <w:rPr>
                            <w:bCs/>
                            <w:color w:val="000000"/>
                            <w:szCs w:val="24"/>
                            <w:lang w:eastAsia="lt-LT"/>
                          </w:rPr>
                          <w:t>–</w:t>
                        </w:r>
                        <w:r>
                          <w:rPr>
                            <w:color w:val="000000"/>
                            <w:szCs w:val="24"/>
                            <w:lang w:eastAsia="lt-LT"/>
                          </w:rPr>
                          <w:t>2024 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Telšių švietimo centras,</w:t>
                        </w:r>
                      </w:p>
                      <w:p>
                        <w:pPr>
                          <w:rPr>
                            <w:color w:val="00B050"/>
                            <w:szCs w:val="24"/>
                            <w:lang w:eastAsia="lt-LT"/>
                          </w:rPr>
                        </w:pPr>
                        <w:r>
                          <w:rPr>
                            <w:szCs w:val="24"/>
                            <w:lang w:eastAsia="lt-LT"/>
                          </w:rPr>
                          <w:t>ugdymo įstaigos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Suorganizuoti pagal poreikį mokymai įtraukiojo ugdymo organizavimo, mokymosi priemonių pritaikymo, universalaus dizaino ir kitais klausimais ugdymo įstaigų pedagoginiams darbuotojams, visi rajono ugdymo įstaigų pedagoginiai darbuotojai įgijo žinių, kėlė kvalifikaciją įtraukties, socialinės atskirties mažinimo klausimais.</w:t>
                        </w:r>
                      </w:p>
                      <w:p>
                        <w:pPr>
                          <w:rPr>
                            <w:color w:val="000000"/>
                            <w:szCs w:val="24"/>
                            <w:lang w:eastAsia="lt-LT"/>
                          </w:rPr>
                        </w:pPr>
                      </w:p>
                      <w:p>
                        <w:pPr>
                          <w:rPr>
                            <w:szCs w:val="24"/>
                            <w:lang w:eastAsia="lt-LT"/>
                          </w:rPr>
                        </w:pPr>
                      </w:p>
                    </w:tc>
                  </w:tr>
                  <w:tr>
                    <w:trPr>
                      <w:trHeight w:val="1444"/>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 xml:space="preserve">2.2. Organizuoti Mokytojų padėjėjų mokymus dėl pagalbos SUP vaikais teikimo pamokos metu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2023</w:t>
                        </w:r>
                        <w:r>
                          <w:rPr>
                            <w:bCs/>
                            <w:color w:val="000000"/>
                            <w:szCs w:val="24"/>
                            <w:lang w:eastAsia="lt-LT"/>
                          </w:rPr>
                          <w:t>–</w:t>
                        </w:r>
                        <w:r>
                          <w:rPr>
                            <w:color w:val="000000"/>
                            <w:szCs w:val="24"/>
                            <w:lang w:eastAsia="lt-LT"/>
                          </w:rPr>
                          <w:t>2024 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Telšių švietimo centras,</w:t>
                        </w:r>
                      </w:p>
                      <w:p>
                        <w:pPr>
                          <w:rPr>
                            <w:szCs w:val="24"/>
                            <w:lang w:eastAsia="lt-LT"/>
                          </w:rPr>
                        </w:pPr>
                        <w:r>
                          <w:rPr>
                            <w:color w:val="000000"/>
                            <w:szCs w:val="24"/>
                            <w:lang w:eastAsia="lt-LT"/>
                          </w:rPr>
                          <w:t>ugdymo įstaigos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Suorganizuoti mokymai  mokytojų padėjėjams apie pagalbos teikimą mokytojui ir SUP vaikui pamokos ir / ar kitų užsiėmimų metu:</w:t>
                        </w:r>
                      </w:p>
                      <w:p>
                        <w:pPr>
                          <w:ind w:left="781" w:hanging="360"/>
                          <w:rPr>
                            <w:color w:val="000000"/>
                            <w:szCs w:val="24"/>
                            <w:lang w:eastAsia="lt-LT"/>
                          </w:rPr>
                        </w:pPr>
                        <w:r>
                          <w:rPr>
                            <w:rFonts w:ascii="Symbol" w:hAnsi="Symbol"/>
                            <w:color w:val="000000"/>
                            <w:szCs w:val="24"/>
                            <w:lang w:eastAsia="lt-LT"/>
                          </w:rPr>
                          <w:t></w:t>
                          <w:tab/>
                        </w:r>
                        <w:r>
                          <w:rPr>
                            <w:color w:val="000000"/>
                            <w:szCs w:val="24"/>
                            <w:lang w:eastAsia="lt-LT"/>
                          </w:rPr>
                          <w:t>ikimokyklinio ugdymo įstaigų mokytojo padėjėjams;</w:t>
                        </w:r>
                      </w:p>
                      <w:p>
                        <w:pPr>
                          <w:ind w:left="781" w:hanging="360"/>
                          <w:rPr>
                            <w:szCs w:val="24"/>
                            <w:lang w:eastAsia="lt-LT"/>
                          </w:rPr>
                        </w:pPr>
                        <w:r>
                          <w:rPr>
                            <w:rFonts w:ascii="Symbol" w:hAnsi="Symbol"/>
                            <w:szCs w:val="24"/>
                            <w:lang w:eastAsia="lt-LT"/>
                          </w:rPr>
                          <w:t></w:t>
                          <w:tab/>
                        </w:r>
                        <w:r>
                          <w:rPr>
                            <w:color w:val="000000"/>
                            <w:szCs w:val="24"/>
                            <w:lang w:eastAsia="lt-LT"/>
                          </w:rPr>
                          <w:t xml:space="preserve">bendro ugdymo įstaigų mokytojo padėjėjams. </w:t>
                        </w:r>
                      </w:p>
                    </w:tc>
                  </w:tr>
                  <w:tr>
                    <w:trPr>
                      <w:trHeight w:val="148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2.3. Metodinės konsultacinės pagalbos stiprinimas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58" w:hanging="58"/>
                          <w:rPr>
                            <w:szCs w:val="24"/>
                            <w:lang w:eastAsia="lt-LT"/>
                          </w:rPr>
                        </w:pPr>
                        <w:r>
                          <w:rPr>
                            <w:color w:val="000000"/>
                            <w:szCs w:val="24"/>
                            <w:lang w:eastAsia="lt-LT"/>
                          </w:rPr>
                          <w:t>2023</w:t>
                        </w:r>
                        <w:r>
                          <w:rPr>
                            <w:bCs/>
                            <w:color w:val="000000"/>
                            <w:szCs w:val="24"/>
                            <w:lang w:eastAsia="lt-LT"/>
                          </w:rPr>
                          <w:t>–</w:t>
                        </w:r>
                        <w:r>
                          <w:rPr>
                            <w:color w:val="000000"/>
                            <w:szCs w:val="24"/>
                            <w:lang w:eastAsia="lt-LT"/>
                          </w:rPr>
                          <w:t>2024 m.</w:t>
                        </w:r>
                        <w:r>
                          <w:rPr>
                            <w:b/>
                            <w:bCs/>
                            <w:color w:val="000000"/>
                            <w:szCs w:val="24"/>
                            <w:lang w:eastAsia="lt-LT"/>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Telšių švietimo centras,</w:t>
                        </w:r>
                      </w:p>
                      <w:p>
                        <w:pPr>
                          <w:rPr>
                            <w:szCs w:val="24"/>
                            <w:lang w:eastAsia="lt-LT"/>
                          </w:rPr>
                        </w:pPr>
                        <w:r>
                          <w:rPr>
                            <w:color w:val="000000"/>
                            <w:szCs w:val="24"/>
                            <w:lang w:eastAsia="lt-LT"/>
                          </w:rPr>
                          <w:t>ugdymo įstaigos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 xml:space="preserve">Organizuojamos  konsultacijos  mokyklų metodinių grupių pirmininkams.</w:t>
                        </w:r>
                      </w:p>
                      <w:p>
                        <w:pPr>
                          <w:rPr>
                            <w:color w:val="000000"/>
                            <w:szCs w:val="24"/>
                            <w:lang w:eastAsia="lt-LT"/>
                          </w:rPr>
                        </w:pPr>
                        <w:r>
                          <w:rPr>
                            <w:color w:val="000000"/>
                            <w:szCs w:val="24"/>
                            <w:lang w:eastAsia="lt-LT"/>
                          </w:rPr>
                          <w:t xml:space="preserve">Pagal poreikį teikiamos konsultacijos mokytojams, mokytojų padėjėjams, tėvams. </w:t>
                        </w:r>
                      </w:p>
                      <w:p>
                        <w:pPr>
                          <w:rPr>
                            <w:szCs w:val="24"/>
                            <w:lang w:eastAsia="lt-LT"/>
                          </w:rPr>
                        </w:pPr>
                        <w:r>
                          <w:rPr>
                            <w:color w:val="000000"/>
                            <w:szCs w:val="24"/>
                            <w:lang w:eastAsia="lt-LT"/>
                          </w:rPr>
                          <w:t>Mokyklose organizuojami susitikimai, šviečiamieji renginiai tėvams.</w:t>
                        </w:r>
                      </w:p>
                    </w:tc>
                  </w:tr>
                  <w:tr>
                    <w:trPr>
                      <w:trHeight w:val="210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 xml:space="preserve">2.4. Organizuoti susitikimus </w:t>
                        </w:r>
                        <w:r>
                          <w:rPr>
                            <w:bCs/>
                            <w:color w:val="000000"/>
                            <w:szCs w:val="24"/>
                            <w:lang w:eastAsia="lt-LT"/>
                          </w:rPr>
                          <w:t>–</w:t>
                        </w:r>
                        <w:r>
                          <w:rPr>
                            <w:color w:val="000000"/>
                            <w:szCs w:val="24"/>
                            <w:lang w:eastAsia="lt-LT"/>
                          </w:rPr>
                          <w:t xml:space="preserve"> konkrečių atvejų aptarimus su  ugdymo įstaigų Vaiko gerovės komisijomis, mokytojais, atvejo vadybininkais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2023</w:t>
                        </w:r>
                        <w:r>
                          <w:rPr>
                            <w:bCs/>
                            <w:color w:val="000000"/>
                            <w:szCs w:val="24"/>
                            <w:lang w:eastAsia="lt-LT"/>
                          </w:rPr>
                          <w:t>–</w:t>
                        </w:r>
                        <w:r>
                          <w:rPr>
                            <w:color w:val="000000"/>
                            <w:szCs w:val="24"/>
                            <w:lang w:eastAsia="lt-LT"/>
                          </w:rPr>
                          <w:t>2024 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Telšių švietimo centro PPT,</w:t>
                        </w:r>
                      </w:p>
                      <w:p>
                        <w:pPr>
                          <w:rPr>
                            <w:color w:val="000000"/>
                            <w:szCs w:val="24"/>
                            <w:lang w:eastAsia="lt-LT"/>
                          </w:rPr>
                        </w:pPr>
                        <w:r>
                          <w:rPr>
                            <w:color w:val="000000"/>
                            <w:szCs w:val="24"/>
                            <w:lang w:eastAsia="lt-LT"/>
                          </w:rPr>
                          <w:t xml:space="preserve">Telšių rajono savivaldybės administracijos tarpinsitucinio bendradarbiavimo koordinatorius, </w:t>
                        </w:r>
                      </w:p>
                      <w:p>
                        <w:pPr>
                          <w:rPr>
                            <w:szCs w:val="24"/>
                            <w:lang w:eastAsia="lt-LT"/>
                          </w:rPr>
                        </w:pPr>
                        <w:r>
                          <w:rPr>
                            <w:color w:val="000000"/>
                            <w:szCs w:val="24"/>
                            <w:lang w:eastAsia="lt-LT"/>
                          </w:rPr>
                          <w:t>ugdymo įstaigos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Bus suteikta kompleksinė, tikslinė PPT specialistų pagalba mokyklų bendruomenėms, atvejo vadybininkams, kai susiduriama su sudėtingais vidutinių, didelių ar labai didelių specialiųjų ugdymosi poreikių turinčių mokinių įtraukties atvejais. </w:t>
                        </w:r>
                      </w:p>
                      <w:p>
                        <w:pPr>
                          <w:rPr>
                            <w:szCs w:val="24"/>
                            <w:lang w:eastAsia="lt-LT"/>
                          </w:rPr>
                        </w:pPr>
                      </w:p>
                    </w:tc>
                  </w:tr>
                  <w:tr>
                    <w:trPr>
                      <w:trHeight w:val="210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 xml:space="preserve">2.4. </w:t>
                        </w:r>
                        <w:r>
                          <w:rPr>
                            <w:szCs w:val="24"/>
                            <w:lang w:eastAsia="lt-LT"/>
                          </w:rPr>
                          <w:t>Mokyklų</w:t>
                        </w:r>
                        <w:r>
                          <w:rPr>
                            <w:color w:val="00B050"/>
                            <w:szCs w:val="24"/>
                            <w:lang w:eastAsia="lt-LT"/>
                          </w:rPr>
                          <w:t xml:space="preserve"> </w:t>
                        </w:r>
                        <w:r>
                          <w:rPr>
                            <w:color w:val="000000"/>
                            <w:szCs w:val="24"/>
                            <w:lang w:eastAsia="lt-LT"/>
                          </w:rPr>
                          <w:t>Vaiko gerovės komisijų  veiklos aktyvinimas, stiprinimas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58" w:firstLine="1"/>
                          <w:rPr>
                            <w:szCs w:val="24"/>
                            <w:lang w:eastAsia="lt-LT"/>
                          </w:rPr>
                        </w:pPr>
                        <w:r>
                          <w:rPr>
                            <w:color w:val="000000"/>
                            <w:szCs w:val="24"/>
                            <w:lang w:eastAsia="lt-LT"/>
                          </w:rPr>
                          <w:t>2023</w:t>
                        </w:r>
                        <w:r>
                          <w:rPr>
                            <w:bCs/>
                            <w:color w:val="000000"/>
                            <w:szCs w:val="24"/>
                            <w:lang w:eastAsia="lt-LT"/>
                          </w:rPr>
                          <w:t>–</w:t>
                        </w:r>
                        <w:r>
                          <w:rPr>
                            <w:color w:val="000000"/>
                            <w:szCs w:val="24"/>
                            <w:lang w:eastAsia="lt-LT"/>
                          </w:rPr>
                          <w:t>2024 m.</w:t>
                        </w:r>
                        <w:r>
                          <w:rPr>
                            <w:b/>
                            <w:bCs/>
                            <w:color w:val="000000"/>
                            <w:szCs w:val="24"/>
                            <w:lang w:eastAsia="lt-LT"/>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Telšių švietimo centras,</w:t>
                        </w:r>
                      </w:p>
                      <w:p>
                        <w:pPr>
                          <w:rPr>
                            <w:color w:val="000000"/>
                            <w:szCs w:val="24"/>
                            <w:lang w:eastAsia="lt-LT"/>
                          </w:rPr>
                        </w:pPr>
                        <w:r>
                          <w:rPr>
                            <w:color w:val="000000"/>
                            <w:szCs w:val="24"/>
                            <w:lang w:eastAsia="lt-LT"/>
                          </w:rPr>
                          <w:t>Telšių rajono savivaldybės administracijos Švietimo ir sporto skyrius,</w:t>
                        </w:r>
                      </w:p>
                      <w:p>
                        <w:pPr>
                          <w:rPr>
                            <w:szCs w:val="24"/>
                            <w:lang w:eastAsia="lt-LT"/>
                          </w:rPr>
                        </w:pPr>
                        <w:r>
                          <w:rPr>
                            <w:color w:val="000000"/>
                            <w:szCs w:val="24"/>
                            <w:lang w:eastAsia="lt-LT"/>
                          </w:rPr>
                          <w:t>Telšių rajono savivaldybės administracijos tarpinstitucinio bendradarbiavimo koordinatorius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Suorganizuoti mokymai mokyklų vaiko gerovės komisijų nariams,</w:t>
                        </w:r>
                      </w:p>
                      <w:p>
                        <w:pPr>
                          <w:rPr>
                            <w:color w:val="000000"/>
                            <w:szCs w:val="24"/>
                            <w:lang w:eastAsia="lt-LT"/>
                          </w:rPr>
                        </w:pPr>
                        <w:r>
                          <w:rPr>
                            <w:color w:val="000000"/>
                            <w:szCs w:val="24"/>
                            <w:lang w:eastAsia="lt-LT"/>
                          </w:rPr>
                          <w:t>mokyklų vaiko gerovės komisijų pirmininkų pasitarimai (2),</w:t>
                        </w:r>
                      </w:p>
                      <w:p>
                        <w:pPr>
                          <w:rPr>
                            <w:color w:val="000000"/>
                            <w:szCs w:val="24"/>
                            <w:lang w:eastAsia="lt-LT"/>
                          </w:rPr>
                        </w:pPr>
                        <w:r>
                          <w:rPr>
                            <w:color w:val="000000"/>
                            <w:szCs w:val="24"/>
                            <w:lang w:eastAsia="lt-LT"/>
                          </w:rPr>
                          <w:t>apvalaus stalo diskusija.</w:t>
                        </w:r>
                      </w:p>
                      <w:p>
                        <w:pPr>
                          <w:rPr>
                            <w:szCs w:val="24"/>
                            <w:lang w:eastAsia="lt-LT"/>
                          </w:rPr>
                        </w:pPr>
                        <w:r>
                          <w:rPr>
                            <w:color w:val="000000"/>
                            <w:szCs w:val="24"/>
                            <w:lang w:eastAsia="lt-LT"/>
                          </w:rPr>
                          <w:t>Vykdoma gerosios patirties sklaida.</w:t>
                        </w:r>
                      </w:p>
                    </w:tc>
                  </w:tr>
                  <w:tr>
                    <w:trPr>
                      <w:trHeight w:val="156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szCs w:val="24"/>
                            <w:lang w:eastAsia="lt-LT"/>
                          </w:rPr>
                          <w:t xml:space="preserve">2.5. Gerosios patirties sklaida bendrojo ugdymo įstaigų   SUP mokinių įtraukties klausimais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60" w:hanging="1"/>
                          <w:rPr>
                            <w:szCs w:val="24"/>
                            <w:lang w:eastAsia="lt-LT"/>
                          </w:rPr>
                        </w:pPr>
                        <w:r>
                          <w:rPr>
                            <w:color w:val="000000"/>
                            <w:szCs w:val="24"/>
                            <w:lang w:eastAsia="lt-LT"/>
                          </w:rPr>
                          <w:t>2023</w:t>
                        </w:r>
                        <w:r>
                          <w:rPr>
                            <w:bCs/>
                            <w:color w:val="000000"/>
                            <w:szCs w:val="24"/>
                            <w:lang w:eastAsia="lt-LT"/>
                          </w:rPr>
                          <w:t>–</w:t>
                        </w:r>
                        <w:r>
                          <w:rPr>
                            <w:color w:val="000000"/>
                            <w:szCs w:val="24"/>
                            <w:lang w:eastAsia="lt-LT"/>
                          </w:rPr>
                          <w:t>2024 m.</w:t>
                        </w:r>
                        <w:r>
                          <w:rPr>
                            <w:b/>
                            <w:bCs/>
                            <w:color w:val="000000"/>
                            <w:szCs w:val="24"/>
                            <w:lang w:eastAsia="lt-LT"/>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Telšių švietimo centras,</w:t>
                        </w:r>
                      </w:p>
                      <w:p>
                        <w:pPr>
                          <w:rPr>
                            <w:color w:val="000000"/>
                            <w:szCs w:val="24"/>
                            <w:lang w:eastAsia="lt-LT"/>
                          </w:rPr>
                        </w:pPr>
                        <w:r>
                          <w:rPr>
                            <w:color w:val="000000"/>
                            <w:szCs w:val="24"/>
                            <w:lang w:eastAsia="lt-LT"/>
                          </w:rPr>
                          <w:t>Telšių rajono savivaldybės administracijos Švietimo ir sporto skyrius,</w:t>
                        </w:r>
                      </w:p>
                      <w:p>
                        <w:pPr>
                          <w:ind w:left="12" w:hanging="17"/>
                          <w:rPr>
                            <w:color w:val="000000"/>
                            <w:szCs w:val="24"/>
                            <w:lang w:eastAsia="lt-LT"/>
                          </w:rPr>
                        </w:pPr>
                        <w:r>
                          <w:rPr>
                            <w:color w:val="000000"/>
                            <w:szCs w:val="24"/>
                            <w:lang w:eastAsia="lt-LT"/>
                          </w:rPr>
                          <w:t>Telšių rajono savivaldybės administracijos tarpinstitucinio bendradarbiavimo koordinatorius, </w:t>
                        </w:r>
                      </w:p>
                      <w:p>
                        <w:pPr>
                          <w:ind w:left="12" w:hanging="17"/>
                          <w:rPr>
                            <w:szCs w:val="24"/>
                            <w:lang w:eastAsia="lt-LT"/>
                          </w:rPr>
                        </w:pPr>
                        <w:r>
                          <w:rPr>
                            <w:color w:val="000000"/>
                            <w:szCs w:val="24"/>
                            <w:lang w:eastAsia="lt-LT"/>
                          </w:rPr>
                          <w:t>ugdymo įstaigos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Bendrojo ugdymo įstaigų vadovai aptars įtraukties klausimus.</w:t>
                        </w:r>
                      </w:p>
                      <w:p>
                        <w:pPr>
                          <w:rPr>
                            <w:szCs w:val="24"/>
                            <w:lang w:eastAsia="lt-LT"/>
                          </w:rPr>
                        </w:pPr>
                        <w:r>
                          <w:rPr>
                            <w:color w:val="000000"/>
                            <w:szCs w:val="24"/>
                            <w:lang w:eastAsia="lt-LT"/>
                          </w:rPr>
                          <w:t xml:space="preserve">Gerosios patirties sklaida per ugdymo įstaigų vadovų pasitarimus,  </w:t>
                        </w:r>
                        <w:r>
                          <w:rPr>
                            <w:szCs w:val="24"/>
                            <w:lang w:eastAsia="lt-LT"/>
                          </w:rPr>
                          <w:t xml:space="preserve">dalykų mokytojų, švietimo pagalbos specialistų metodinių  grupių </w:t>
                        </w:r>
                        <w:r>
                          <w:rPr>
                            <w:color w:val="000000"/>
                            <w:szCs w:val="24"/>
                            <w:lang w:eastAsia="lt-LT"/>
                          </w:rPr>
                          <w:t xml:space="preserve">pasitarimus, </w:t>
                        </w:r>
                        <w:r>
                          <w:rPr>
                            <w:szCs w:val="24"/>
                            <w:lang w:eastAsia="lt-LT"/>
                          </w:rPr>
                          <w:t>atvejo vadybos posėdžius.</w:t>
                        </w:r>
                      </w:p>
                      <w:p>
                        <w:pPr>
                          <w:rPr>
                            <w:szCs w:val="24"/>
                            <w:lang w:eastAsia="lt-LT"/>
                          </w:rPr>
                        </w:pPr>
                      </w:p>
                    </w:tc>
                  </w:tr>
                  <w:tr>
                    <w:trPr>
                      <w:trHeight w:val="129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szCs w:val="24"/>
                            <w:lang w:eastAsia="lt-LT"/>
                          </w:rPr>
                          <w:t xml:space="preserve">2.6. Dėl specialistų perkvalifikavimo, jaunų specialistų pritraukimo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60" w:hanging="1"/>
                          <w:rPr>
                            <w:szCs w:val="24"/>
                            <w:lang w:eastAsia="lt-LT"/>
                          </w:rPr>
                        </w:pPr>
                        <w:r>
                          <w:rPr>
                            <w:color w:val="000000"/>
                            <w:szCs w:val="24"/>
                            <w:lang w:eastAsia="lt-LT"/>
                          </w:rPr>
                          <w:t>2023</w:t>
                        </w:r>
                        <w:r>
                          <w:rPr>
                            <w:bCs/>
                            <w:color w:val="000000"/>
                            <w:szCs w:val="24"/>
                            <w:lang w:eastAsia="lt-LT"/>
                          </w:rPr>
                          <w:t>–</w:t>
                        </w:r>
                        <w:r>
                          <w:rPr>
                            <w:color w:val="000000"/>
                            <w:szCs w:val="24"/>
                            <w:lang w:eastAsia="lt-LT"/>
                          </w:rPr>
                          <w:t>2024 m.</w:t>
                        </w:r>
                        <w:r>
                          <w:rPr>
                            <w:b/>
                            <w:bCs/>
                            <w:color w:val="000000"/>
                            <w:szCs w:val="24"/>
                            <w:lang w:eastAsia="lt-LT"/>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firstLine="104"/>
                          <w:rPr>
                            <w:color w:val="000000"/>
                            <w:szCs w:val="24"/>
                            <w:lang w:eastAsia="lt-LT"/>
                          </w:rPr>
                        </w:pPr>
                        <w:r>
                          <w:rPr>
                            <w:color w:val="000000"/>
                            <w:szCs w:val="24"/>
                            <w:lang w:eastAsia="lt-LT"/>
                          </w:rPr>
                          <w:t xml:space="preserve">Telšių rajono savivaldybės administracijos Švietimo ir sporto skyrius, </w:t>
                        </w:r>
                      </w:p>
                      <w:p>
                        <w:pPr>
                          <w:rPr>
                            <w:color w:val="000000"/>
                            <w:szCs w:val="24"/>
                            <w:lang w:eastAsia="lt-LT"/>
                          </w:rPr>
                        </w:pPr>
                        <w:r>
                          <w:rPr>
                            <w:color w:val="000000"/>
                            <w:szCs w:val="24"/>
                            <w:lang w:eastAsia="lt-LT"/>
                          </w:rPr>
                          <w:t>ugdymo įstaigos</w:t>
                        </w:r>
                      </w:p>
                      <w:p>
                        <w:pPr>
                          <w:ind w:firstLine="104"/>
                          <w:rPr>
                            <w:color w:val="000000"/>
                            <w:szCs w:val="24"/>
                            <w:lang w:eastAsia="lt-LT"/>
                          </w:rPr>
                        </w:pPr>
                      </w:p>
                      <w:p>
                        <w:pPr>
                          <w:ind w:firstLine="104"/>
                          <w:rPr>
                            <w:szCs w:val="24"/>
                            <w:lang w:eastAsia="lt-LT"/>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79" w:firstLine="62"/>
                          <w:rPr>
                            <w:color w:val="000000"/>
                            <w:szCs w:val="24"/>
                            <w:lang w:eastAsia="lt-LT"/>
                          </w:rPr>
                        </w:pPr>
                        <w:r>
                          <w:rPr>
                            <w:color w:val="000000"/>
                            <w:szCs w:val="24"/>
                            <w:lang w:eastAsia="lt-LT"/>
                          </w:rPr>
                          <w:t xml:space="preserve">Ugdymo įstaigos įvertins mokyklų švietimo pagalbos specialistų poreikį ir galimybes perkvalifikuoti kitus pedagoginius darbuotojus. </w:t>
                        </w:r>
                      </w:p>
                      <w:p>
                        <w:pPr>
                          <w:ind w:left="79"/>
                          <w:rPr>
                            <w:color w:val="00B050"/>
                            <w:szCs w:val="24"/>
                            <w:lang w:eastAsia="lt-LT"/>
                          </w:rPr>
                        </w:pPr>
                        <w:r>
                          <w:rPr>
                            <w:color w:val="000000"/>
                            <w:szCs w:val="24"/>
                            <w:lang w:eastAsia="lt-LT"/>
                          </w:rPr>
                          <w:t xml:space="preserve">Siekiant tenkinti švietimo pagalbos poreikį bus vertinama savivaldybės situacija ir atitinkamai numatomos biudžeto lėšos, skirtos, </w:t>
                        </w:r>
                        <w:r>
                          <w:rPr>
                            <w:szCs w:val="24"/>
                            <w:lang w:eastAsia="lt-LT"/>
                          </w:rPr>
                          <w:t xml:space="preserve">persikvalifikavimo studijoms, specialistams pritraukti. </w:t>
                        </w:r>
                      </w:p>
                    </w:tc>
                  </w:tr>
                  <w:tr>
                    <w:trPr>
                      <w:trHeight w:val="183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bCs/>
                            <w:color w:val="000000"/>
                            <w:szCs w:val="24"/>
                            <w:lang w:eastAsia="lt-LT"/>
                          </w:rPr>
                          <w:t xml:space="preserve">2.7. </w:t>
                        </w:r>
                        <w:r>
                          <w:rPr>
                            <w:szCs w:val="24"/>
                            <w:lang w:eastAsia="lt-LT"/>
                          </w:rPr>
                          <w:t>„Tūkstantmečio mokyklų“ programos Telšių rajono savivaldybės švietimo pažangos plane numatytos priemonės dėl įtraukiojo ugdymo įgyvendinimo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bCs/>
                            <w:color w:val="000000"/>
                            <w:szCs w:val="24"/>
                            <w:lang w:eastAsia="lt-LT"/>
                          </w:rPr>
                          <w:t>2023–2024 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130" w:hanging="42"/>
                          <w:rPr>
                            <w:szCs w:val="24"/>
                            <w:lang w:eastAsia="lt-LT"/>
                          </w:rPr>
                        </w:pPr>
                        <w:r>
                          <w:rPr>
                            <w:szCs w:val="24"/>
                            <w:lang w:eastAsia="lt-LT"/>
                          </w:rPr>
                          <w:t>Telšių „Atžalyno“ progimnazija</w:t>
                        </w:r>
                      </w:p>
                      <w:p>
                        <w:pPr>
                          <w:ind w:left="130" w:firstLine="20"/>
                          <w:rPr>
                            <w:szCs w:val="24"/>
                            <w:lang w:eastAsia="lt-LT"/>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Kvalifikacijos tobulinimo veiklos mokyklų bendruomenėms.</w:t>
                        </w:r>
                      </w:p>
                      <w:p>
                        <w:pPr>
                          <w:ind w:firstLine="62"/>
                          <w:rPr>
                            <w:szCs w:val="24"/>
                            <w:lang w:eastAsia="lt-LT"/>
                          </w:rPr>
                        </w:pPr>
                        <w:r>
                          <w:rPr>
                            <w:color w:val="000000"/>
                            <w:szCs w:val="24"/>
                            <w:lang w:eastAsia="lt-LT"/>
                          </w:rPr>
                          <w:t>Mokyklų aplinkų ugdymui pritaikymas, aprūpinimas metodine medžiaga ir priemonėmis. </w:t>
                        </w:r>
                      </w:p>
                    </w:tc>
                  </w:tr>
                  <w:tr>
                    <w:trPr>
                      <w:trHeight w:val="664"/>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tabs>
                            <w:tab w:val="left" w:pos="426"/>
                          </w:tabs>
                          <w:textAlignment w:val="baseline"/>
                          <w:rPr>
                            <w:bCs/>
                            <w:color w:val="000000"/>
                            <w:szCs w:val="24"/>
                            <w:lang w:eastAsia="lt-LT"/>
                          </w:rPr>
                        </w:pPr>
                        <w:r>
                          <w:rPr>
                            <w:bCs/>
                            <w:color w:val="000000"/>
                            <w:szCs w:val="24"/>
                            <w:lang w:eastAsia="lt-LT"/>
                          </w:rPr>
                          <w:t>3.</w:t>
                          <w:tab/>
                        </w:r>
                        <w:r>
                          <w:rPr>
                            <w:b/>
                            <w:bCs/>
                            <w:color w:val="000000"/>
                            <w:szCs w:val="24"/>
                            <w:lang w:eastAsia="lt-LT"/>
                          </w:rPr>
                          <w:t xml:space="preserve">Uždavinys. </w:t>
                        </w:r>
                        <w:r>
                          <w:rPr>
                            <w:bCs/>
                            <w:color w:val="000000"/>
                            <w:szCs w:val="24"/>
                            <w:lang w:eastAsia="lt-LT"/>
                          </w:rPr>
                          <w:t xml:space="preserve">Užtikrinti švietimo pagalbos prieinamumą kiekvienam SUP vaikui </w:t>
                        </w:r>
                        <w:r>
                          <w:rPr>
                            <w:color w:val="000000"/>
                            <w:szCs w:val="24"/>
                            <w:lang w:eastAsia="lt-LT"/>
                          </w:rPr>
                          <w:t>steigiant pagal poreikį</w:t>
                        </w:r>
                        <w:r>
                          <w:rPr>
                            <w:bCs/>
                            <w:color w:val="000000"/>
                            <w:szCs w:val="24"/>
                            <w:lang w:eastAsia="lt-LT"/>
                          </w:rPr>
                          <w:t xml:space="preserve"> </w:t>
                        </w:r>
                        <w:r>
                          <w:rPr>
                            <w:color w:val="000000"/>
                            <w:szCs w:val="24"/>
                            <w:lang w:eastAsia="lt-LT"/>
                          </w:rPr>
                          <w:t>švietimo specialistų etatus</w:t>
                        </w:r>
                      </w:p>
                    </w:tc>
                  </w:tr>
                  <w:tr>
                    <w:trPr>
                      <w:trHeight w:val="183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3.1. Steigti pagal poreikį švietimo pagalbos specialistų ir / ar mokytojų padėjėjų etatus  ugdymo įstaigose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23" w:hanging="19"/>
                          <w:rPr>
                            <w:szCs w:val="24"/>
                            <w:lang w:eastAsia="lt-LT"/>
                          </w:rPr>
                        </w:pPr>
                        <w:r>
                          <w:rPr>
                            <w:bCs/>
                            <w:color w:val="000000"/>
                            <w:szCs w:val="24"/>
                            <w:lang w:eastAsia="lt-LT"/>
                          </w:rPr>
                          <w:t>2023–2024 m.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130" w:firstLine="42"/>
                          <w:rPr>
                            <w:szCs w:val="24"/>
                            <w:lang w:eastAsia="lt-LT"/>
                          </w:rPr>
                        </w:pPr>
                        <w:r>
                          <w:rPr>
                            <w:color w:val="000000"/>
                            <w:szCs w:val="24"/>
                            <w:lang w:eastAsia="lt-LT"/>
                          </w:rPr>
                          <w:t>Telšių rajono savivaldybės administracijos Švietimo ir sporto skyrius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62" w:hanging="62"/>
                          <w:rPr>
                            <w:szCs w:val="24"/>
                            <w:lang w:eastAsia="lt-LT"/>
                          </w:rPr>
                        </w:pPr>
                        <w:r>
                          <w:rPr>
                            <w:szCs w:val="24"/>
                          </w:rPr>
                          <w:t xml:space="preserve">Pagal parengtus teisės aktus atnaujinti  Telšių rajono savivaldybės švietimo įstaigų etatų normatyvai.</w:t>
                        </w:r>
                      </w:p>
                      <w:p>
                        <w:pPr>
                          <w:ind w:left="62" w:hanging="62"/>
                          <w:rPr>
                            <w:szCs w:val="24"/>
                            <w:lang w:eastAsia="lt-LT"/>
                          </w:rPr>
                        </w:pPr>
                        <w:r>
                          <w:rPr>
                            <w:color w:val="000000"/>
                            <w:szCs w:val="24"/>
                            <w:lang w:eastAsia="lt-LT"/>
                          </w:rPr>
                          <w:t>Pagal poreikį, atsižvelgiant į ugdymo įstaigų prašymus, žmogiškuosius ir finansinius išteklius, ugdymo įstaigose steigiami švietimo pagalbos specialistų ir / ar specialiosios pagalbos (mokytojų padėjėjų) etatai.</w:t>
                        </w:r>
                      </w:p>
                    </w:tc>
                  </w:tr>
                  <w:tr>
                    <w:trPr>
                      <w:trHeight w:val="102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bCs/>
                            <w:color w:val="000000"/>
                            <w:szCs w:val="24"/>
                            <w:lang w:eastAsia="lt-LT"/>
                          </w:rPr>
                          <w:t>3.2.</w:t>
                        </w:r>
                        <w:r>
                          <w:rPr>
                            <w:b/>
                            <w:bCs/>
                            <w:color w:val="000000"/>
                            <w:szCs w:val="24"/>
                            <w:lang w:eastAsia="lt-LT"/>
                          </w:rPr>
                          <w:t xml:space="preserve"> </w:t>
                        </w:r>
                        <w:r>
                          <w:rPr>
                            <w:color w:val="000000"/>
                            <w:szCs w:val="24"/>
                            <w:lang w:eastAsia="lt-LT"/>
                          </w:rPr>
                          <w:t>Plėtoti mobilios švietimo pagalbos grupės paslaugas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23" w:hanging="23"/>
                          <w:rPr>
                            <w:szCs w:val="24"/>
                            <w:lang w:eastAsia="lt-LT"/>
                          </w:rPr>
                        </w:pPr>
                        <w:r>
                          <w:rPr>
                            <w:bCs/>
                            <w:color w:val="000000"/>
                            <w:szCs w:val="24"/>
                            <w:lang w:eastAsia="lt-LT"/>
                          </w:rPr>
                          <w:t>2023–2024 m.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131"/>
                          <w:rPr>
                            <w:color w:val="000000"/>
                            <w:szCs w:val="24"/>
                            <w:lang w:eastAsia="lt-LT"/>
                          </w:rPr>
                        </w:pPr>
                        <w:r>
                          <w:rPr>
                            <w:color w:val="000000"/>
                            <w:szCs w:val="24"/>
                            <w:lang w:eastAsia="lt-LT"/>
                          </w:rPr>
                          <w:t>Telšių švietimo centro Pedagoginė psichologinė tarnyba,</w:t>
                        </w:r>
                      </w:p>
                      <w:p>
                        <w:pPr>
                          <w:ind w:left="131"/>
                          <w:rPr>
                            <w:szCs w:val="24"/>
                            <w:lang w:eastAsia="lt-LT"/>
                          </w:rPr>
                        </w:pPr>
                        <w:r>
                          <w:rPr>
                            <w:color w:val="000000"/>
                            <w:szCs w:val="24"/>
                            <w:lang w:eastAsia="lt-LT"/>
                          </w:rPr>
                          <w:t>Telšių „Atžalyno“ progimnazija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61"/>
                          <w:rPr>
                            <w:szCs w:val="24"/>
                            <w:lang w:eastAsia="lt-LT"/>
                          </w:rPr>
                        </w:pPr>
                        <w:r>
                          <w:rPr>
                            <w:color w:val="000000"/>
                            <w:szCs w:val="24"/>
                            <w:lang w:eastAsia="lt-LT"/>
                          </w:rPr>
                          <w:t>Telšių švietimo centro PPT  Mobilios švietimo pagalbos grupė teikia pagal poreikį konsultacinę, informacinę, metodinę pagalbą mokyklų vaiko gerovės komisijoms, švietimo pagalbos specialistams, mokytojams, tėvams, socialiniams darbuotojams, dirbantiems su riziką patiriančiomis šeimomis, auginančiomis SUP vaikus.</w:t>
                        </w:r>
                      </w:p>
                    </w:tc>
                  </w:tr>
                  <w:tr>
                    <w:trPr>
                      <w:trHeight w:val="405"/>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tabs>
                            <w:tab w:val="left" w:pos="445"/>
                          </w:tabs>
                          <w:textAlignment w:val="baseline"/>
                          <w:rPr>
                            <w:bCs/>
                            <w:color w:val="000000"/>
                            <w:szCs w:val="24"/>
                            <w:lang w:eastAsia="lt-LT"/>
                          </w:rPr>
                        </w:pPr>
                        <w:r>
                          <w:rPr>
                            <w:bCs/>
                            <w:color w:val="000000"/>
                            <w:szCs w:val="24"/>
                            <w:lang w:eastAsia="lt-LT"/>
                          </w:rPr>
                          <w:t>4.</w:t>
                          <w:tab/>
                        </w:r>
                        <w:r>
                          <w:rPr>
                            <w:b/>
                            <w:bCs/>
                            <w:color w:val="000000"/>
                            <w:szCs w:val="24"/>
                            <w:lang w:eastAsia="lt-LT"/>
                          </w:rPr>
                          <w:t>Uždavinys.</w:t>
                        </w:r>
                        <w:r>
                          <w:rPr>
                            <w:bCs/>
                            <w:color w:val="000000"/>
                            <w:szCs w:val="24"/>
                            <w:lang w:eastAsia="lt-LT"/>
                          </w:rPr>
                          <w:t>  Užtikrinti mokyklos erdvių ir mokymo priemonių pritaikymą SUP vaikams</w:t>
                        </w:r>
                      </w:p>
                    </w:tc>
                  </w:tr>
                  <w:tr>
                    <w:trPr>
                      <w:trHeight w:val="722"/>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4.1. Švietimo įstaigų aplinkų modernizavimas ir pritaikymas SUP mokiniams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23" w:hanging="23"/>
                          <w:rPr>
                            <w:szCs w:val="24"/>
                            <w:lang w:eastAsia="lt-LT"/>
                          </w:rPr>
                        </w:pPr>
                        <w:r>
                          <w:rPr>
                            <w:bCs/>
                            <w:color w:val="000000"/>
                            <w:szCs w:val="24"/>
                            <w:lang w:eastAsia="lt-LT"/>
                          </w:rPr>
                          <w:t>2023–2024</w:t>
                        </w:r>
                        <w:r>
                          <w:rPr>
                            <w:b/>
                            <w:bCs/>
                            <w:color w:val="000000"/>
                            <w:szCs w:val="24"/>
                            <w:lang w:eastAsia="lt-LT"/>
                          </w:rPr>
                          <w:t xml:space="preserve"> </w:t>
                        </w:r>
                        <w:r>
                          <w:rPr>
                            <w:bCs/>
                            <w:color w:val="000000"/>
                            <w:szCs w:val="24"/>
                            <w:lang w:eastAsia="lt-LT"/>
                          </w:rPr>
                          <w:t>m.</w:t>
                        </w:r>
                        <w:r>
                          <w:rPr>
                            <w:b/>
                            <w:bCs/>
                            <w:color w:val="000000"/>
                            <w:szCs w:val="24"/>
                            <w:lang w:eastAsia="lt-LT"/>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37" w:firstLine="62"/>
                          <w:rPr>
                            <w:szCs w:val="24"/>
                            <w:lang w:eastAsia="lt-LT"/>
                          </w:rPr>
                        </w:pPr>
                        <w:r>
                          <w:rPr>
                            <w:szCs w:val="24"/>
                            <w:lang w:eastAsia="lt-LT"/>
                          </w:rPr>
                          <w:t>Ugdymo įstaigos,</w:t>
                        </w:r>
                      </w:p>
                      <w:p>
                        <w:pPr>
                          <w:ind w:left="52" w:hanging="15"/>
                          <w:rPr>
                            <w:szCs w:val="24"/>
                            <w:lang w:eastAsia="lt-LT"/>
                          </w:rPr>
                        </w:pPr>
                        <w:r>
                          <w:rPr>
                            <w:color w:val="000000"/>
                            <w:szCs w:val="24"/>
                            <w:lang w:eastAsia="lt-LT"/>
                          </w:rPr>
                          <w:t xml:space="preserve">Telšių rajono </w:t>
                        </w:r>
                        <w:r>
                          <w:rPr>
                            <w:szCs w:val="24"/>
                            <w:lang w:eastAsia="lt-LT"/>
                          </w:rPr>
                          <w:t>savivaldybės administracijos švietimo ir sporto skyrius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 xml:space="preserve">Kiekviena ugdymo įstaiga įsivertina realią įstaigos situaciją  dėl ugdymo vietos, mokymosi priemonių, poilsio ar nusiraminimo erdvių pritaikymo SUP vaikams ir pateikia siūlymus dėl lėšų poreikio.</w:t>
                        </w:r>
                      </w:p>
                      <w:p>
                        <w:pPr>
                          <w:rPr>
                            <w:szCs w:val="24"/>
                            <w:lang w:eastAsia="lt-LT"/>
                          </w:rPr>
                        </w:pPr>
                        <w:r>
                          <w:rPr>
                            <w:szCs w:val="24"/>
                            <w:lang w:eastAsia="lt-LT"/>
                          </w:rPr>
                          <w:t>Telšių rajono savivaldybės administracijos Švietimo ir sporto skyrius parengia Telšių rajono savivaldybės tarybos sprendimą dėl lėšų skyrimo mokykloms pritaikyti įtraukiajam ugdymui vykdyti.</w:t>
                        </w:r>
                      </w:p>
                    </w:tc>
                  </w:tr>
                  <w:tr>
                    <w:trPr>
                      <w:trHeight w:val="450"/>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tabs>
                            <w:tab w:val="left" w:pos="851"/>
                          </w:tabs>
                          <w:rPr>
                            <w:szCs w:val="24"/>
                            <w:lang w:eastAsia="lt-LT"/>
                          </w:rPr>
                        </w:pPr>
                        <w:r>
                          <w:rPr>
                            <w:b/>
                            <w:bCs/>
                            <w:color w:val="000000"/>
                            <w:szCs w:val="24"/>
                            <w:lang w:eastAsia="lt-LT"/>
                          </w:rPr>
                          <w:t xml:space="preserve">5. Uždavinys. </w:t>
                        </w:r>
                        <w:r>
                          <w:rPr>
                            <w:color w:val="000000"/>
                            <w:szCs w:val="24"/>
                            <w:lang w:eastAsia="lt-LT"/>
                          </w:rPr>
                          <w:t>Formuoti teigiamas švietimo bendruomenės nuostatas į įtrauktį švietime</w:t>
                        </w:r>
                      </w:p>
                      <w:p>
                        <w:pPr>
                          <w:rPr>
                            <w:szCs w:val="24"/>
                            <w:lang w:eastAsia="lt-LT"/>
                          </w:rPr>
                        </w:pPr>
                      </w:p>
                    </w:tc>
                  </w:tr>
                  <w:tr>
                    <w:trPr>
                      <w:trHeight w:val="236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szCs w:val="24"/>
                            <w:lang w:eastAsia="lt-LT"/>
                          </w:rPr>
                        </w:pPr>
                        <w:r>
                          <w:rPr>
                            <w:color w:val="000000"/>
                            <w:szCs w:val="24"/>
                            <w:lang w:eastAsia="lt-LT"/>
                          </w:rPr>
                          <w:t xml:space="preserve">5.1. Ugdymo įstaigų  prevenciniai renginiai, tėvų susirinkimai, tėvų dalyvavimo ir įsitraukimo didinimas, tarpinstitucinis bendradarbiavimas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137" w:hanging="10"/>
                          <w:rPr>
                            <w:szCs w:val="24"/>
                            <w:lang w:eastAsia="lt-LT"/>
                          </w:rPr>
                        </w:pPr>
                        <w:r>
                          <w:rPr>
                            <w:bCs/>
                            <w:color w:val="000000"/>
                            <w:szCs w:val="24"/>
                            <w:lang w:eastAsia="lt-LT"/>
                          </w:rPr>
                          <w:t>2023–2024</w:t>
                        </w:r>
                        <w:r>
                          <w:rPr>
                            <w:b/>
                            <w:bCs/>
                            <w:color w:val="000000"/>
                            <w:szCs w:val="24"/>
                            <w:lang w:eastAsia="lt-LT"/>
                          </w:rPr>
                          <w:t xml:space="preserve"> </w:t>
                        </w:r>
                        <w:r>
                          <w:rPr>
                            <w:bCs/>
                            <w:color w:val="000000"/>
                            <w:szCs w:val="24"/>
                            <w:lang w:eastAsia="lt-LT"/>
                          </w:rPr>
                          <w:t>m.</w:t>
                        </w:r>
                        <w:r>
                          <w:rPr>
                            <w:b/>
                            <w:bCs/>
                            <w:color w:val="000000"/>
                            <w:szCs w:val="24"/>
                            <w:lang w:eastAsia="lt-LT"/>
                          </w:rPr>
                          <w: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720" w:hanging="625"/>
                          <w:rPr>
                            <w:color w:val="000000"/>
                            <w:szCs w:val="24"/>
                            <w:lang w:eastAsia="lt-LT"/>
                          </w:rPr>
                        </w:pPr>
                        <w:r>
                          <w:rPr>
                            <w:color w:val="000000"/>
                            <w:szCs w:val="24"/>
                            <w:lang w:eastAsia="lt-LT"/>
                          </w:rPr>
                          <w:t>Ugdymo įstaigos,</w:t>
                        </w:r>
                      </w:p>
                      <w:p>
                        <w:pPr>
                          <w:ind w:left="37" w:firstLine="58"/>
                          <w:rPr>
                            <w:color w:val="000000"/>
                            <w:szCs w:val="24"/>
                            <w:lang w:eastAsia="lt-LT"/>
                          </w:rPr>
                        </w:pPr>
                        <w:r>
                          <w:rPr>
                            <w:color w:val="000000"/>
                            <w:szCs w:val="24"/>
                            <w:lang w:eastAsia="lt-LT"/>
                          </w:rPr>
                          <w:t>Telšių švietimo centro pedagoginė psichologinė tarnyba,</w:t>
                        </w:r>
                      </w:p>
                      <w:p>
                        <w:pPr>
                          <w:rPr>
                            <w:color w:val="00B050"/>
                            <w:szCs w:val="24"/>
                            <w:lang w:eastAsia="lt-LT"/>
                          </w:rPr>
                        </w:pPr>
                        <w:r>
                          <w:rPr>
                            <w:szCs w:val="24"/>
                            <w:lang w:eastAsia="lt-LT"/>
                          </w:rPr>
                          <w:t>Telšių rajono savivaldybės administracijos Švietimo ir sporto skyrius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rPr>
                            <w:color w:val="000000"/>
                            <w:szCs w:val="24"/>
                            <w:lang w:eastAsia="lt-LT"/>
                          </w:rPr>
                        </w:pPr>
                        <w:r>
                          <w:rPr>
                            <w:color w:val="000000"/>
                            <w:szCs w:val="24"/>
                            <w:lang w:eastAsia="lt-LT"/>
                          </w:rPr>
                          <w:t xml:space="preserve">Kiekviena įstaiga įgyvendina socialinių emocinių kompetencijų ugdymo  ir prevencines programas, įtraukties klausimus aptaria klasių tėvų susirinkimuose, organizuoja bendrus renginius su mokinių tėvais, socialiniais partneriais.</w:t>
                        </w:r>
                      </w:p>
                      <w:p>
                        <w:pPr>
                          <w:rPr>
                            <w:szCs w:val="24"/>
                            <w:lang w:eastAsia="lt-LT"/>
                          </w:rPr>
                        </w:pPr>
                        <w:r>
                          <w:rPr>
                            <w:szCs w:val="24"/>
                            <w:lang w:eastAsia="lt-LT"/>
                          </w:rPr>
                          <w:t>Savivaldybėje steigiama tėvų (globėjų, rūpintojų) savitarpio pagalbos grupė, siekiant tobulinti švietimo pagalbos teikimą vaikams.</w:t>
                        </w:r>
                      </w:p>
                      <w:p>
                        <w:pPr>
                          <w:rPr>
                            <w:color w:val="00B050"/>
                            <w:szCs w:val="24"/>
                            <w:lang w:eastAsia="lt-LT"/>
                          </w:rPr>
                        </w:pPr>
                        <w:r>
                          <w:rPr>
                            <w:szCs w:val="24"/>
                            <w:lang w:eastAsia="lt-LT"/>
                          </w:rPr>
                          <w:t>PPT specialistai susitinka su ugdymo įstaigų mokinių tėvų bendruomenėmis, dalyvauja tėvų susirinkimuose.</w:t>
                        </w:r>
                      </w:p>
                    </w:tc>
                  </w:tr>
                  <w:tr>
                    <w:trPr>
                      <w:trHeight w:val="595"/>
                    </w:trPr>
                    <w:tc>
                      <w:tcPr>
                        <w:tcW w:w="0" w:type="auto"/>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tabs>
                            <w:tab w:val="left" w:pos="851"/>
                          </w:tabs>
                          <w:rPr>
                            <w:szCs w:val="24"/>
                            <w:highlight w:val="yellow"/>
                            <w:lang w:eastAsia="lt-LT"/>
                          </w:rPr>
                        </w:pPr>
                        <w:r>
                          <w:rPr>
                            <w:szCs w:val="24"/>
                            <w:lang w:eastAsia="lt-LT"/>
                          </w:rPr>
                          <w:t>6.</w:t>
                        </w:r>
                        <w:r>
                          <w:rPr>
                            <w:b/>
                            <w:bCs/>
                            <w:color w:val="000000"/>
                            <w:szCs w:val="24"/>
                            <w:lang w:eastAsia="lt-LT"/>
                          </w:rPr>
                          <w:t xml:space="preserve"> Uždavinys. </w:t>
                        </w:r>
                        <w:r>
                          <w:rPr>
                            <w:color w:val="000000"/>
                            <w:szCs w:val="24"/>
                            <w:lang w:eastAsia="lt-LT"/>
                          </w:rPr>
                          <w:t>Skatinti įtraukiojo ugdymo strategijas, užtikrinant kiekvieno vaiko ugdymosi sėkmę.</w:t>
                        </w:r>
                      </w:p>
                    </w:tc>
                  </w:tr>
                  <w:tr>
                    <w:trPr>
                      <w:trHeight w:val="48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firstLine="62"/>
                          <w:rPr>
                            <w:szCs w:val="24"/>
                            <w:lang w:eastAsia="lt-LT"/>
                          </w:rPr>
                        </w:pPr>
                        <w:r>
                          <w:rPr>
                            <w:color w:val="000000"/>
                            <w:szCs w:val="24"/>
                            <w:lang w:eastAsia="lt-LT"/>
                          </w:rPr>
                          <w:t>6.1. Ugdymo įstaigos susitarimai dėl pagalbos ir / ar poveikio kiekvieno mokinio pažangai. (pažangos stebėjimas, analizavimas, reflektavimas, atsižvelgiant į individualias kiekvieno mokinio savybes ir raidą</w:t>
                        </w:r>
                        <w:r>
                          <w:rPr>
                            <w:b/>
                            <w:bCs/>
                            <w:color w:val="000000"/>
                            <w:szCs w:val="24"/>
                            <w:lang w:eastAsia="lt-LT"/>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137" w:firstLine="52"/>
                          <w:rPr>
                            <w:szCs w:val="24"/>
                            <w:lang w:eastAsia="lt-LT"/>
                          </w:rPr>
                        </w:pPr>
                        <w:r>
                          <w:rPr>
                            <w:bCs/>
                            <w:color w:val="000000"/>
                            <w:szCs w:val="24"/>
                            <w:lang w:eastAsia="lt-LT"/>
                          </w:rPr>
                          <w:t>2023–2024</w:t>
                        </w:r>
                        <w:r>
                          <w:rPr>
                            <w:b/>
                            <w:bCs/>
                            <w:color w:val="000000"/>
                            <w:szCs w:val="24"/>
                            <w:lang w:eastAsia="lt-LT"/>
                          </w:rPr>
                          <w:t xml:space="preserve"> </w:t>
                        </w:r>
                        <w:r>
                          <w:rPr>
                            <w:bCs/>
                            <w:color w:val="000000"/>
                            <w:szCs w:val="24"/>
                            <w:lang w:eastAsia="lt-LT"/>
                          </w:rPr>
                          <w:t>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720" w:hanging="683"/>
                          <w:rPr>
                            <w:color w:val="000000"/>
                            <w:szCs w:val="24"/>
                            <w:lang w:eastAsia="lt-LT"/>
                          </w:rPr>
                        </w:pPr>
                        <w:r>
                          <w:rPr>
                            <w:color w:val="000000"/>
                            <w:szCs w:val="24"/>
                            <w:lang w:eastAsia="lt-LT"/>
                          </w:rPr>
                          <w:t xml:space="preserve">Ugdymo įstaigos, </w:t>
                        </w:r>
                      </w:p>
                      <w:p>
                        <w:pPr>
                          <w:ind w:left="37" w:firstLine="62"/>
                          <w:rPr>
                            <w:szCs w:val="24"/>
                            <w:lang w:eastAsia="lt-LT"/>
                          </w:rPr>
                        </w:pPr>
                        <w:r>
                          <w:rPr>
                            <w:color w:val="000000"/>
                            <w:szCs w:val="24"/>
                            <w:lang w:eastAsia="lt-LT"/>
                          </w:rPr>
                          <w:t>Telšių švietimo centro pedagoginė psichologinė tarnyba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pPr>
                          <w:ind w:left="-2"/>
                          <w:rPr>
                            <w:szCs w:val="24"/>
                            <w:lang w:eastAsia="lt-LT"/>
                          </w:rPr>
                        </w:pPr>
                        <w:r>
                          <w:rPr>
                            <w:color w:val="000000"/>
                            <w:szCs w:val="24"/>
                            <w:lang w:eastAsia="lt-LT"/>
                          </w:rPr>
                          <w:t xml:space="preserve">Kiekviena ugdymo įstaiga, atsižvelgdama į SUP vaikų individualias reikmes,  rengia ugdymo programas,  turi ir įgyvendina asmeninės mokinio pažangos ir asmeninės ūgties stebėjimo sistemą, švietimo pagalbos mokiniui teikimo, reagavimo į patyčias ir smurto atvejus algoritmą.  </w:t>
                        </w:r>
                      </w:p>
                    </w:tc>
                  </w:tr>
                  <w:tr>
                    <w:trPr>
                      <w:trHeight w:val="48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b/>
                            <w:bCs/>
                            <w:color w:val="000000"/>
                            <w:szCs w:val="24"/>
                            <w:lang w:eastAsia="lt-LT"/>
                          </w:rPr>
                        </w:pPr>
                        <w:r>
                          <w:rPr>
                            <w:color w:val="000000"/>
                            <w:szCs w:val="24"/>
                            <w:lang w:eastAsia="lt-LT"/>
                          </w:rPr>
                          <w:t xml:space="preserve">6.2.  Pagalbos mokiniui pastoliavimo sistemos tobulinimas (ar nevertėtų atlikti inventorizacijos dėl esamos situacijos mokyklose, nes kai kur pastoliavimo sistema yra ir veikia)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ind w:left="24" w:hanging="29"/>
                          <w:rPr>
                            <w:b/>
                            <w:bCs/>
                            <w:color w:val="000000"/>
                            <w:szCs w:val="24"/>
                            <w:lang w:eastAsia="lt-LT"/>
                          </w:rPr>
                        </w:pPr>
                        <w:r>
                          <w:rPr>
                            <w:bCs/>
                            <w:color w:val="000000"/>
                            <w:szCs w:val="24"/>
                            <w:lang w:eastAsia="lt-LT"/>
                          </w:rPr>
                          <w:t>2023–2024</w:t>
                        </w:r>
                        <w:r>
                          <w:rPr>
                            <w:b/>
                            <w:bCs/>
                            <w:color w:val="000000"/>
                            <w:szCs w:val="24"/>
                            <w:lang w:eastAsia="lt-LT"/>
                          </w:rPr>
                          <w:t xml:space="preserve"> </w:t>
                        </w:r>
                        <w:r>
                          <w:rPr>
                            <w:bCs/>
                            <w:color w:val="000000"/>
                            <w:szCs w:val="24"/>
                            <w:lang w:eastAsia="lt-LT"/>
                          </w:rPr>
                          <w:t>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color w:val="000000"/>
                            <w:szCs w:val="24"/>
                            <w:lang w:eastAsia="lt-LT"/>
                          </w:rPr>
                        </w:pPr>
                        <w:r>
                          <w:rPr>
                            <w:color w:val="000000"/>
                            <w:szCs w:val="24"/>
                            <w:lang w:eastAsia="lt-LT"/>
                          </w:rPr>
                          <w:t xml:space="preserve">Telšių rajono savivaldybės administracijos Švietimo ir sporto skyrius </w:t>
                        </w:r>
                      </w:p>
                      <w:p>
                        <w:pPr>
                          <w:ind w:left="720"/>
                          <w:rPr>
                            <w:color w:val="000000"/>
                            <w:szCs w:val="24"/>
                            <w:lang w:eastAsia="lt-LT"/>
                          </w:rPr>
                        </w:pPr>
                      </w:p>
                      <w:p>
                        <w:pPr>
                          <w:rPr>
                            <w:color w:val="000000"/>
                            <w:szCs w:val="24"/>
                            <w:lang w:eastAsia="lt-LT"/>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ind w:left="116"/>
                          <w:rPr>
                            <w:color w:val="000000"/>
                            <w:szCs w:val="24"/>
                            <w:lang w:eastAsia="lt-LT"/>
                          </w:rPr>
                        </w:pPr>
                        <w:r>
                          <w:rPr>
                            <w:color w:val="000000"/>
                            <w:szCs w:val="24"/>
                            <w:lang w:eastAsia="lt-LT"/>
                          </w:rPr>
                          <w:t xml:space="preserve">Atliktas pastoliavimo sistemos ugdymo įstaigose vertinimas. Ugdymo įstaigoms pateiktos vertinimo išvados ir rekomendacijos. </w:t>
                        </w:r>
                      </w:p>
                    </w:tc>
                  </w:tr>
                </w:tbl>
                <w:p>
                  <w:pPr>
                    <w:rPr>
                      <w:szCs w:val="24"/>
                      <w:lang w:eastAsia="lt-LT"/>
                    </w:rPr>
                  </w:pPr>
                </w:p>
                <w:p>
                  <w:pPr>
                    <w:ind w:firstLine="546"/>
                    <w:rPr>
                      <w:szCs w:val="24"/>
                      <w:lang w:eastAsia="lt-LT"/>
                    </w:rPr>
                  </w:pPr>
                </w:p>
              </w:sdtContent>
            </w:sdt>
          </w:sdtContent>
        </w:sdt>
        <w:sdt>
          <w:sdtPr>
            <w:alias w:val="skyrius"/>
            <w:tag w:val="part_fd3fb67d20da45abb0f99a3fb86159f5"/>
            <w:lock w:val="sdtLocked"/>
            <w:richText/>
          </w:sdtPr>
          <w:sdtContent>
            <w:p>
              <w:pPr>
                <w:ind w:left="360"/>
                <w:jc w:val="center"/>
                <w:rPr>
                  <w:b/>
                  <w:szCs w:val="24"/>
                  <w:lang w:eastAsia="lt-LT"/>
                </w:rPr>
              </w:pPr>
              <w:r>
                <w:rPr>
                  <w:b/>
                  <w:szCs w:val="24"/>
                  <w:lang w:eastAsia="lt-LT"/>
                </w:rPr>
                <w:t>IV. SKYRIUS</w:t>
              </w:r>
            </w:p>
            <w:p>
              <w:pPr>
                <w:ind w:left="360"/>
                <w:jc w:val="center"/>
                <w:rPr>
                  <w:b/>
                  <w:szCs w:val="24"/>
                  <w:lang w:eastAsia="lt-LT"/>
                </w:rPr>
              </w:pPr>
              <w:sdt>
                <w:sdtPr>
                  <w:alias w:val="Pavadinimas"/>
                  <w:tag w:val="title_fd3fb67d20da45abb0f99a3fb86159f5"/>
                  <w:lock w:val="sdtLocked"/>
                  <w:richText/>
                </w:sdtPr>
                <w:sdtContent>
                  <w:r>
                    <w:rPr>
                      <w:b/>
                      <w:szCs w:val="24"/>
                      <w:lang w:eastAsia="lt-LT"/>
                    </w:rPr>
                    <w:t>BAIGIAMOSIOS NUOSTATOS</w:t>
                  </w:r>
                </w:sdtContent>
              </w:sdt>
            </w:p>
            <w:p>
              <w:pPr>
                <w:ind w:left="360"/>
                <w:jc w:val="center"/>
                <w:rPr>
                  <w:szCs w:val="24"/>
                  <w:lang w:eastAsia="lt-LT"/>
                </w:rPr>
              </w:pPr>
            </w:p>
            <w:sdt>
              <w:sdtPr>
                <w:alias w:val="9 p."/>
                <w:tag w:val="part_fb147268c13649b2bf07d9200ceed356"/>
                <w:lock w:val="sdtLocked"/>
                <w:richText/>
              </w:sdtPr>
              <w:sdtContent>
                <w:p>
                  <w:pPr>
                    <w:ind w:left="360"/>
                    <w:jc w:val="both"/>
                    <w:rPr>
                      <w:szCs w:val="24"/>
                      <w:lang w:eastAsia="lt-LT"/>
                    </w:rPr>
                  </w:pPr>
                  <w:sdt>
                    <w:sdtPr>
                      <w:alias w:val="Numeris"/>
                      <w:tag w:val="nr_fb147268c13649b2bf07d9200ceed356"/>
                      <w:lock w:val="sdtLocked"/>
                      <w:richText/>
                    </w:sdtPr>
                    <w:sdtContent>
                      <w:r>
                        <w:rPr>
                          <w:szCs w:val="24"/>
                          <w:lang w:eastAsia="lt-LT"/>
                        </w:rPr>
                        <w:t>9</w:t>
                      </w:r>
                    </w:sdtContent>
                  </w:sdt>
                  <w:r>
                    <w:rPr>
                      <w:szCs w:val="24"/>
                      <w:lang w:eastAsia="lt-LT"/>
                    </w:rPr>
                    <w:t>. Planas įgyvendinamas atsižvelgiant į Telšių rajono savivaldybės ugdymo įstaigų turimas lėšas. Telšių rajono savivaldybės biudžeto lėšas ir Europos Sąjungos fondų lėšas.</w:t>
                  </w:r>
                </w:p>
              </w:sdtContent>
            </w:sdt>
            <w:sdt>
              <w:sdtPr>
                <w:alias w:val="10 p."/>
                <w:tag w:val="part_d87e164099b14067bfb3ddc9625f6b33"/>
                <w:lock w:val="sdtLocked"/>
                <w:richText/>
              </w:sdtPr>
              <w:sdtContent>
                <w:p>
                  <w:pPr>
                    <w:ind w:left="360"/>
                    <w:jc w:val="both"/>
                    <w:rPr>
                      <w:szCs w:val="24"/>
                      <w:lang w:eastAsia="lt-LT"/>
                    </w:rPr>
                  </w:pPr>
                  <w:sdt>
                    <w:sdtPr>
                      <w:alias w:val="Numeris"/>
                      <w:tag w:val="nr_d87e164099b14067bfb3ddc9625f6b33"/>
                      <w:lock w:val="sdtLocked"/>
                      <w:richText/>
                    </w:sdtPr>
                    <w:sdtContent>
                      <w:r>
                        <w:rPr>
                          <w:szCs w:val="24"/>
                          <w:lang w:eastAsia="lt-LT"/>
                        </w:rPr>
                        <w:t>10</w:t>
                      </w:r>
                    </w:sdtContent>
                  </w:sdt>
                  <w:r>
                    <w:rPr>
                      <w:b/>
                      <w:szCs w:val="24"/>
                      <w:lang w:eastAsia="lt-LT"/>
                    </w:rPr>
                    <w:t>.</w:t>
                  </w:r>
                  <w:r>
                    <w:rPr>
                      <w:szCs w:val="24"/>
                      <w:lang w:eastAsia="lt-LT"/>
                    </w:rPr>
                    <w:t xml:space="preserve"> Plano įgyvendinimo analizę ir vertinimą atlieka Telšių rajono savivaldybės administracijos Švietimo ir sporto skyrius, Telšių švietimo centras.  11. Planas ir su juo susijusi informacija skelbiama Telšių rajono savivaldybės interneto svetainėje </w:t>
                  </w:r>
                  <w:r>
                    <w:rPr>
                      <w:color w:val="0000FF"/>
                      <w:szCs w:val="24"/>
                      <w:u w:val="single"/>
                      <w:lang w:eastAsia="lt-LT"/>
                    </w:rPr>
                    <w:t>www.telsiai.lt</w:t>
                  </w:r>
                  <w:r>
                    <w:rPr>
                      <w:color w:val="00B050"/>
                      <w:szCs w:val="24"/>
                      <w:lang w:eastAsia="lt-LT"/>
                    </w:rPr>
                    <w:t xml:space="preserve"> </w:t>
                  </w:r>
                  <w:r>
                    <w:rPr>
                      <w:szCs w:val="24"/>
                      <w:lang w:eastAsia="lt-LT"/>
                    </w:rPr>
                    <w:t xml:space="preserve">, Telšių švietimo centro interneto svetainėje </w:t>
                  </w:r>
                  <w:r>
                    <w:rPr>
                      <w:color w:val="0000FF"/>
                      <w:szCs w:val="24"/>
                      <w:u w:val="single"/>
                      <w:lang w:eastAsia="lt-LT"/>
                    </w:rPr>
                    <w:t>https://sctelsiai.lt</w:t>
                  </w:r>
                  <w:r>
                    <w:rPr>
                      <w:szCs w:val="24"/>
                      <w:lang w:eastAsia="lt-LT"/>
                    </w:rPr>
                    <w:t>.</w:t>
                  </w:r>
                </w:p>
                <w:p>
                  <w:pPr>
                    <w:ind w:left="360"/>
                    <w:jc w:val="both"/>
                    <w:rPr>
                      <w:szCs w:val="24"/>
                      <w:lang w:eastAsia="lt-LT"/>
                    </w:rPr>
                  </w:pPr>
                </w:p>
              </w:sdtContent>
            </w:sdt>
          </w:sdtContent>
        </w:sdt>
        <w:sdt>
          <w:sdtPr>
            <w:alias w:val="signatura"/>
            <w:tag w:val="part_e8d71022048c430aa87fc963ede35dec"/>
            <w:lock w:val="sdtLocked"/>
            <w:richText/>
          </w:sdtPr>
          <w:sdtContent>
            <w:p>
              <w:pPr>
                <w:jc w:val="center"/>
                <w:rPr>
                  <w:szCs w:val="24"/>
                  <w:lang w:eastAsia="lt-LT"/>
                </w:rPr>
              </w:pPr>
              <w:r>
                <w:rPr>
                  <w:szCs w:val="24"/>
                  <w:lang w:eastAsia="lt-LT"/>
                </w:rPr>
                <w:t>______________________</w:t>
              </w:r>
            </w:p>
            <w:p>
              <w:pPr>
                <w:ind w:left="360"/>
                <w:jc w:val="center"/>
                <w:rPr>
                  <w:szCs w:val="24"/>
                  <w:lang w:eastAsia="lt-LT"/>
                </w:rPr>
              </w:pPr>
            </w:p>
            <w:p>
              <w:pPr>
                <w:ind w:left="360"/>
                <w:jc w:val="center"/>
                <w:rPr>
                  <w:szCs w:val="24"/>
                  <w:lang w:eastAsia="lt-LT"/>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312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164938A-188D-4364-B9D7-6F89960059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636053">
      <w:bodyDiv w:val="1"/>
      <w:marLeft w:val="0"/>
      <w:marRight w:val="0"/>
      <w:marTop w:val="0"/>
      <w:marBottom w:val="0"/>
      <w:divBdr>
        <w:top w:val="none" w:sz="0" w:space="0" w:color="auto"/>
        <w:left w:val="none" w:sz="0" w:space="0" w:color="auto"/>
        <w:bottom w:val="none" w:sz="0" w:space="0" w:color="auto"/>
        <w:right w:val="none" w:sz="0" w:space="0" w:color="auto"/>
      </w:divBdr>
    </w:div>
    <w:div w:id="91247963">
      <w:bodyDiv w:val="1"/>
      <w:marLeft w:val="0"/>
      <w:marRight w:val="0"/>
      <w:marTop w:val="0"/>
      <w:marBottom w:val="0"/>
      <w:divBdr>
        <w:top w:val="none" w:sz="0" w:space="0" w:color="auto"/>
        <w:left w:val="none" w:sz="0" w:space="0" w:color="auto"/>
        <w:bottom w:val="none" w:sz="0" w:space="0" w:color="auto"/>
        <w:right w:val="none" w:sz="0" w:space="0" w:color="auto"/>
      </w:divBdr>
    </w:div>
    <w:div w:id="145974399">
      <w:bodyDiv w:val="1"/>
      <w:marLeft w:val="0"/>
      <w:marRight w:val="0"/>
      <w:marTop w:val="0"/>
      <w:marBottom w:val="0"/>
      <w:divBdr>
        <w:top w:val="none" w:sz="0" w:space="0" w:color="auto"/>
        <w:left w:val="none" w:sz="0" w:space="0" w:color="auto"/>
        <w:bottom w:val="none" w:sz="0" w:space="0" w:color="auto"/>
        <w:right w:val="none" w:sz="0" w:space="0" w:color="auto"/>
      </w:divBdr>
    </w:div>
    <w:div w:id="252976577">
      <w:bodyDiv w:val="1"/>
      <w:marLeft w:val="0"/>
      <w:marRight w:val="0"/>
      <w:marTop w:val="0"/>
      <w:marBottom w:val="0"/>
      <w:divBdr>
        <w:top w:val="none" w:sz="0" w:space="0" w:color="auto"/>
        <w:left w:val="none" w:sz="0" w:space="0" w:color="auto"/>
        <w:bottom w:val="none" w:sz="0" w:space="0" w:color="auto"/>
        <w:right w:val="none" w:sz="0" w:space="0" w:color="auto"/>
      </w:divBdr>
    </w:div>
    <w:div w:id="344215096">
      <w:bodyDiv w:val="1"/>
      <w:marLeft w:val="0"/>
      <w:marRight w:val="0"/>
      <w:marTop w:val="0"/>
      <w:marBottom w:val="0"/>
      <w:divBdr>
        <w:top w:val="none" w:sz="0" w:space="0" w:color="auto"/>
        <w:left w:val="none" w:sz="0" w:space="0" w:color="auto"/>
        <w:bottom w:val="none" w:sz="0" w:space="0" w:color="auto"/>
        <w:right w:val="none" w:sz="0" w:space="0" w:color="auto"/>
      </w:divBdr>
    </w:div>
    <w:div w:id="505707913">
      <w:bodyDiv w:val="1"/>
      <w:marLeft w:val="0"/>
      <w:marRight w:val="0"/>
      <w:marTop w:val="0"/>
      <w:marBottom w:val="0"/>
      <w:divBdr>
        <w:top w:val="none" w:sz="0" w:space="0" w:color="auto"/>
        <w:left w:val="none" w:sz="0" w:space="0" w:color="auto"/>
        <w:bottom w:val="none" w:sz="0" w:space="0" w:color="auto"/>
        <w:right w:val="none" w:sz="0" w:space="0" w:color="auto"/>
      </w:divBdr>
    </w:div>
    <w:div w:id="608123666">
      <w:bodyDiv w:val="1"/>
      <w:marLeft w:val="0"/>
      <w:marRight w:val="0"/>
      <w:marTop w:val="0"/>
      <w:marBottom w:val="0"/>
      <w:divBdr>
        <w:top w:val="none" w:sz="0" w:space="0" w:color="auto"/>
        <w:left w:val="none" w:sz="0" w:space="0" w:color="auto"/>
        <w:bottom w:val="none" w:sz="0" w:space="0" w:color="auto"/>
        <w:right w:val="none" w:sz="0" w:space="0" w:color="auto"/>
      </w:divBdr>
    </w:div>
    <w:div w:id="634334378">
      <w:bodyDiv w:val="1"/>
      <w:marLeft w:val="0"/>
      <w:marRight w:val="0"/>
      <w:marTop w:val="0"/>
      <w:marBottom w:val="0"/>
      <w:divBdr>
        <w:top w:val="none" w:sz="0" w:space="0" w:color="auto"/>
        <w:left w:val="none" w:sz="0" w:space="0" w:color="auto"/>
        <w:bottom w:val="none" w:sz="0" w:space="0" w:color="auto"/>
        <w:right w:val="none" w:sz="0" w:space="0" w:color="auto"/>
      </w:divBdr>
    </w:div>
    <w:div w:id="658727566">
      <w:bodyDiv w:val="1"/>
      <w:marLeft w:val="0"/>
      <w:marRight w:val="0"/>
      <w:marTop w:val="0"/>
      <w:marBottom w:val="0"/>
      <w:divBdr>
        <w:top w:val="none" w:sz="0" w:space="0" w:color="auto"/>
        <w:left w:val="none" w:sz="0" w:space="0" w:color="auto"/>
        <w:bottom w:val="none" w:sz="0" w:space="0" w:color="auto"/>
        <w:right w:val="none" w:sz="0" w:space="0" w:color="auto"/>
      </w:divBdr>
    </w:div>
    <w:div w:id="735470757">
      <w:bodyDiv w:val="1"/>
      <w:marLeft w:val="0"/>
      <w:marRight w:val="0"/>
      <w:marTop w:val="0"/>
      <w:marBottom w:val="0"/>
      <w:divBdr>
        <w:top w:val="none" w:sz="0" w:space="0" w:color="auto"/>
        <w:left w:val="none" w:sz="0" w:space="0" w:color="auto"/>
        <w:bottom w:val="none" w:sz="0" w:space="0" w:color="auto"/>
        <w:right w:val="none" w:sz="0" w:space="0" w:color="auto"/>
      </w:divBdr>
    </w:div>
    <w:div w:id="900748711">
      <w:bodyDiv w:val="1"/>
      <w:marLeft w:val="0"/>
      <w:marRight w:val="0"/>
      <w:marTop w:val="0"/>
      <w:marBottom w:val="0"/>
      <w:divBdr>
        <w:top w:val="none" w:sz="0" w:space="0" w:color="auto"/>
        <w:left w:val="none" w:sz="0" w:space="0" w:color="auto"/>
        <w:bottom w:val="none" w:sz="0" w:space="0" w:color="auto"/>
        <w:right w:val="none" w:sz="0" w:space="0" w:color="auto"/>
      </w:divBdr>
    </w:div>
    <w:div w:id="967517018">
      <w:bodyDiv w:val="1"/>
      <w:marLeft w:val="0"/>
      <w:marRight w:val="0"/>
      <w:marTop w:val="0"/>
      <w:marBottom w:val="0"/>
      <w:divBdr>
        <w:top w:val="none" w:sz="0" w:space="0" w:color="auto"/>
        <w:left w:val="none" w:sz="0" w:space="0" w:color="auto"/>
        <w:bottom w:val="none" w:sz="0" w:space="0" w:color="auto"/>
        <w:right w:val="none" w:sz="0" w:space="0" w:color="auto"/>
      </w:divBdr>
      <w:divsChild>
        <w:div w:id="568030794">
          <w:marLeft w:val="0"/>
          <w:marRight w:val="0"/>
          <w:marTop w:val="0"/>
          <w:marBottom w:val="0"/>
          <w:divBdr>
            <w:top w:val="none" w:sz="0" w:space="0" w:color="auto"/>
            <w:left w:val="none" w:sz="0" w:space="0" w:color="auto"/>
            <w:bottom w:val="none" w:sz="0" w:space="0" w:color="auto"/>
            <w:right w:val="none" w:sz="0" w:space="0" w:color="auto"/>
          </w:divBdr>
        </w:div>
        <w:div w:id="352264196">
          <w:marLeft w:val="0"/>
          <w:marRight w:val="0"/>
          <w:marTop w:val="0"/>
          <w:marBottom w:val="0"/>
          <w:divBdr>
            <w:top w:val="none" w:sz="0" w:space="0" w:color="auto"/>
            <w:left w:val="none" w:sz="0" w:space="0" w:color="auto"/>
            <w:bottom w:val="none" w:sz="0" w:space="0" w:color="auto"/>
            <w:right w:val="none" w:sz="0" w:space="0" w:color="auto"/>
          </w:divBdr>
        </w:div>
        <w:div w:id="1021204379">
          <w:marLeft w:val="0"/>
          <w:marRight w:val="0"/>
          <w:marTop w:val="0"/>
          <w:marBottom w:val="0"/>
          <w:divBdr>
            <w:top w:val="none" w:sz="0" w:space="0" w:color="auto"/>
            <w:left w:val="none" w:sz="0" w:space="0" w:color="auto"/>
            <w:bottom w:val="none" w:sz="0" w:space="0" w:color="auto"/>
            <w:right w:val="none" w:sz="0" w:space="0" w:color="auto"/>
          </w:divBdr>
        </w:div>
        <w:div w:id="2052418602">
          <w:marLeft w:val="0"/>
          <w:marRight w:val="0"/>
          <w:marTop w:val="0"/>
          <w:marBottom w:val="0"/>
          <w:divBdr>
            <w:top w:val="none" w:sz="0" w:space="0" w:color="auto"/>
            <w:left w:val="none" w:sz="0" w:space="0" w:color="auto"/>
            <w:bottom w:val="none" w:sz="0" w:space="0" w:color="auto"/>
            <w:right w:val="none" w:sz="0" w:space="0" w:color="auto"/>
          </w:divBdr>
        </w:div>
        <w:div w:id="924268159">
          <w:marLeft w:val="0"/>
          <w:marRight w:val="0"/>
          <w:marTop w:val="0"/>
          <w:marBottom w:val="0"/>
          <w:divBdr>
            <w:top w:val="none" w:sz="0" w:space="0" w:color="auto"/>
            <w:left w:val="none" w:sz="0" w:space="0" w:color="auto"/>
            <w:bottom w:val="none" w:sz="0" w:space="0" w:color="auto"/>
            <w:right w:val="none" w:sz="0" w:space="0" w:color="auto"/>
          </w:divBdr>
        </w:div>
        <w:div w:id="1250962215">
          <w:marLeft w:val="0"/>
          <w:marRight w:val="0"/>
          <w:marTop w:val="0"/>
          <w:marBottom w:val="0"/>
          <w:divBdr>
            <w:top w:val="none" w:sz="0" w:space="0" w:color="auto"/>
            <w:left w:val="none" w:sz="0" w:space="0" w:color="auto"/>
            <w:bottom w:val="none" w:sz="0" w:space="0" w:color="auto"/>
            <w:right w:val="none" w:sz="0" w:space="0" w:color="auto"/>
          </w:divBdr>
        </w:div>
        <w:div w:id="427193013">
          <w:marLeft w:val="0"/>
          <w:marRight w:val="0"/>
          <w:marTop w:val="0"/>
          <w:marBottom w:val="0"/>
          <w:divBdr>
            <w:top w:val="none" w:sz="0" w:space="0" w:color="auto"/>
            <w:left w:val="none" w:sz="0" w:space="0" w:color="auto"/>
            <w:bottom w:val="none" w:sz="0" w:space="0" w:color="auto"/>
            <w:right w:val="none" w:sz="0" w:space="0" w:color="auto"/>
          </w:divBdr>
        </w:div>
        <w:div w:id="1005011483">
          <w:marLeft w:val="0"/>
          <w:marRight w:val="0"/>
          <w:marTop w:val="0"/>
          <w:marBottom w:val="0"/>
          <w:divBdr>
            <w:top w:val="none" w:sz="0" w:space="0" w:color="auto"/>
            <w:left w:val="none" w:sz="0" w:space="0" w:color="auto"/>
            <w:bottom w:val="none" w:sz="0" w:space="0" w:color="auto"/>
            <w:right w:val="none" w:sz="0" w:space="0" w:color="auto"/>
          </w:divBdr>
        </w:div>
        <w:div w:id="713582199">
          <w:marLeft w:val="0"/>
          <w:marRight w:val="0"/>
          <w:marTop w:val="0"/>
          <w:marBottom w:val="0"/>
          <w:divBdr>
            <w:top w:val="none" w:sz="0" w:space="0" w:color="auto"/>
            <w:left w:val="none" w:sz="0" w:space="0" w:color="auto"/>
            <w:bottom w:val="none" w:sz="0" w:space="0" w:color="auto"/>
            <w:right w:val="none" w:sz="0" w:space="0" w:color="auto"/>
          </w:divBdr>
        </w:div>
        <w:div w:id="211502948">
          <w:marLeft w:val="0"/>
          <w:marRight w:val="0"/>
          <w:marTop w:val="0"/>
          <w:marBottom w:val="0"/>
          <w:divBdr>
            <w:top w:val="none" w:sz="0" w:space="0" w:color="auto"/>
            <w:left w:val="none" w:sz="0" w:space="0" w:color="auto"/>
            <w:bottom w:val="none" w:sz="0" w:space="0" w:color="auto"/>
            <w:right w:val="none" w:sz="0" w:space="0" w:color="auto"/>
          </w:divBdr>
        </w:div>
        <w:div w:id="1825393210">
          <w:marLeft w:val="0"/>
          <w:marRight w:val="0"/>
          <w:marTop w:val="0"/>
          <w:marBottom w:val="0"/>
          <w:divBdr>
            <w:top w:val="none" w:sz="0" w:space="0" w:color="auto"/>
            <w:left w:val="none" w:sz="0" w:space="0" w:color="auto"/>
            <w:bottom w:val="none" w:sz="0" w:space="0" w:color="auto"/>
            <w:right w:val="none" w:sz="0" w:space="0" w:color="auto"/>
          </w:divBdr>
        </w:div>
        <w:div w:id="542908486">
          <w:marLeft w:val="0"/>
          <w:marRight w:val="0"/>
          <w:marTop w:val="0"/>
          <w:marBottom w:val="0"/>
          <w:divBdr>
            <w:top w:val="none" w:sz="0" w:space="0" w:color="auto"/>
            <w:left w:val="none" w:sz="0" w:space="0" w:color="auto"/>
            <w:bottom w:val="none" w:sz="0" w:space="0" w:color="auto"/>
            <w:right w:val="none" w:sz="0" w:space="0" w:color="auto"/>
          </w:divBdr>
        </w:div>
        <w:div w:id="492991046">
          <w:marLeft w:val="0"/>
          <w:marRight w:val="0"/>
          <w:marTop w:val="0"/>
          <w:marBottom w:val="0"/>
          <w:divBdr>
            <w:top w:val="none" w:sz="0" w:space="0" w:color="auto"/>
            <w:left w:val="none" w:sz="0" w:space="0" w:color="auto"/>
            <w:bottom w:val="none" w:sz="0" w:space="0" w:color="auto"/>
            <w:right w:val="none" w:sz="0" w:space="0" w:color="auto"/>
          </w:divBdr>
        </w:div>
        <w:div w:id="340663589">
          <w:marLeft w:val="0"/>
          <w:marRight w:val="0"/>
          <w:marTop w:val="0"/>
          <w:marBottom w:val="0"/>
          <w:divBdr>
            <w:top w:val="none" w:sz="0" w:space="0" w:color="auto"/>
            <w:left w:val="none" w:sz="0" w:space="0" w:color="auto"/>
            <w:bottom w:val="none" w:sz="0" w:space="0" w:color="auto"/>
            <w:right w:val="none" w:sz="0" w:space="0" w:color="auto"/>
          </w:divBdr>
        </w:div>
        <w:div w:id="814491365">
          <w:marLeft w:val="0"/>
          <w:marRight w:val="0"/>
          <w:marTop w:val="0"/>
          <w:marBottom w:val="0"/>
          <w:divBdr>
            <w:top w:val="none" w:sz="0" w:space="0" w:color="auto"/>
            <w:left w:val="none" w:sz="0" w:space="0" w:color="auto"/>
            <w:bottom w:val="none" w:sz="0" w:space="0" w:color="auto"/>
            <w:right w:val="none" w:sz="0" w:space="0" w:color="auto"/>
          </w:divBdr>
        </w:div>
      </w:divsChild>
    </w:div>
    <w:div w:id="1115909292">
      <w:bodyDiv w:val="1"/>
      <w:marLeft w:val="0"/>
      <w:marRight w:val="0"/>
      <w:marTop w:val="0"/>
      <w:marBottom w:val="0"/>
      <w:divBdr>
        <w:top w:val="none" w:sz="0" w:space="0" w:color="auto"/>
        <w:left w:val="none" w:sz="0" w:space="0" w:color="auto"/>
        <w:bottom w:val="none" w:sz="0" w:space="0" w:color="auto"/>
        <w:right w:val="none" w:sz="0" w:space="0" w:color="auto"/>
      </w:divBdr>
    </w:div>
    <w:div w:id="1326543480">
      <w:bodyDiv w:val="1"/>
      <w:marLeft w:val="0"/>
      <w:marRight w:val="0"/>
      <w:marTop w:val="0"/>
      <w:marBottom w:val="0"/>
      <w:divBdr>
        <w:top w:val="none" w:sz="0" w:space="0" w:color="auto"/>
        <w:left w:val="none" w:sz="0" w:space="0" w:color="auto"/>
        <w:bottom w:val="none" w:sz="0" w:space="0" w:color="auto"/>
        <w:right w:val="none" w:sz="0" w:space="0" w:color="auto"/>
      </w:divBdr>
    </w:div>
    <w:div w:id="1438285250">
      <w:bodyDiv w:val="1"/>
      <w:marLeft w:val="0"/>
      <w:marRight w:val="0"/>
      <w:marTop w:val="0"/>
      <w:marBottom w:val="0"/>
      <w:divBdr>
        <w:top w:val="none" w:sz="0" w:space="0" w:color="auto"/>
        <w:left w:val="none" w:sz="0" w:space="0" w:color="auto"/>
        <w:bottom w:val="none" w:sz="0" w:space="0" w:color="auto"/>
        <w:right w:val="none" w:sz="0" w:space="0" w:color="auto"/>
      </w:divBdr>
    </w:div>
    <w:div w:id="1525942631">
      <w:bodyDiv w:val="1"/>
      <w:marLeft w:val="0"/>
      <w:marRight w:val="0"/>
      <w:marTop w:val="0"/>
      <w:marBottom w:val="0"/>
      <w:divBdr>
        <w:top w:val="none" w:sz="0" w:space="0" w:color="auto"/>
        <w:left w:val="none" w:sz="0" w:space="0" w:color="auto"/>
        <w:bottom w:val="none" w:sz="0" w:space="0" w:color="auto"/>
        <w:right w:val="none" w:sz="0" w:space="0" w:color="auto"/>
      </w:divBdr>
      <w:divsChild>
        <w:div w:id="748190956">
          <w:marLeft w:val="0"/>
          <w:marRight w:val="0"/>
          <w:marTop w:val="0"/>
          <w:marBottom w:val="0"/>
          <w:divBdr>
            <w:top w:val="none" w:sz="0" w:space="0" w:color="auto"/>
            <w:left w:val="none" w:sz="0" w:space="0" w:color="auto"/>
            <w:bottom w:val="none" w:sz="0" w:space="0" w:color="auto"/>
            <w:right w:val="none" w:sz="0" w:space="0" w:color="auto"/>
          </w:divBdr>
        </w:div>
        <w:div w:id="648171451">
          <w:marLeft w:val="0"/>
          <w:marRight w:val="0"/>
          <w:marTop w:val="0"/>
          <w:marBottom w:val="0"/>
          <w:divBdr>
            <w:top w:val="none" w:sz="0" w:space="0" w:color="auto"/>
            <w:left w:val="none" w:sz="0" w:space="0" w:color="auto"/>
            <w:bottom w:val="none" w:sz="0" w:space="0" w:color="auto"/>
            <w:right w:val="none" w:sz="0" w:space="0" w:color="auto"/>
          </w:divBdr>
        </w:div>
      </w:divsChild>
    </w:div>
    <w:div w:id="1759399993">
      <w:bodyDiv w:val="1"/>
      <w:marLeft w:val="0"/>
      <w:marRight w:val="0"/>
      <w:marTop w:val="0"/>
      <w:marBottom w:val="0"/>
      <w:divBdr>
        <w:top w:val="none" w:sz="0" w:space="0" w:color="auto"/>
        <w:left w:val="none" w:sz="0" w:space="0" w:color="auto"/>
        <w:bottom w:val="none" w:sz="0" w:space="0" w:color="auto"/>
        <w:right w:val="none" w:sz="0" w:space="0" w:color="auto"/>
      </w:divBdr>
    </w:div>
    <w:div w:id="1772163714">
      <w:bodyDiv w:val="1"/>
      <w:marLeft w:val="0"/>
      <w:marRight w:val="0"/>
      <w:marTop w:val="0"/>
      <w:marBottom w:val="0"/>
      <w:divBdr>
        <w:top w:val="none" w:sz="0" w:space="0" w:color="auto"/>
        <w:left w:val="none" w:sz="0" w:space="0" w:color="auto"/>
        <w:bottom w:val="none" w:sz="0" w:space="0" w:color="auto"/>
        <w:right w:val="none" w:sz="0" w:space="0" w:color="auto"/>
      </w:divBdr>
      <w:divsChild>
        <w:div w:id="940649044">
          <w:marLeft w:val="144"/>
          <w:marRight w:val="0"/>
          <w:marTop w:val="240"/>
          <w:marBottom w:val="200"/>
          <w:divBdr>
            <w:top w:val="none" w:sz="0" w:space="0" w:color="auto"/>
            <w:left w:val="none" w:sz="0" w:space="0" w:color="auto"/>
            <w:bottom w:val="none" w:sz="0" w:space="0" w:color="auto"/>
            <w:right w:val="none" w:sz="0" w:space="0" w:color="auto"/>
          </w:divBdr>
        </w:div>
      </w:divsChild>
    </w:div>
    <w:div w:id="1776485931">
      <w:bodyDiv w:val="1"/>
      <w:marLeft w:val="0"/>
      <w:marRight w:val="0"/>
      <w:marTop w:val="0"/>
      <w:marBottom w:val="0"/>
      <w:divBdr>
        <w:top w:val="none" w:sz="0" w:space="0" w:color="auto"/>
        <w:left w:val="none" w:sz="0" w:space="0" w:color="auto"/>
        <w:bottom w:val="none" w:sz="0" w:space="0" w:color="auto"/>
        <w:right w:val="none" w:sz="0" w:space="0" w:color="auto"/>
      </w:divBdr>
    </w:div>
    <w:div w:id="1964723588">
      <w:bodyDiv w:val="1"/>
      <w:marLeft w:val="0"/>
      <w:marRight w:val="0"/>
      <w:marTop w:val="0"/>
      <w:marBottom w:val="0"/>
      <w:divBdr>
        <w:top w:val="none" w:sz="0" w:space="0" w:color="auto"/>
        <w:left w:val="none" w:sz="0" w:space="0" w:color="auto"/>
        <w:bottom w:val="none" w:sz="0" w:space="0" w:color="auto"/>
        <w:right w:val="none" w:sz="0" w:space="0" w:color="auto"/>
      </w:divBdr>
    </w:div>
    <w:div w:id="2113088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532eca8fc304ea48c45006f7e68adbb" PartId="39e68b9cf0284338a4a9855d90c1d1e0">
    <Part Type="skirsnis" Title="PASIRENGIMO ĮGYVENDINTI ĮTRAUKŲJĮ UGDYMĄ TELŠIŲ RAJONO SAVIVALDYBĖS UGDYMO ĮSTAIGOSE 2023–2024 METAIS PLANAS" DocPartId="d5d3a3b01ccf4592a08c8b83bedf4174" PartId="6b3840f05dae422bb6bb6d93a4109267"/>
    <Part Type="skyrius" Nr="1" Title="BENDROSIOS NUOSTATOS" DocPartId="0b7269da759e4d8c8f222503b558d737" PartId="322979c8ce4c49d995e8a7fb2328424e">
      <Part Type="punktas" Nr="1" Abbr="1 p." DocPartId="c43ca517e41a4ff0b6bd3e29e516c944" PartId="6319cc8b9ae244ec93b28af46a5dc4c3"/>
      <Part Type="punktas" Nr="2" Abbr="2 p." DocPartId="de80c573e3e948699d0bee268459c214" PartId="429226df6c2d4edd83518a243990e7be"/>
      <Part Type="punktas" Nr="3" Abbr="3 p." DocPartId="b1d0081a832840629dca796902f85bfc" PartId="ccb567b42c764679a664f95f4dd8c774"/>
    </Part>
    <Part Type="skyrius" Nr="2" Title="SITUACIJOS ANALIZĖ" DocPartId="2902e5945c17457b9bcd5032f4f863c4" PartId="d1a457ab49e540d08864aa0c5828e847">
      <Part Type="punktas" Nr="4" Abbr="4 p." DocPartId="88cf9684048245d4a46cdacfbdd79278" PartId="e8aca892ab684e869dd444d88df76122"/>
      <Part Type="punktas" Nr="5" Abbr="5 p." DocPartId="74ab28c05a214ca3884be3a6e3041a73" PartId="aee8ff4f19ea411dbc509bcb94032af9"/>
      <Part Type="punktas" Nr="1" Abbr="1 p." Notes="Numeris ne iš eilės. Trūksta dalių? [DocDalys]" DocPartId="241deddcf066450580bd57c1aeaacc6c" PartId="c4542dbc35ca477e86bb440beb12d853"/>
      <Part Type="punktas" Nr="2" Abbr="2 p." DocPartId="ed30ea1dd68c40bab49623cb4b49dc01" PartId="4fb17b9fed98494a90beeda206b9e1e4"/>
      <Part Type="punktas" Nr="3" Abbr="3 p." DocPartId="d76c7b9e173a48d18fb767717ab4bc8f" PartId="7ce8a05fcfa0427ea765d9605f8c22e8"/>
      <Part Type="punktas" Nr="4" Abbr="4 p." DocPartId="31e744f56a134a1087d6ea9b8d02edd5" PartId="d25121cfeb544fb0a680428bec24fc42"/>
      <Part Type="punktas" Nr="5" Abbr="5 p." DocPartId="3c98119ef5d3419799e0909e08bdc0a8" PartId="9699e3ff34dd4126a4ecceee9643bbe9"/>
      <Part Type="punktas" Nr="6" Abbr="6 p." DocPartId="4b45032f5e46460396c0a44bf8acdf9e" PartId="a499dbeb25d04c19865eb49c065c1179"/>
    </Part>
    <Part Type="skyrius" Nr="3" Title="PASIRENGIMO ĮTRAUKČIAI TIKSLAS, UŽDAVINIAI, PRIEMONĖS, VYKDYTOJAI" DocPartId="d01cdc26eb0d4399addba9e119997afe" PartId="ba0977a7122f499085c608764de787ab">
      <Part Type="poskyris" Title="Uždaviniai:" DocPartId="6ba66c775a9142239ccca60f75dd1afb" PartId="30d794b0412f4c9c8074b3a06e2d4a12">
        <Part Type="punktas" Nr="1" Abbr="1 p." DocPartId="8db24194879b4b25a14d6731ca5c4bc1" PartId="3fc55921fdc9439ba93233ba1e322298"/>
        <Part Type="punktas" Nr="2" Abbr="2 p." DocPartId="80717f1929154fd49e372517f5d0a84f" PartId="fb7c7ebdf92f43c7ada9c75bb3e15e56"/>
        <Part Type="punktas" Nr="3" Abbr="3 p." DocPartId="17f6a0a9544f42ceb5b2100fcb4e9da5" PartId="4896f0a3203341468ca15ae21d3f8e31"/>
        <Part Type="punktas" Nr="4" Abbr="4 p." DocPartId="ab6248a067fa481482f2078918fbf355" PartId="1160cf33c73f41338d96db811e2798ab"/>
        <Part Type="punktas" Nr="5" Abbr="5 p." DocPartId="f3de736385534e6ea637b7573372c205" PartId="5e2dab7f0e474eb89d619f89478e180a"/>
        <Part Type="punktas" Nr="6" Abbr="6 p." DocPartId="541aeccb7986494ba96f2b10b49dadfc" PartId="21eb303acfa546c5bfd630672810b543"/>
      </Part>
      <Part Type="poskyris" Title="Pasirengimo įtraukčiai priemonių planas" DocPartId="9d80de6214404d4489f83838bbc1204f" PartId="608617716ccb4a219ffa7ebfca39b7be"/>
    </Part>
    <Part Type="skyrius" Nr="999" Title="BAIGIAMOSIOS NUOSTATOS" Notes="Numeris ne iš eilės. Trūksta dalių? [DocDalys]" DocPartId="433f84e58dc74061bb7c410e177b7b08" PartId="fd3fb67d20da45abb0f99a3fb86159f5">
      <Part Type="punktas" Nr="9" Abbr="9 p." Notes="Numeris ne iš eilės. Trūksta dalių? [DocDalys]" DocPartId="42d17a53ab564920b5d1fb1a99dd9cf3" PartId="fb147268c13649b2bf07d9200ceed356"/>
      <Part Type="punktas" Nr="10" Abbr="10 p." DocPartId="beeb835999cf4bfbb82f1e038055d63c" PartId="d87e164099b14067bfb3ddc9625f6b33"/>
    </Part>
    <Part Type="signatura" DocPartId="c6498cfdf4c449ad96f39c06148b9f93" PartId="e8d71022048c430aa87fc963ede35dec"/>
  </Part>
</Parts>
</file>

<file path=customXml/itemProps1.xml><?xml version="1.0" encoding="utf-8"?>
<ds:datastoreItem xmlns:ds="http://schemas.openxmlformats.org/officeDocument/2006/customXml" ds:itemID="{B8CE0958-0CF6-4E1E-B09F-3A0B81927CA5}">
  <ds:schemaRefs>
    <ds:schemaRef ds:uri="http://schemas.openxmlformats.org/officeDocument/2006/bibliography"/>
  </ds:schemaRefs>
</ds:datastoreItem>
</file>

<file path=customXml/itemProps2.xml><?xml version="1.0" encoding="utf-8"?>
<ds:datastoreItem xmlns:ds="http://schemas.openxmlformats.org/officeDocument/2006/customXml" ds:itemID="{4C50E6BA-8BD1-49E7-91CB-B31F09FD8A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4997</Words>
  <Characters>35185</Characters>
  <Application>Microsoft Office Word</Application>
  <DocSecurity>4</DocSecurity>
  <Lines>1135</Lines>
  <Paragraphs>456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39726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2022-12-20T08:59:00Z</dcterms:created>
  <dc:creator>vartotojas</dc:creator>
  <lastModifiedBy>adlibuser</lastModifiedBy>
  <lastPrinted>2020-06-30T13:18:00Z</lastPrinted>
  <dcterms:modified xsi:type="dcterms:W3CDTF">2022-12-20T08:59:00Z</dcterms:modified>
  <revision>2</revision>
</coreProperties>
</file>