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9 pr."/>
        <w:tag w:val="part_cad06f4c366746bc963c113fec40bc35"/>
        <w:lock w:val="sdtLocked"/>
        <w:richText/>
      </w:sdtPr>
      <w:sdtContent>
        <w:p>
          <w:pPr>
            <w:tabs>
              <w:tab w:val="center" w:pos="4513"/>
              <w:tab w:val="right" w:pos="9026"/>
            </w:tabs>
            <w:jc w:val="both"/>
            <w:rPr>
              <w:sz w:val="22"/>
              <w:szCs w:val="22"/>
            </w:rPr>
          </w:pPr>
        </w:p>
        <w:p>
          <w:pPr>
            <w:ind w:firstLine="2618"/>
            <w:jc w:val="center"/>
            <w:rPr>
              <w:rFonts w:eastAsia="Calibri"/>
              <w:szCs w:val="24"/>
            </w:rPr>
          </w:pPr>
        </w:p>
        <w:p>
          <w:pPr>
            <w:ind w:left="5184" w:firstLine="868"/>
            <w:jc w:val="center"/>
            <w:rPr>
              <w:rFonts w:eastAsia="Calibri"/>
              <w:szCs w:val="24"/>
            </w:rPr>
          </w:pPr>
          <w:r>
            <w:rPr>
              <w:rFonts w:eastAsia="Calibri"/>
              <w:szCs w:val="24"/>
            </w:rPr>
            <w:t xml:space="preserve">Asmens duomenų tvarkymo ir duomenų </w:t>
          </w:r>
        </w:p>
        <w:p>
          <w:pPr>
            <w:ind w:left="5184" w:firstLine="868"/>
            <w:jc w:val="both"/>
            <w:rPr>
              <w:rFonts w:eastAsia="Calibri"/>
              <w:szCs w:val="24"/>
            </w:rPr>
          </w:pPr>
          <w:r>
            <w:rPr>
              <w:rFonts w:eastAsia="Calibri"/>
              <w:szCs w:val="24"/>
            </w:rPr>
            <w:t xml:space="preserve">subjektų teisių  įgyvendinimo krašto    </w:t>
          </w:r>
        </w:p>
        <w:p>
          <w:pPr>
            <w:ind w:left="5184" w:firstLine="868"/>
            <w:jc w:val="both"/>
            <w:rPr>
              <w:rFonts w:eastAsia="Calibri"/>
              <w:szCs w:val="24"/>
            </w:rPr>
          </w:pPr>
          <w:r>
            <w:rPr>
              <w:rFonts w:eastAsia="Calibri"/>
              <w:szCs w:val="24"/>
            </w:rPr>
            <w:t xml:space="preserve">apsaugos sistemoje taisyklių </w:t>
          </w:r>
        </w:p>
        <w:p>
          <w:pPr>
            <w:ind w:firstLine="3782"/>
            <w:jc w:val="center"/>
            <w:rPr>
              <w:rFonts w:eastAsia="Calibri"/>
              <w:szCs w:val="24"/>
            </w:rPr>
          </w:pPr>
          <w:sdt>
            <w:sdtPr>
              <w:alias w:val="Numeris"/>
              <w:tag w:val="nr_cad06f4c366746bc963c113fec40bc35"/>
              <w:lock w:val="sdtLocked"/>
              <w:richText/>
            </w:sdtPr>
            <w:sdtContent>
              <w:r>
                <w:rPr>
                  <w:rFonts w:eastAsia="Calibri"/>
                  <w:szCs w:val="24"/>
                </w:rPr>
                <w:t>9</w:t>
              </w:r>
            </w:sdtContent>
          </w:sdt>
          <w:r>
            <w:rPr>
              <w:rFonts w:eastAsia="Calibri"/>
              <w:szCs w:val="24"/>
            </w:rPr>
            <w:t xml:space="preserve"> priedas</w:t>
            <w:tab/>
            <w:t xml:space="preserve">                 </w:t>
          </w:r>
        </w:p>
        <w:p>
          <w:pPr>
            <w:rPr>
              <w:sz w:val="10"/>
              <w:szCs w:val="10"/>
            </w:rPr>
          </w:pPr>
        </w:p>
        <w:p>
          <w:pPr>
            <w:ind w:left="2592" w:firstLine="1296"/>
            <w:jc w:val="center"/>
            <w:rPr>
              <w:rFonts w:eastAsia="Calibri"/>
              <w:b/>
              <w:sz w:val="23"/>
              <w:szCs w:val="23"/>
            </w:rPr>
          </w:pPr>
        </w:p>
        <w:p>
          <w:pPr>
            <w:rPr>
              <w:sz w:val="10"/>
              <w:szCs w:val="10"/>
            </w:rPr>
          </w:pPr>
        </w:p>
        <w:p>
          <w:pPr>
            <w:jc w:val="center"/>
            <w:rPr>
              <w:rFonts w:eastAsia="Calibri"/>
              <w:b/>
              <w:sz w:val="23"/>
              <w:szCs w:val="23"/>
            </w:rPr>
          </w:pPr>
          <w:sdt>
            <w:sdtPr>
              <w:alias w:val="Pavadinimas"/>
              <w:tag w:val="title_cad06f4c366746bc963c113fec40bc35"/>
              <w:lock w:val="sdtLocked"/>
              <w:richText/>
            </w:sdtPr>
            <w:sdtContent>
              <w:r>
                <w:rPr>
                  <w:rFonts w:eastAsia="Calibri"/>
                  <w:b/>
                  <w:sz w:val="23"/>
                  <w:szCs w:val="23"/>
                </w:rPr>
                <w:t xml:space="preserve">POVEIKIO DUOMENŲ APSAUGAI VERTINIMO KRAŠTO APSAUGOS SISTEMOJE ATASKAITA </w:t>
              </w:r>
            </w:sdtContent>
          </w:sdt>
        </w:p>
        <w:p>
          <w:pPr>
            <w:rPr>
              <w:sz w:val="10"/>
              <w:szCs w:val="10"/>
            </w:rPr>
          </w:pPr>
        </w:p>
        <w:sdt>
          <w:sdtPr>
            <w:alias w:val="skirsnis"/>
            <w:tag w:val="part_7e4134b7f5334eebb205cd3a104ce822"/>
            <w:lock w:val="sdtLocked"/>
            <w:richText/>
          </w:sdtPr>
          <w:sdtContent>
            <w:p>
              <w:pPr>
                <w:jc w:val="center"/>
                <w:rPr>
                  <w:rFonts w:eastAsia="Calibri"/>
                  <w:b/>
                  <w:sz w:val="23"/>
                  <w:szCs w:val="23"/>
                </w:rPr>
              </w:pPr>
              <w:sdt>
                <w:sdtPr>
                  <w:alias w:val="Pavadinimas"/>
                  <w:tag w:val="title_7e4134b7f5334eebb205cd3a104ce822"/>
                  <w:lock w:val="sdtLocked"/>
                  <w:richText/>
                </w:sdtPr>
                <w:sdtContent>
                  <w:r>
                    <w:rPr>
                      <w:rFonts w:eastAsia="Calibri"/>
                      <w:b/>
                      <w:sz w:val="23"/>
                      <w:szCs w:val="23"/>
                    </w:rPr>
                    <w:t xml:space="preserve">(pavyzdinė forma) </w:t>
                  </w:r>
                </w:sdtContent>
              </w:sdt>
            </w:p>
            <w:p>
              <w:pPr>
                <w:rPr>
                  <w:sz w:val="10"/>
                  <w:szCs w:val="10"/>
                </w:rPr>
              </w:pPr>
            </w:p>
            <w:p>
              <w:pPr>
                <w:jc w:val="center"/>
                <w:rPr>
                  <w:rFonts w:eastAsia="Calibri"/>
                  <w:b/>
                  <w:sz w:val="23"/>
                  <w:szCs w:val="23"/>
                </w:rPr>
              </w:pPr>
            </w:p>
            <w:sdt>
              <w:sdtPr>
                <w:alias w:val="9 pr. 1 p."/>
                <w:tag w:val="part_37c16e39fef746dd8f469387114b1305"/>
                <w:lock w:val="sdtLocked"/>
                <w:richText/>
              </w:sdtPr>
              <w:sdtContent>
                <w:p>
                  <w:pPr>
                    <w:spacing w:line="276" w:lineRule="auto"/>
                    <w:ind w:left="720" w:hanging="360"/>
                    <w:rPr>
                      <w:rFonts w:eastAsia="Calibri"/>
                      <w:sz w:val="23"/>
                      <w:szCs w:val="23"/>
                    </w:rPr>
                  </w:pPr>
                  <w:sdt>
                    <w:sdtPr>
                      <w:alias w:val="Numeris"/>
                      <w:tag w:val="nr_37c16e39fef746dd8f469387114b1305"/>
                      <w:lock w:val="sdtLocked"/>
                      <w:richText/>
                    </w:sdtPr>
                    <w:sdtContent>
                      <w:r>
                        <w:rPr>
                          <w:rFonts w:eastAsia="Calibri"/>
                          <w:b/>
                          <w:sz w:val="23"/>
                          <w:szCs w:val="23"/>
                        </w:rPr>
                        <w:t>1</w:t>
                      </w:r>
                    </w:sdtContent>
                  </w:sdt>
                  <w:r>
                    <w:rPr>
                      <w:rFonts w:eastAsia="Calibri"/>
                      <w:b/>
                      <w:sz w:val="23"/>
                      <w:szCs w:val="23"/>
                    </w:rPr>
                    <w:t>.</w:t>
                    <w:tab/>
                    <w:t xml:space="preserve">Priežastys, dėl kurių būtina atlikti poveikio duomenų apsaugai vertinimą </w:t>
                  </w:r>
                </w:p>
                <w:p>
                  <w:pPr>
                    <w:spacing w:line="276" w:lineRule="auto"/>
                    <w:ind w:left="720"/>
                    <w:rPr>
                      <w:rFonts w:eastAsia="Calibri"/>
                      <w:sz w:val="23"/>
                      <w:szCs w:val="23"/>
                      <w:lang w:val="en-US"/>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sz w:val="23"/>
                            <w:szCs w:val="23"/>
                            <w:lang w:eastAsia="en-GB"/>
                          </w:rPr>
                        </w:pPr>
                        <w:r>
                          <w:rPr>
                            <w:sz w:val="23"/>
                            <w:szCs w:val="23"/>
                            <w:lang w:eastAsia="en-GB"/>
                          </w:rPr>
                          <w:t>Planuojamos vykdyti veiklos aprašymas, jos tikslai ir planuojamos atlikti asmens duomenų tvarkymo operacijos. Paaiškinimas, kodėl būtina atlikti poveikio duomenų apsaugai vertinimą. Jei reikia, prie formos pridedami susiję dokumentai.</w:t>
                        </w:r>
                      </w:p>
                    </w:tc>
                  </w:tr>
                  <w:tr>
                    <w:trPr>
                      <w:trHeight w:val="820"/>
                    </w:trPr>
                    <w:tc>
                      <w:tcPr>
                        <w:tcW w:w="9918" w:type="dxa"/>
                        <w:shd w:val="clear" w:color="auto" w:fill="auto"/>
                      </w:tcPr>
                      <w:p>
                        <w:pPr>
                          <w:rPr>
                            <w:sz w:val="23"/>
                            <w:szCs w:val="23"/>
                            <w:lang w:eastAsia="en-GB"/>
                          </w:rPr>
                        </w:pPr>
                      </w:p>
                    </w:tc>
                  </w:tr>
                </w:tbl>
                <w:p>
                  <w:pPr>
                    <w:rPr>
                      <w:sz w:val="10"/>
                      <w:szCs w:val="10"/>
                    </w:rPr>
                  </w:pPr>
                </w:p>
                <w:p>
                  <w:pPr>
                    <w:spacing w:line="276" w:lineRule="auto"/>
                    <w:jc w:val="both"/>
                    <w:rPr>
                      <w:sz w:val="23"/>
                      <w:szCs w:val="23"/>
                      <w:lang w:eastAsia="en-GB"/>
                    </w:rPr>
                  </w:pPr>
                </w:p>
              </w:sdtContent>
            </w:sdt>
            <w:sdt>
              <w:sdtPr>
                <w:alias w:val="9 pr. 2 p."/>
                <w:tag w:val="part_f279e21123fd4305a768c3d8cd870db0"/>
                <w:lock w:val="sdtLocked"/>
                <w:richText/>
              </w:sdtPr>
              <w:sdtContent>
                <w:p>
                  <w:pPr>
                    <w:spacing w:line="276" w:lineRule="auto"/>
                    <w:ind w:left="720" w:hanging="360"/>
                    <w:rPr>
                      <w:rFonts w:eastAsia="Calibri"/>
                      <w:sz w:val="23"/>
                      <w:szCs w:val="23"/>
                    </w:rPr>
                  </w:pPr>
                  <w:sdt>
                    <w:sdtPr>
                      <w:alias w:val="Numeris"/>
                      <w:tag w:val="nr_f279e21123fd4305a768c3d8cd870db0"/>
                      <w:lock w:val="sdtLocked"/>
                      <w:richText/>
                    </w:sdtPr>
                    <w:sdtContent>
                      <w:r>
                        <w:rPr>
                          <w:rFonts w:eastAsia="Calibri"/>
                          <w:b/>
                          <w:sz w:val="23"/>
                          <w:szCs w:val="23"/>
                        </w:rPr>
                        <w:t>2</w:t>
                      </w:r>
                    </w:sdtContent>
                  </w:sdt>
                  <w:r>
                    <w:rPr>
                      <w:rFonts w:eastAsia="Calibri"/>
                      <w:b/>
                      <w:sz w:val="23"/>
                      <w:szCs w:val="23"/>
                    </w:rPr>
                    <w:t>.</w:t>
                    <w:tab/>
                  </w:r>
                  <w:r>
                    <w:rPr>
                      <w:rFonts w:eastAsia="Calibri"/>
                      <w:b/>
                      <w:sz w:val="23"/>
                      <w:szCs w:val="23"/>
                      <w:lang w:eastAsia="en-GB"/>
                    </w:rPr>
                    <w:t xml:space="preserve">Asmens duomenų tvarkymo aprašymas </w:t>
                  </w:r>
                </w:p>
                <w:p>
                  <w:pPr>
                    <w:spacing w:line="276" w:lineRule="auto"/>
                    <w:ind w:left="720"/>
                    <w:rPr>
                      <w:rFonts w:eastAsia="Calibri"/>
                      <w:sz w:val="23"/>
                      <w:szCs w:val="23"/>
                      <w:lang w:eastAsia="en-GB"/>
                    </w:rPr>
                  </w:pPr>
                  <w:r>
                    <w:rPr>
                      <w:rFonts w:eastAsia="Calibri"/>
                      <w:sz w:val="23"/>
                      <w:szCs w:val="23"/>
                      <w:lang w:eastAsia="en-GB"/>
                    </w:rPr>
                    <w:t>(bendras numatytų duomenų tvarkymo operacijų aprašymas)</w:t>
                  </w:r>
                </w:p>
                <w:p>
                  <w:pPr>
                    <w:spacing w:line="276" w:lineRule="auto"/>
                    <w:ind w:left="720"/>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sz w:val="23"/>
                            <w:szCs w:val="23"/>
                            <w:lang w:eastAsia="en-GB"/>
                          </w:rPr>
                        </w:pPr>
                        <w:r>
                          <w:rPr>
                            <w:sz w:val="23"/>
                            <w:szCs w:val="23"/>
                            <w:lang w:eastAsia="en-GB"/>
                          </w:rPr>
                          <w:t>Aprašomi asmens duomenų rinkimo, naudojimo, saugojimo ir naikinimo veiksmai;</w:t>
                        </w:r>
                        <w:r>
                          <w:rPr>
                            <w:sz w:val="23"/>
                            <w:szCs w:val="23"/>
                            <w:lang w:val="en-GB" w:eastAsia="en-GB"/>
                          </w:rPr>
                          <w:t xml:space="preserve"> kai duomenys tvarkomi pagal Bendrąjį duomenų apsaugos reglamentą (toliau – BDAR) taip pat nurodoma, iš kokių šaltinių bus renkami duomenys, kam bus teikiami (galima pateikti asmens duomenų tvarkymo veiksmų schemą). Aprašoma, kokie asmens duomenų tvarkymo veiksmai gali kelti pavojų fizinių asmenų teisėms ir laisvėms. </w:t>
                        </w:r>
                      </w:p>
                    </w:tc>
                  </w:tr>
                  <w:tr>
                    <w:trPr>
                      <w:trHeight w:val="856"/>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rFonts w:eastAsia="Calibri"/>
                            <w:bCs/>
                            <w:sz w:val="23"/>
                            <w:szCs w:val="23"/>
                            <w:lang w:eastAsia="en-GB"/>
                          </w:rPr>
                        </w:pPr>
                        <w:r>
                          <w:rPr>
                            <w:sz w:val="23"/>
                            <w:szCs w:val="23"/>
                            <w:lang w:eastAsia="en-GB"/>
                          </w:rPr>
                          <w:t>Aprašomas tvarkymo mastas (pvz.</w:t>
                        </w:r>
                        <w:r>
                          <w:rPr>
                            <w:sz w:val="23"/>
                            <w:szCs w:val="23"/>
                            <w:lang w:val="en-GB" w:eastAsia="en-GB"/>
                          </w:rPr>
                          <w:t xml:space="preserve"> kokių kategorijų asmens duomenys bus tvarkomi; ar bus tvarkomi specialių kategorijų asmens duomenys arba duomenys apie </w:t>
                        </w:r>
                        <w:r>
                          <w:rPr>
                            <w:bCs/>
                            <w:sz w:val="23"/>
                            <w:szCs w:val="23"/>
                            <w:shd w:val="clear" w:color="auto" w:fill="FFFFFF"/>
                            <w:lang w:eastAsia="en-GB"/>
                          </w:rPr>
                          <w:t xml:space="preserve">apkaltinamuosius nuosprendžius ir nusikalstamas veikas; kiek duomenų, kaip dažnai bus renkama ir naudojama; kaip ilgai bus saugomi asmens duomenys; kai duomenys tvarkomi pagal BDAR, jei įmanoma,  nurodomas apytikslis duomenų subjektų skaičius bei geografinė duomenų tvarkymo aprėptis).</w:t>
                        </w:r>
                      </w:p>
                    </w:tc>
                  </w:tr>
                  <w:tr>
                    <w:trPr>
                      <w:trHeight w:val="767"/>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sz w:val="23"/>
                            <w:szCs w:val="23"/>
                            <w:lang w:eastAsia="en-GB"/>
                          </w:rPr>
                        </w:pPr>
                        <w:r>
                          <w:rPr>
                            <w:sz w:val="23"/>
                            <w:szCs w:val="23"/>
                            <w:lang w:val="en-GB" w:eastAsia="en-GB"/>
                          </w:rPr>
                          <w:t xml:space="preserve">Aprašomas duomenų tvarkymo pobūdis (pvz.: kokio pobūdžio santykiai sieja instituciją su duomenų subjektais; ar duomenų subjektai turės galimybę kontroliuoti duomenų tvarkymą; ar duomenų subjektai gali numatyti, kad jų asmens duomenys bus tvarkomi šiuo būdu; ar bus tvarkomi vaikų ir kitų pažeidžiamų asmenų duomenys; įvertinama, ar toks duomenų tvarkymas yra saugus; ar duomenų tvarkymo technologijos yra naujos, ar egzistuojančios technologijos bus panaudotos kitokiu būdu; koks yra technologijų išsivystymo lygis šioje srityje; ar yra kokių nors visuomeninių ar pan. problemų ar klausimų, į kuriuos būtina atsižvelgti; nurodoma, ar yra įsipareigojimas laikytis patvirtinto elgesio kodekso ar patvirtinto sertifikavimo mechanizmo). </w:t>
                        </w:r>
                      </w:p>
                    </w:tc>
                  </w:tr>
                  <w:tr>
                    <w:trPr>
                      <w:trHeight w:val="1144"/>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rPr>
                            <w:sz w:val="20"/>
                          </w:rPr>
                        </w:pPr>
                      </w:p>
                      <w:p>
                        <w:pPr>
                          <w:jc w:val="both"/>
                          <w:rPr>
                            <w:sz w:val="23"/>
                            <w:szCs w:val="23"/>
                            <w:lang w:eastAsia="en-GB"/>
                          </w:rPr>
                        </w:pPr>
                        <w:r>
                          <w:rPr>
                            <w:sz w:val="23"/>
                            <w:szCs w:val="23"/>
                            <w:lang w:val="en-GB" w:eastAsia="en-GB"/>
                          </w:rPr>
                          <w:t xml:space="preserve">Aprašomi asmens duomenų tvarkymo tikslai (pvz. kokį rezultatą siekiama gauti; kokį poveikį tai turės fiziniams asmenims; kokia yra tokio duomenų tvarkymo nauda įstaigai bei kitiems asmenims). </w:t>
                        </w:r>
                      </w:p>
                    </w:tc>
                  </w:tr>
                  <w:tr>
                    <w:trPr>
                      <w:trHeight w:val="1010"/>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lang w:eastAsia="en-GB"/>
                    </w:rPr>
                  </w:pPr>
                </w:p>
              </w:sdtContent>
            </w:sdt>
            <w:sdt>
              <w:sdtPr>
                <w:alias w:val="9 pr. 3 p."/>
                <w:tag w:val="part_dacabf0a0fcd40db8036cda976291a0e"/>
                <w:lock w:val="sdtLocked"/>
                <w:richText/>
              </w:sdtPr>
              <w:sdtContent>
                <w:p>
                  <w:pPr>
                    <w:spacing w:line="276" w:lineRule="auto"/>
                    <w:ind w:left="720" w:hanging="360"/>
                    <w:rPr>
                      <w:rFonts w:eastAsia="Calibri"/>
                      <w:sz w:val="23"/>
                      <w:szCs w:val="23"/>
                    </w:rPr>
                  </w:pPr>
                  <w:sdt>
                    <w:sdtPr>
                      <w:alias w:val="Numeris"/>
                      <w:tag w:val="nr_dacabf0a0fcd40db8036cda976291a0e"/>
                      <w:lock w:val="sdtLocked"/>
                      <w:richText/>
                    </w:sdtPr>
                    <w:sdtContent>
                      <w:r>
                        <w:rPr>
                          <w:rFonts w:eastAsia="Calibri"/>
                          <w:b/>
                          <w:sz w:val="23"/>
                          <w:szCs w:val="23"/>
                        </w:rPr>
                        <w:t>3</w:t>
                      </w:r>
                    </w:sdtContent>
                  </w:sdt>
                  <w:r>
                    <w:rPr>
                      <w:rFonts w:eastAsia="Calibri"/>
                      <w:b/>
                      <w:sz w:val="23"/>
                      <w:szCs w:val="23"/>
                    </w:rPr>
                    <w:t>.</w:t>
                    <w:tab/>
                  </w:r>
                  <w:r>
                    <w:rPr>
                      <w:rFonts w:eastAsia="Calibri"/>
                      <w:b/>
                      <w:sz w:val="23"/>
                      <w:szCs w:val="23"/>
                      <w:lang w:eastAsia="en-GB"/>
                    </w:rPr>
                    <w:t>Konsultacijos*</w:t>
                  </w:r>
                </w:p>
                <w:p>
                  <w:pPr>
                    <w:spacing w:line="276" w:lineRule="auto"/>
                    <w:ind w:left="720"/>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sz w:val="23"/>
                            <w:szCs w:val="23"/>
                            <w:lang w:eastAsia="en-GB"/>
                          </w:rPr>
                        </w:pPr>
                        <w:r>
                          <w:rPr>
                            <w:sz w:val="23"/>
                            <w:szCs w:val="23"/>
                            <w:lang w:val="en-GB" w:eastAsia="en-GB"/>
                          </w:rPr>
                          <w:t>Aprašoma, kaip planuojama sužinoti suinteresuotų asmenų nuomonę arba pagrindžiama, kodėl to daryti nebūtina (pvz. kokių asmenų nuomonę planuojama gauti; kokie asmenys bus pasitelkti įstaigoje, ar bus pasitelkti duomenų tvarkytojai; ar planuojama konsultuotis su duomenų saugos ekspertais ar kitokių sričių ekspertais).</w:t>
                        </w:r>
                      </w:p>
                    </w:tc>
                  </w:tr>
                  <w:tr>
                    <w:trPr>
                      <w:trHeight w:val="859"/>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rPr>
                  </w:pPr>
                </w:p>
              </w:sdtContent>
            </w:sdt>
            <w:sdt>
              <w:sdtPr>
                <w:alias w:val="9 pr. 4 p."/>
                <w:tag w:val="part_638ac89336f74892bbac72255f2b50a0"/>
                <w:lock w:val="sdtLocked"/>
                <w:richText/>
              </w:sdtPr>
              <w:sdtContent>
                <w:p>
                  <w:pPr>
                    <w:spacing w:line="276" w:lineRule="auto"/>
                    <w:ind w:left="720" w:hanging="360"/>
                    <w:rPr>
                      <w:rFonts w:eastAsia="Calibri"/>
                      <w:sz w:val="23"/>
                      <w:szCs w:val="23"/>
                    </w:rPr>
                  </w:pPr>
                  <w:sdt>
                    <w:sdtPr>
                      <w:alias w:val="Numeris"/>
                      <w:tag w:val="nr_638ac89336f74892bbac72255f2b50a0"/>
                      <w:lock w:val="sdtLocked"/>
                      <w:richText/>
                    </w:sdtPr>
                    <w:sdtContent>
                      <w:r>
                        <w:rPr>
                          <w:rFonts w:eastAsia="Calibri"/>
                          <w:b/>
                          <w:sz w:val="23"/>
                          <w:szCs w:val="23"/>
                        </w:rPr>
                        <w:t>4</w:t>
                      </w:r>
                    </w:sdtContent>
                  </w:sdt>
                  <w:r>
                    <w:rPr>
                      <w:rFonts w:eastAsia="Calibri"/>
                      <w:b/>
                      <w:sz w:val="23"/>
                      <w:szCs w:val="23"/>
                    </w:rPr>
                    <w:t>.</w:t>
                    <w:tab/>
                  </w:r>
                  <w:r>
                    <w:rPr>
                      <w:rFonts w:eastAsia="Calibri"/>
                      <w:b/>
                      <w:sz w:val="23"/>
                      <w:szCs w:val="23"/>
                      <w:lang w:eastAsia="en-GB"/>
                    </w:rPr>
                    <w:t>Būtinumo ir proporcingumo įvertinimas (duomenų tvarkymo operacijų reikalingumo ir proporcingumo, palyginti su tikslais, vertinimas)*</w:t>
                  </w:r>
                </w:p>
                <w:p>
                  <w:pPr>
                    <w:spacing w:line="276" w:lineRule="auto"/>
                    <w:ind w:left="720"/>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tc>
                      <w:tcPr>
                        <w:tcW w:w="9918" w:type="dxa"/>
                        <w:shd w:val="clear" w:color="auto" w:fill="auto"/>
                      </w:tcPr>
                      <w:p>
                        <w:pPr>
                          <w:jc w:val="both"/>
                          <w:rPr>
                            <w:sz w:val="23"/>
                            <w:szCs w:val="23"/>
                            <w:lang w:eastAsia="en-GB"/>
                          </w:rPr>
                        </w:pPr>
                        <w:r>
                          <w:rPr>
                            <w:sz w:val="23"/>
                            <w:szCs w:val="23"/>
                            <w:lang w:val="en-GB" w:eastAsia="en-GB"/>
                          </w:rPr>
                          <w:t xml:space="preserve">Aprašomas asmens duomenų tvarkymo teisėtumas ir tvarkymo proporcingumas (pvz. nurodomas teisėto tvarkymo pagrindas; įvertinama, ar tvarkant asmens duomenis bus pasiektas Jūsų tikslas; ar tą patį rezultatą įmanoma pasiekti kitokiu būdu; kokiu būdu bus išvengta veiklos sutrikimų; kaip bus užtikrinta duomenų kokybė ir įgyvendintas duomenų kiekio mažinimo principas; kokia informacija bus pateikta duomenų subjektams; kaip Jūsų įstaiga planuoja įgyvendinti duomenų subjektų teises; kokiu būdu bus užtikrinta, kad duomenų tvarkytojas laikytųsi reikalavimų; kokiu būdu bus užtikrintas į užsienio valstybes teikiamų asmens duomenų saugumas). </w:t>
                        </w:r>
                      </w:p>
                    </w:tc>
                  </w:tr>
                  <w:tr>
                    <w:trPr>
                      <w:trHeight w:val="904"/>
                    </w:trPr>
                    <w:tc>
                      <w:tcPr>
                        <w:tcW w:w="9918" w:type="dxa"/>
                        <w:shd w:val="clear" w:color="auto" w:fill="auto"/>
                      </w:tcPr>
                      <w:p>
                        <w:pPr>
                          <w:rPr>
                            <w:sz w:val="23"/>
                            <w:szCs w:val="23"/>
                            <w:lang w:eastAsia="en-GB"/>
                          </w:rPr>
                        </w:pPr>
                      </w:p>
                    </w:tc>
                  </w:tr>
                </w:tbl>
                <w:p>
                  <w:pPr>
                    <w:rPr>
                      <w:sz w:val="10"/>
                      <w:szCs w:val="10"/>
                    </w:rPr>
                  </w:pPr>
                </w:p>
                <w:p>
                  <w:pPr>
                    <w:spacing w:line="276" w:lineRule="auto"/>
                    <w:jc w:val="both"/>
                    <w:rPr>
                      <w:rFonts w:eastAsia="Calibri"/>
                      <w:sz w:val="23"/>
                      <w:szCs w:val="23"/>
                      <w:lang w:eastAsia="en-GB"/>
                    </w:rPr>
                  </w:pPr>
                </w:p>
              </w:sdtContent>
            </w:sdt>
            <w:sdt>
              <w:sdtPr>
                <w:alias w:val="9 pr. 5 p."/>
                <w:tag w:val="part_b7bc5b2e64eb4d0ea0040960e3fd622d"/>
                <w:lock w:val="sdtLocked"/>
                <w:richText/>
              </w:sdtPr>
              <w:sdtContent>
                <w:p>
                  <w:pPr>
                    <w:spacing w:line="276" w:lineRule="auto"/>
                    <w:ind w:left="720" w:hanging="360"/>
                    <w:rPr>
                      <w:rFonts w:eastAsia="Calibri"/>
                      <w:sz w:val="23"/>
                      <w:szCs w:val="23"/>
                    </w:rPr>
                  </w:pPr>
                  <w:sdt>
                    <w:sdtPr>
                      <w:alias w:val="Numeris"/>
                      <w:tag w:val="nr_b7bc5b2e64eb4d0ea0040960e3fd622d"/>
                      <w:lock w:val="sdtLocked"/>
                      <w:richText/>
                    </w:sdtPr>
                    <w:sdtContent>
                      <w:r>
                        <w:rPr>
                          <w:rFonts w:eastAsia="Calibri"/>
                          <w:b/>
                          <w:sz w:val="23"/>
                          <w:szCs w:val="23"/>
                        </w:rPr>
                        <w:t>5</w:t>
                      </w:r>
                    </w:sdtContent>
                  </w:sdt>
                  <w:r>
                    <w:rPr>
                      <w:rFonts w:eastAsia="Calibri"/>
                      <w:b/>
                      <w:sz w:val="23"/>
                      <w:szCs w:val="23"/>
                    </w:rPr>
                    <w:t>.</w:t>
                    <w:tab/>
                  </w:r>
                  <w:r>
                    <w:rPr>
                      <w:rFonts w:eastAsia="Calibri"/>
                      <w:b/>
                      <w:sz w:val="23"/>
                      <w:szCs w:val="23"/>
                      <w:lang w:eastAsia="en-GB"/>
                    </w:rPr>
                    <w:t xml:space="preserve">Pavojų nustatymas ir įvertinimas </w:t>
                  </w:r>
                </w:p>
                <w:p>
                  <w:pPr>
                    <w:spacing w:line="276" w:lineRule="auto"/>
                    <w:ind w:left="720"/>
                    <w:rPr>
                      <w:rFonts w:eastAsia="Calibri"/>
                      <w:sz w:val="23"/>
                      <w:szCs w:val="23"/>
                      <w:lang w:eastAsia="en-GB"/>
                    </w:rPr>
                  </w:pPr>
                  <w:r>
                    <w:rPr>
                      <w:rFonts w:eastAsia="Calibri"/>
                      <w:sz w:val="23"/>
                      <w:szCs w:val="23"/>
                      <w:lang w:eastAsia="en-GB"/>
                    </w:rPr>
                    <w:t>(pavojaus duomenų subjektų teisėms ir laisvėms vertinimas)</w:t>
                  </w:r>
                </w:p>
                <w:p>
                  <w:pPr>
                    <w:spacing w:line="276" w:lineRule="auto"/>
                    <w:ind w:left="720"/>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Pr>
                  <w:tblGrid>
                    <w:gridCol w:w="5886"/>
                    <w:gridCol w:w="1416"/>
                    <w:gridCol w:w="1376"/>
                    <w:gridCol w:w="1240"/>
                  </w:tblGrid>
                  <w:tr>
                    <w:tc>
                      <w:tcPr>
                        <w:tcW w:w="5886" w:type="dxa"/>
                        <w:shd w:val="clear" w:color="auto" w:fill="FFFFFF"/>
                      </w:tcPr>
                      <w:p>
                        <w:pPr>
                          <w:jc w:val="both"/>
                          <w:rPr>
                            <w:sz w:val="23"/>
                            <w:szCs w:val="23"/>
                            <w:lang w:eastAsia="en-GB"/>
                          </w:rPr>
                        </w:pPr>
                        <w:r>
                          <w:rPr>
                            <w:sz w:val="23"/>
                            <w:szCs w:val="23"/>
                            <w:lang w:val="en-GB" w:eastAsia="en-GB"/>
                          </w:rPr>
                          <w:t>Aprašomas pavojaus ir poveikio fiziniam asmeniui pobūdis. Jei būtina, aprašoma susijusi rizika.</w:t>
                        </w:r>
                      </w:p>
                    </w:tc>
                    <w:tc>
                      <w:tcPr>
                        <w:tcW w:w="1416" w:type="dxa"/>
                        <w:shd w:val="clear" w:color="auto" w:fill="FFFFFF"/>
                      </w:tcPr>
                      <w:p>
                        <w:pPr>
                          <w:jc w:val="center"/>
                          <w:rPr>
                            <w:sz w:val="23"/>
                            <w:szCs w:val="23"/>
                            <w:lang w:eastAsia="en-GB"/>
                          </w:rPr>
                        </w:pPr>
                        <w:r>
                          <w:rPr>
                            <w:b/>
                            <w:sz w:val="23"/>
                            <w:szCs w:val="23"/>
                            <w:lang w:val="en-GB" w:eastAsia="en-GB"/>
                          </w:rPr>
                          <w:t>Žalos tikimybė</w:t>
                        </w:r>
                      </w:p>
                    </w:tc>
                    <w:tc>
                      <w:tcPr>
                        <w:tcW w:w="1376" w:type="dxa"/>
                        <w:shd w:val="clear" w:color="auto" w:fill="FFFFFF"/>
                      </w:tcPr>
                      <w:p>
                        <w:pPr>
                          <w:jc w:val="center"/>
                          <w:rPr>
                            <w:sz w:val="23"/>
                            <w:szCs w:val="23"/>
                            <w:lang w:eastAsia="en-GB"/>
                          </w:rPr>
                        </w:pPr>
                        <w:r>
                          <w:rPr>
                            <w:b/>
                            <w:sz w:val="23"/>
                            <w:szCs w:val="23"/>
                            <w:lang w:val="en-GB" w:eastAsia="en-GB"/>
                          </w:rPr>
                          <w:t>Žalos sunkumas</w:t>
                        </w:r>
                      </w:p>
                    </w:tc>
                    <w:tc>
                      <w:tcPr>
                        <w:tcW w:w="1240" w:type="dxa"/>
                        <w:shd w:val="clear" w:color="auto" w:fill="FFFFFF"/>
                      </w:tcPr>
                      <w:p>
                        <w:pPr>
                          <w:jc w:val="center"/>
                          <w:rPr>
                            <w:sz w:val="23"/>
                            <w:szCs w:val="23"/>
                            <w:lang w:eastAsia="en-GB"/>
                          </w:rPr>
                        </w:pPr>
                        <w:r>
                          <w:rPr>
                            <w:b/>
                            <w:sz w:val="23"/>
                            <w:szCs w:val="23"/>
                            <w:lang w:val="en-GB" w:eastAsia="en-GB"/>
                          </w:rPr>
                          <w:t>Bendras pavojaus lygis</w:t>
                        </w:r>
                      </w:p>
                    </w:tc>
                  </w:tr>
                  <w:tr>
                    <w:trPr>
                      <w:trHeight w:val="1373"/>
                    </w:trPr>
                    <w:tc>
                      <w:tcPr>
                        <w:tcW w:w="5886" w:type="dxa"/>
                        <w:shd w:val="clear" w:color="auto" w:fill="auto"/>
                      </w:tcPr>
                      <w:p>
                        <w:pPr>
                          <w:rPr>
                            <w:sz w:val="23"/>
                            <w:szCs w:val="23"/>
                            <w:lang w:eastAsia="en-GB"/>
                          </w:rPr>
                        </w:pPr>
                      </w:p>
                    </w:tc>
                    <w:tc>
                      <w:tcPr>
                        <w:tcW w:w="1416" w:type="dxa"/>
                        <w:shd w:val="clear" w:color="auto" w:fill="auto"/>
                      </w:tcPr>
                      <w:p>
                        <w:pPr>
                          <w:jc w:val="center"/>
                          <w:rPr>
                            <w:sz w:val="23"/>
                            <w:szCs w:val="23"/>
                            <w:lang w:eastAsia="en-GB"/>
                          </w:rPr>
                        </w:pPr>
                        <w:r>
                          <w:rPr>
                            <w:sz w:val="23"/>
                            <w:szCs w:val="23"/>
                            <w:lang w:val="en-GB" w:eastAsia="en-GB"/>
                          </w:rPr>
                          <w:t>Mažai tikėtina,</w:t>
                        </w:r>
                      </w:p>
                      <w:p>
                        <w:pPr>
                          <w:jc w:val="center"/>
                          <w:rPr>
                            <w:sz w:val="23"/>
                            <w:szCs w:val="23"/>
                            <w:lang w:eastAsia="en-GB"/>
                          </w:rPr>
                        </w:pPr>
                        <w:r>
                          <w:rPr>
                            <w:sz w:val="23"/>
                            <w:szCs w:val="23"/>
                            <w:lang w:val="en-GB" w:eastAsia="en-GB"/>
                          </w:rPr>
                          <w:t>tikėtina ar labai tikėtina</w:t>
                        </w:r>
                      </w:p>
                    </w:tc>
                    <w:tc>
                      <w:tcPr>
                        <w:tcW w:w="1376" w:type="dxa"/>
                        <w:shd w:val="clear" w:color="auto" w:fill="auto"/>
                      </w:tcPr>
                      <w:p>
                        <w:pPr>
                          <w:jc w:val="center"/>
                          <w:rPr>
                            <w:sz w:val="23"/>
                            <w:szCs w:val="23"/>
                            <w:lang w:eastAsia="en-GB"/>
                          </w:rPr>
                        </w:pPr>
                        <w:r>
                          <w:rPr>
                            <w:sz w:val="23"/>
                            <w:szCs w:val="23"/>
                            <w:lang w:val="en-GB" w:eastAsia="en-GB"/>
                          </w:rPr>
                          <w:t>Minimali,</w:t>
                        </w:r>
                      </w:p>
                      <w:p>
                        <w:pPr>
                          <w:jc w:val="center"/>
                          <w:rPr>
                            <w:sz w:val="23"/>
                            <w:szCs w:val="23"/>
                            <w:lang w:eastAsia="en-GB"/>
                          </w:rPr>
                        </w:pPr>
                        <w:r>
                          <w:rPr>
                            <w:sz w:val="23"/>
                            <w:szCs w:val="23"/>
                            <w:lang w:val="en-GB" w:eastAsia="en-GB"/>
                          </w:rPr>
                          <w:t>reikšminga ar sunki</w:t>
                        </w:r>
                      </w:p>
                    </w:tc>
                    <w:tc>
                      <w:tcPr>
                        <w:tcW w:w="1240" w:type="dxa"/>
                        <w:shd w:val="clear" w:color="auto" w:fill="auto"/>
                      </w:tcPr>
                      <w:p>
                        <w:pPr>
                          <w:jc w:val="center"/>
                          <w:rPr>
                            <w:sz w:val="23"/>
                            <w:szCs w:val="23"/>
                            <w:lang w:eastAsia="en-GB"/>
                          </w:rPr>
                        </w:pPr>
                        <w:r>
                          <w:rPr>
                            <w:sz w:val="23"/>
                            <w:szCs w:val="23"/>
                            <w:lang w:val="en-GB" w:eastAsia="en-GB"/>
                          </w:rPr>
                          <w:t>Žemas,</w:t>
                        </w:r>
                      </w:p>
                      <w:p>
                        <w:pPr>
                          <w:jc w:val="center"/>
                          <w:rPr>
                            <w:sz w:val="23"/>
                            <w:szCs w:val="23"/>
                            <w:lang w:eastAsia="en-GB"/>
                          </w:rPr>
                        </w:pPr>
                        <w:r>
                          <w:rPr>
                            <w:sz w:val="23"/>
                            <w:szCs w:val="23"/>
                            <w:lang w:val="en-GB" w:eastAsia="en-GB"/>
                          </w:rPr>
                          <w:t>vidutinis ar aukštas</w:t>
                        </w:r>
                      </w:p>
                    </w:tc>
                  </w:tr>
                </w:tbl>
                <w:p>
                  <w:pPr>
                    <w:rPr>
                      <w:sz w:val="10"/>
                      <w:szCs w:val="10"/>
                    </w:rPr>
                  </w:pPr>
                </w:p>
                <w:p>
                  <w:pPr>
                    <w:spacing w:line="276" w:lineRule="auto"/>
                    <w:jc w:val="both"/>
                    <w:rPr>
                      <w:rFonts w:eastAsia="Calibri"/>
                      <w:b/>
                      <w:sz w:val="23"/>
                      <w:szCs w:val="23"/>
                      <w:lang w:eastAsia="en-GB"/>
                    </w:rPr>
                  </w:pPr>
                </w:p>
              </w:sdtContent>
            </w:sdt>
            <w:sdt>
              <w:sdtPr>
                <w:alias w:val="9 pr. 6 p."/>
                <w:tag w:val="part_fe5a3e39f66546e2948cb2d4662f18d4"/>
                <w:lock w:val="sdtLocked"/>
                <w:richText/>
              </w:sdtPr>
              <w:sdtContent>
                <w:p>
                  <w:pPr>
                    <w:ind w:left="720" w:hanging="360"/>
                    <w:rPr>
                      <w:rFonts w:eastAsia="Calibri"/>
                      <w:sz w:val="23"/>
                      <w:szCs w:val="23"/>
                    </w:rPr>
                  </w:pPr>
                  <w:sdt>
                    <w:sdtPr>
                      <w:alias w:val="Numeris"/>
                      <w:tag w:val="nr_fe5a3e39f66546e2948cb2d4662f18d4"/>
                      <w:lock w:val="sdtLocked"/>
                      <w:richText/>
                    </w:sdtPr>
                    <w:sdtContent>
                      <w:r>
                        <w:rPr>
                          <w:rFonts w:eastAsia="Calibri"/>
                          <w:b/>
                          <w:sz w:val="23"/>
                          <w:szCs w:val="23"/>
                        </w:rPr>
                        <w:t>6</w:t>
                      </w:r>
                    </w:sdtContent>
                  </w:sdt>
                  <w:r>
                    <w:rPr>
                      <w:rFonts w:eastAsia="Calibri"/>
                      <w:b/>
                      <w:sz w:val="23"/>
                      <w:szCs w:val="23"/>
                    </w:rPr>
                    <w:t>.</w:t>
                    <w:tab/>
                  </w:r>
                  <w:r>
                    <w:rPr>
                      <w:rFonts w:eastAsia="Calibri"/>
                      <w:b/>
                      <w:sz w:val="23"/>
                      <w:szCs w:val="23"/>
                      <w:lang w:eastAsia="en-GB"/>
                    </w:rPr>
                    <w:t xml:space="preserve">Priemonių sumažinti nustatymas </w:t>
                  </w:r>
                </w:p>
                <w:p>
                  <w:pPr>
                    <w:jc w:val="both"/>
                    <w:rPr>
                      <w:rFonts w:eastAsia="Calibri"/>
                      <w:sz w:val="23"/>
                      <w:szCs w:val="23"/>
                    </w:rPr>
                  </w:pPr>
                  <w:r>
                    <w:rPr>
                      <w:rFonts w:eastAsia="Calibri"/>
                      <w:sz w:val="23"/>
                      <w:szCs w:val="23"/>
                      <w:lang w:eastAsia="en-GB"/>
                    </w:rPr>
                    <w:t xml:space="preserve">(5 punkte nurodytiems pavojams duomenų subjektų teisėms ir laisvėms pašalinti numatytos priemonės, įskaitant duomenų apsaugos priemones, saugumo priemones ir mechanizmus, kuriais užtikrinama asmens duomenų apsauga ir įrodoma, kad laikomasi Bendrojo duomenų apsaugos reglamento ar atitinkamai </w:t>
                  </w:r>
                  <w:r>
                    <w:rPr>
                      <w:szCs w:val="24"/>
                      <w:lang w:eastAsia="lt-LT"/>
                    </w:rPr>
                    <w:t xml:space="preserve">Lietuvos Respublikos asmens duomenų, tvarkomų nusikalstamų veikų prevencijos, tyrimo, atskleidimo ar baudžiamojo persekiojimo už jas, bausmių vykdymo arba nacionalinio saugumo ir gynybos tikslais, teisinės apsaugos </w:t>
                  </w:r>
                  <w:r>
                    <w:rPr>
                      <w:rFonts w:eastAsia="Calibri"/>
                      <w:szCs w:val="24"/>
                      <w:lang w:eastAsia="en-GB"/>
                    </w:rPr>
                    <w:t>įstatymo,</w:t>
                  </w:r>
                  <w:r>
                    <w:rPr>
                      <w:rFonts w:eastAsia="Calibri"/>
                      <w:sz w:val="23"/>
                      <w:szCs w:val="23"/>
                      <w:lang w:eastAsia="en-GB"/>
                    </w:rPr>
                    <w:t xml:space="preserve"> atsižvelgiant į duomenų subjektų ir kitų susijusių asmenų teises ir teisėtus interesus.)</w:t>
                  </w:r>
                </w:p>
                <w:p>
                  <w:pPr>
                    <w:spacing w:line="276" w:lineRule="auto"/>
                    <w:ind w:left="720"/>
                    <w:rPr>
                      <w:rFonts w:eastAsia="Calibri"/>
                      <w:sz w:val="23"/>
                      <w:szCs w:val="23"/>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3868"/>
                    <w:gridCol w:w="1481"/>
                    <w:gridCol w:w="1418"/>
                    <w:gridCol w:w="1440"/>
                  </w:tblGrid>
                  <w:tr>
                    <w:tc>
                      <w:tcPr>
                        <w:tcW w:w="9918" w:type="dxa"/>
                        <w:gridSpan w:val="5"/>
                        <w:shd w:val="clear" w:color="auto" w:fill="auto"/>
                      </w:tcPr>
                      <w:p>
                        <w:pPr>
                          <w:jc w:val="both"/>
                          <w:rPr>
                            <w:sz w:val="23"/>
                            <w:szCs w:val="23"/>
                            <w:lang w:eastAsia="en-GB"/>
                          </w:rPr>
                        </w:pPr>
                        <w:r>
                          <w:rPr>
                            <w:sz w:val="23"/>
                            <w:szCs w:val="23"/>
                            <w:lang w:val="en-GB" w:eastAsia="en-GB"/>
                          </w:rPr>
                          <w:t>Nurodomos papildomos priemonės, kurių galima imtis siekiant sumažinti ar panaikinti aukšto ar vidutinio lygio pavojus.</w:t>
                        </w:r>
                      </w:p>
                    </w:tc>
                  </w:tr>
                  <w:tr>
                    <w:tc>
                      <w:tcPr>
                        <w:tcW w:w="1711" w:type="dxa"/>
                        <w:shd w:val="clear" w:color="auto" w:fill="FFFFFF"/>
                      </w:tcPr>
                      <w:p>
                        <w:pPr>
                          <w:jc w:val="center"/>
                          <w:rPr>
                            <w:sz w:val="23"/>
                            <w:szCs w:val="23"/>
                            <w:lang w:eastAsia="en-GB"/>
                          </w:rPr>
                        </w:pPr>
                        <w:r>
                          <w:rPr>
                            <w:b/>
                            <w:sz w:val="23"/>
                            <w:szCs w:val="23"/>
                            <w:lang w:val="en-GB" w:eastAsia="en-GB"/>
                          </w:rPr>
                          <w:t>Pavojus</w:t>
                        </w:r>
                      </w:p>
                    </w:tc>
                    <w:tc>
                      <w:tcPr>
                        <w:tcW w:w="3868" w:type="dxa"/>
                        <w:shd w:val="clear" w:color="auto" w:fill="FFFFFF"/>
                      </w:tcPr>
                      <w:p>
                        <w:pPr>
                          <w:jc w:val="center"/>
                          <w:rPr>
                            <w:sz w:val="23"/>
                            <w:szCs w:val="23"/>
                            <w:lang w:eastAsia="en-GB"/>
                          </w:rPr>
                        </w:pPr>
                        <w:r>
                          <w:rPr>
                            <w:b/>
                            <w:sz w:val="23"/>
                            <w:szCs w:val="23"/>
                            <w:lang w:val="en-GB" w:eastAsia="en-GB"/>
                          </w:rPr>
                          <w:t>Priemonės sumažinti ar pašalinti pavojų</w:t>
                        </w:r>
                      </w:p>
                    </w:tc>
                    <w:tc>
                      <w:tcPr>
                        <w:tcW w:w="1481" w:type="dxa"/>
                        <w:shd w:val="clear" w:color="auto" w:fill="FFFFFF"/>
                      </w:tcPr>
                      <w:p>
                        <w:pPr>
                          <w:jc w:val="center"/>
                          <w:rPr>
                            <w:sz w:val="23"/>
                            <w:szCs w:val="23"/>
                            <w:lang w:eastAsia="en-GB"/>
                          </w:rPr>
                        </w:pPr>
                        <w:r>
                          <w:rPr>
                            <w:b/>
                            <w:sz w:val="23"/>
                            <w:szCs w:val="23"/>
                            <w:lang w:val="en-GB" w:eastAsia="en-GB"/>
                          </w:rPr>
                          <w:t>Priemonės pritaikymo rezultatas</w:t>
                        </w:r>
                      </w:p>
                    </w:tc>
                    <w:tc>
                      <w:tcPr>
                        <w:tcW w:w="1418" w:type="dxa"/>
                        <w:shd w:val="clear" w:color="auto" w:fill="FFFFFF"/>
                      </w:tcPr>
                      <w:p>
                        <w:pPr>
                          <w:jc w:val="center"/>
                          <w:rPr>
                            <w:sz w:val="23"/>
                            <w:szCs w:val="23"/>
                            <w:lang w:eastAsia="en-GB"/>
                          </w:rPr>
                        </w:pPr>
                        <w:r>
                          <w:rPr>
                            <w:b/>
                            <w:sz w:val="23"/>
                            <w:szCs w:val="23"/>
                            <w:lang w:val="en-GB" w:eastAsia="en-GB"/>
                          </w:rPr>
                          <w:t>Likęs pavojus</w:t>
                        </w:r>
                      </w:p>
                    </w:tc>
                    <w:tc>
                      <w:tcPr>
                        <w:tcW w:w="1440" w:type="dxa"/>
                        <w:shd w:val="clear" w:color="auto" w:fill="FFFFFF"/>
                      </w:tcPr>
                      <w:p>
                        <w:pPr>
                          <w:jc w:val="center"/>
                          <w:rPr>
                            <w:sz w:val="23"/>
                            <w:szCs w:val="23"/>
                            <w:lang w:eastAsia="en-GB"/>
                          </w:rPr>
                        </w:pPr>
                        <w:r>
                          <w:rPr>
                            <w:b/>
                            <w:sz w:val="23"/>
                            <w:szCs w:val="23"/>
                            <w:lang w:val="en-GB" w:eastAsia="en-GB"/>
                          </w:rPr>
                          <w:t>Priemonė patvirtinta</w:t>
                        </w:r>
                      </w:p>
                    </w:tc>
                  </w:tr>
                  <w:tr>
                    <w:trPr>
                      <w:trHeight w:val="1215"/>
                    </w:trPr>
                    <w:tc>
                      <w:tcPr>
                        <w:tcW w:w="1711" w:type="dxa"/>
                        <w:shd w:val="clear" w:color="auto" w:fill="auto"/>
                      </w:tcPr>
                      <w:p>
                        <w:pPr>
                          <w:rPr>
                            <w:sz w:val="23"/>
                            <w:szCs w:val="23"/>
                            <w:lang w:eastAsia="en-GB"/>
                          </w:rPr>
                        </w:pPr>
                      </w:p>
                    </w:tc>
                    <w:tc>
                      <w:tcPr>
                        <w:tcW w:w="3868" w:type="dxa"/>
                        <w:shd w:val="clear" w:color="auto" w:fill="auto"/>
                      </w:tcPr>
                      <w:p>
                        <w:pPr>
                          <w:rPr>
                            <w:sz w:val="23"/>
                            <w:szCs w:val="23"/>
                            <w:lang w:eastAsia="en-GB"/>
                          </w:rPr>
                        </w:pPr>
                      </w:p>
                    </w:tc>
                    <w:tc>
                      <w:tcPr>
                        <w:tcW w:w="1481" w:type="dxa"/>
                        <w:shd w:val="clear" w:color="auto" w:fill="auto"/>
                      </w:tcPr>
                      <w:p>
                        <w:pPr>
                          <w:jc w:val="center"/>
                          <w:rPr>
                            <w:sz w:val="23"/>
                            <w:szCs w:val="23"/>
                            <w:lang w:eastAsia="en-GB"/>
                          </w:rPr>
                        </w:pPr>
                        <w:r>
                          <w:rPr>
                            <w:sz w:val="23"/>
                            <w:szCs w:val="23"/>
                            <w:lang w:val="en-GB" w:eastAsia="en-GB"/>
                          </w:rPr>
                          <w:t>Pašalinta,</w:t>
                        </w:r>
                      </w:p>
                      <w:p>
                        <w:pPr>
                          <w:jc w:val="center"/>
                          <w:rPr>
                            <w:sz w:val="23"/>
                            <w:szCs w:val="23"/>
                            <w:lang w:eastAsia="en-GB"/>
                          </w:rPr>
                        </w:pPr>
                        <w:r>
                          <w:rPr>
                            <w:sz w:val="23"/>
                            <w:szCs w:val="23"/>
                            <w:lang w:val="en-GB" w:eastAsia="en-GB"/>
                          </w:rPr>
                          <w:t>sumažinta, priimtina rizika</w:t>
                        </w:r>
                      </w:p>
                      <w:p>
                        <w:pPr>
                          <w:jc w:val="center"/>
                          <w:rPr>
                            <w:sz w:val="23"/>
                            <w:szCs w:val="23"/>
                            <w:lang w:eastAsia="en-GB"/>
                          </w:rPr>
                        </w:pPr>
                      </w:p>
                    </w:tc>
                    <w:tc>
                      <w:tcPr>
                        <w:tcW w:w="1418" w:type="dxa"/>
                        <w:shd w:val="clear" w:color="auto" w:fill="auto"/>
                      </w:tcPr>
                      <w:p>
                        <w:pPr>
                          <w:jc w:val="center"/>
                          <w:rPr>
                            <w:sz w:val="23"/>
                            <w:szCs w:val="23"/>
                            <w:lang w:eastAsia="en-GB"/>
                          </w:rPr>
                        </w:pPr>
                        <w:r>
                          <w:rPr>
                            <w:sz w:val="23"/>
                            <w:szCs w:val="23"/>
                            <w:lang w:val="en-GB" w:eastAsia="en-GB"/>
                          </w:rPr>
                          <w:t>Žemas,</w:t>
                        </w:r>
                      </w:p>
                      <w:p>
                        <w:pPr>
                          <w:jc w:val="center"/>
                          <w:rPr>
                            <w:sz w:val="23"/>
                            <w:szCs w:val="23"/>
                            <w:lang w:eastAsia="en-GB"/>
                          </w:rPr>
                        </w:pPr>
                        <w:r>
                          <w:rPr>
                            <w:sz w:val="23"/>
                            <w:szCs w:val="23"/>
                            <w:lang w:val="en-GB" w:eastAsia="en-GB"/>
                          </w:rPr>
                          <w:t>vidutinis ar aukštas</w:t>
                        </w:r>
                      </w:p>
                    </w:tc>
                    <w:tc>
                      <w:tcPr>
                        <w:tcW w:w="1440" w:type="dxa"/>
                        <w:shd w:val="clear" w:color="auto" w:fill="auto"/>
                      </w:tcPr>
                      <w:p>
                        <w:pPr>
                          <w:jc w:val="center"/>
                          <w:rPr>
                            <w:sz w:val="23"/>
                            <w:szCs w:val="23"/>
                            <w:lang w:eastAsia="en-GB"/>
                          </w:rPr>
                        </w:pPr>
                        <w:r>
                          <w:rPr>
                            <w:sz w:val="23"/>
                            <w:szCs w:val="23"/>
                            <w:lang w:val="en-GB" w:eastAsia="en-GB"/>
                          </w:rPr>
                          <w:t>Taip, ne</w:t>
                        </w:r>
                      </w:p>
                    </w:tc>
                  </w:tr>
                </w:tbl>
                <w:p>
                  <w:pPr>
                    <w:rPr>
                      <w:sz w:val="10"/>
                      <w:szCs w:val="10"/>
                    </w:rPr>
                  </w:pPr>
                </w:p>
                <w:p>
                  <w:pPr>
                    <w:spacing w:line="276" w:lineRule="auto"/>
                    <w:jc w:val="both"/>
                    <w:rPr>
                      <w:rFonts w:eastAsia="Calibri"/>
                      <w:sz w:val="23"/>
                      <w:szCs w:val="23"/>
                    </w:rPr>
                  </w:pPr>
                </w:p>
              </w:sdtContent>
            </w:sdt>
            <w:sdt>
              <w:sdtPr>
                <w:alias w:val="9 pr. 7 p."/>
                <w:tag w:val="part_9d6e45d8b013491bb61fbf1e92e84222"/>
                <w:lock w:val="sdtLocked"/>
                <w:richText/>
              </w:sdtPr>
              <w:sdtContent>
                <w:p>
                  <w:pPr>
                    <w:ind w:left="720" w:hanging="360"/>
                    <w:jc w:val="both"/>
                    <w:rPr>
                      <w:b/>
                      <w:szCs w:val="24"/>
                      <w:lang w:val="en-US"/>
                    </w:rPr>
                  </w:pPr>
                  <w:sdt>
                    <w:sdtPr>
                      <w:alias w:val="Numeris"/>
                      <w:tag w:val="nr_9d6e45d8b013491bb61fbf1e92e84222"/>
                      <w:lock w:val="sdtLocked"/>
                      <w:richText/>
                    </w:sdtPr>
                    <w:sdtContent>
                      <w:r>
                        <w:rPr>
                          <w:b/>
                          <w:szCs w:val="24"/>
                          <w:lang w:val="en-US"/>
                        </w:rPr>
                        <w:t>7</w:t>
                      </w:r>
                    </w:sdtContent>
                  </w:sdt>
                  <w:r>
                    <w:rPr>
                      <w:b/>
                      <w:szCs w:val="24"/>
                      <w:lang w:val="en-US"/>
                    </w:rPr>
                    <w:t>.</w:t>
                    <w:tab/>
                  </w:r>
                  <w:r>
                    <w:rPr>
                      <w:rFonts w:eastAsia="Calibri"/>
                      <w:b/>
                      <w:sz w:val="23"/>
                      <w:szCs w:val="23"/>
                      <w:lang w:eastAsia="en-GB"/>
                    </w:rPr>
                    <w:t xml:space="preserve">Išvados ir sprendimai,  </w:t>
                  </w:r>
                  <w:r>
                    <w:rPr>
                      <w:b/>
                      <w:szCs w:val="24"/>
                    </w:rPr>
                    <w:t>kita, duomenų valdytojo (ar jį atstovaujančio tvarkytojo) nuomone, svarbi informacija</w:t>
                  </w:r>
                </w:p>
                <w:p>
                  <w:pPr>
                    <w:ind w:firstLine="782"/>
                    <w:jc w:val="both"/>
                    <w:rPr>
                      <w:szCs w:val="24"/>
                      <w:lang w:val="en-US"/>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3318"/>
                    <w:gridCol w:w="3715"/>
                  </w:tblGrid>
                  <w:tr>
                    <w:tc>
                      <w:tcPr>
                        <w:tcW w:w="2885" w:type="dxa"/>
                        <w:shd w:val="clear" w:color="auto" w:fill="auto"/>
                      </w:tcPr>
                      <w:p>
                        <w:pPr>
                          <w:jc w:val="center"/>
                          <w:rPr>
                            <w:b/>
                            <w:sz w:val="23"/>
                            <w:szCs w:val="23"/>
                            <w:lang w:eastAsia="en-GB"/>
                          </w:rPr>
                        </w:pPr>
                        <w:r>
                          <w:rPr>
                            <w:b/>
                            <w:sz w:val="23"/>
                            <w:szCs w:val="23"/>
                            <w:lang w:val="en-GB" w:eastAsia="en-GB"/>
                          </w:rPr>
                          <w:t>Nurodomos priemonės ir įvardijamas likęs pavojus</w:t>
                        </w:r>
                      </w:p>
                    </w:tc>
                    <w:tc>
                      <w:tcPr>
                        <w:tcW w:w="3318" w:type="dxa"/>
                        <w:shd w:val="clear" w:color="auto" w:fill="auto"/>
                      </w:tcPr>
                      <w:p>
                        <w:pPr>
                          <w:jc w:val="center"/>
                          <w:rPr>
                            <w:sz w:val="23"/>
                            <w:szCs w:val="23"/>
                            <w:lang w:eastAsia="en-GB"/>
                          </w:rPr>
                        </w:pPr>
                        <w:r>
                          <w:rPr>
                            <w:b/>
                            <w:sz w:val="23"/>
                            <w:szCs w:val="23"/>
                            <w:lang w:val="en-GB" w:eastAsia="en-GB"/>
                          </w:rPr>
                          <w:t>Vardas, pavardė, data, parašas</w:t>
                        </w:r>
                      </w:p>
                    </w:tc>
                    <w:tc>
                      <w:tcPr>
                        <w:tcW w:w="3715" w:type="dxa"/>
                        <w:shd w:val="clear" w:color="auto" w:fill="auto"/>
                      </w:tcPr>
                      <w:p>
                        <w:pPr>
                          <w:jc w:val="center"/>
                          <w:rPr>
                            <w:sz w:val="23"/>
                            <w:szCs w:val="23"/>
                            <w:lang w:eastAsia="en-GB"/>
                          </w:rPr>
                        </w:pPr>
                        <w:r>
                          <w:rPr>
                            <w:b/>
                            <w:sz w:val="23"/>
                            <w:szCs w:val="23"/>
                            <w:lang w:val="en-GB" w:eastAsia="en-GB"/>
                          </w:rPr>
                          <w:t>Pastabos</w:t>
                        </w:r>
                      </w:p>
                    </w:tc>
                  </w:tr>
                  <w:tr>
                    <w:tc>
                      <w:tcPr>
                        <w:tcW w:w="2885" w:type="dxa"/>
                        <w:shd w:val="clear" w:color="auto" w:fill="auto"/>
                      </w:tcPr>
                      <w:p>
                        <w:pPr>
                          <w:rPr>
                            <w:sz w:val="23"/>
                            <w:szCs w:val="23"/>
                            <w:lang w:eastAsia="en-GB"/>
                          </w:rPr>
                        </w:pPr>
                        <w:r>
                          <w:rPr>
                            <w:sz w:val="23"/>
                            <w:szCs w:val="23"/>
                            <w:lang w:val="en-GB" w:eastAsia="en-GB"/>
                          </w:rPr>
                          <w:t>Priemonės patvirtintos:</w:t>
                        </w:r>
                      </w:p>
                    </w:tc>
                    <w:tc>
                      <w:tcPr>
                        <w:tcW w:w="3318" w:type="dxa"/>
                        <w:shd w:val="clear" w:color="auto" w:fill="auto"/>
                      </w:tcPr>
                      <w:p>
                        <w:pPr>
                          <w:rPr>
                            <w:sz w:val="23"/>
                            <w:szCs w:val="23"/>
                            <w:lang w:eastAsia="en-GB"/>
                          </w:rPr>
                        </w:pPr>
                      </w:p>
                    </w:tc>
                    <w:tc>
                      <w:tcPr>
                        <w:tcW w:w="3715" w:type="dxa"/>
                        <w:shd w:val="clear" w:color="auto" w:fill="auto"/>
                      </w:tcPr>
                      <w:p>
                        <w:pPr>
                          <w:rPr>
                            <w:sz w:val="23"/>
                            <w:szCs w:val="23"/>
                            <w:lang w:eastAsia="en-GB"/>
                          </w:rPr>
                        </w:pPr>
                        <w:r>
                          <w:rPr>
                            <w:sz w:val="23"/>
                            <w:szCs w:val="23"/>
                            <w:lang w:val="en-GB" w:eastAsia="en-GB"/>
                          </w:rPr>
                          <w:t>Įtraukti numatytas priemones į veiklos planą, nustatant atlikimo terminą ir atsakingus asmenis</w:t>
                        </w:r>
                      </w:p>
                    </w:tc>
                  </w:tr>
                  <w:tr>
                    <w:tc>
                      <w:tcPr>
                        <w:tcW w:w="2885" w:type="dxa"/>
                        <w:shd w:val="clear" w:color="auto" w:fill="auto"/>
                      </w:tcPr>
                      <w:p>
                        <w:pPr>
                          <w:rPr>
                            <w:sz w:val="23"/>
                            <w:szCs w:val="23"/>
                            <w:lang w:eastAsia="en-GB"/>
                          </w:rPr>
                        </w:pPr>
                        <w:r>
                          <w:rPr>
                            <w:sz w:val="23"/>
                            <w:szCs w:val="23"/>
                            <w:lang w:val="en-GB" w:eastAsia="en-GB"/>
                          </w:rPr>
                          <w:t>Likęs pavojus pripažintas priimtina rizika:</w:t>
                        </w:r>
                      </w:p>
                      <w:p>
                        <w:pPr>
                          <w:rPr>
                            <w:rFonts w:eastAsia="Calibri"/>
                            <w:sz w:val="23"/>
                            <w:szCs w:val="23"/>
                            <w:lang w:eastAsia="en-GB"/>
                          </w:rPr>
                        </w:pPr>
                      </w:p>
                      <w:p>
                        <w:pPr>
                          <w:rPr>
                            <w:rFonts w:eastAsia="Calibri"/>
                            <w:sz w:val="23"/>
                            <w:szCs w:val="23"/>
                            <w:lang w:eastAsia="en-GB"/>
                          </w:rPr>
                        </w:pPr>
                      </w:p>
                    </w:tc>
                    <w:tc>
                      <w:tcPr>
                        <w:tcW w:w="3318" w:type="dxa"/>
                        <w:shd w:val="clear" w:color="auto" w:fill="auto"/>
                      </w:tcPr>
                      <w:p>
                        <w:pPr>
                          <w:rPr>
                            <w:sz w:val="23"/>
                            <w:szCs w:val="23"/>
                            <w:lang w:eastAsia="en-GB"/>
                          </w:rPr>
                        </w:pPr>
                      </w:p>
                    </w:tc>
                    <w:tc>
                      <w:tcPr>
                        <w:tcW w:w="3715" w:type="dxa"/>
                        <w:shd w:val="clear" w:color="auto" w:fill="auto"/>
                      </w:tcPr>
                      <w:p>
                        <w:pPr>
                          <w:rPr>
                            <w:sz w:val="23"/>
                            <w:szCs w:val="23"/>
                            <w:lang w:eastAsia="en-GB"/>
                          </w:rPr>
                        </w:pPr>
                        <w:r>
                          <w:rPr>
                            <w:sz w:val="23"/>
                            <w:szCs w:val="23"/>
                            <w:lang w:eastAsia="en-GB"/>
                          </w:rPr>
                          <w:t>Jei priimtina rizika pripažintas aukšto lygio pavojus priimtinas, privaloma kreiptis dėl išankstinės konsultacijos į Valstybinę duomenų apsaugos inspekciją (išskyrus atvejus, kai asmens duomenys tvarkomi nacionalinio saugumo ir gynybos tikslais)</w:t>
                        </w:r>
                      </w:p>
                    </w:tc>
                  </w:tr>
                </w:tbl>
                <w:p>
                  <w:pPr>
                    <w:rPr>
                      <w:sz w:val="10"/>
                      <w:szCs w:val="10"/>
                    </w:rPr>
                  </w:pPr>
                </w:p>
                <w:p>
                  <w:pPr>
                    <w:spacing w:line="276" w:lineRule="auto"/>
                    <w:jc w:val="both"/>
                    <w:rPr>
                      <w:rFonts w:eastAsia="Calibri"/>
                      <w:b/>
                      <w:bCs/>
                      <w:sz w:val="23"/>
                      <w:szCs w:val="23"/>
                    </w:rPr>
                  </w:pPr>
                </w:p>
                <w:p>
                  <w:pPr>
                    <w:rPr>
                      <w:sz w:val="12"/>
                      <w:szCs w:val="12"/>
                    </w:rPr>
                  </w:pPr>
                </w:p>
              </w:sdtContent>
            </w:sdt>
          </w:sdtContent>
        </w:sdt>
        <w:sdt>
          <w:sdtPr>
            <w:alias w:val="skirsnis"/>
            <w:tag w:val="part_45b99ab81f9c47508abcec0c32dfef6e"/>
            <w:lock w:val="sdtLocked"/>
            <w:richText/>
          </w:sdtPr>
          <w:sdtContent>
            <w:p>
              <w:pPr>
                <w:spacing w:line="276" w:lineRule="auto"/>
                <w:jc w:val="both"/>
                <w:rPr>
                  <w:rFonts w:eastAsia="Calibri"/>
                  <w:b/>
                  <w:bCs/>
                  <w:sz w:val="23"/>
                  <w:szCs w:val="23"/>
                </w:rPr>
              </w:pPr>
              <w:sdt>
                <w:sdtPr>
                  <w:alias w:val="Pavadinimas"/>
                  <w:tag w:val="title_45b99ab81f9c47508abcec0c32dfef6e"/>
                  <w:lock w:val="sdtLocked"/>
                  <w:richText/>
                </w:sdtPr>
                <w:sdtContent>
                  <w:r>
                    <w:rPr>
                      <w:rFonts w:eastAsia="Calibri"/>
                      <w:b/>
                      <w:bCs/>
                      <w:sz w:val="23"/>
                      <w:szCs w:val="23"/>
                    </w:rPr>
                    <w:t>Duomenų apsaugos pareigūno nuomonė</w:t>
                  </w:r>
                </w:sdtContent>
              </w:sdt>
            </w:p>
            <w:p>
              <w:pPr>
                <w:rPr>
                  <w:sz w:val="12"/>
                  <w:szCs w:val="12"/>
                </w:rPr>
              </w:pPr>
            </w:p>
            <w:p>
              <w:pPr>
                <w:jc w:val="both"/>
                <w:rPr>
                  <w:sz w:val="23"/>
                  <w:szCs w:val="23"/>
                  <w:lang w:eastAsia="en-GB"/>
                </w:rPr>
              </w:pPr>
              <w:r>
                <w:rPr>
                  <w:sz w:val="23"/>
                  <w:szCs w:val="23"/>
                  <w:lang w:eastAsia="en-GB"/>
                </w:rPr>
                <w:t>Duomenų apsaugos pareigūno nuomonė turi būti pateikta dėl asmens duomenų tvarkymo teisėtumo, planuojamų priemonių pavojams mažinti ar pašalinti bei dėl galimybės toliau tvarkyti asmens duomenis.</w:t>
              </w:r>
            </w:p>
            <w:p>
              <w:pPr>
                <w:rPr>
                  <w:sz w:val="10"/>
                  <w:szCs w:val="10"/>
                </w:rPr>
              </w:pPr>
            </w:p>
            <w:p>
              <w:pPr>
                <w:jc w:val="both"/>
                <w:rPr>
                  <w:sz w:val="23"/>
                  <w:szCs w:val="23"/>
                  <w:lang w:eastAsia="en-GB"/>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7033"/>
              </w:tblGrid>
              <w:tr>
                <w:trPr>
                  <w:trHeight w:val="940"/>
                </w:trPr>
                <w:tc>
                  <w:tcPr>
                    <w:tcW w:w="9918" w:type="dxa"/>
                    <w:gridSpan w:val="2"/>
                    <w:shd w:val="clear" w:color="auto" w:fill="auto"/>
                  </w:tcPr>
                  <w:p>
                    <w:pPr>
                      <w:rPr>
                        <w:sz w:val="23"/>
                        <w:szCs w:val="23"/>
                        <w:lang w:eastAsia="en-GB"/>
                      </w:rPr>
                    </w:pPr>
                    <w:r>
                      <w:rPr>
                        <w:sz w:val="23"/>
                        <w:szCs w:val="23"/>
                        <w:lang w:val="en-GB" w:eastAsia="en-GB"/>
                      </w:rPr>
                      <w:t>Nurodoma duomenų apsaugos pareigūno nuomonė:</w:t>
                    </w:r>
                  </w:p>
                </w:tc>
              </w:tr>
              <w:tr>
                <w:tc>
                  <w:tcPr>
                    <w:tcW w:w="2885" w:type="dxa"/>
                    <w:tcBorders>
                      <w:top w:val="nil"/>
                    </w:tcBorders>
                    <w:shd w:val="clear" w:color="auto" w:fill="auto"/>
                  </w:tcPr>
                  <w:p>
                    <w:pPr>
                      <w:rPr>
                        <w:b/>
                        <w:sz w:val="23"/>
                        <w:szCs w:val="23"/>
                        <w:lang w:eastAsia="en-GB"/>
                      </w:rPr>
                    </w:pPr>
                  </w:p>
                </w:tc>
                <w:tc>
                  <w:tcPr>
                    <w:tcW w:w="7033" w:type="dxa"/>
                    <w:tcBorders>
                      <w:top w:val="nil"/>
                    </w:tcBorders>
                    <w:shd w:val="clear" w:color="auto" w:fill="auto"/>
                  </w:tcPr>
                  <w:p>
                    <w:pPr>
                      <w:rPr>
                        <w:i/>
                        <w:sz w:val="23"/>
                        <w:szCs w:val="23"/>
                        <w:lang w:val="en-GB" w:eastAsia="en-GB"/>
                      </w:rPr>
                    </w:pPr>
                    <w:r>
                      <w:rPr>
                        <w:i/>
                        <w:sz w:val="23"/>
                        <w:szCs w:val="23"/>
                        <w:lang w:val="en-GB" w:eastAsia="en-GB"/>
                      </w:rPr>
                      <w:t>Vardas, pavardė, data, parašas</w:t>
                    </w:r>
                  </w:p>
                  <w:p>
                    <w:pPr>
                      <w:rPr>
                        <w:i/>
                        <w:sz w:val="23"/>
                        <w:szCs w:val="23"/>
                        <w:lang w:eastAsia="en-GB"/>
                      </w:rPr>
                    </w:pPr>
                  </w:p>
                </w:tc>
              </w:tr>
            </w:tbl>
            <w:p>
              <w:pPr>
                <w:rPr>
                  <w:sz w:val="10"/>
                  <w:szCs w:val="10"/>
                </w:rPr>
              </w:pPr>
            </w:p>
            <w:p>
              <w:pPr>
                <w:spacing w:line="276" w:lineRule="auto"/>
                <w:jc w:val="both"/>
                <w:rPr>
                  <w:rFonts w:eastAsia="Calibri"/>
                  <w:b/>
                  <w:bCs/>
                  <w:sz w:val="23"/>
                  <w:szCs w:val="23"/>
                </w:rPr>
              </w:pPr>
            </w:p>
            <w:p>
              <w:pPr>
                <w:rPr>
                  <w:sz w:val="12"/>
                  <w:szCs w:val="12"/>
                </w:rPr>
              </w:pPr>
            </w:p>
            <w:p>
              <w:pPr>
                <w:spacing w:line="276" w:lineRule="auto"/>
                <w:jc w:val="both"/>
                <w:rPr>
                  <w:rFonts w:eastAsia="Calibri"/>
                  <w:b/>
                  <w:bCs/>
                  <w:sz w:val="23"/>
                  <w:szCs w:val="23"/>
                </w:rPr>
              </w:pPr>
            </w:p>
            <w:p>
              <w:pPr>
                <w:rPr>
                  <w:sz w:val="12"/>
                  <w:szCs w:val="12"/>
                </w:rPr>
              </w:pPr>
            </w:p>
            <w:sdt>
              <w:sdtPr>
                <w:alias w:val="lentele"/>
                <w:tag w:val="part_b9b6301b2d9643128122eb347cee0242"/>
                <w:lock w:val="sdtLocked"/>
                <w:richText/>
              </w:sdtPr>
              <w:sdtContent>
                <w:p>
                  <w:pPr>
                    <w:spacing w:line="276" w:lineRule="auto"/>
                    <w:jc w:val="both"/>
                    <w:rPr>
                      <w:rFonts w:eastAsia="Calibri"/>
                      <w:b/>
                      <w:bCs/>
                      <w:sz w:val="23"/>
                      <w:szCs w:val="23"/>
                    </w:rPr>
                  </w:pPr>
                  <w:sdt>
                    <w:sdtPr>
                      <w:alias w:val="Pavadinimas"/>
                      <w:tag w:val="title_b9b6301b2d9643128122eb347cee0242"/>
                      <w:lock w:val="sdtLocked"/>
                      <w:richText/>
                    </w:sdtPr>
                    <w:sdtContent>
                      <w:r>
                        <w:rPr>
                          <w:rFonts w:eastAsia="Calibri"/>
                          <w:b/>
                          <w:bCs/>
                          <w:sz w:val="23"/>
                          <w:szCs w:val="23"/>
                        </w:rPr>
                        <w:t>Nurodoma, ar atsižvelgta į duomenų apsaugos pareigūno nuomonę</w:t>
                      </w:r>
                    </w:sdtContent>
                  </w:sdt>
                </w:p>
                <w:p>
                  <w:pPr>
                    <w:rPr>
                      <w:sz w:val="12"/>
                      <w:szCs w:val="12"/>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7033"/>
                  </w:tblGrid>
                  <w:tr>
                    <w:trPr>
                      <w:trHeight w:val="838"/>
                    </w:trPr>
                    <w:tc>
                      <w:tcPr>
                        <w:tcW w:w="9918" w:type="dxa"/>
                        <w:gridSpan w:val="2"/>
                        <w:shd w:val="clear" w:color="auto" w:fill="auto"/>
                      </w:tcPr>
                      <w:p>
                        <w:pPr>
                          <w:rPr>
                            <w:sz w:val="23"/>
                            <w:szCs w:val="23"/>
                            <w:lang w:eastAsia="en-GB"/>
                          </w:rPr>
                        </w:pPr>
                        <w:r>
                          <w:rPr>
                            <w:sz w:val="23"/>
                            <w:szCs w:val="23"/>
                            <w:lang w:val="en-GB" w:eastAsia="en-GB"/>
                          </w:rPr>
                          <w:t>Jeigu atmesta, pagrindžiama, kodėl.</w:t>
                        </w:r>
                      </w:p>
                    </w:tc>
                  </w:tr>
                  <w:tr>
                    <w:tc>
                      <w:tcPr>
                        <w:tcW w:w="2885" w:type="dxa"/>
                        <w:tcBorders>
                          <w:top w:val="nil"/>
                        </w:tcBorders>
                        <w:shd w:val="clear" w:color="auto" w:fill="auto"/>
                      </w:tcPr>
                      <w:p>
                        <w:pPr>
                          <w:rPr>
                            <w:b/>
                            <w:sz w:val="23"/>
                            <w:szCs w:val="23"/>
                            <w:lang w:eastAsia="en-GB"/>
                          </w:rPr>
                        </w:pPr>
                      </w:p>
                    </w:tc>
                    <w:tc>
                      <w:tcPr>
                        <w:tcW w:w="7033" w:type="dxa"/>
                        <w:tcBorders>
                          <w:top w:val="nil"/>
                        </w:tcBorders>
                        <w:shd w:val="clear" w:color="auto" w:fill="auto"/>
                      </w:tcPr>
                      <w:p>
                        <w:pPr>
                          <w:rPr>
                            <w:i/>
                            <w:sz w:val="23"/>
                            <w:szCs w:val="23"/>
                            <w:lang w:val="en-GB" w:eastAsia="en-GB"/>
                          </w:rPr>
                        </w:pPr>
                        <w:r>
                          <w:rPr>
                            <w:i/>
                            <w:sz w:val="23"/>
                            <w:szCs w:val="23"/>
                            <w:lang w:val="en-GB" w:eastAsia="en-GB"/>
                          </w:rPr>
                          <w:t>Vardas, pavardė, data, parašas</w:t>
                        </w:r>
                      </w:p>
                      <w:p>
                        <w:pPr>
                          <w:rPr>
                            <w:i/>
                            <w:sz w:val="23"/>
                            <w:szCs w:val="23"/>
                            <w:lang w:eastAsia="en-GB"/>
                          </w:rPr>
                        </w:pPr>
                      </w:p>
                    </w:tc>
                  </w:tr>
                </w:tbl>
                <w:p>
                  <w:pPr>
                    <w:rPr>
                      <w:sz w:val="10"/>
                      <w:szCs w:val="10"/>
                    </w:rPr>
                  </w:pPr>
                </w:p>
              </w:sdtContent>
            </w:sdt>
            <w:sdt>
              <w:sdtPr>
                <w:alias w:val="lentele"/>
                <w:tag w:val="part_da2e15619fa6427290ae84ac0a832c4b"/>
                <w:lock w:val="sdtLocked"/>
                <w:richText/>
              </w:sdtPr>
              <w:sdtContent>
                <w:p>
                  <w:pPr>
                    <w:jc w:val="both"/>
                    <w:rPr>
                      <w:b/>
                      <w:bCs/>
                      <w:sz w:val="23"/>
                      <w:szCs w:val="23"/>
                      <w:lang w:eastAsia="en-GB"/>
                    </w:rPr>
                  </w:pPr>
                  <w:sdt>
                    <w:sdtPr>
                      <w:alias w:val="Pavadinimas"/>
                      <w:tag w:val="title_da2e15619fa6427290ae84ac0a832c4b"/>
                      <w:lock w:val="sdtLocked"/>
                      <w:richText/>
                    </w:sdtPr>
                    <w:sdtContent>
                      <w:r>
                        <w:rPr>
                          <w:b/>
                          <w:bCs/>
                          <w:sz w:val="23"/>
                          <w:szCs w:val="23"/>
                          <w:lang w:eastAsia="en-GB"/>
                        </w:rPr>
                        <w:t>Gautos kitų asmenų nuomonės</w:t>
                      </w:r>
                    </w:sdtContent>
                  </w:sdt>
                </w:p>
                <w:p>
                  <w:pPr>
                    <w:rPr>
                      <w:sz w:val="10"/>
                      <w:szCs w:val="10"/>
                    </w:rPr>
                  </w:pPr>
                </w:p>
                <w:p>
                  <w:pPr>
                    <w:jc w:val="both"/>
                    <w:rPr>
                      <w:b/>
                      <w:bCs/>
                      <w:sz w:val="23"/>
                      <w:szCs w:val="23"/>
                      <w:lang w:eastAsia="en-GB"/>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7033"/>
                  </w:tblGrid>
                  <w:tr>
                    <w:trPr>
                      <w:trHeight w:val="1144"/>
                    </w:trPr>
                    <w:tc>
                      <w:tcPr>
                        <w:tcW w:w="9918" w:type="dxa"/>
                        <w:gridSpan w:val="2"/>
                        <w:shd w:val="clear" w:color="auto" w:fill="auto"/>
                      </w:tcPr>
                      <w:p>
                        <w:pPr>
                          <w:rPr>
                            <w:sz w:val="23"/>
                            <w:szCs w:val="23"/>
                            <w:lang w:eastAsia="en-GB"/>
                          </w:rPr>
                        </w:pPr>
                        <w:r>
                          <w:rPr>
                            <w:sz w:val="23"/>
                            <w:szCs w:val="23"/>
                            <w:lang w:val="en-GB" w:eastAsia="en-GB"/>
                          </w:rPr>
                          <w:t>Trumpai aprašomos kitų asmenų nuomonės ir nurodoma, ar į jas atsižvelgta. Jeigu sprendimas skiriasi nuo susijusių asmenų nuomonės, pagrindžiama, kodėl.</w:t>
                        </w:r>
                      </w:p>
                    </w:tc>
                  </w:tr>
                  <w:tr>
                    <w:tc>
                      <w:tcPr>
                        <w:tcW w:w="2885" w:type="dxa"/>
                        <w:tcBorders>
                          <w:top w:val="nil"/>
                        </w:tcBorders>
                        <w:shd w:val="clear" w:color="auto" w:fill="auto"/>
                      </w:tcPr>
                      <w:p>
                        <w:pPr>
                          <w:rPr>
                            <w:b/>
                            <w:sz w:val="23"/>
                            <w:szCs w:val="23"/>
                            <w:lang w:eastAsia="en-GB"/>
                          </w:rPr>
                        </w:pPr>
                      </w:p>
                    </w:tc>
                    <w:tc>
                      <w:tcPr>
                        <w:tcW w:w="7033" w:type="dxa"/>
                        <w:tcBorders>
                          <w:top w:val="nil"/>
                        </w:tcBorders>
                        <w:shd w:val="clear" w:color="auto" w:fill="auto"/>
                      </w:tcPr>
                      <w:p>
                        <w:pPr>
                          <w:rPr>
                            <w:i/>
                            <w:sz w:val="23"/>
                            <w:szCs w:val="23"/>
                            <w:lang w:val="en-GB" w:eastAsia="en-GB"/>
                          </w:rPr>
                        </w:pPr>
                        <w:r>
                          <w:rPr>
                            <w:i/>
                            <w:sz w:val="23"/>
                            <w:szCs w:val="23"/>
                            <w:lang w:val="en-GB" w:eastAsia="en-GB"/>
                          </w:rPr>
                          <w:t>Vardas, pavardė, data, parašas</w:t>
                        </w:r>
                      </w:p>
                      <w:p>
                        <w:pPr>
                          <w:rPr>
                            <w:i/>
                            <w:sz w:val="23"/>
                            <w:szCs w:val="23"/>
                            <w:lang w:eastAsia="en-GB"/>
                          </w:rPr>
                        </w:pPr>
                      </w:p>
                    </w:tc>
                  </w:tr>
                </w:tbl>
                <w:p>
                  <w:pPr>
                    <w:rPr>
                      <w:sz w:val="10"/>
                      <w:szCs w:val="10"/>
                    </w:rPr>
                  </w:pPr>
                </w:p>
              </w:sdtContent>
            </w:sdt>
            <w:sdt>
              <w:sdtPr>
                <w:alias w:val="lentele"/>
                <w:tag w:val="part_b6d2767d95da484aac7d2f5c44c2748e"/>
                <w:lock w:val="sdtLocked"/>
                <w:richText/>
              </w:sdtPr>
              <w:sdtContent>
                <w:p>
                  <w:pPr>
                    <w:jc w:val="both"/>
                    <w:rPr>
                      <w:b/>
                      <w:bCs/>
                      <w:sz w:val="23"/>
                      <w:szCs w:val="23"/>
                      <w:lang w:eastAsia="en-GB"/>
                    </w:rPr>
                  </w:pPr>
                  <w:sdt>
                    <w:sdtPr>
                      <w:alias w:val="Pavadinimas"/>
                      <w:tag w:val="title_b6d2767d95da484aac7d2f5c44c2748e"/>
                      <w:lock w:val="sdtLocked"/>
                      <w:richText/>
                    </w:sdtPr>
                    <w:sdtContent>
                      <w:r>
                        <w:rPr>
                          <w:b/>
                          <w:bCs/>
                          <w:sz w:val="23"/>
                          <w:szCs w:val="23"/>
                          <w:lang w:eastAsia="en-GB"/>
                        </w:rPr>
                        <w:t>Poveikio duomenų apsaugai vertinimą atlikęs asmuo</w:t>
                      </w:r>
                    </w:sdtContent>
                  </w:sdt>
                </w:p>
                <w:p>
                  <w:pPr>
                    <w:rPr>
                      <w:sz w:val="10"/>
                      <w:szCs w:val="10"/>
                    </w:rPr>
                  </w:pPr>
                </w:p>
                <w:p>
                  <w:pPr>
                    <w:jc w:val="both"/>
                    <w:rPr>
                      <w:sz w:val="23"/>
                      <w:szCs w:val="23"/>
                      <w:lang w:eastAsia="en-GB"/>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7033"/>
                  </w:tblGrid>
                  <w:tr>
                    <w:tc>
                      <w:tcPr>
                        <w:tcW w:w="9918" w:type="dxa"/>
                        <w:gridSpan w:val="2"/>
                        <w:shd w:val="clear" w:color="auto" w:fill="auto"/>
                      </w:tcPr>
                      <w:p>
                        <w:pPr>
                          <w:rPr>
                            <w:rFonts w:eastAsia="Calibri"/>
                            <w:sz w:val="23"/>
                            <w:szCs w:val="23"/>
                            <w:lang w:eastAsia="en-GB"/>
                          </w:rPr>
                        </w:pPr>
                      </w:p>
                      <w:p>
                        <w:pPr>
                          <w:rPr>
                            <w:rFonts w:eastAsia="Calibri"/>
                            <w:sz w:val="23"/>
                            <w:szCs w:val="23"/>
                            <w:lang w:eastAsia="en-GB"/>
                          </w:rPr>
                        </w:pPr>
                      </w:p>
                    </w:tc>
                  </w:tr>
                  <w:tr>
                    <w:tc>
                      <w:tcPr>
                        <w:tcW w:w="2885" w:type="dxa"/>
                        <w:tcBorders>
                          <w:top w:val="nil"/>
                          <w:bottom w:val="nil"/>
                        </w:tcBorders>
                        <w:shd w:val="clear" w:color="auto" w:fill="auto"/>
                      </w:tcPr>
                      <w:p>
                        <w:pPr>
                          <w:rPr>
                            <w:b/>
                            <w:sz w:val="23"/>
                            <w:szCs w:val="23"/>
                            <w:lang w:eastAsia="en-GB"/>
                          </w:rPr>
                        </w:pPr>
                      </w:p>
                    </w:tc>
                    <w:tc>
                      <w:tcPr>
                        <w:tcW w:w="7033" w:type="dxa"/>
                        <w:tcBorders>
                          <w:top w:val="nil"/>
                          <w:bottom w:val="nil"/>
                        </w:tcBorders>
                        <w:shd w:val="clear" w:color="auto" w:fill="auto"/>
                      </w:tcPr>
                      <w:p>
                        <w:pPr>
                          <w:rPr>
                            <w:i/>
                            <w:sz w:val="23"/>
                            <w:szCs w:val="23"/>
                            <w:lang w:eastAsia="en-GB"/>
                          </w:rPr>
                        </w:pPr>
                        <w:r>
                          <w:rPr>
                            <w:i/>
                            <w:sz w:val="23"/>
                            <w:szCs w:val="23"/>
                            <w:lang w:val="en-GB" w:eastAsia="en-GB"/>
                          </w:rPr>
                          <w:t>Vardas, pavardė, data, parašas</w:t>
                        </w:r>
                      </w:p>
                    </w:tc>
                  </w:tr>
                  <w:tr>
                    <w:trPr>
                      <w:trHeight w:val="80"/>
                    </w:trPr>
                    <w:tc>
                      <w:tcPr>
                        <w:tcW w:w="2885" w:type="dxa"/>
                        <w:tcBorders>
                          <w:top w:val="nil"/>
                        </w:tcBorders>
                        <w:shd w:val="clear" w:color="auto" w:fill="auto"/>
                      </w:tcPr>
                      <w:p>
                        <w:pPr>
                          <w:rPr>
                            <w:b/>
                            <w:sz w:val="23"/>
                            <w:szCs w:val="23"/>
                            <w:lang w:eastAsia="en-GB"/>
                          </w:rPr>
                        </w:pPr>
                      </w:p>
                    </w:tc>
                    <w:tc>
                      <w:tcPr>
                        <w:tcW w:w="7033" w:type="dxa"/>
                        <w:tcBorders>
                          <w:top w:val="nil"/>
                        </w:tcBorders>
                        <w:shd w:val="clear" w:color="auto" w:fill="auto"/>
                      </w:tcPr>
                      <w:p>
                        <w:pPr>
                          <w:rPr>
                            <w:b/>
                            <w:sz w:val="23"/>
                            <w:szCs w:val="23"/>
                            <w:lang w:eastAsia="en-GB"/>
                          </w:rPr>
                        </w:pPr>
                      </w:p>
                    </w:tc>
                  </w:tr>
                </w:tbl>
                <w:p>
                  <w:pPr>
                    <w:rPr>
                      <w:sz w:val="10"/>
                      <w:szCs w:val="10"/>
                    </w:rPr>
                  </w:pPr>
                </w:p>
                <w:p>
                  <w:pPr>
                    <w:jc w:val="both"/>
                    <w:rPr>
                      <w:b/>
                      <w:sz w:val="23"/>
                      <w:szCs w:val="23"/>
                      <w:lang w:eastAsia="en-GB"/>
                    </w:rPr>
                  </w:pPr>
                </w:p>
                <w:p>
                  <w:pPr>
                    <w:rPr>
                      <w:sz w:val="10"/>
                      <w:szCs w:val="10"/>
                    </w:rPr>
                  </w:pPr>
                </w:p>
              </w:sdtContent>
            </w:sdt>
            <w:sdt>
              <w:sdtPr>
                <w:alias w:val="pastraipa"/>
                <w:tag w:val="part_020b5a884817422d8cbd7aaeee728287"/>
                <w:lock w:val="sdtLocked"/>
                <w:richText/>
              </w:sdtPr>
              <w:sdtContent>
                <w:p>
                  <w:pPr>
                    <w:jc w:val="both"/>
                    <w:rPr>
                      <w:szCs w:val="24"/>
                      <w:lang w:eastAsia="en-GB"/>
                    </w:rPr>
                  </w:pPr>
                  <w:r>
                    <w:rPr>
                      <w:b/>
                      <w:szCs w:val="24"/>
                      <w:lang w:eastAsia="en-GB"/>
                    </w:rPr>
                    <w:t>*Pastaba:</w:t>
                  </w:r>
                  <w:r>
                    <w:rPr>
                      <w:szCs w:val="24"/>
                      <w:lang w:eastAsia="en-GB"/>
                    </w:rPr>
                    <w:t xml:space="preserve"> </w:t>
                  </w:r>
                  <w:r>
                    <w:rPr>
                      <w:szCs w:val="24"/>
                    </w:rPr>
                    <w:t>P</w:t>
                  </w:r>
                  <w:r>
                    <w:rPr>
                      <w:szCs w:val="24"/>
                      <w:lang w:eastAsia="en-GB"/>
                    </w:rPr>
                    <w:t xml:space="preserve">agal Lietuvos Respublikos asmens duomenų, tvarkomų nusikalstamų veikų prevencijos, tyrimo atskleidimo ar baudžiamojo persekiojimo už jas, bausmių vykdymo arba nacionalinio saugumo ar gynybos tikslais, teisinės apsaugos įstatymo 25 straipsnį </w:t>
                  </w:r>
                  <w:r>
                    <w:rPr>
                      <w:szCs w:val="24"/>
                    </w:rPr>
                    <w:t xml:space="preserve">Poveikio duomenų apsaugai vertinimo ataskaitoje pateikiamas bendras numatytų duomenų tvarkymo operacijų aprašymas, pavojaus duomenų subjektų teisėms ir laisvėms vertinimas, numatytos šio pavojaus pašalinimo priemonės, asmens duomenų apsaugos priemonės, asmens duomenų saugumo priemonės ir mechanizmai, kuriais užtikrinama asmens duomenų apsauga ir įrodoma, kad laikomasi šio įstatymo, atsižvelgiant į duomenų subjektų ir kitų susijusių asmenų teises ir teisėtus interesus, ir kita, duomenų valdytojo nuomone, svarbi informacija. </w:t>
                  </w:r>
                  <w:r>
                    <w:rPr>
                      <w:szCs w:val="24"/>
                      <w:lang w:eastAsia="en-GB"/>
                    </w:rPr>
                    <w:t>Tvarkant duomenis pagal šį įstatymą, ataskaitoje gali būti neteikiami įstatyme nereikalaujami duomenys.</w:t>
                  </w:r>
                </w:p>
                <w:p>
                  <w:pPr>
                    <w:rPr>
                      <w:sz w:val="10"/>
                      <w:szCs w:val="10"/>
                    </w:rPr>
                  </w:pPr>
                </w:p>
              </w:sdtContent>
            </w:sdt>
            <w:sdt>
              <w:sdtPr>
                <w:alias w:val="pastraipa"/>
                <w:tag w:val="part_2e99d1c63cdf42d5a042dbdd3f4d58cc"/>
                <w:lock w:val="sdtLocked"/>
                <w:richText/>
              </w:sdtPr>
              <w:sdtContent>
                <w:p>
                  <w:pPr>
                    <w:jc w:val="both"/>
                    <w:rPr>
                      <w:szCs w:val="24"/>
                      <w:lang w:eastAsia="en-GB"/>
                    </w:rPr>
                  </w:pPr>
                  <w:r>
                    <w:rPr>
                      <w:szCs w:val="24"/>
                      <w:lang w:eastAsia="en-GB"/>
                    </w:rPr>
                    <w:t>Tvarkant duomenis pagal BDAR, ataskaitoje privaloma pateikti BDAR 35 straipsnyje nurodytą informaciją.</w:t>
                  </w:r>
                </w:p>
                <w:p>
                  <w:pPr>
                    <w:rPr>
                      <w:sz w:val="10"/>
                      <w:szCs w:val="10"/>
                    </w:rPr>
                  </w:pPr>
                </w:p>
              </w:sdtContent>
            </w:sdt>
          </w:sdtContent>
        </w:sdt>
        <w:sdt>
          <w:sdtPr>
            <w:alias w:val="pabaiga"/>
            <w:tag w:val="part_aa8981abc22e4a969dec900225875c35"/>
            <w:lock w:val="sdtLocked"/>
            <w:richText/>
          </w:sdtPr>
          <w:sdtContent>
            <w:p>
              <w:pPr>
                <w:ind w:left="2592" w:firstLine="1296"/>
                <w:jc w:val="both"/>
                <w:rPr>
                  <w:b/>
                  <w:sz w:val="23"/>
                  <w:szCs w:val="23"/>
                </w:rPr>
              </w:pPr>
              <w:r>
                <w:rPr>
                  <w:b/>
                  <w:sz w:val="23"/>
                  <w:szCs w:val="23"/>
                </w:rPr>
                <w:t>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851" w:right="567" w:bottom="993" w:left="1418" w:header="567" w:footer="567" w:gutter="0"/>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923269" w16cid:durableId="2486A851"/>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jc w:val="both"/>
        <w:rPr>
          <w:sz w:val="22"/>
          <w:szCs w:val="22"/>
        </w:rPr>
      </w:pPr>
      <w:r>
        <w:rPr>
          <w:sz w:val="22"/>
          <w:szCs w:val="22"/>
        </w:rPr>
        <w:separator/>
      </w:r>
    </w:p>
  </w:endnote>
  <w:endnote w:type="continuationSeparator" w:id="0">
    <w:p>
      <w:pPr>
        <w:jc w:val="both"/>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both"/>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right"/>
      <w:rPr>
        <w:sz w:val="22"/>
        <w:szCs w:val="22"/>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513"/>
        <w:tab w:val="right" w:pos="9026"/>
      </w:tabs>
      <w:jc w:val="both"/>
      <w:rPr>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right"/>
      <w:rPr>
        <w:szCs w:val="24"/>
      </w:rPr>
    </w:pPr>
  </w:p>
  <w:p>
    <w:pPr>
      <w:tabs>
        <w:tab w:val="center" w:pos="4513"/>
        <w:tab w:val="right" w:pos="9026"/>
      </w:tabs>
      <w:jc w:val="both"/>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jc w:val="both"/>
        <w:rPr>
          <w:sz w:val="22"/>
          <w:szCs w:val="22"/>
        </w:rPr>
      </w:pPr>
      <w:r>
        <w:rPr>
          <w:sz w:val="22"/>
          <w:szCs w:val="22"/>
        </w:rPr>
        <w:separator/>
      </w:r>
    </w:p>
  </w:footnote>
  <w:footnote w:type="continuationSeparator" w:id="0">
    <w:p>
      <w:pPr>
        <w:jc w:val="both"/>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both"/>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4</w:t>
    </w:r>
    <w:r>
      <w:rPr>
        <w:sz w:val="22"/>
        <w:szCs w:val="22"/>
      </w:rPr>
      <w:fldChar w:fldCharType="end"/>
    </w:r>
  </w:p>
  <w:p>
    <w:pPr>
      <w:tabs>
        <w:tab w:val="center" w:pos="4513"/>
        <w:tab w:val="right" w:pos="9026"/>
      </w:tabs>
      <w:jc w:val="both"/>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513"/>
        <w:tab w:val="right" w:pos="9026"/>
      </w:tabs>
      <w:jc w:val="both"/>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6"/>
  <w:defaultTabStop w:val="1296"/>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2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77315644">
      <w:bodyDiv w:val="1"/>
      <w:marLeft w:val="0"/>
      <w:marRight w:val="0"/>
      <w:marTop w:val="0"/>
      <w:marBottom w:val="0"/>
      <w:divBdr>
        <w:top w:val="none" w:sz="0" w:space="0" w:color="auto"/>
        <w:left w:val="none" w:sz="0" w:space="0" w:color="auto"/>
        <w:bottom w:val="none" w:sz="0" w:space="0" w:color="auto"/>
        <w:right w:val="none" w:sz="0" w:space="0" w:color="auto"/>
      </w:divBdr>
      <w:divsChild>
        <w:div w:id="1923951229">
          <w:marLeft w:val="0"/>
          <w:marRight w:val="0"/>
          <w:marTop w:val="0"/>
          <w:marBottom w:val="0"/>
          <w:divBdr>
            <w:top w:val="none" w:sz="0" w:space="0" w:color="auto"/>
            <w:left w:val="none" w:sz="0" w:space="0" w:color="auto"/>
            <w:bottom w:val="none" w:sz="0" w:space="0" w:color="auto"/>
            <w:right w:val="none" w:sz="0" w:space="0" w:color="auto"/>
          </w:divBdr>
          <w:divsChild>
            <w:div w:id="1516847288">
              <w:marLeft w:val="0"/>
              <w:marRight w:val="0"/>
              <w:marTop w:val="0"/>
              <w:marBottom w:val="0"/>
              <w:divBdr>
                <w:top w:val="none" w:sz="0" w:space="0" w:color="auto"/>
                <w:left w:val="none" w:sz="0" w:space="0" w:color="auto"/>
                <w:bottom w:val="none" w:sz="0" w:space="0" w:color="auto"/>
                <w:right w:val="none" w:sz="0" w:space="0" w:color="auto"/>
              </w:divBdr>
              <w:divsChild>
                <w:div w:id="236332123">
                  <w:marLeft w:val="0"/>
                  <w:marRight w:val="0"/>
                  <w:marTop w:val="0"/>
                  <w:marBottom w:val="0"/>
                  <w:divBdr>
                    <w:top w:val="none" w:sz="0" w:space="0" w:color="auto"/>
                    <w:left w:val="none" w:sz="0" w:space="0" w:color="auto"/>
                    <w:bottom w:val="none" w:sz="0" w:space="0" w:color="auto"/>
                    <w:right w:val="none" w:sz="0" w:space="0" w:color="auto"/>
                  </w:divBdr>
                  <w:divsChild>
                    <w:div w:id="883559657">
                      <w:marLeft w:val="0"/>
                      <w:marRight w:val="0"/>
                      <w:marTop w:val="0"/>
                      <w:marBottom w:val="0"/>
                      <w:divBdr>
                        <w:top w:val="none" w:sz="0" w:space="0" w:color="auto"/>
                        <w:left w:val="none" w:sz="0" w:space="0" w:color="auto"/>
                        <w:bottom w:val="none" w:sz="0" w:space="0" w:color="auto"/>
                        <w:right w:val="none" w:sz="0" w:space="0" w:color="auto"/>
                      </w:divBdr>
                    </w:div>
                    <w:div w:id="120652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671575">
      <w:bodyDiv w:val="1"/>
      <w:marLeft w:val="0"/>
      <w:marRight w:val="0"/>
      <w:marTop w:val="0"/>
      <w:marBottom w:val="0"/>
      <w:divBdr>
        <w:top w:val="none" w:sz="0" w:space="0" w:color="auto"/>
        <w:left w:val="none" w:sz="0" w:space="0" w:color="auto"/>
        <w:bottom w:val="none" w:sz="0" w:space="0" w:color="auto"/>
        <w:right w:val="none" w:sz="0" w:space="0" w:color="auto"/>
      </w:divBdr>
      <w:divsChild>
        <w:div w:id="851187711">
          <w:marLeft w:val="0"/>
          <w:marRight w:val="0"/>
          <w:marTop w:val="0"/>
          <w:marBottom w:val="0"/>
          <w:divBdr>
            <w:top w:val="none" w:sz="0" w:space="0" w:color="auto"/>
            <w:left w:val="none" w:sz="0" w:space="0" w:color="auto"/>
            <w:bottom w:val="none" w:sz="0" w:space="0" w:color="auto"/>
            <w:right w:val="none" w:sz="0" w:space="0" w:color="auto"/>
          </w:divBdr>
          <w:divsChild>
            <w:div w:id="1615743703">
              <w:marLeft w:val="0"/>
              <w:marRight w:val="0"/>
              <w:marTop w:val="0"/>
              <w:marBottom w:val="0"/>
              <w:divBdr>
                <w:top w:val="none" w:sz="0" w:space="0" w:color="auto"/>
                <w:left w:val="none" w:sz="0" w:space="0" w:color="auto"/>
                <w:bottom w:val="none" w:sz="0" w:space="0" w:color="auto"/>
                <w:right w:val="none" w:sz="0" w:space="0" w:color="auto"/>
              </w:divBdr>
              <w:divsChild>
                <w:div w:id="744456053">
                  <w:marLeft w:val="0"/>
                  <w:marRight w:val="0"/>
                  <w:marTop w:val="0"/>
                  <w:marBottom w:val="0"/>
                  <w:divBdr>
                    <w:top w:val="none" w:sz="0" w:space="0" w:color="auto"/>
                    <w:left w:val="none" w:sz="0" w:space="0" w:color="auto"/>
                    <w:bottom w:val="none" w:sz="0" w:space="0" w:color="auto"/>
                    <w:right w:val="none" w:sz="0" w:space="0" w:color="auto"/>
                  </w:divBdr>
                  <w:divsChild>
                    <w:div w:id="223953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772791">
      <w:bodyDiv w:val="1"/>
      <w:marLeft w:val="0"/>
      <w:marRight w:val="0"/>
      <w:marTop w:val="0"/>
      <w:marBottom w:val="0"/>
      <w:divBdr>
        <w:top w:val="none" w:sz="0" w:space="0" w:color="auto"/>
        <w:left w:val="none" w:sz="0" w:space="0" w:color="auto"/>
        <w:bottom w:val="none" w:sz="0" w:space="0" w:color="auto"/>
        <w:right w:val="none" w:sz="0" w:space="0" w:color="auto"/>
      </w:divBdr>
      <w:divsChild>
        <w:div w:id="1384258910">
          <w:marLeft w:val="0"/>
          <w:marRight w:val="0"/>
          <w:marTop w:val="0"/>
          <w:marBottom w:val="0"/>
          <w:divBdr>
            <w:top w:val="none" w:sz="0" w:space="0" w:color="auto"/>
            <w:left w:val="none" w:sz="0" w:space="0" w:color="auto"/>
            <w:bottom w:val="none" w:sz="0" w:space="0" w:color="auto"/>
            <w:right w:val="none" w:sz="0" w:space="0" w:color="auto"/>
          </w:divBdr>
          <w:divsChild>
            <w:div w:id="1770926733">
              <w:marLeft w:val="0"/>
              <w:marRight w:val="0"/>
              <w:marTop w:val="0"/>
              <w:marBottom w:val="0"/>
              <w:divBdr>
                <w:top w:val="none" w:sz="0" w:space="0" w:color="auto"/>
                <w:left w:val="none" w:sz="0" w:space="0" w:color="auto"/>
                <w:bottom w:val="none" w:sz="0" w:space="0" w:color="auto"/>
                <w:right w:val="none" w:sz="0" w:space="0" w:color="auto"/>
              </w:divBdr>
              <w:divsChild>
                <w:div w:id="10377942">
                  <w:marLeft w:val="0"/>
                  <w:marRight w:val="0"/>
                  <w:marTop w:val="0"/>
                  <w:marBottom w:val="0"/>
                  <w:divBdr>
                    <w:top w:val="none" w:sz="0" w:space="0" w:color="auto"/>
                    <w:left w:val="none" w:sz="0" w:space="0" w:color="auto"/>
                    <w:bottom w:val="none" w:sz="0" w:space="0" w:color="auto"/>
                    <w:right w:val="none" w:sz="0" w:space="0" w:color="auto"/>
                  </w:divBdr>
                  <w:divsChild>
                    <w:div w:id="47240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6/09/relationships/commentsIds" Target="commentsIds.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9" Abbr="9 pr." Title="POVEIKIO DUOMENŲ APSAUGAI VERTINIMO KRAŠTO APSAUGOS SISTEMOJE ATASKAITA" DocPartId="729ddfbc422b4e54b9990be21c9e1429" PartId="cad06f4c366746bc963c113fec40bc35">
    <Part Type="skirsnis" Title="(pavyzdinė forma)" DocPartId="a6767dc20d754052bbf54ed1151f73ab" PartId="7e4134b7f5334eebb205cd3a104ce822">
      <Part Type="punktas" Nr="1" Abbr="9 pr. 1 p." DocPartId="7355bc3947aa41658cd7005a01dfb930" PartId="37c16e39fef746dd8f469387114b1305"/>
      <Part Type="punktas" Nr="2" Abbr="9 pr. 2 p." DocPartId="09a0251dfd864c47941554f437755dc3" PartId="f279e21123fd4305a768c3d8cd870db0"/>
      <Part Type="punktas" Nr="3" Abbr="9 pr. 3 p." DocPartId="0b42315c70ef4e02aea79ab636c92334" PartId="dacabf0a0fcd40db8036cda976291a0e"/>
      <Part Type="punktas" Nr="4" Abbr="9 pr. 4 p." DocPartId="82211d02715d495b8d4d4e8c4d6fe123" PartId="638ac89336f74892bbac72255f2b50a0"/>
      <Part Type="punktas" Nr="5" Abbr="9 pr. 5 p." DocPartId="4844ba3813a848ae9ae38931635bdb8e" PartId="b7bc5b2e64eb4d0ea0040960e3fd622d"/>
      <Part Type="punktas" Nr="6" Abbr="9 pr. 6 p." DocPartId="e741644adc3d4179ab8cea0450fc8d78" PartId="fe5a3e39f66546e2948cb2d4662f18d4"/>
      <Part Type="punktas" Nr="7" Abbr="9 pr. 7 p." DocPartId="1691f6aca02641e99ba672f511f76a4e" PartId="9d6e45d8b013491bb61fbf1e92e84222"/>
    </Part>
    <Part Type="skirsnis" Title="Duomenų apsaugos pareigūno nuomonė" DocPartId="cda6e0135df7447cbd89d1fb22ee0f02" PartId="45b99ab81f9c47508abcec0c32dfef6e">
      <Part Type="lentele" Title="Nurodoma, ar atsižvelgta į duomenų apsaugos pareigūno nuomonę" DocPartId="daea68d3f8424e059955b911c3a097fe" PartId="b9b6301b2d9643128122eb347cee0242"/>
      <Part Type="lentele" Title="Gautos kitų asmenų nuomonės" DocPartId="0c20392ce99a4a19b70780d3d0339fa0" PartId="da2e15619fa6427290ae84ac0a832c4b"/>
      <Part Type="lentele" Title="Poveikio duomenų apsaugai vertinimą atlikęs asmuo" DocPartId="59cbf053aa5a470eaf79fdc07a3511c0" PartId="b6d2767d95da484aac7d2f5c44c2748e"/>
      <Part Type="pastraipa" DocPartId="2d16c694829a4ea083ea1ce6fb112929" PartId="020b5a884817422d8cbd7aaeee728287"/>
      <Part Type="pastraipa" DocPartId="6aa1dd88aec44af7bd9e9171c7d4ef4e" PartId="2e99d1c63cdf42d5a042dbdd3f4d58cc"/>
    </Part>
    <Part Type="pabaiga" DocPartId="1a737cedc15647419d8985e6cfc840a5" PartId="aa8981abc22e4a969dec900225875c35"/>
  </Part>
</Parts>
</file>

<file path=customXml/itemProps1.xml><?xml version="1.0" encoding="utf-8"?>
<ds:datastoreItem xmlns:ds="http://schemas.openxmlformats.org/officeDocument/2006/customXml" ds:itemID="{43555B15-3B61-435A-BDF0-D3656D7ADAB8}">
  <ds:schemaRefs>
    <ds:schemaRef ds:uri="http://schemas.openxmlformats.org/officeDocument/2006/bibliography"/>
  </ds:schemaRefs>
</ds:datastoreItem>
</file>

<file path=customXml/itemProps2.xml><?xml version="1.0" encoding="utf-8"?>
<ds:datastoreItem xmlns:ds="http://schemas.openxmlformats.org/officeDocument/2006/customXml" ds:itemID="{82BAB510-8EAC-486E-AE49-961AA4D19B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904</Words>
  <Characters>6354</Characters>
  <Application>Microsoft Office Word</Application>
  <DocSecurity>4</DocSecurity>
  <Lines>204</Lines>
  <Paragraphs>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7182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Rita Karalienė</dc:creator>
  <lastModifiedBy>adlibuser</lastModifiedBy>
  <dcterms:modified xsi:type="dcterms:W3CDTF">2021-11-12T09:31:00Z</dcterms:modified>
  <revision>2</revision>
</coreProperties>
</file>