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ced035bf6e40b4a3ffab4d5189fb22"/>
        <w:lock w:val="sdtLocked"/>
        <w:richText/>
      </w:sdtPr>
      <w:sdtContent>
        <w:p>
          <w:pPr>
            <w:tabs>
              <w:tab w:val="center" w:pos="4153"/>
              <w:tab w:val="right" w:pos="8306"/>
            </w:tabs>
            <w:jc w:val="right"/>
            <w:rPr>
              <w:b/>
              <w:bCs/>
              <w:szCs w:val="24"/>
              <w:lang w:val="x-none" w:eastAsia="x-none"/>
            </w:rPr>
          </w:pPr>
        </w:p>
      </w:sdtContent>
    </w:sdt>
    <w:sdt>
      <w:sdtPr>
        <w:alias w:val="patvirtinta"/>
        <w:tag w:val="part_9ca664525a0b48138007d74b3c81805f"/>
        <w:lock w:val="sdtLocked"/>
        <w:richText/>
      </w:sdtPr>
      <w:sdtContent>
        <w:p>
          <w:pPr>
            <w:ind w:left="10206"/>
            <w:rPr>
              <w:bCs/>
              <w:color w:val="000000"/>
              <w:szCs w:val="24"/>
              <w:lang w:eastAsia="lt-LT"/>
            </w:rPr>
          </w:pPr>
          <w:r>
            <w:rPr>
              <w:bCs/>
              <w:color w:val="000000"/>
              <w:szCs w:val="24"/>
              <w:lang w:eastAsia="lt-LT"/>
            </w:rPr>
            <w:t>PATVIRTINTA</w:t>
          </w:r>
        </w:p>
        <w:p>
          <w:pPr>
            <w:ind w:left="10206"/>
            <w:rPr>
              <w:bCs/>
              <w:color w:val="000000"/>
              <w:szCs w:val="24"/>
              <w:lang w:eastAsia="lt-LT"/>
            </w:rPr>
          </w:pPr>
          <w:r>
            <w:rPr>
              <w:bCs/>
              <w:color w:val="000000"/>
              <w:szCs w:val="24"/>
              <w:lang w:eastAsia="lt-LT"/>
            </w:rPr>
            <w:t>Marijampolės regiono plėtros tarybos</w:t>
          </w:r>
        </w:p>
        <w:p>
          <w:pPr>
            <w:ind w:left="10206"/>
            <w:rPr>
              <w:bCs/>
              <w:color w:val="000000"/>
              <w:szCs w:val="24"/>
              <w:lang w:eastAsia="lt-LT"/>
            </w:rPr>
          </w:pPr>
          <w:r>
            <w:rPr>
              <w:bCs/>
              <w:color w:val="000000"/>
              <w:szCs w:val="24"/>
              <w:lang w:eastAsia="lt-LT"/>
            </w:rPr>
            <w:t>2023 m. vasario 9 d. sprendimu Nr. S-1</w:t>
          </w:r>
        </w:p>
        <w:p>
          <w:pPr>
            <w:ind w:left="10206"/>
            <w:rPr>
              <w:bCs/>
              <w:color w:val="000000"/>
              <w:szCs w:val="24"/>
              <w:lang w:eastAsia="lt-LT"/>
            </w:rPr>
          </w:pPr>
          <w:r>
            <w:rPr>
              <w:bCs/>
              <w:color w:val="000000"/>
              <w:szCs w:val="24"/>
              <w:lang w:eastAsia="lt-LT"/>
            </w:rPr>
            <w:t>(Marijampolės regiono plėtros tarybos</w:t>
          </w:r>
        </w:p>
        <w:p>
          <w:pPr>
            <w:ind w:left="10206"/>
            <w:rPr>
              <w:bCs/>
              <w:color w:val="000000"/>
              <w:szCs w:val="24"/>
              <w:lang w:eastAsia="lt-LT"/>
            </w:rPr>
          </w:pPr>
          <w:r>
            <w:rPr>
              <w:bCs/>
              <w:color w:val="000000"/>
              <w:szCs w:val="24"/>
              <w:lang w:eastAsia="lt-LT"/>
            </w:rPr>
            <w:t xml:space="preserve">2023 m. birželio 23 d. sprendimo Nr. S-10   redakcija)</w:t>
          </w:r>
        </w:p>
        <w:p>
          <w:pPr>
            <w:ind w:left="10632"/>
            <w:rPr>
              <w:bCs/>
              <w:color w:val="000000"/>
              <w:szCs w:val="24"/>
              <w:lang w:eastAsia="lt-LT"/>
            </w:rPr>
          </w:pPr>
        </w:p>
        <w:p>
          <w:pPr>
            <w:rPr>
              <w:bCs/>
              <w:color w:val="000000"/>
              <w:szCs w:val="24"/>
              <w:lang w:eastAsia="lt-LT"/>
            </w:rPr>
          </w:pPr>
        </w:p>
        <w:p>
          <w:pPr>
            <w:jc w:val="center"/>
            <w:rPr>
              <w:b/>
              <w:color w:val="000000"/>
              <w:szCs w:val="24"/>
              <w:lang w:eastAsia="lt-LT"/>
            </w:rPr>
          </w:pPr>
          <w:sdt>
            <w:sdtPr>
              <w:alias w:val="Pavadinimas"/>
              <w:tag w:val="title_9ca664525a0b48138007d74b3c81805f"/>
              <w:lock w:val="sdtLocked"/>
              <w:richText/>
            </w:sdt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pPr>
            <w:rPr>
              <w:szCs w:val="24"/>
              <w:highlight w:val="yellow"/>
            </w:rPr>
          </w:pPr>
        </w:p>
        <w:sdt>
          <w:sdtPr>
            <w:alias w:val="skyrius"/>
            <w:tag w:val="part_aa065c9490eb446dbb23ff1621c558a4"/>
            <w:lock w:val="sdtLocked"/>
            <w:richText/>
          </w:sdtPr>
          <w:sdtContent>
            <w:p>
              <w:pPr>
                <w:jc w:val="center"/>
                <w:rPr>
                  <w:b/>
                  <w:caps/>
                  <w:szCs w:val="24"/>
                </w:rPr>
              </w:pPr>
              <w:sdt>
                <w:sdtPr>
                  <w:alias w:val="Numeris"/>
                  <w:tag w:val="nr_aa065c9490eb446dbb23ff1621c558a4"/>
                  <w:lock w:val="sdtLocked"/>
                  <w:richText/>
                </w:sdtPr>
                <w:sdtContent>
                  <w:r>
                    <w:rPr>
                      <w:b/>
                      <w:caps/>
                      <w:szCs w:val="24"/>
                    </w:rPr>
                    <w:t>I</w:t>
                  </w:r>
                </w:sdtContent>
              </w:sdt>
              <w:r>
                <w:rPr>
                  <w:b/>
                  <w:caps/>
                  <w:szCs w:val="24"/>
                </w:rPr>
                <w:t xml:space="preserve"> skyrius</w:t>
              </w:r>
            </w:p>
            <w:sdt>
              <w:sdtPr>
                <w:alias w:val="Pavadinimas"/>
                <w:tag w:val="title_aa065c9490eb446dbb23ff1621c558a4"/>
                <w:lock w:val="sdtLocked"/>
                <w:richText/>
              </w:sdtPr>
              <w:sdtContent>
                <w:p>
                  <w:pPr>
                    <w:jc w:val="center"/>
                    <w:rPr>
                      <w:b/>
                      <w:caps/>
                      <w:szCs w:val="24"/>
                    </w:rPr>
                  </w:pPr>
                  <w:r>
                    <w:rPr>
                      <w:b/>
                      <w:caps/>
                      <w:szCs w:val="24"/>
                    </w:rPr>
                    <w:t>REGIONO PLĖTROS PLANO TERITORINĖ APRĖPTIS ir</w:t>
                  </w:r>
                </w:p>
                <w:p>
                  <w:pPr>
                    <w:jc w:val="center"/>
                    <w:rPr>
                      <w:b/>
                      <w:caps/>
                      <w:szCs w:val="24"/>
                    </w:rPr>
                  </w:pPr>
                  <w:r>
                    <w:rPr>
                      <w:b/>
                      <w:caps/>
                      <w:szCs w:val="24"/>
                    </w:rPr>
                    <w:t>REGIONO ESAMOS SITUACIJOS ANALIZĖ</w:t>
                  </w:r>
                </w:p>
              </w:sdtContent>
            </w:sdt>
            <w:p>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pPr>
                      <w:rPr>
                        <w:rFonts w:eastAsia="Calibri"/>
                        <w:b/>
                        <w:szCs w:val="24"/>
                      </w:rPr>
                    </w:pPr>
                    <w:r>
                      <w:rPr>
                        <w:rFonts w:eastAsia="Calibri"/>
                        <w:b/>
                        <w:szCs w:val="24"/>
                      </w:rPr>
                      <w:t>Regiono plėtros plano teritorinė aprėptis</w:t>
                    </w:r>
                  </w:p>
                  <w:p>
                    <w:pPr>
                      <w:rPr>
                        <w:rFonts w:eastAsia="Calibri"/>
                        <w:b/>
                        <w:szCs w:val="24"/>
                      </w:rPr>
                    </w:pPr>
                  </w:p>
                  <w:p>
                    <w:pPr>
                      <w:rPr>
                        <w:rFonts w:eastAsia="Calibri"/>
                        <w:b/>
                        <w:szCs w:val="24"/>
                      </w:rPr>
                    </w:pPr>
                  </w:p>
                </w:tc>
              </w:tr>
              <w:tr>
                <w:trPr>
                  <w:trHeight w:val="20"/>
                </w:trPr>
                <w:tc>
                  <w:tcPr>
                    <w:tcW w:w="4985" w:type="dxa"/>
                    <w:tcBorders>
                      <w:top w:val="nil"/>
                      <w:left w:val="single" w:sz="4" w:space="0" w:color="auto"/>
                      <w:bottom w:val="single" w:sz="4" w:space="0" w:color="auto"/>
                      <w:right w:val="nil"/>
                    </w:tcBorders>
                    <w:shd w:val="clear" w:color="auto" w:fill="FFFFFF"/>
                    <w:vAlign w:val="center"/>
                  </w:tcPr>
                  <w:p>
                    <w:pPr>
                      <w:jc w:val="center"/>
                      <w:rPr>
                        <w:rFonts w:eastAsia="Calibri"/>
                        <w:b/>
                        <w:szCs w:val="24"/>
                      </w:rPr>
                    </w:pPr>
                    <w:r>
                      <w:rPr>
                        <w:szCs w:val="24"/>
                        <w:lang w:val="en-US"/>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0"/>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pPr>
                      <w:jc w:val="both"/>
                      <w:rPr>
                        <w:rFonts w:eastAsia="Calibri"/>
                        <w:bCs/>
                        <w:i/>
                        <w:color w:val="808080"/>
                        <w:szCs w:val="24"/>
                      </w:rPr>
                    </w:pPr>
                  </w:p>
                  <w:p>
                    <w:pPr>
                      <w:jc w:val="both"/>
                      <w:rPr>
                        <w:rFonts w:eastAsia="Calibri"/>
                        <w:b/>
                        <w:iCs/>
                        <w:color w:val="000000"/>
                        <w:szCs w:val="24"/>
                      </w:rPr>
                    </w:pPr>
                    <w:r>
                      <w:rPr>
                        <w:rFonts w:eastAsia="Calibri"/>
                        <w:b/>
                        <w:iCs/>
                        <w:color w:val="000000"/>
                        <w:szCs w:val="24"/>
                      </w:rPr>
                      <w:t>1 PROBLEMA. DIDELĖ SOCIALINĖ ATSKIRTIS IR AUKŠTAS SKURDO RIZIKOS LYGIS</w:t>
                    </w:r>
                  </w:p>
                  <w:p>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pPr>
                      <w:ind w:firstLine="567"/>
                      <w:jc w:val="both"/>
                      <w:rPr>
                        <w:color w:val="000000"/>
                        <w:szCs w:val="24"/>
                      </w:rPr>
                    </w:pPr>
                    <w:r>
                      <w:rPr>
                        <w:color w:val="000000"/>
                        <w:szCs w:val="24"/>
                      </w:rPr>
                      <w:t xml:space="preserve">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pPr>
                      <w:rPr>
                        <w:rFonts w:eastAsia="Calibri"/>
                        <w:bCs/>
                        <w:iCs/>
                        <w:color w:val="000000"/>
                        <w:szCs w:val="24"/>
                      </w:rPr>
                    </w:pPr>
                  </w:p>
                  <w:p>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pPr>
                      <w:jc w:val="both"/>
                      <w:rPr>
                        <w:rFonts w:eastAsia="Calibri"/>
                        <w:bCs/>
                        <w:iCs/>
                        <w:color w:val="000000"/>
                        <w:szCs w:val="24"/>
                      </w:rPr>
                    </w:pPr>
                  </w:p>
                  <w:p>
                    <w:pPr>
                      <w:jc w:val="both"/>
                      <w:rPr>
                        <w:rFonts w:eastAsia="Calibri"/>
                        <w:bCs/>
                        <w:iCs/>
                        <w:color w:val="000000"/>
                        <w:szCs w:val="24"/>
                      </w:rPr>
                    </w:pPr>
                  </w:p>
                  <w:p>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pPr>
                      <w:ind w:firstLine="567"/>
                      <w:jc w:val="both"/>
                      <w:rPr>
                        <w:color w:val="000000"/>
                        <w:szCs w:val="24"/>
                      </w:rPr>
                    </w:pPr>
                  </w:p>
                  <w:p>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pPr>
                      <w:ind w:firstLine="479"/>
                      <w:jc w:val="both"/>
                      <w:rPr>
                        <w:rFonts w:eastAsia="Calibri"/>
                        <w:bCs/>
                        <w:color w:val="000000"/>
                        <w:szCs w:val="24"/>
                      </w:rPr>
                    </w:pPr>
                  </w:p>
                  <w:p>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pPr>
                      <w:ind w:firstLine="567"/>
                      <w:jc w:val="both"/>
                      <w:rPr>
                        <w:rFonts w:eastAsia="Calibri"/>
                        <w:bCs/>
                        <w:color w:val="000000"/>
                        <w:szCs w:val="24"/>
                      </w:rPr>
                    </w:pPr>
                  </w:p>
                  <w:p>
                    <w:pPr>
                      <w:ind w:firstLine="567"/>
                      <w:jc w:val="both"/>
                      <w:rPr>
                        <w:rFonts w:eastAsia="Calibri"/>
                        <w:bCs/>
                        <w:color w:val="000000"/>
                        <w:szCs w:val="24"/>
                      </w:rPr>
                    </w:pPr>
                  </w:p>
                  <w:p>
                    <w:pPr>
                      <w:ind w:firstLine="567"/>
                      <w:jc w:val="both"/>
                      <w:rPr>
                        <w:rFonts w:eastAsia="Calibri"/>
                        <w:bCs/>
                        <w:color w:val="000000"/>
                        <w:szCs w:val="24"/>
                      </w:rPr>
                    </w:pPr>
                  </w:p>
                  <w:p>
                    <w:pPr>
                      <w:ind w:firstLine="567"/>
                      <w:jc w:val="both"/>
                      <w:rPr>
                        <w:rFonts w:eastAsia="Calibri"/>
                        <w:bCs/>
                        <w:color w:val="000000"/>
                        <w:szCs w:val="24"/>
                      </w:rPr>
                    </w:pPr>
                  </w:p>
                  <w:p>
                    <w:pPr>
                      <w:jc w:val="both"/>
                      <w:rPr>
                        <w:rFonts w:eastAsia="Calibri"/>
                        <w:bCs/>
                        <w:iCs/>
                        <w:color w:val="000000"/>
                        <w:szCs w:val="24"/>
                      </w:rPr>
                    </w:pPr>
                  </w:p>
                  <w:p>
                    <w:pPr>
                      <w:jc w:val="both"/>
                      <w:rPr>
                        <w:rFonts w:eastAsia="Calibri"/>
                        <w:b/>
                        <w:iCs/>
                        <w:color w:val="000000"/>
                        <w:szCs w:val="24"/>
                      </w:rPr>
                    </w:pPr>
                    <w:r>
                      <w:rPr>
                        <w:rFonts w:eastAsia="Calibri"/>
                        <w:b/>
                        <w:iCs/>
                        <w:color w:val="000000"/>
                        <w:szCs w:val="24"/>
                      </w:rPr>
                      <w:t>2 PROBLEMA. MENKAS REGIONO EKONOMIKOS AKTYVUMAS IR INVESTICINIS PATRAUKLUMAS</w:t>
                    </w:r>
                  </w:p>
                  <w:p>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pPr>
                      <w:ind w:firstLine="567"/>
                      <w:jc w:val="both"/>
                      <w:rPr>
                        <w:color w:val="000000"/>
                        <w:szCs w:val="24"/>
                      </w:rPr>
                    </w:pPr>
                  </w:p>
                  <w:p>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pPr>
                      <w:jc w:val="both"/>
                      <w:rPr>
                        <w:rFonts w:eastAsia="Calibri"/>
                        <w:bCs/>
                        <w:iCs/>
                        <w:color w:val="000000"/>
                        <w:szCs w:val="24"/>
                      </w:rPr>
                    </w:pPr>
                  </w:p>
                  <w:p>
                    <w:pPr>
                      <w:jc w:val="both"/>
                      <w:rPr>
                        <w:rFonts w:eastAsia="Calibri"/>
                        <w:bCs/>
                        <w:iCs/>
                        <w:color w:val="000000"/>
                        <w:szCs w:val="24"/>
                      </w:rPr>
                    </w:pPr>
                  </w:p>
                  <w:p>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pPr>
                      <w:ind w:firstLine="567"/>
                      <w:jc w:val="both"/>
                      <w:rPr>
                        <w:rFonts w:eastAsia="Calibri"/>
                        <w:iCs/>
                        <w:color w:val="000000"/>
                        <w:szCs w:val="24"/>
                      </w:rPr>
                    </w:pPr>
                    <w:r>
                      <w:rPr>
                        <w:rFonts w:eastAsia="Calibri"/>
                        <w:iCs/>
                        <w:color w:val="000000"/>
                        <w:szCs w:val="24"/>
                      </w:rPr>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pPr>
                      <w:ind w:firstLine="479"/>
                      <w:jc w:val="both"/>
                      <w:rPr>
                        <w:rFonts w:eastAsia="Calibri"/>
                        <w:iCs/>
                        <w:color w:val="000000"/>
                        <w:szCs w:val="24"/>
                      </w:rPr>
                    </w:pPr>
                  </w:p>
                  <w:p>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pPr>
                      <w:ind w:firstLine="567"/>
                      <w:jc w:val="both"/>
                      <w:rPr>
                        <w:color w:val="000000"/>
                        <w:szCs w:val="24"/>
                      </w:rPr>
                    </w:pPr>
                    <w:r>
                      <w:rPr>
                        <w:rFonts w:eastAsia="Calibri"/>
                        <w:iCs/>
                        <w:color w:val="000000"/>
                        <w:szCs w:val="24"/>
                      </w:rPr>
                      <w:t xml:space="preserve">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pPr>
                      <w:ind w:firstLine="567"/>
                      <w:jc w:val="both"/>
                      <w:rPr>
                        <w:rFonts w:eastAsia="Calibri"/>
                        <w:iCs/>
                        <w:color w:val="000000"/>
                        <w:szCs w:val="24"/>
                      </w:rPr>
                    </w:pPr>
                  </w:p>
                  <w:p>
                    <w:pPr>
                      <w:jc w:val="both"/>
                      <w:rPr>
                        <w:rFonts w:eastAsia="Calibri"/>
                        <w:b/>
                        <w:iCs/>
                        <w:color w:val="000000"/>
                        <w:szCs w:val="24"/>
                      </w:rPr>
                    </w:pPr>
                    <w:r>
                      <w:rPr>
                        <w:rFonts w:eastAsia="Calibri"/>
                        <w:b/>
                        <w:iCs/>
                        <w:color w:val="000000"/>
                        <w:szCs w:val="24"/>
                      </w:rPr>
                      <w:t>3 PROBLEMA. NEPAKANKAMAI TVARUS IŠTEKLIŲ NAUDOJIMAS IR APLINKA</w:t>
                    </w:r>
                  </w:p>
                  <w:p>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pPr>
                      <w:rPr>
                        <w:rFonts w:eastAsia="Calibri"/>
                        <w:bCs/>
                        <w:iCs/>
                        <w:szCs w:val="24"/>
                      </w:rPr>
                    </w:pPr>
                  </w:p>
                  <w:p>
                    <w:pPr>
                      <w:jc w:val="both"/>
                      <w:rPr>
                        <w:rFonts w:eastAsia="Calibri"/>
                        <w:b/>
                        <w:i/>
                        <w:szCs w:val="24"/>
                        <w:u w:val="single"/>
                      </w:rPr>
                    </w:pPr>
                    <w:r>
                      <w:rPr>
                        <w:rFonts w:eastAsia="Calibri"/>
                        <w:b/>
                        <w:i/>
                        <w:szCs w:val="24"/>
                        <w:u w:val="single"/>
                      </w:rPr>
                      <w:t>Nustatytos 3-iosios problemos „Nepakankamai tvarus išteklių naudojimas ir aplinka“ priežastys:</w:t>
                    </w:r>
                  </w:p>
                  <w:p>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pPr>
                      <w:jc w:val="both"/>
                      <w:rPr>
                        <w:rFonts w:eastAsia="Calibri"/>
                        <w:bCs/>
                        <w:iCs/>
                        <w:color w:val="000000"/>
                        <w:szCs w:val="24"/>
                      </w:rPr>
                    </w:pPr>
                  </w:p>
                  <w:p>
                    <w:pPr>
                      <w:jc w:val="both"/>
                      <w:rPr>
                        <w:rFonts w:eastAsia="Calibri"/>
                        <w:bCs/>
                        <w:iCs/>
                        <w:color w:val="000000"/>
                        <w:szCs w:val="24"/>
                      </w:rPr>
                    </w:pPr>
                  </w:p>
                  <w:p>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pPr>
                      <w:ind w:firstLine="567"/>
                      <w:jc w:val="both"/>
                      <w:rPr>
                        <w:rFonts w:eastAsia="Calibri"/>
                        <w:iCs/>
                        <w:color w:val="000000"/>
                        <w:szCs w:val="24"/>
                      </w:rPr>
                    </w:pPr>
                    <w:r>
                      <w:rPr>
                        <w:rFonts w:eastAsia="Calibri"/>
                        <w:iCs/>
                        <w:color w:val="000000"/>
                        <w:szCs w:val="24"/>
                      </w:rPr>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pPr>
                      <w:jc w:val="both"/>
                      <w:rPr>
                        <w:rFonts w:eastAsia="Calibri"/>
                        <w:szCs w:val="24"/>
                      </w:rPr>
                    </w:pPr>
                  </w:p>
                  <w:p>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pPr>
                      <w:ind w:firstLine="567"/>
                      <w:jc w:val="both"/>
                      <w:rPr>
                        <w:rFonts w:eastAsia="Calibri"/>
                        <w:color w:val="000000"/>
                        <w:szCs w:val="24"/>
                      </w:rPr>
                    </w:pPr>
                  </w:p>
                  <w:p>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szCs w:val="24"/>
                            </w:rPr>
                          </w:pPr>
                          <w:r>
                            <w:rPr>
                              <w:rFonts w:eastAsia="Calibri"/>
                              <w:b/>
                              <w:szCs w:val="24"/>
                            </w:rPr>
                            <w:t>Regiono plėtros problemų ir jų priežasčių sąsaja su RPP nurodytomis pagrindinėmis regioninės plėtros problemomis</w:t>
                          </w:r>
                        </w:p>
                      </w:tc>
                    </w:tr>
                    <w:tr>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tc>
                        <w:tcPr>
                          <w:tcW w:w="616"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b/>
                              <w:bCs/>
                              <w:szCs w:val="24"/>
                            </w:rPr>
                          </w:pPr>
                          <w:r>
                            <w:rPr>
                              <w:rFonts w:eastAsia="Calibri"/>
                              <w:b/>
                              <w:bCs/>
                              <w:szCs w:val="24"/>
                            </w:rPr>
                            <w:t>5</w:t>
                          </w:r>
                        </w:p>
                      </w:tc>
                    </w:tr>
                    <w:tr>
                      <w:trPr>
                        <w:trHeight w:val="70"/>
                      </w:trPr>
                      <w:tc>
                        <w:tcPr>
                          <w:tcW w:w="616"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trPr>
                        <w:trHeight w:val="70"/>
                      </w:trPr>
                      <w:tc>
                        <w:tcPr>
                          <w:tcW w:w="616"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trPr>
                        <w:trHeight w:val="70"/>
                      </w:trPr>
                      <w:tc>
                        <w:tcPr>
                          <w:tcW w:w="616"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pPr>
                      <w:ind w:firstLine="124"/>
                      <w:rPr>
                        <w:rFonts w:eastAsia="Calibri"/>
                        <w:bCs/>
                        <w:i/>
                        <w:szCs w:val="24"/>
                      </w:rPr>
                    </w:pPr>
                  </w:p>
                </w:tc>
              </w:tr>
              <w:tr>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pPr>
                      <w:rPr>
                        <w:rFonts w:eastAsia="Calibri"/>
                        <w:bCs/>
                        <w:i/>
                        <w:color w:val="808080"/>
                        <w:szCs w:val="24"/>
                      </w:rPr>
                    </w:pPr>
                    <w:r>
                      <w:rPr>
                        <w:rFonts w:eastAsia="Calibri"/>
                        <w:b/>
                        <w:szCs w:val="24"/>
                      </w:rPr>
                      <w:t>Funkcinės zonos, tikslinės teritorijos ir integruoto vystymo teritorijos</w:t>
                    </w:r>
                  </w:p>
                  <w:p>
                    <w:pPr>
                      <w:jc w:val="both"/>
                      <w:rPr>
                        <w:rFonts w:eastAsia="Calibri"/>
                        <w:bCs/>
                        <w:i/>
                        <w:color w:val="808080"/>
                        <w:szCs w:val="24"/>
                      </w:rPr>
                    </w:pPr>
                  </w:p>
                  <w:p>
                    <w:pPr>
                      <w:ind w:firstLine="626"/>
                      <w:jc w:val="both"/>
                      <w:rPr>
                        <w:rFonts w:eastAsia="Calibri"/>
                        <w:b/>
                        <w:iCs/>
                        <w:color w:val="000000"/>
                        <w:szCs w:val="24"/>
                      </w:rPr>
                    </w:pPr>
                    <w:r>
                      <w:rPr>
                        <w:rFonts w:eastAsia="Calibri"/>
                        <w:b/>
                        <w:iCs/>
                        <w:color w:val="000000"/>
                        <w:szCs w:val="24"/>
                      </w:rPr>
                      <w:t>FUNKCINĖS ZONOS STRATEGIJA.</w:t>
                    </w:r>
                  </w:p>
                  <w:p>
                    <w:pPr>
                      <w:ind w:firstLine="626"/>
                      <w:jc w:val="both"/>
                      <w:rPr>
                        <w:color w:val="000000"/>
                        <w:szCs w:val="24"/>
                      </w:rPr>
                    </w:pPr>
                    <w:r>
                      <w:rPr>
                        <w:color w:val="000000"/>
                        <w:szCs w:val="24"/>
                      </w:rPr>
                      <w:t>Marijampolės regiono savivaldybės yra susietos funkciniais ryšiais – regiono centre Marijampolėje koncentruojasi darbo vietos bei paslaugos, tai lemia gyventojų judėjimą bei transporto srautus regiono centro link (tai pagrindžia VMPEI duomenys). Siekiant tolygesnio regiono ekonominio vystymosi, būtina užtikrinti tiek tolesnę regiono centro plėtrą, tiek mažesniųjų regiono savivaldybių potencialo didėjimą bei jo išnaudojimą. Bendrajame plane numatomos partnerystės urbanistinėje sistemoje, t. y. numatoma „rengti intensyviais funkciniais ryšiais susijusių savivaldybių teritorijų ar jų dalių bendrus projektus,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regionuose numatoma formuoti partnerysčių grupes numatytu plėtros prioritetų pagrindu, užtikrinant mobilumą.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3"/>
                    </w:r>
                    <w:r>
                      <w:rPr>
                        <w:color w:val="000000"/>
                        <w:szCs w:val="24"/>
                      </w:rPr>
                      <w:t>.</w:t>
                    </w:r>
                  </w:p>
                  <w:p>
                    <w:pPr>
                      <w:ind w:firstLine="567"/>
                      <w:jc w:val="both"/>
                      <w:rPr>
                        <w:color w:val="000000"/>
                        <w:szCs w:val="24"/>
                      </w:rPr>
                    </w:pPr>
                    <w:r>
                      <w:rPr>
                        <w:color w:val="000000"/>
                        <w:szCs w:val="24"/>
                      </w:rPr>
                      <w:t>Išskyrus spręstinas Marijampolės regiono problemas bei jų priežastis ir atsižvelgiant į esamos situacijos analizės duomenis, matyti, kad dalis iššūkių būdingi visam regionui (prasta ekonominė situacija, didelė socialinė atskirtis, žemos gyventojų pajamos, žemas užimtumo lygis), o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 ir kartu sprendžiant bendras regiono problemas bei šalinant jų priežastis būtų užtikrintas efektyvesnis išteklių naudojimas, o sujungus pastangas rezultatas būtų geresnis dėl sinergijos efekto.</w:t>
                    </w:r>
                  </w:p>
                  <w:p>
                    <w:pPr>
                      <w:ind w:firstLine="626"/>
                      <w:jc w:val="both"/>
                      <w:rPr>
                        <w:rFonts w:eastAsia="Calibri"/>
                        <w:bCs/>
                        <w:iCs/>
                        <w:color w:val="000000"/>
                        <w:szCs w:val="24"/>
                      </w:rPr>
                    </w:pPr>
                    <w:r>
                      <w:rPr>
                        <w:rFonts w:eastAsia="Calibri"/>
                        <w:bCs/>
                        <w:iCs/>
                        <w:color w:val="000000"/>
                        <w:szCs w:val="24"/>
                      </w:rPr>
                      <w:t>Siekiant spręsti visam regionui būdingą menko ekonominio aktyvumo problemą, būtina šalinti to priežastis. Tuo tikslu rengiama bendra visas Marijampolės regiono savivaldybes apimanti Marijampolės regiono funkcinės zonos strategija, kurioje keliamas tikslas – padidinti regiono investicinį patrauklumą bei paskatinti ekonomikos aktyvumą. Šio Marijampolės regiono funkcinės zonos tikslo numatoma siekti įgyvendinant du uždavinius:</w:t>
                    </w:r>
                  </w:p>
                  <w:p>
                    <w:pPr>
                      <w:ind w:firstLine="626"/>
                      <w:jc w:val="both"/>
                      <w:rPr>
                        <w:rFonts w:eastAsia="Calibri"/>
                        <w:bCs/>
                        <w:iCs/>
                        <w:color w:val="000000"/>
                        <w:szCs w:val="24"/>
                      </w:rPr>
                    </w:pPr>
                    <w:r>
                      <w:rPr>
                        <w:rFonts w:eastAsia="Calibri"/>
                        <w:bCs/>
                        <w:iCs/>
                        <w:color w:val="000000"/>
                        <w:szCs w:val="24"/>
                      </w:rPr>
                      <w:t>1. Gerinti sąlygas investicijų pritraukimui;</w:t>
                    </w:r>
                  </w:p>
                  <w:p>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trPr>
                        <w:trHeight w:val="241"/>
                      </w:trPr>
                      <w:tc>
                        <w:tcPr>
                          <w:tcW w:w="4727" w:type="dxa"/>
                        </w:tcPr>
                        <w:p>
                          <w:pPr>
                            <w:jc w:val="center"/>
                            <w:rPr>
                              <w:sz w:val="22"/>
                              <w:szCs w:val="22"/>
                            </w:rPr>
                          </w:pPr>
                          <w:r>
                            <w:rPr>
                              <w:sz w:val="22"/>
                              <w:szCs w:val="22"/>
                            </w:rPr>
                            <w:t>Regiono problemos, jų priežastys</w:t>
                          </w:r>
                        </w:p>
                      </w:tc>
                      <w:tc>
                        <w:tcPr>
                          <w:tcW w:w="1701" w:type="dxa"/>
                        </w:tcPr>
                        <w:p>
                          <w:pPr>
                            <w:jc w:val="center"/>
                            <w:rPr>
                              <w:sz w:val="22"/>
                              <w:szCs w:val="22"/>
                            </w:rPr>
                          </w:pPr>
                        </w:p>
                      </w:tc>
                      <w:tc>
                        <w:tcPr>
                          <w:tcW w:w="8177" w:type="dxa"/>
                        </w:tcPr>
                        <w:p>
                          <w:pPr>
                            <w:jc w:val="center"/>
                            <w:rPr>
                              <w:sz w:val="22"/>
                              <w:szCs w:val="22"/>
                            </w:rPr>
                          </w:pPr>
                          <w:r>
                            <w:rPr>
                              <w:sz w:val="22"/>
                              <w:szCs w:val="22"/>
                            </w:rPr>
                            <w:t>Funkcinės zonos strategijos tikslas ir uždaviniai bei bendri veiksmai</w:t>
                          </w:r>
                        </w:p>
                      </w:tc>
                    </w:tr>
                    <w:tr>
                      <w:trPr>
                        <w:trHeight w:val="496"/>
                      </w:trPr>
                      <w:tc>
                        <w:tcPr>
                          <w:tcW w:w="4727" w:type="dxa"/>
                          <w:shd w:val="clear" w:color="auto" w:fill="DEEAF6" w:themeFill="accent5" w:themeFillTint="33"/>
                        </w:tcPr>
                        <w:p>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padidinti regiono investicinį patrauklumą bei paskatinti ekonomikos aktyvumą</w:t>
                          </w:r>
                        </w:p>
                      </w:tc>
                    </w:tr>
                    <w:tr>
                      <w:trPr>
                        <w:trHeight w:val="254"/>
                      </w:trPr>
                      <w:tc>
                        <w:tcPr>
                          <w:tcW w:w="4727" w:type="dxa"/>
                          <w:shd w:val="clear" w:color="auto" w:fill="auto"/>
                        </w:tcPr>
                        <w:p>
                          <w:pPr>
                            <w:jc w:val="both"/>
                            <w:rPr>
                              <w:color w:val="000000"/>
                              <w:sz w:val="22"/>
                              <w:szCs w:val="22"/>
                            </w:rPr>
                          </w:pPr>
                        </w:p>
                      </w:tc>
                      <w:tc>
                        <w:tcPr>
                          <w:tcW w:w="1701" w:type="dxa"/>
                        </w:tcPr>
                        <w:p>
                          <w:pPr>
                            <w:jc w:val="both"/>
                            <w:rPr>
                              <w:color w:val="000000"/>
                              <w:sz w:val="22"/>
                              <w:szCs w:val="22"/>
                            </w:rPr>
                          </w:pPr>
                        </w:p>
                      </w:tc>
                      <w:tc>
                        <w:tcPr>
                          <w:tcW w:w="8177" w:type="dxa"/>
                        </w:tcPr>
                        <w:p>
                          <w:pPr>
                            <w:tabs>
                              <w:tab w:val="left" w:pos="851"/>
                            </w:tabs>
                            <w:jc w:val="both"/>
                            <w:rPr>
                              <w:color w:val="000000"/>
                              <w:sz w:val="22"/>
                              <w:szCs w:val="22"/>
                            </w:rPr>
                          </w:pPr>
                        </w:p>
                      </w:tc>
                    </w:tr>
                    <w:tr>
                      <w:trPr>
                        <w:trHeight w:val="1501"/>
                      </w:trPr>
                      <w:tc>
                        <w:tcPr>
                          <w:tcW w:w="4727" w:type="dxa"/>
                          <w:shd w:val="clear" w:color="auto" w:fill="DEEAF6" w:themeFill="accent5" w:themeFillTint="33"/>
                          <w:vAlign w:val="center"/>
                        </w:tcPr>
                        <w:p>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pPr>
                            <w:tabs>
                              <w:tab w:val="left" w:pos="851"/>
                            </w:tabs>
                            <w:rPr>
                              <w:rFonts w:eastAsia="Calibri"/>
                              <w:bCs/>
                              <w:iCs/>
                              <w:color w:val="000000"/>
                              <w:sz w:val="22"/>
                              <w:szCs w:val="22"/>
                            </w:rPr>
                          </w:pPr>
                        </w:p>
                        <w:p>
                          <w:pPr>
                            <w:tabs>
                              <w:tab w:val="left" w:pos="851"/>
                            </w:tabs>
                            <w:rPr>
                              <w:rFonts w:eastAsia="Calibri"/>
                              <w:bCs/>
                              <w:iCs/>
                              <w:color w:val="000000"/>
                              <w:sz w:val="22"/>
                              <w:szCs w:val="22"/>
                              <w:u w:val="single"/>
                            </w:rPr>
                          </w:pPr>
                          <w:r>
                            <w:rPr>
                              <w:rFonts w:eastAsia="Calibri"/>
                              <w:bCs/>
                              <w:iCs/>
                              <w:color w:val="000000"/>
                              <w:sz w:val="22"/>
                              <w:szCs w:val="22"/>
                              <w:u w:val="single"/>
                            </w:rPr>
                            <w:t>Veiksmai:</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investicinių sklypų pritaikymas potencialių investuotojų pritraukimui;</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profesinio orientavimo veiklos bendrojo ugdymo mokyklose užtikrinant reikiamos kvalifikacijos darbo jėgos pasiūlą regione</w:t>
                          </w:r>
                        </w:p>
                      </w:tc>
                    </w:tr>
                    <w:tr>
                      <w:trPr>
                        <w:trHeight w:val="64"/>
                      </w:trPr>
                      <w:tc>
                        <w:tcPr>
                          <w:tcW w:w="4727" w:type="dxa"/>
                          <w:shd w:val="clear" w:color="auto" w:fill="auto"/>
                          <w:vAlign w:val="center"/>
                        </w:tcPr>
                        <w:p>
                          <w:pPr>
                            <w:rPr>
                              <w:color w:val="000000"/>
                              <w:sz w:val="22"/>
                              <w:szCs w:val="22"/>
                            </w:rPr>
                          </w:pPr>
                        </w:p>
                      </w:tc>
                      <w:tc>
                        <w:tcPr>
                          <w:tcW w:w="1701" w:type="dxa"/>
                        </w:tcPr>
                        <w:p>
                          <w:pPr>
                            <w:jc w:val="both"/>
                            <w:rPr>
                              <w:color w:val="000000"/>
                              <w:sz w:val="22"/>
                              <w:szCs w:val="22"/>
                            </w:rPr>
                          </w:pPr>
                        </w:p>
                      </w:tc>
                      <w:tc>
                        <w:tcPr>
                          <w:tcW w:w="8177" w:type="dxa"/>
                        </w:tcPr>
                        <w:p>
                          <w:pPr>
                            <w:rPr>
                              <w:rFonts w:eastAsia="Calibri"/>
                              <w:b/>
                              <w:iCs/>
                              <w:color w:val="000000"/>
                              <w:sz w:val="22"/>
                              <w:szCs w:val="22"/>
                            </w:rPr>
                          </w:pPr>
                        </w:p>
                      </w:tc>
                    </w:tr>
                    <w:tr>
                      <w:trPr>
                        <w:trHeight w:val="1488"/>
                      </w:trPr>
                      <w:tc>
                        <w:tcPr>
                          <w:tcW w:w="4727" w:type="dxa"/>
                          <w:shd w:val="clear" w:color="auto" w:fill="DEEAF6" w:themeFill="accent5" w:themeFillTint="33"/>
                          <w:vAlign w:val="center"/>
                        </w:tcPr>
                        <w:p>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pPr>
                            <w:rPr>
                              <w:rFonts w:eastAsia="Calibri"/>
                              <w:bCs/>
                              <w:iCs/>
                              <w:color w:val="000000"/>
                              <w:sz w:val="22"/>
                              <w:szCs w:val="22"/>
                            </w:rPr>
                          </w:pPr>
                          <w:r>
                            <w:rPr>
                              <w:rFonts w:eastAsia="Calibri"/>
                              <w:b/>
                              <w:iCs/>
                              <w:color w:val="000000"/>
                              <w:sz w:val="22"/>
                              <w:szCs w:val="22"/>
                            </w:rPr>
                            <w:t>2 uždavinys:</w:t>
                          </w:r>
                          <w:r>
                            <w:rPr>
                              <w:rFonts w:eastAsia="Calibri"/>
                              <w:bCs/>
                              <w:iCs/>
                              <w:color w:val="000000"/>
                              <w:sz w:val="22"/>
                              <w:szCs w:val="22"/>
                            </w:rPr>
                            <w:t xml:space="preserve"> Gerinti sąlygas regiono gyventojų ekonominiam aktyvumui (ypač kaimo vietovėse).</w:t>
                          </w:r>
                        </w:p>
                        <w:p>
                          <w:pPr>
                            <w:rPr>
                              <w:color w:val="000000"/>
                              <w:sz w:val="22"/>
                              <w:szCs w:val="22"/>
                            </w:rPr>
                          </w:pPr>
                        </w:p>
                        <w:p>
                          <w:pPr>
                            <w:rPr>
                              <w:color w:val="000000"/>
                              <w:sz w:val="22"/>
                              <w:szCs w:val="22"/>
                              <w:u w:val="single"/>
                            </w:rPr>
                          </w:pPr>
                          <w:r>
                            <w:rPr>
                              <w:color w:val="000000"/>
                              <w:sz w:val="22"/>
                              <w:szCs w:val="22"/>
                              <w:u w:val="single"/>
                            </w:rPr>
                            <w:t>Veiksmai:</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regiono turistinio potencialo pritaikymas lankymui taip sudarant sąlygas įvairesnėms veikloms</w:t>
                          </w:r>
                        </w:p>
                      </w:tc>
                    </w:tr>
                  </w:tbl>
                  <w:p>
                    <w:pPr>
                      <w:jc w:val="both"/>
                      <w:rPr>
                        <w:rFonts w:eastAsia="Calibri"/>
                        <w:bCs/>
                        <w:iCs/>
                        <w:color w:val="000000"/>
                        <w:szCs w:val="24"/>
                      </w:rPr>
                    </w:pPr>
                  </w:p>
                  <w:p>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kurį rodo žemos investicijos, gana aukštas nedarbo lygis ir kiti rodikliai, o tai lemia užimtumo, darbo užmokesčio bei socialinės atskirties problemas. Siekiant sujungti jėgas ir kartu spręsti šias problemas numatoma potencialiems investuotojams pristatyti regioną kaip vieną investicijoms patrauklią teritoriją, su išvystyta infrastruktūra, susisiekimo galimybėmis bei darbo jėga, kuri atitinka potencialių investuotojų poreikius. Siekiant užtikrinti žmogiškųjų išteklių regione atitiktį verslo poreikiams, numatoma sukurti regioninę profesinio orientavimo sistemą bendrojo lavinimo mokyklose. Siekiant sukurti reikiamą infrastruktūrą investicijų pritraukimui numatoma investuoti į infrastruktūros trūkumų šalinimą pramoninėse, komercinėse teritorijose. Šios kompleksinės priemonės, apimančios reikiamos infrastruktūros įrengimą investicijoms pritaikytuose sklypuose, bendrą regiono pristatymą ir žmogiškųjų išteklių atitikimo darbo rinkos poreikiams didinimą, padėtų pritraukti investicijas į regioną, užtikrinti gyvenimo kokybės gerėjimą ir Marijampolės regiono patrauklumą. Bendrojo plano sprendiniuose identifikuota būtinybė „stiprinti Vilkaviškio ir Kalvarijos ir Marijampolės mišrias partnerystes sietinas su aplinkosaugos, industrinių teritorijų regeneracijos, logistikos ir pramonės plėtros politika“ bei „vystant teritoriją partnerysčių pagrindu išnaudoti geografinės padėties šalies atžvilgiu pranašumus, „Rail Baltica“ ir „Via Baltica“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savivaldybių – Marijampolės, Šakių ir Vilkaviškio rajonų – identifikuotu poreikiu išvystyti žemės sklypų, tinkamų investicijoms infrastruktūrą. Tiek žmogiškųjų išteklių atitikties darbo rinkos poreikiams, tiek reikiamos infrastruktūros investicijų pritraukimui pritaikymo poreikį identifikuoja ir VšĮ Investuok Lietuvoje parengtose rekomendacijose</w:t>
                    </w:r>
                    <w:r>
                      <w:rPr>
                        <w:rFonts w:eastAsia="Calibri"/>
                        <w:color w:val="000000"/>
                        <w:szCs w:val="24"/>
                        <w:vertAlign w:val="superscript"/>
                      </w:rPr>
                      <w:footnoteReference w:id="35"/>
                    </w:r>
                    <w:r>
                      <w:rPr>
                        <w:color w:val="000000"/>
                        <w:szCs w:val="24"/>
                      </w:rPr>
                      <w:t>.</w:t>
                    </w:r>
                  </w:p>
                  <w:p>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pPr>
                      <w:ind w:firstLine="567"/>
                      <w:jc w:val="both"/>
                      <w:rPr>
                        <w:color w:val="000000"/>
                        <w:szCs w:val="24"/>
                      </w:rPr>
                    </w:pPr>
                    <w:r>
                      <w:rPr>
                        <w:color w:val="000000"/>
                        <w:szCs w:val="24"/>
                      </w:rPr>
                      <w:t>Bendros profesinio orientavimo veiklos bus įgyvendinamas Kalvarijos, Kazlų Rūdos, Marijampolės, Šakių rajono ir Vilkaviškio rajono savivaldybėse.</w:t>
                    </w:r>
                  </w:p>
                  <w:p>
                    <w:pPr>
                      <w:ind w:firstLine="567"/>
                      <w:jc w:val="both"/>
                      <w:rPr>
                        <w:color w:val="000000"/>
                        <w:szCs w:val="24"/>
                      </w:rPr>
                    </w:pPr>
                  </w:p>
                  <w:p>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pPr>
                      <w:ind w:firstLine="567"/>
                      <w:jc w:val="both"/>
                      <w:rPr>
                        <w:color w:val="000000"/>
                        <w:szCs w:val="24"/>
                      </w:rPr>
                    </w:pPr>
                    <w:r>
                      <w:rPr>
                        <w:color w:val="000000"/>
                        <w:szCs w:val="24"/>
                      </w:rPr>
                      <w:t>Atsižvelgiant nustatytas problemų priežastis bei jas pagrindžiančius statistinius duomenis, matyti, kad žemas darbo jėgos aktyvumo lygis regione nulemtas regiono specifikos – mažo gyventojų tankumo, didelės dalies gyvenančiųjų kaimo vietovėse, mažos ūkinių veiklų įvairovės. Todėl būtina sudaryti geresnes sąlygas gyventojų ekonominiam aktyvumui. Bendrajame plane numatyta, būtinybė urbanistiniuose centruose derinti skirtingų sektorių (socialinės, susisiekimo ir inžinerinės infrastruktūros plėtros, kultūros paveldo ir gamtos apsaugos, investicijų ir darbo vietų kūrimo, viešojo transporto sistemos plėtros ir pan.) interesus funkcinių ryšių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kompleksų, o tai riboja regiono gyventojų, ypač kaimiškųjų vietovių, galimybes užsiimti įvairiomis ūkinėmis veiklomis, neskatina ekonominio aktyvumo. </w:t>
                    </w:r>
                  </w:p>
                  <w:p>
                    <w:pPr>
                      <w:ind w:firstLine="567"/>
                      <w:jc w:val="both"/>
                      <w:rPr>
                        <w:color w:val="000000"/>
                        <w:szCs w:val="24"/>
                      </w:rPr>
                    </w:pPr>
                    <w:r>
                      <w:rPr>
                        <w:color w:val="000000"/>
                        <w:szCs w:val="24"/>
                      </w:rPr>
                      <w:t>Siekiant padidinti regiono turistinį patrauklumą ir pritraukti daugiau turistų, svarbus regiono savivaldybių bendradarbiavimas, kuris padėtų užtikrinti investicijų į turizmo infrastruktūrą derinimą tarpusavyje, turistinių maršrutų kūrimą, vientisą regiono, kaip turinčio savitumą ir identitetą pristatymą, viešinimą. Kaip viena iš galimų priemonių Bendrajame plane numatytas savivaldybių bendradarbiavimas – „savivaldybėms, kurios sujungtos rekreaciniais koridoriais, taikyti įvairius partnerysčių modelius, vystyti rekreacinę ir turizmo infrastruktūrą, teikti turizmo ir poilsio paslaugas įveiklinant materialaus paveldo objektus ir nematerialaus paveldo vertybes, gamtinius rekreacinius išteklius“</w:t>
                    </w:r>
                    <w:r>
                      <w:rPr>
                        <w:rFonts w:eastAsia="Calibri"/>
                        <w:color w:val="000000"/>
                        <w:szCs w:val="24"/>
                        <w:vertAlign w:val="superscript"/>
                      </w:rPr>
                      <w:t xml:space="preserve"> </w:t>
                      <w:footnoteReference w:id="37"/>
                    </w:r>
                    <w:r>
                      <w:rPr>
                        <w:color w:val="000000"/>
                        <w:szCs w:val="24"/>
                      </w:rPr>
                      <w:t xml:space="preserve">. </w:t>
                    </w:r>
                  </w:p>
                  <w:p>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ryšiais (apskrities teritorija), bet ir identitetu (vienijantys istoriniai / kultūriniai ištekliai).</w:t>
                    </w:r>
                  </w:p>
                  <w:p>
                    <w:pPr>
                      <w:ind w:firstLine="567"/>
                      <w:jc w:val="both"/>
                      <w:rPr>
                        <w:color w:val="000000"/>
                        <w:szCs w:val="24"/>
                      </w:rPr>
                    </w:pPr>
                  </w:p>
                  <w:p>
                    <w:pPr>
                      <w:ind w:firstLine="567"/>
                      <w:jc w:val="both"/>
                      <w:rPr>
                        <w:b/>
                        <w:bCs/>
                        <w:color w:val="000000"/>
                        <w:szCs w:val="24"/>
                      </w:rPr>
                    </w:pPr>
                    <w:r>
                      <w:rPr>
                        <w:b/>
                        <w:bCs/>
                        <w:color w:val="000000"/>
                        <w:szCs w:val="24"/>
                      </w:rPr>
                      <w:t>TVARIOS MIESTO PLĖTROS STRATEGIJA.</w:t>
                    </w:r>
                  </w:p>
                  <w:p>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trPr>
                        <w:trHeight w:val="240"/>
                      </w:trPr>
                      <w:tc>
                        <w:tcPr>
                          <w:tcW w:w="5010" w:type="dxa"/>
                        </w:tcPr>
                        <w:p>
                          <w:pPr>
                            <w:jc w:val="center"/>
                            <w:rPr>
                              <w:sz w:val="22"/>
                              <w:szCs w:val="22"/>
                            </w:rPr>
                          </w:pPr>
                          <w:r>
                            <w:rPr>
                              <w:sz w:val="22"/>
                              <w:szCs w:val="22"/>
                            </w:rPr>
                            <w:t>Regiono problemos, jų priežastys</w:t>
                          </w:r>
                        </w:p>
                      </w:tc>
                      <w:tc>
                        <w:tcPr>
                          <w:tcW w:w="1701" w:type="dxa"/>
                        </w:tcPr>
                        <w:p>
                          <w:pPr>
                            <w:jc w:val="center"/>
                            <w:rPr>
                              <w:sz w:val="22"/>
                              <w:szCs w:val="22"/>
                            </w:rPr>
                          </w:pPr>
                        </w:p>
                      </w:tc>
                      <w:tc>
                        <w:tcPr>
                          <w:tcW w:w="7920" w:type="dxa"/>
                        </w:tcPr>
                        <w:p>
                          <w:pPr>
                            <w:jc w:val="center"/>
                            <w:rPr>
                              <w:sz w:val="22"/>
                              <w:szCs w:val="22"/>
                            </w:rPr>
                          </w:pPr>
                          <w:r>
                            <w:rPr>
                              <w:sz w:val="22"/>
                              <w:szCs w:val="22"/>
                            </w:rPr>
                            <w:t>Tvarios miesto plėtros strategijos tikslas ir uždaviniai bei jų veiksmai</w:t>
                          </w:r>
                        </w:p>
                      </w:tc>
                    </w:tr>
                    <w:tr>
                      <w:trPr>
                        <w:trHeight w:val="494"/>
                      </w:trPr>
                      <w:tc>
                        <w:tcPr>
                          <w:tcW w:w="5010" w:type="dxa"/>
                          <w:shd w:val="clear" w:color="auto" w:fill="DEEAF6" w:themeFill="accent5" w:themeFillTint="33"/>
                        </w:tcPr>
                        <w:p>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pPr>
                            <w:tabs>
                              <w:tab w:val="left" w:pos="851"/>
                            </w:tabs>
                            <w:rPr>
                              <w:b/>
                              <w:bCs/>
                              <w:color w:val="000000"/>
                              <w:sz w:val="22"/>
                              <w:szCs w:val="22"/>
                            </w:rPr>
                          </w:pPr>
                          <w:r>
                            <w:rPr>
                              <w:b/>
                              <w:bCs/>
                              <w:color w:val="000000"/>
                              <w:sz w:val="22"/>
                              <w:szCs w:val="22"/>
                            </w:rPr>
                            <w:t>Tikslas – mažinti socialinę atskirtį</w:t>
                          </w:r>
                        </w:p>
                      </w:tc>
                    </w:tr>
                    <w:tr>
                      <w:trPr>
                        <w:trHeight w:val="494"/>
                      </w:trPr>
                      <w:tc>
                        <w:tcPr>
                          <w:tcW w:w="5010" w:type="dxa"/>
                          <w:shd w:val="clear" w:color="auto" w:fill="DEEAF6" w:themeFill="accent5" w:themeFillTint="33"/>
                        </w:tcPr>
                        <w:p>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pPr>
                            <w:tabs>
                              <w:tab w:val="left" w:pos="851"/>
                            </w:tabs>
                            <w:rPr>
                              <w:color w:val="000000"/>
                              <w:sz w:val="22"/>
                              <w:szCs w:val="22"/>
                            </w:rPr>
                          </w:pPr>
                        </w:p>
                        <w:p>
                          <w:pPr>
                            <w:tabs>
                              <w:tab w:val="left" w:pos="851"/>
                            </w:tabs>
                            <w:rPr>
                              <w:color w:val="000000"/>
                              <w:sz w:val="22"/>
                              <w:szCs w:val="22"/>
                            </w:rPr>
                          </w:pPr>
                          <w:r>
                            <w:rPr>
                              <w:color w:val="000000"/>
                              <w:sz w:val="22"/>
                              <w:szCs w:val="22"/>
                              <w:u w:val="single"/>
                            </w:rPr>
                            <w:t>Veiksmai</w:t>
                          </w:r>
                          <w:r>
                            <w:rPr>
                              <w:color w:val="000000"/>
                              <w:sz w:val="22"/>
                              <w:szCs w:val="22"/>
                            </w:rPr>
                            <w:t>:</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PSP paslaugų kokybės gerinimas;</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Socialinių paslaugų kokybės gerinimas;</w:t>
                          </w:r>
                        </w:p>
                        <w:p>
                          <w:pPr>
                            <w:tabs>
                              <w:tab w:val="left" w:pos="851"/>
                            </w:tabs>
                            <w:ind w:left="714" w:hanging="357"/>
                            <w:rPr>
                              <w:b/>
                              <w:bCs/>
                              <w:color w:val="000000"/>
                              <w:sz w:val="22"/>
                              <w:szCs w:val="22"/>
                            </w:rPr>
                          </w:pPr>
                          <w:r>
                            <w:rPr>
                              <w:rFonts w:ascii="Calibri" w:hAnsi="Calibri" w:cs="Calibri"/>
                              <w:bCs/>
                              <w:color w:val="000000"/>
                              <w:sz w:val="22"/>
                              <w:szCs w:val="22"/>
                            </w:rPr>
                            <w:t>-</w:t>
                            <w:tab/>
                          </w:r>
                          <w:r>
                            <w:rPr>
                              <w:color w:val="000000"/>
                              <w:sz w:val="22"/>
                              <w:szCs w:val="22"/>
                            </w:rPr>
                            <w:t>Švietimo paslaugų kokybės gerinimas.</w:t>
                          </w:r>
                        </w:p>
                      </w:tc>
                    </w:tr>
                    <w:tr>
                      <w:trPr>
                        <w:trHeight w:val="494"/>
                      </w:trPr>
                      <w:tc>
                        <w:tcPr>
                          <w:tcW w:w="5010" w:type="dxa"/>
                          <w:shd w:val="clear" w:color="auto" w:fill="DEEAF6" w:themeFill="accent5" w:themeFillTint="33"/>
                        </w:tcPr>
                        <w:p>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pPr>
                            <w:jc w:val="both"/>
                            <w:rPr>
                              <w:color w:val="000000"/>
                              <w:sz w:val="22"/>
                              <w:szCs w:val="22"/>
                            </w:rPr>
                          </w:pPr>
                        </w:p>
                      </w:tc>
                      <w:tc>
                        <w:tcPr>
                          <w:tcW w:w="7920" w:type="dxa"/>
                          <w:vMerge/>
                          <w:shd w:val="clear" w:color="auto" w:fill="auto"/>
                        </w:tcPr>
                        <w:p>
                          <w:pPr>
                            <w:tabs>
                              <w:tab w:val="left" w:pos="851"/>
                            </w:tabs>
                            <w:rPr>
                              <w:b/>
                              <w:bCs/>
                              <w:color w:val="000000"/>
                              <w:sz w:val="22"/>
                              <w:szCs w:val="22"/>
                            </w:rPr>
                          </w:pPr>
                        </w:p>
                      </w:tc>
                    </w:tr>
                    <w:tr>
                      <w:trPr>
                        <w:trHeight w:val="494"/>
                      </w:trPr>
                      <w:tc>
                        <w:tcPr>
                          <w:tcW w:w="5010" w:type="dxa"/>
                          <w:shd w:val="clear" w:color="auto" w:fill="DEEAF6" w:themeFill="accent5" w:themeFillTint="33"/>
                        </w:tcPr>
                        <w:p>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pPr>
                            <w:jc w:val="both"/>
                            <w:rPr>
                              <w:color w:val="000000"/>
                              <w:sz w:val="22"/>
                              <w:szCs w:val="22"/>
                            </w:rPr>
                          </w:pPr>
                        </w:p>
                      </w:tc>
                      <w:tc>
                        <w:tcPr>
                          <w:tcW w:w="7920" w:type="dxa"/>
                          <w:vMerge/>
                          <w:shd w:val="clear" w:color="auto" w:fill="auto"/>
                        </w:tcPr>
                        <w:p>
                          <w:pPr>
                            <w:tabs>
                              <w:tab w:val="left" w:pos="851"/>
                            </w:tabs>
                            <w:rPr>
                              <w:b/>
                              <w:bCs/>
                              <w:color w:val="000000"/>
                              <w:sz w:val="22"/>
                              <w:szCs w:val="22"/>
                            </w:rPr>
                          </w:pPr>
                        </w:p>
                      </w:tc>
                    </w:tr>
                    <w:tr>
                      <w:trPr>
                        <w:trHeight w:val="240"/>
                      </w:trPr>
                      <w:tc>
                        <w:tcPr>
                          <w:tcW w:w="5010" w:type="dxa"/>
                          <w:shd w:val="clear" w:color="auto" w:fill="auto"/>
                        </w:tcPr>
                        <w:p>
                          <w:pPr>
                            <w:rPr>
                              <w:color w:val="000000"/>
                              <w:sz w:val="22"/>
                              <w:szCs w:val="22"/>
                            </w:rPr>
                          </w:pPr>
                        </w:p>
                      </w:tc>
                      <w:tc>
                        <w:tcPr>
                          <w:tcW w:w="1701" w:type="dxa"/>
                          <w:shd w:val="clear" w:color="auto" w:fill="auto"/>
                        </w:tcPr>
                        <w:p>
                          <w:pPr>
                            <w:jc w:val="both"/>
                            <w:rPr>
                              <w:color w:val="000000"/>
                              <w:sz w:val="22"/>
                              <w:szCs w:val="22"/>
                            </w:rPr>
                          </w:pPr>
                        </w:p>
                      </w:tc>
                      <w:tc>
                        <w:tcPr>
                          <w:tcW w:w="7920" w:type="dxa"/>
                          <w:shd w:val="clear" w:color="auto" w:fill="auto"/>
                        </w:tcPr>
                        <w:p>
                          <w:pPr>
                            <w:tabs>
                              <w:tab w:val="left" w:pos="851"/>
                            </w:tabs>
                            <w:rPr>
                              <w:b/>
                              <w:bCs/>
                              <w:color w:val="000000"/>
                              <w:sz w:val="22"/>
                              <w:szCs w:val="22"/>
                            </w:rPr>
                          </w:pPr>
                        </w:p>
                      </w:tc>
                    </w:tr>
                    <w:tr>
                      <w:trPr>
                        <w:trHeight w:val="494"/>
                      </w:trPr>
                      <w:tc>
                        <w:tcPr>
                          <w:tcW w:w="5010" w:type="dxa"/>
                          <w:shd w:val="clear" w:color="auto" w:fill="DEEAF6" w:themeFill="accent5" w:themeFillTint="33"/>
                        </w:tcPr>
                        <w:p>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pPr>
                            <w:jc w:val="center"/>
                            <w:rPr>
                              <w:color w:val="000000"/>
                              <w:sz w:val="22"/>
                              <w:szCs w:val="22"/>
                            </w:rPr>
                          </w:pPr>
                          <w:r>
                            <w:rPr>
                              <w:color w:val="000000"/>
                              <w:sz w:val="22"/>
                              <w:szCs w:val="22"/>
                              <w:lang w:val="en-US"/>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pPr>
                            <w:tabs>
                              <w:tab w:val="left" w:pos="851"/>
                            </w:tabs>
                            <w:rPr>
                              <w:b/>
                              <w:bCs/>
                              <w:color w:val="000000"/>
                              <w:sz w:val="22"/>
                              <w:szCs w:val="22"/>
                            </w:rPr>
                          </w:pPr>
                          <w:r>
                            <w:rPr>
                              <w:b/>
                              <w:bCs/>
                              <w:color w:val="000000"/>
                              <w:sz w:val="22"/>
                              <w:szCs w:val="22"/>
                            </w:rPr>
                            <w:t>Tikslas – skatinti ekonominį aktyvumą</w:t>
                          </w:r>
                        </w:p>
                      </w:tc>
                    </w:tr>
                    <w:tr>
                      <w:trPr>
                        <w:trHeight w:val="494"/>
                      </w:trPr>
                      <w:tc>
                        <w:tcPr>
                          <w:tcW w:w="5010" w:type="dxa"/>
                          <w:shd w:val="clear" w:color="auto" w:fill="DEEAF6" w:themeFill="accent5" w:themeFillTint="33"/>
                          <w:vAlign w:val="center"/>
                        </w:tcPr>
                        <w:p>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pPr>
                            <w:tabs>
                              <w:tab w:val="left" w:pos="851"/>
                            </w:tabs>
                            <w:rPr>
                              <w:color w:val="000000"/>
                              <w:sz w:val="22"/>
                              <w:szCs w:val="22"/>
                            </w:rPr>
                          </w:pPr>
                        </w:p>
                        <w:p>
                          <w:pPr>
                            <w:tabs>
                              <w:tab w:val="left" w:pos="851"/>
                            </w:tabs>
                            <w:rPr>
                              <w:color w:val="000000"/>
                              <w:sz w:val="22"/>
                              <w:szCs w:val="22"/>
                            </w:rPr>
                          </w:pPr>
                          <w:r>
                            <w:rPr>
                              <w:color w:val="000000"/>
                              <w:sz w:val="22"/>
                              <w:szCs w:val="22"/>
                              <w:u w:val="single"/>
                            </w:rPr>
                            <w:t>Veiksmai</w:t>
                          </w:r>
                          <w:r>
                            <w:rPr>
                              <w:color w:val="000000"/>
                              <w:sz w:val="22"/>
                              <w:szCs w:val="22"/>
                            </w:rPr>
                            <w:t>:</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LEZ plėtra;</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Inžinerinės infrastruktūros pramoninėse verslo teritorijose plėtra;</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Vietos gyventojų ir VVG iniciatyvų rėmimas;</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Gyvenamosios aplinkos patrauklumo didinimas.</w:t>
                          </w:r>
                        </w:p>
                      </w:tc>
                    </w:tr>
                    <w:tr>
                      <w:trPr>
                        <w:trHeight w:val="722"/>
                      </w:trPr>
                      <w:tc>
                        <w:tcPr>
                          <w:tcW w:w="5010" w:type="dxa"/>
                          <w:shd w:val="clear" w:color="auto" w:fill="DEEAF6" w:themeFill="accent5" w:themeFillTint="33"/>
                          <w:vAlign w:val="center"/>
                        </w:tcPr>
                        <w:p>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pPr>
                            <w:jc w:val="both"/>
                            <w:rPr>
                              <w:color w:val="000000"/>
                              <w:sz w:val="22"/>
                              <w:szCs w:val="22"/>
                            </w:rPr>
                          </w:pPr>
                        </w:p>
                      </w:tc>
                      <w:tc>
                        <w:tcPr>
                          <w:tcW w:w="7920" w:type="dxa"/>
                          <w:vMerge/>
                          <w:shd w:val="clear" w:color="auto" w:fill="auto"/>
                        </w:tcPr>
                        <w:p>
                          <w:pPr>
                            <w:ind w:firstLine="317"/>
                            <w:rPr>
                              <w:color w:val="000000"/>
                              <w:sz w:val="22"/>
                              <w:szCs w:val="22"/>
                            </w:rPr>
                          </w:pPr>
                        </w:p>
                      </w:tc>
                    </w:tr>
                    <w:tr>
                      <w:trPr>
                        <w:trHeight w:val="253"/>
                      </w:trPr>
                      <w:tc>
                        <w:tcPr>
                          <w:tcW w:w="5010" w:type="dxa"/>
                          <w:shd w:val="clear" w:color="auto" w:fill="auto"/>
                        </w:tcPr>
                        <w:p>
                          <w:pPr>
                            <w:rPr>
                              <w:color w:val="000000"/>
                              <w:sz w:val="22"/>
                              <w:szCs w:val="22"/>
                            </w:rPr>
                          </w:pPr>
                        </w:p>
                      </w:tc>
                      <w:tc>
                        <w:tcPr>
                          <w:tcW w:w="1701" w:type="dxa"/>
                          <w:shd w:val="clear" w:color="auto" w:fill="auto"/>
                        </w:tcPr>
                        <w:p>
                          <w:pPr>
                            <w:jc w:val="both"/>
                            <w:rPr>
                              <w:color w:val="000000"/>
                              <w:sz w:val="22"/>
                              <w:szCs w:val="22"/>
                            </w:rPr>
                          </w:pPr>
                        </w:p>
                      </w:tc>
                      <w:tc>
                        <w:tcPr>
                          <w:tcW w:w="7920" w:type="dxa"/>
                          <w:shd w:val="clear" w:color="auto" w:fill="auto"/>
                        </w:tcPr>
                        <w:p>
                          <w:pPr>
                            <w:rPr>
                              <w:color w:val="000000"/>
                              <w:sz w:val="22"/>
                              <w:szCs w:val="22"/>
                            </w:rPr>
                          </w:pPr>
                        </w:p>
                      </w:tc>
                    </w:tr>
                    <w:tr>
                      <w:trPr>
                        <w:trHeight w:val="494"/>
                      </w:trPr>
                      <w:tc>
                        <w:tcPr>
                          <w:tcW w:w="5010" w:type="dxa"/>
                          <w:shd w:val="clear" w:color="auto" w:fill="DEEAF6" w:themeFill="accent5" w:themeFillTint="33"/>
                        </w:tcPr>
                        <w:p>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pPr>
                            <w:rPr>
                              <w:b/>
                              <w:bCs/>
                              <w:color w:val="000000"/>
                              <w:sz w:val="22"/>
                              <w:szCs w:val="22"/>
                            </w:rPr>
                          </w:pPr>
                          <w:r>
                            <w:rPr>
                              <w:b/>
                              <w:bCs/>
                              <w:color w:val="000000"/>
                              <w:sz w:val="22"/>
                              <w:szCs w:val="22"/>
                            </w:rPr>
                            <w:t>Tikslas – skatinti darnų išteklių naudojimą</w:t>
                          </w:r>
                        </w:p>
                      </w:tc>
                    </w:tr>
                    <w:tr>
                      <w:trPr>
                        <w:trHeight w:val="1091"/>
                      </w:trPr>
                      <w:tc>
                        <w:tcPr>
                          <w:tcW w:w="5010" w:type="dxa"/>
                          <w:shd w:val="clear" w:color="auto" w:fill="DEEAF6" w:themeFill="accent5" w:themeFillTint="33"/>
                          <w:vAlign w:val="center"/>
                        </w:tcPr>
                        <w:p>
                          <w:pPr>
                            <w:rPr>
                              <w:color w:val="000000"/>
                              <w:sz w:val="22"/>
                              <w:szCs w:val="22"/>
                            </w:rPr>
                          </w:pPr>
                          <w:r>
                            <w:rPr>
                              <w:color w:val="000000"/>
                              <w:sz w:val="22"/>
                              <w:szCs w:val="22"/>
                            </w:rPr>
                            <w:t>1 priežastis: Nepakankamas eismo saugumas, didelės šiltnamio efektą sukeliančių dujų emisijos dėl nedarnaus judumo</w:t>
                          </w:r>
                        </w:p>
                      </w:tc>
                      <w:tc>
                        <w:tcPr>
                          <w:tcW w:w="1701" w:type="dxa"/>
                          <w:shd w:val="clear" w:color="auto" w:fill="DEEAF6" w:themeFill="accent5" w:themeFillTint="33"/>
                        </w:tcPr>
                        <w:p>
                          <w:pPr>
                            <w:jc w:val="both"/>
                            <w:rPr>
                              <w:color w:val="000000"/>
                              <w:sz w:val="22"/>
                              <w:szCs w:val="22"/>
                            </w:rPr>
                          </w:pPr>
                          <w:r>
                            <w:rPr>
                              <w:color w:val="000000"/>
                              <w:sz w:val="22"/>
                              <w:szCs w:val="22"/>
                              <w:lang w:val="en-US"/>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pPr>
                            <w:rPr>
                              <w:color w:val="000000"/>
                              <w:sz w:val="22"/>
                              <w:szCs w:val="22"/>
                            </w:rPr>
                          </w:pPr>
                          <w:r>
                            <w:rPr>
                              <w:b/>
                              <w:bCs/>
                              <w:color w:val="000000"/>
                              <w:sz w:val="22"/>
                              <w:szCs w:val="22"/>
                            </w:rPr>
                            <w:t>Uždavinys</w:t>
                          </w:r>
                          <w:r>
                            <w:rPr>
                              <w:color w:val="000000"/>
                              <w:sz w:val="22"/>
                              <w:szCs w:val="22"/>
                            </w:rPr>
                            <w:t xml:space="preserve"> – diegti darnaus judumo priemones</w:t>
                          </w:r>
                        </w:p>
                        <w:p>
                          <w:pPr>
                            <w:rPr>
                              <w:color w:val="000000"/>
                              <w:sz w:val="22"/>
                              <w:szCs w:val="22"/>
                            </w:rPr>
                          </w:pPr>
                        </w:p>
                        <w:p>
                          <w:pPr>
                            <w:rPr>
                              <w:color w:val="000000"/>
                              <w:sz w:val="22"/>
                              <w:szCs w:val="22"/>
                            </w:rPr>
                          </w:pPr>
                          <w:r>
                            <w:rPr>
                              <w:color w:val="000000"/>
                              <w:sz w:val="22"/>
                              <w:szCs w:val="22"/>
                              <w:u w:val="single"/>
                            </w:rPr>
                            <w:t>Veiksmai</w:t>
                          </w:r>
                          <w:r>
                            <w:rPr>
                              <w:color w:val="000000"/>
                              <w:sz w:val="22"/>
                              <w:szCs w:val="22"/>
                            </w:rPr>
                            <w:t>:</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Viešojo transporto plėtra;</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Dviračių infrastruktūros plėtra;</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Kitos darnaus judumo priemonės;</w:t>
                          </w:r>
                        </w:p>
                        <w:p>
                          <w:pPr>
                            <w:tabs>
                              <w:tab w:val="left" w:pos="851"/>
                            </w:tabs>
                            <w:ind w:left="714" w:hanging="357"/>
                            <w:rPr>
                              <w:color w:val="000000"/>
                              <w:sz w:val="22"/>
                              <w:szCs w:val="22"/>
                            </w:rPr>
                          </w:pPr>
                          <w:r>
                            <w:rPr>
                              <w:rFonts w:ascii="Calibri" w:hAnsi="Calibri" w:cs="Calibri"/>
                              <w:color w:val="000000"/>
                              <w:sz w:val="22"/>
                              <w:szCs w:val="22"/>
                            </w:rPr>
                            <w:t>-</w:t>
                            <w:tab/>
                          </w:r>
                          <w:r>
                            <w:rPr>
                              <w:color w:val="000000"/>
                              <w:sz w:val="22"/>
                              <w:szCs w:val="22"/>
                            </w:rPr>
                            <w:t>Saulės energijos panaudojimo galimybių didinimas viešuosiuose pastatuose.</w:t>
                          </w:r>
                        </w:p>
                      </w:tc>
                    </w:tr>
                  </w:tbl>
                  <w:p>
                    <w:pPr>
                      <w:ind w:firstLine="567"/>
                      <w:jc w:val="both"/>
                      <w:rPr>
                        <w:rFonts w:eastAsia="Calibri"/>
                        <w:bCs/>
                        <w:iCs/>
                        <w:color w:val="000000"/>
                        <w:szCs w:val="24"/>
                      </w:rPr>
                    </w:pPr>
                  </w:p>
                  <w:p>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pPr>
                      <w:jc w:val="both"/>
                      <w:rPr>
                        <w:rFonts w:eastAsia="Calibri"/>
                        <w:bCs/>
                        <w:color w:val="000000"/>
                        <w:szCs w:val="24"/>
                        <w:lang w:eastAsia="lt-LT"/>
                      </w:rPr>
                    </w:pPr>
                  </w:p>
                </w:tc>
              </w:tr>
              <w:tr>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pPr>
                      <w:rPr>
                        <w:rFonts w:eastAsia="Calibri"/>
                        <w:b/>
                        <w:szCs w:val="24"/>
                      </w:rPr>
                    </w:pPr>
                    <w:r>
                      <w:rPr>
                        <w:rFonts w:eastAsia="Calibri"/>
                        <w:b/>
                        <w:szCs w:val="24"/>
                      </w:rPr>
                      <w:t>Regiono stiprybių, silpnybių, galimybių ir grėsmių (toliau –</w:t>
                    </w:r>
                    <w:r>
                      <w:rPr>
                        <w:rFonts w:eastAsia="Calibri"/>
                        <w:i/>
                        <w:szCs w:val="24"/>
                      </w:rPr>
                      <w:t xml:space="preserve"> </w:t>
                    </w:r>
                    <w:r>
                      <w:rPr>
                        <w:rFonts w:eastAsia="Calibri"/>
                        <w:b/>
                        <w:szCs w:val="24"/>
                      </w:rPr>
                      <w:t>SSGG) analizė</w:t>
                    </w:r>
                  </w:p>
                  <w:p>
                    <w:pPr>
                      <w:jc w:val="center"/>
                      <w:rPr>
                        <w:rFonts w:eastAsia="Calibri"/>
                        <w:bCs/>
                        <w:iCs/>
                        <w:color w:val="000000"/>
                        <w:szCs w:val="24"/>
                      </w:rPr>
                    </w:pPr>
                  </w:p>
                  <w:p>
                    <w:pPr>
                      <w:jc w:val="center"/>
                      <w:rPr>
                        <w:rFonts w:eastAsia="Calibri"/>
                        <w:bCs/>
                        <w:iCs/>
                        <w:color w:val="000000"/>
                        <w:szCs w:val="24"/>
                      </w:rPr>
                    </w:pPr>
                    <w:r>
                      <w:rPr>
                        <w:rFonts w:eastAsia="Calibri"/>
                        <w:bCs/>
                        <w:iCs/>
                        <w:color w:val="000000"/>
                        <w:szCs w:val="24"/>
                      </w:rPr>
                      <w:t>1 problema. DIDELĖ SOCIALINĖ ATSKIRTIS IR AUKŠTAS SKURDO RIZIKOS LYGIS</w:t>
                    </w:r>
                  </w:p>
                  <w:p>
                    <w:pPr>
                      <w:jc w:val="both"/>
                      <w:rPr>
                        <w:rFonts w:eastAsia="Calibri"/>
                        <w:bCs/>
                        <w:iCs/>
                        <w:color w:val="000000"/>
                        <w:szCs w:val="24"/>
                      </w:rPr>
                    </w:pPr>
                  </w:p>
                  <w:p>
                    <w:pPr>
                      <w:jc w:val="center"/>
                      <w:rPr>
                        <w:rFonts w:eastAsia="Calibri"/>
                        <w:bCs/>
                        <w:iCs/>
                        <w:color w:val="000000"/>
                        <w:szCs w:val="24"/>
                      </w:rPr>
                    </w:pPr>
                    <w:r>
                      <w:rPr>
                        <w:szCs w:val="24"/>
                        <w:lang w:val="en-US"/>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1"/>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pPr>
                      <w:jc w:val="center"/>
                      <w:rPr>
                        <w:rFonts w:eastAsia="Calibri"/>
                        <w:bCs/>
                        <w:iCs/>
                        <w:color w:val="000000"/>
                        <w:szCs w:val="24"/>
                      </w:rPr>
                    </w:pPr>
                  </w:p>
                  <w:p>
                    <w:pPr>
                      <w:jc w:val="both"/>
                      <w:rPr>
                        <w:rFonts w:eastAsia="Calibri"/>
                        <w:bCs/>
                        <w:iCs/>
                        <w:color w:val="000000"/>
                        <w:szCs w:val="24"/>
                      </w:rPr>
                    </w:pPr>
                    <w:r>
                      <w:rPr>
                        <w:rFonts w:eastAsia="Calibri"/>
                        <w:bCs/>
                        <w:iCs/>
                        <w:color w:val="000000"/>
                        <w:szCs w:val="24"/>
                      </w:rPr>
                      <w:t xml:space="preserve">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pPr>
                      <w:jc w:val="both"/>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r>
                      <w:rPr>
                        <w:rFonts w:eastAsia="Calibri"/>
                        <w:bCs/>
                        <w:iCs/>
                        <w:color w:val="000000"/>
                        <w:szCs w:val="24"/>
                      </w:rPr>
                      <w:t>2 problema. MENKAS REGIONO EKONOMIKOS AKTYVUMAS IR INVESTICINIS PATRAUKLUMAS</w:t>
                    </w:r>
                  </w:p>
                  <w:p>
                    <w:pPr>
                      <w:jc w:val="both"/>
                      <w:rPr>
                        <w:rFonts w:eastAsia="Calibri"/>
                        <w:bCs/>
                        <w:iCs/>
                        <w:color w:val="000000"/>
                        <w:szCs w:val="24"/>
                      </w:rPr>
                    </w:pPr>
                  </w:p>
                  <w:p>
                    <w:pPr>
                      <w:jc w:val="center"/>
                      <w:rPr>
                        <w:rFonts w:eastAsia="Calibri"/>
                        <w:bCs/>
                        <w:iCs/>
                        <w:color w:val="000000"/>
                        <w:szCs w:val="24"/>
                      </w:rPr>
                    </w:pPr>
                    <w:r>
                      <w:rPr>
                        <w:szCs w:val="24"/>
                        <w:lang w:val="en-US"/>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2"/>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p>
                  <w:p>
                    <w:pPr>
                      <w:jc w:val="center"/>
                      <w:rPr>
                        <w:rFonts w:eastAsia="Calibri"/>
                        <w:bCs/>
                        <w:iCs/>
                        <w:color w:val="000000"/>
                        <w:szCs w:val="24"/>
                      </w:rPr>
                    </w:pPr>
                    <w:r>
                      <w:rPr>
                        <w:rFonts w:eastAsia="Calibri"/>
                        <w:bCs/>
                        <w:iCs/>
                        <w:color w:val="000000"/>
                        <w:szCs w:val="24"/>
                      </w:rPr>
                      <w:t>3 problema. NEPAKANKAMAI TVARUS IŠTEKLIŲ NAUDOJIMAS IR APLINKA</w:t>
                    </w:r>
                  </w:p>
                  <w:p>
                    <w:pPr>
                      <w:jc w:val="both"/>
                      <w:rPr>
                        <w:rFonts w:eastAsia="Calibri"/>
                        <w:bCs/>
                        <w:iCs/>
                        <w:color w:val="000000"/>
                        <w:szCs w:val="24"/>
                      </w:rPr>
                    </w:pPr>
                  </w:p>
                  <w:p>
                    <w:pPr>
                      <w:jc w:val="center"/>
                      <w:rPr>
                        <w:rFonts w:eastAsia="Calibri"/>
                        <w:bCs/>
                        <w:iCs/>
                        <w:color w:val="000000"/>
                        <w:szCs w:val="24"/>
                      </w:rPr>
                    </w:pPr>
                    <w:r>
                      <w:rPr>
                        <w:szCs w:val="24"/>
                        <w:lang w:val="en-US"/>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3"/>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pPr>
                      <w:jc w:val="both"/>
                      <w:rPr>
                        <w:rFonts w:eastAsia="Calibri"/>
                        <w:bCs/>
                        <w:iCs/>
                        <w:color w:val="000000"/>
                        <w:szCs w:val="24"/>
                      </w:rPr>
                    </w:pPr>
                  </w:p>
                  <w:p>
                    <w:pPr>
                      <w:jc w:val="both"/>
                      <w:rPr>
                        <w:rFonts w:eastAsia="Calibri"/>
                        <w:bCs/>
                        <w:iCs/>
                        <w:color w:val="000000"/>
                        <w:szCs w:val="24"/>
                      </w:rPr>
                    </w:pPr>
                  </w:p>
                  <w:p>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pPr>
                      <w:ind w:firstLine="124"/>
                      <w:jc w:val="both"/>
                      <w:rPr>
                        <w:rFonts w:eastAsia="Calibri"/>
                        <w:i/>
                        <w:color w:val="000000"/>
                        <w:szCs w:val="24"/>
                      </w:rPr>
                    </w:pPr>
                  </w:p>
                </w:tc>
              </w:tr>
            </w:tbl>
            <w:p>
              <w:pPr>
                <w:ind w:left="284" w:hanging="284"/>
                <w:jc w:val="center"/>
                <w:rPr>
                  <w:b/>
                  <w:caps/>
                  <w:szCs w:val="24"/>
                </w:rPr>
              </w:pPr>
            </w:p>
            <w:p>
              <w:pPr>
                <w:spacing w:line="259" w:lineRule="auto"/>
                <w:rPr>
                  <w:b/>
                  <w:caps/>
                  <w:szCs w:val="24"/>
                </w:rPr>
              </w:pPr>
              <w:r>
                <w:rPr>
                  <w:b/>
                  <w:caps/>
                  <w:szCs w:val="24"/>
                </w:rPr>
                <w:br w:type="page"/>
              </w:r>
            </w:p>
            <w:p>
              <w:pPr>
                <w:rPr>
                  <w:sz w:val="14"/>
                  <w:szCs w:val="14"/>
                </w:rPr>
              </w:pPr>
            </w:p>
            <w:p>
              <w:pPr>
                <w:rPr>
                  <w:b/>
                  <w:caps/>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851" w:right="820" w:bottom="426" w:left="1134" w:header="426" w:footer="567" w:gutter="0"/>
                  <w:cols w:space="1296"/>
                  <w:titlePg/>
                  <w:docGrid w:linePitch="360"/>
                </w:sectPr>
              </w:pPr>
            </w:p>
            <w:sdt>
              <w:sdtPr>
                <w:alias w:val="poskyris"/>
                <w:tag w:val="part_c60fa14ccb1546b7b0c4cab77ea0736c"/>
                <w:lock w:val="sdtLocked"/>
                <w:richText/>
              </w:sdtPr>
              <w:sdtContent>
                <w:p>
                  <w:pPr>
                    <w:jc w:val="center"/>
                    <w:rPr>
                      <w:b/>
                      <w:caps/>
                      <w:szCs w:val="24"/>
                    </w:rPr>
                  </w:pPr>
                  <w:sdt>
                    <w:sdtPr>
                      <w:alias w:val="Pavadinimas"/>
                      <w:tag w:val="title_c60fa14ccb1546b7b0c4cab77ea0736c"/>
                      <w:lock w:val="sdtLocked"/>
                      <w:richText/>
                    </w:sdtPr>
                    <w:sdtContent>
                      <w:r>
                        <w:rPr>
                          <w:b/>
                          <w:caps/>
                          <w:szCs w:val="24"/>
                        </w:rPr>
                        <w:t>Informacijos šaltinių, kuriais remtasi atliekant esamos situacijos analizę, sąrašas</w:t>
                      </w:r>
                    </w:sdtContent>
                  </w:sdt>
                </w:p>
                <w:p>
                  <w:pPr>
                    <w:jc w:val="center"/>
                    <w:rPr>
                      <w:b/>
                      <w:caps/>
                      <w:szCs w:val="24"/>
                    </w:rPr>
                  </w:pPr>
                </w:p>
                <w:p>
                  <w:pPr>
                    <w:jc w:val="center"/>
                    <w:rPr>
                      <w:b/>
                      <w:caps/>
                      <w:szCs w:val="24"/>
                    </w:rPr>
                  </w:pPr>
                </w:p>
                <w:sdt>
                  <w:sdtPr>
                    <w:alias w:val="1 p."/>
                    <w:tag w:val="part_357f91618e5047b783a263961731f89e"/>
                    <w:lock w:val="sdtLocked"/>
                    <w:richText/>
                  </w:sdtPr>
                  <w:sdtContent>
                    <w:p>
                      <w:pPr>
                        <w:ind w:left="714" w:hanging="357"/>
                        <w:jc w:val="both"/>
                        <w:rPr>
                          <w:bCs/>
                          <w:caps/>
                          <w:szCs w:val="24"/>
                        </w:rPr>
                      </w:pPr>
                      <w:sdt>
                        <w:sdtPr>
                          <w:alias w:val="Numeris"/>
                          <w:tag w:val="nr_357f91618e5047b783a263961731f89e"/>
                          <w:lock w:val="sdtLocked"/>
                          <w:richText/>
                        </w:sdtPr>
                        <w:sdtContent>
                          <w:r>
                            <w:rPr>
                              <w:bCs/>
                              <w:caps/>
                              <w:color w:val="000000"/>
                              <w:szCs w:val="24"/>
                              <w:lang w:val="en-GB"/>
                            </w:rPr>
                            <w:t>1</w:t>
                          </w:r>
                        </w:sdtContent>
                      </w:sdt>
                      <w:r>
                        <w:rPr>
                          <w:bCs/>
                          <w:caps/>
                          <w:color w:val="000000"/>
                          <w:szCs w:val="24"/>
                          <w:lang w:val="en-GB"/>
                        </w:rPr>
                        <w:t>.</w:t>
                        <w:tab/>
                      </w:r>
                      <w:r>
                        <w:rPr>
                          <w:bCs/>
                          <w:szCs w:val="24"/>
                        </w:rPr>
                        <w:t xml:space="preserve">Oficialiosios statistikos portalo rodiklių duomenų bazė, </w:t>
                      </w:r>
                      <w:r>
                        <w:rPr>
                          <w:bCs/>
                          <w:color w:val="0563C1"/>
                          <w:szCs w:val="24"/>
                          <w:u w:val="single"/>
                        </w:rPr>
                        <w:t>https://osp.stat.gov.lt/statistiniu-rodikliu-analize#/</w:t>
                      </w:r>
                      <w:r>
                        <w:rPr>
                          <w:bCs/>
                          <w:szCs w:val="24"/>
                        </w:rPr>
                        <w:t>;</w:t>
                      </w:r>
                    </w:p>
                  </w:sdtContent>
                </w:sdt>
                <w:sdt>
                  <w:sdtPr>
                    <w:alias w:val="2 p."/>
                    <w:tag w:val="part_552a934f3dbf4082978e0137b12ed7f5"/>
                    <w:lock w:val="sdtLocked"/>
                    <w:richText/>
                  </w:sdtPr>
                  <w:sdtContent>
                    <w:p>
                      <w:pPr>
                        <w:ind w:left="709" w:hanging="360"/>
                        <w:jc w:val="both"/>
                        <w:rPr>
                          <w:bCs/>
                          <w:caps/>
                          <w:szCs w:val="24"/>
                        </w:rPr>
                      </w:pPr>
                      <w:sdt>
                        <w:sdtPr>
                          <w:alias w:val="Numeris"/>
                          <w:tag w:val="nr_552a934f3dbf4082978e0137b12ed7f5"/>
                          <w:lock w:val="sdtLocked"/>
                          <w:richText/>
                        </w:sdtPr>
                        <w:sdtContent>
                          <w:r>
                            <w:rPr>
                              <w:bCs/>
                              <w:caps/>
                              <w:color w:val="000000"/>
                              <w:szCs w:val="24"/>
                              <w:lang w:val="en-GB"/>
                            </w:rPr>
                            <w:t>2</w:t>
                          </w:r>
                        </w:sdtContent>
                      </w:sdt>
                      <w:r>
                        <w:rPr>
                          <w:bCs/>
                          <w:caps/>
                          <w:color w:val="000000"/>
                          <w:szCs w:val="24"/>
                          <w:lang w:val="en-GB"/>
                        </w:rPr>
                        <w:t>.</w:t>
                        <w:tab/>
                      </w:r>
                      <w:r>
                        <w:rPr>
                          <w:bCs/>
                          <w:szCs w:val="24"/>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d6716d110f454edba9200316526bddf9"/>
                    <w:lock w:val="sdtLocked"/>
                    <w:richText/>
                  </w:sdtPr>
                  <w:sdtContent>
                    <w:p>
                      <w:pPr>
                        <w:ind w:left="709" w:hanging="360"/>
                        <w:jc w:val="both"/>
                        <w:rPr>
                          <w:bCs/>
                          <w:caps/>
                          <w:szCs w:val="24"/>
                        </w:rPr>
                      </w:pPr>
                      <w:sdt>
                        <w:sdtPr>
                          <w:alias w:val="Numeris"/>
                          <w:tag w:val="nr_d6716d110f454edba9200316526bddf9"/>
                          <w:lock w:val="sdtLocked"/>
                          <w:richText/>
                        </w:sdtPr>
                        <w:sdtContent>
                          <w:r>
                            <w:rPr>
                              <w:bCs/>
                              <w:caps/>
                              <w:color w:val="000000"/>
                              <w:szCs w:val="24"/>
                              <w:lang w:val="en-GB"/>
                            </w:rPr>
                            <w:t>3</w:t>
                          </w:r>
                        </w:sdtContent>
                      </w:sdt>
                      <w:r>
                        <w:rPr>
                          <w:bCs/>
                          <w:caps/>
                          <w:color w:val="000000"/>
                          <w:szCs w:val="24"/>
                          <w:lang w:val="en-GB"/>
                        </w:rPr>
                        <w:t>.</w:t>
                        <w:tab/>
                      </w:r>
                      <w:r>
                        <w:rPr>
                          <w:szCs w:val="24"/>
                        </w:rPr>
                        <w:t xml:space="preserve">Aplinkos apsaugos agentūra, 2020 m. vandens paėmimo ir sunaudojimo duomenys: </w:t>
                      </w:r>
                      <w:r>
                        <w:rPr>
                          <w:color w:val="0563C1"/>
                          <w:szCs w:val="24"/>
                          <w:u w:val="single"/>
                        </w:rPr>
                        <w:t>https://aaa.lrv.lt/lt/veiklos-sritys/vanduo/vandens-paemimas-ir-naudojimas/vandens-naudojimo-apskaitos-duomenys</w:t>
                      </w:r>
                      <w:r>
                        <w:rPr>
                          <w:bCs/>
                          <w:szCs w:val="24"/>
                        </w:rPr>
                        <w:t>;</w:t>
                      </w:r>
                    </w:p>
                  </w:sdtContent>
                </w:sdt>
                <w:sdt>
                  <w:sdtPr>
                    <w:alias w:val="4 p."/>
                    <w:tag w:val="part_b626a547c6054f0b9e4bbc562a234767"/>
                    <w:lock w:val="sdtLocked"/>
                    <w:richText/>
                  </w:sdtPr>
                  <w:sdtContent>
                    <w:p>
                      <w:pPr>
                        <w:ind w:left="709" w:hanging="360"/>
                        <w:jc w:val="both"/>
                        <w:rPr>
                          <w:bCs/>
                          <w:caps/>
                          <w:szCs w:val="24"/>
                        </w:rPr>
                      </w:pPr>
                      <w:sdt>
                        <w:sdtPr>
                          <w:alias w:val="Numeris"/>
                          <w:tag w:val="nr_b626a547c6054f0b9e4bbc562a234767"/>
                          <w:lock w:val="sdtLocked"/>
                          <w:richText/>
                        </w:sdtPr>
                        <w:sdtContent>
                          <w:r>
                            <w:rPr>
                              <w:bCs/>
                              <w:caps/>
                              <w:color w:val="000000"/>
                              <w:szCs w:val="24"/>
                              <w:lang w:val="en-GB"/>
                            </w:rPr>
                            <w:t>4</w:t>
                          </w:r>
                        </w:sdtContent>
                      </w:sdt>
                      <w:r>
                        <w:rPr>
                          <w:bCs/>
                          <w:caps/>
                          <w:color w:val="000000"/>
                          <w:szCs w:val="24"/>
                          <w:lang w:val="en-GB"/>
                        </w:rPr>
                        <w:t>.</w:t>
                        <w:tab/>
                      </w:r>
                      <w:r>
                        <w:rPr>
                          <w:bCs/>
                          <w:szCs w:val="24"/>
                        </w:rPr>
                        <w:t xml:space="preserve">Aplinkos apsaugos agentūra, 2022 m. nacionalinė šiltnamio efektą sukeliančių dujų apskaitos ataskaita,  </w:t>
                      </w:r>
                      <w:r>
                        <w:rPr>
                          <w:bCs/>
                          <w:color w:val="0563C1"/>
                          <w:szCs w:val="24"/>
                          <w:u w:val="single"/>
                        </w:rPr>
                        <w:t>https://aaa.lrv.lt/uploads/aaa/documents/files/tendencijos%202022.pdf</w:t>
                      </w:r>
                      <w:r>
                        <w:rPr>
                          <w:bCs/>
                          <w:caps/>
                          <w:szCs w:val="24"/>
                        </w:rPr>
                        <w:t>;</w:t>
                      </w:r>
                      <w:r>
                        <w:rPr>
                          <w:bCs/>
                          <w:szCs w:val="24"/>
                        </w:rPr>
                        <w:t xml:space="preserve"> </w:t>
                      </w:r>
                    </w:p>
                  </w:sdtContent>
                </w:sdt>
                <w:sdt>
                  <w:sdtPr>
                    <w:alias w:val="5 p."/>
                    <w:tag w:val="part_778c1c9aa1e947228a0e00f56a766b14"/>
                    <w:lock w:val="sdtLocked"/>
                    <w:richText/>
                  </w:sdtPr>
                  <w:sdtContent>
                    <w:p>
                      <w:pPr>
                        <w:ind w:left="709" w:hanging="360"/>
                        <w:jc w:val="both"/>
                        <w:rPr>
                          <w:bCs/>
                          <w:caps/>
                          <w:szCs w:val="24"/>
                        </w:rPr>
                      </w:pPr>
                      <w:sdt>
                        <w:sdtPr>
                          <w:alias w:val="Numeris"/>
                          <w:tag w:val="nr_778c1c9aa1e947228a0e00f56a766b14"/>
                          <w:lock w:val="sdtLocked"/>
                          <w:richText/>
                        </w:sdtPr>
                        <w:sdtContent>
                          <w:r>
                            <w:rPr>
                              <w:bCs/>
                              <w:caps/>
                              <w:color w:val="000000"/>
                              <w:szCs w:val="24"/>
                              <w:lang w:val="en-GB"/>
                            </w:rPr>
                            <w:t>5</w:t>
                          </w:r>
                        </w:sdtContent>
                      </w:sdt>
                      <w:r>
                        <w:rPr>
                          <w:bCs/>
                          <w:caps/>
                          <w:color w:val="000000"/>
                          <w:szCs w:val="24"/>
                          <w:lang w:val="en-GB"/>
                        </w:rPr>
                        <w:t>.</w:t>
                        <w:tab/>
                      </w:r>
                      <w:r>
                        <w:rPr>
                          <w:bCs/>
                          <w:szCs w:val="24"/>
                        </w:rPr>
                        <w:t xml:space="preserve">Aplinkos apsaugos agentūra, Apibendrinta informacija apie komunalinių atliekų tvarkymo sistemas Lietuvos savivaldybėse 2020 metais, </w:t>
                      </w:r>
                      <w:r>
                        <w:rPr>
                          <w:bCs/>
                          <w:color w:val="0563C1"/>
                          <w:szCs w:val="24"/>
                          <w:u w:val="single"/>
                        </w:rPr>
                        <w:t>https://aaa.lrv.lt/lt/veiklos-sritys/atliekos/atlieku-apskaita/informacija-apie-komunaliniu-atlieku-tvarkymo-sistemas-lietuvos-savivaldybese</w:t>
                      </w:r>
                      <w:r>
                        <w:rPr>
                          <w:bCs/>
                          <w:szCs w:val="24"/>
                        </w:rPr>
                        <w:t xml:space="preserve">; </w:t>
                      </w:r>
                    </w:p>
                  </w:sdtContent>
                </w:sdt>
                <w:sdt>
                  <w:sdtPr>
                    <w:alias w:val="6 p."/>
                    <w:tag w:val="part_5e595c5e9e594fc6ab4d4d1e2fbd1569"/>
                    <w:lock w:val="sdtLocked"/>
                    <w:richText/>
                  </w:sdtPr>
                  <w:sdtContent>
                    <w:p>
                      <w:pPr>
                        <w:ind w:left="714" w:hanging="357"/>
                        <w:jc w:val="both"/>
                        <w:rPr>
                          <w:bCs/>
                          <w:caps/>
                          <w:szCs w:val="24"/>
                        </w:rPr>
                      </w:pPr>
                      <w:sdt>
                        <w:sdtPr>
                          <w:alias w:val="Numeris"/>
                          <w:tag w:val="nr_5e595c5e9e594fc6ab4d4d1e2fbd1569"/>
                          <w:lock w:val="sdtLocked"/>
                          <w:richText/>
                        </w:sdtPr>
                        <w:sdtContent>
                          <w:r>
                            <w:rPr>
                              <w:bCs/>
                              <w:caps/>
                              <w:color w:val="000000"/>
                              <w:szCs w:val="24"/>
                              <w:lang w:val="en-GB"/>
                            </w:rPr>
                            <w:t>6</w:t>
                          </w:r>
                        </w:sdtContent>
                      </w:sdt>
                      <w:r>
                        <w:rPr>
                          <w:bCs/>
                          <w:caps/>
                          <w:color w:val="000000"/>
                          <w:szCs w:val="24"/>
                          <w:lang w:val="en-GB"/>
                        </w:rPr>
                        <w:t>.</w:t>
                        <w:tab/>
                      </w:r>
                      <w:r>
                        <w:rPr>
                          <w:bCs/>
                          <w:szCs w:val="24"/>
                        </w:rPr>
                        <w:t xml:space="preserve">Upių, ežerų ir tvenkinių ekologinės būklės žemėlapis, </w:t>
                      </w:r>
                      <w:r>
                        <w:rPr>
                          <w:bCs/>
                          <w:color w:val="0563C1"/>
                          <w:szCs w:val="24"/>
                          <w:u w:val="single"/>
                        </w:rPr>
                        <w:t>https://www.arcgis.com/apps/publicinformation/index.html?appid=7c30964d89f442a684ea5f99f8b8c8b6</w:t>
                      </w:r>
                      <w:r>
                        <w:rPr>
                          <w:bCs/>
                          <w:szCs w:val="24"/>
                        </w:rPr>
                        <w:t>;</w:t>
                      </w:r>
                    </w:p>
                  </w:sdtContent>
                </w:sdt>
                <w:sdt>
                  <w:sdtPr>
                    <w:alias w:val="7 p."/>
                    <w:tag w:val="part_7ca070d4bc084b9d820a65688c588cd0"/>
                    <w:lock w:val="sdtLocked"/>
                    <w:richText/>
                  </w:sdtPr>
                  <w:sdtContent>
                    <w:p>
                      <w:pPr>
                        <w:ind w:left="714" w:hanging="357"/>
                        <w:jc w:val="both"/>
                        <w:rPr>
                          <w:color w:val="0563C1"/>
                          <w:szCs w:val="24"/>
                          <w:u w:val="single"/>
                        </w:rPr>
                      </w:pPr>
                      <w:sdt>
                        <w:sdtPr>
                          <w:alias w:val="Numeris"/>
                          <w:tag w:val="nr_7ca070d4bc084b9d820a65688c588cd0"/>
                          <w:lock w:val="sdtLocked"/>
                          <w:richText/>
                        </w:sdtPr>
                        <w:sdtContent>
                          <w:r>
                            <w:rPr>
                              <w:color w:val="000000"/>
                              <w:szCs w:val="24"/>
                              <w:lang w:val="en-GB"/>
                            </w:rPr>
                            <w:t>7</w:t>
                          </w:r>
                        </w:sdtContent>
                      </w:sdt>
                      <w:r>
                        <w:rPr>
                          <w:color w:val="000000"/>
                          <w:szCs w:val="24"/>
                          <w:lang w:val="en-GB"/>
                        </w:rPr>
                        <w:t>.</w:t>
                        <w:tab/>
                      </w:r>
                      <w:r>
                        <w:rPr>
                          <w:bCs/>
                          <w:szCs w:val="24"/>
                        </w:rPr>
                        <w:t>Lietuvos Respublikos vidaus reikalų ministerija, regionų plėtros programos rodikliai</w:t>
                      </w:r>
                      <w:r>
                        <w:rPr>
                          <w:szCs w:val="24"/>
                        </w:rPr>
                        <w:t xml:space="preserve">, </w:t>
                      </w:r>
                      <w:r>
                        <w:rPr>
                          <w:bCs/>
                          <w:color w:val="0563C1"/>
                          <w:szCs w:val="24"/>
                          <w:u w:val="single"/>
                        </w:rPr>
                        <w:t>https://nrp.vrm.lt/lt/regionu-pletros-planu-rengimas/regionu-pletros-programos-rodikliai/268</w:t>
                      </w:r>
                    </w:p>
                  </w:sdtContent>
                </w:sdt>
                <w:sdt>
                  <w:sdtPr>
                    <w:alias w:val="8 p."/>
                    <w:tag w:val="part_fdc3fe69f4fb4f4c8a5e8055f3c36b3f"/>
                    <w:lock w:val="sdtLocked"/>
                    <w:richText/>
                  </w:sdtPr>
                  <w:sdtContent>
                    <w:p>
                      <w:pPr>
                        <w:ind w:left="714" w:hanging="357"/>
                        <w:jc w:val="both"/>
                        <w:rPr>
                          <w:szCs w:val="24"/>
                        </w:rPr>
                      </w:pPr>
                      <w:sdt>
                        <w:sdtPr>
                          <w:alias w:val="Numeris"/>
                          <w:tag w:val="nr_fdc3fe69f4fb4f4c8a5e8055f3c36b3f"/>
                          <w:lock w:val="sdtLocked"/>
                          <w:richText/>
                        </w:sdtPr>
                        <w:sdtContent>
                          <w:r>
                            <w:rPr>
                              <w:color w:val="000000"/>
                              <w:szCs w:val="24"/>
                            </w:rPr>
                            <w:t>8</w:t>
                          </w:r>
                        </w:sdtContent>
                      </w:sdt>
                      <w:r>
                        <w:rPr>
                          <w:color w:val="000000"/>
                          <w:szCs w:val="24"/>
                        </w:rPr>
                        <w:t>.</w:t>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2e971987ed5a4cd7a85a866617d9bffc"/>
                    <w:lock w:val="sdtLocked"/>
                    <w:richText/>
                  </w:sdtPr>
                  <w:sdtContent>
                    <w:p>
                      <w:pPr>
                        <w:ind w:left="714" w:hanging="357"/>
                        <w:jc w:val="both"/>
                        <w:rPr>
                          <w:szCs w:val="24"/>
                        </w:rPr>
                      </w:pPr>
                      <w:sdt>
                        <w:sdtPr>
                          <w:alias w:val="Numeris"/>
                          <w:tag w:val="nr_2e971987ed5a4cd7a85a866617d9bffc"/>
                          <w:lock w:val="sdtLocked"/>
                          <w:richText/>
                        </w:sdtPr>
                        <w:sdtContent>
                          <w:r>
                            <w:rPr>
                              <w:color w:val="000000"/>
                              <w:szCs w:val="24"/>
                            </w:rPr>
                            <w:t>9</w:t>
                          </w:r>
                        </w:sdtContent>
                      </w:sdt>
                      <w:r>
                        <w:rPr>
                          <w:color w:val="000000"/>
                          <w:szCs w:val="24"/>
                        </w:rPr>
                        <w:t>.</w:t>
                        <w:tab/>
                      </w:r>
                      <w:r>
                        <w:rPr>
                          <w:szCs w:val="24"/>
                        </w:rPr>
                        <w:t xml:space="preserve">Europos aplinkos agentūra, Air Quality Health Risk Assessments (NUTS): </w:t>
                      </w:r>
                      <w:r>
                        <w:rPr>
                          <w:color w:val="0563C1"/>
                          <w:szCs w:val="24"/>
                          <w:u w:val="single"/>
                        </w:rPr>
                        <w:t>https://discomap.eea.europa.eu/App/AirQualityHRANUTS/index.html?EUCountries=Yes&amp;UrbanisationDegree=All%20Areas%20(incl.unclassified)&amp;Year=2020&amp;ScenarioDescription=WHO_2021_AQG_Scen_Base&amp;AirPollutant=PM2.5</w:t>
                      </w:r>
                      <w:r>
                        <w:rPr>
                          <w:szCs w:val="24"/>
                        </w:rPr>
                        <w:t>;</w:t>
                      </w:r>
                    </w:p>
                  </w:sdtContent>
                </w:sdt>
                <w:sdt>
                  <w:sdtPr>
                    <w:alias w:val="10 p."/>
                    <w:tag w:val="part_bbcea2b5c5714444a4623874367ef945"/>
                    <w:lock w:val="sdtLocked"/>
                    <w:richText/>
                  </w:sdtPr>
                  <w:sdtContent>
                    <w:p>
                      <w:pPr>
                        <w:ind w:left="714" w:hanging="357"/>
                        <w:jc w:val="both"/>
                        <w:rPr>
                          <w:color w:val="0563C1"/>
                          <w:szCs w:val="24"/>
                          <w:u w:val="single"/>
                        </w:rPr>
                      </w:pPr>
                      <w:sdt>
                        <w:sdtPr>
                          <w:alias w:val="Numeris"/>
                          <w:tag w:val="nr_bbcea2b5c5714444a4623874367ef945"/>
                          <w:lock w:val="sdtLocked"/>
                          <w:richText/>
                        </w:sdtPr>
                        <w:sdtContent>
                          <w:r>
                            <w:rPr>
                              <w:color w:val="000000"/>
                              <w:szCs w:val="24"/>
                            </w:rPr>
                            <w:t>10</w:t>
                          </w:r>
                        </w:sdtContent>
                      </w:sdt>
                      <w:r>
                        <w:rPr>
                          <w:color w:val="000000"/>
                          <w:szCs w:val="24"/>
                        </w:rPr>
                        <w:t>.</w:t>
                        <w:tab/>
                      </w:r>
                      <w:r>
                        <w:rPr>
                          <w:szCs w:val="24"/>
                        </w:rPr>
                        <w:t xml:space="preserve">Aplinkos ministerija, </w:t>
                      </w:r>
                      <w:r>
                        <w:rPr>
                          <w:szCs w:val="24"/>
                        </w:rPr>
                        <w:t xml:space="preserve"> </w:t>
                      </w:r>
                      <w:r>
                        <w:rPr>
                          <w:color w:val="0563C1"/>
                          <w:szCs w:val="24"/>
                          <w:u w:val="single"/>
                        </w:rPr>
                        <w:t>https://am.lrv.lt/lt/veiklos-sritys-1/klimato-kaita/sesd-apskaitos-ir-prognoziu-ataskaitos-nacionaliniai-pranesimai;</w:t>
                      </w:r>
                    </w:p>
                  </w:sdtContent>
                </w:sdt>
                <w:sdt>
                  <w:sdtPr>
                    <w:alias w:val="11 p."/>
                    <w:tag w:val="part_7e8add056b8744a4a61eb86d768d7d14"/>
                    <w:lock w:val="sdtLocked"/>
                    <w:richText/>
                  </w:sdtPr>
                  <w:sdtContent>
                    <w:p>
                      <w:pPr>
                        <w:ind w:left="714" w:hanging="357"/>
                        <w:jc w:val="both"/>
                        <w:rPr>
                          <w:szCs w:val="24"/>
                        </w:rPr>
                      </w:pPr>
                      <w:sdt>
                        <w:sdtPr>
                          <w:alias w:val="Numeris"/>
                          <w:tag w:val="nr_7e8add056b8744a4a61eb86d768d7d14"/>
                          <w:lock w:val="sdtLocked"/>
                          <w:richText/>
                        </w:sdtPr>
                        <w:sdtContent>
                          <w:r>
                            <w:rPr>
                              <w:color w:val="000000"/>
                              <w:szCs w:val="24"/>
                            </w:rPr>
                            <w:t>11</w:t>
                          </w:r>
                        </w:sdtContent>
                      </w:sdt>
                      <w:r>
                        <w:rPr>
                          <w:color w:val="000000"/>
                          <w:szCs w:val="24"/>
                        </w:rPr>
                        <w:t>.</w:t>
                        <w:tab/>
                        <w:t>Užimtumo tarnyba prie Socialinės apsaugos ir darbo ministerijos,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2e7b15ce923e4ac4a102b55606df28c4"/>
                    <w:lock w:val="sdtLocked"/>
                    <w:richText/>
                  </w:sdtPr>
                  <w:sdtContent>
                    <w:p>
                      <w:pPr>
                        <w:ind w:left="714" w:hanging="357"/>
                        <w:jc w:val="both"/>
                        <w:rPr>
                          <w:color w:val="000000"/>
                          <w:szCs w:val="24"/>
                        </w:rPr>
                      </w:pPr>
                      <w:sdt>
                        <w:sdtPr>
                          <w:alias w:val="Numeris"/>
                          <w:tag w:val="nr_2e7b15ce923e4ac4a102b55606df28c4"/>
                          <w:lock w:val="sdtLocked"/>
                          <w:richText/>
                        </w:sdtPr>
                        <w:sdtContent>
                          <w:r>
                            <w:rPr>
                              <w:color w:val="000000"/>
                              <w:szCs w:val="24"/>
                            </w:rPr>
                            <w:t>12</w:t>
                          </w:r>
                        </w:sdtContent>
                      </w:sdt>
                      <w:r>
                        <w:rPr>
                          <w:color w:val="000000"/>
                          <w:szCs w:val="24"/>
                        </w:rPr>
                        <w:t>.</w:t>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97eeb3f415214e2e8f57ec74ccabfd87"/>
                    <w:lock w:val="sdtLocked"/>
                    <w:richText/>
                  </w:sdtPr>
                  <w:sdtContent>
                    <w:p>
                      <w:pPr>
                        <w:ind w:left="709" w:hanging="360"/>
                        <w:jc w:val="both"/>
                        <w:rPr>
                          <w:szCs w:val="24"/>
                        </w:rPr>
                      </w:pPr>
                      <w:sdt>
                        <w:sdtPr>
                          <w:alias w:val="Numeris"/>
                          <w:tag w:val="nr_97eeb3f415214e2e8f57ec74ccabfd87"/>
                          <w:lock w:val="sdtLocked"/>
                          <w:richText/>
                        </w:sdtPr>
                        <w:sdtContent>
                          <w:r>
                            <w:rPr>
                              <w:color w:val="000000"/>
                              <w:szCs w:val="24"/>
                            </w:rPr>
                            <w:t>13</w:t>
                          </w:r>
                        </w:sdtContent>
                      </w:sdt>
                      <w:r>
                        <w:rPr>
                          <w:color w:val="000000"/>
                          <w:szCs w:val="24"/>
                        </w:rPr>
                        <w:t>.</w:t>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ee4b2a0406124f9eaee5a2834ea8eed9"/>
                    <w:lock w:val="sdtLocked"/>
                    <w:richText/>
                  </w:sdtPr>
                  <w:sdtContent>
                    <w:p>
                      <w:pPr>
                        <w:ind w:left="714" w:hanging="357"/>
                        <w:jc w:val="both"/>
                        <w:rPr>
                          <w:szCs w:val="24"/>
                        </w:rPr>
                      </w:pPr>
                      <w:sdt>
                        <w:sdtPr>
                          <w:alias w:val="Numeris"/>
                          <w:tag w:val="nr_ee4b2a0406124f9eaee5a2834ea8eed9"/>
                          <w:lock w:val="sdtLocked"/>
                          <w:richText/>
                        </w:sdtPr>
                        <w:sdtContent>
                          <w:r>
                            <w:rPr>
                              <w:color w:val="000000"/>
                              <w:szCs w:val="24"/>
                            </w:rPr>
                            <w:t>14</w:t>
                          </w:r>
                        </w:sdtContent>
                      </w:sdt>
                      <w:r>
                        <w:rPr>
                          <w:color w:val="000000"/>
                          <w:szCs w:val="24"/>
                        </w:rPr>
                        <w:t>.</w:t>
                        <w:tab/>
                      </w:r>
                      <w:r>
                        <w:rPr>
                          <w:szCs w:val="24"/>
                        </w:rPr>
                        <w:t xml:space="preserve">Socialinės apsaugos ir darbo ministerija, Socialinės paramos veiksmingumo stebėsena, </w:t>
                      </w:r>
                      <w:r>
                        <w:rPr>
                          <w:color w:val="0563C1"/>
                          <w:szCs w:val="24"/>
                          <w:u w:val="single"/>
                        </w:rPr>
                        <w:t>https://qlik-public.socmin.lt/sense/app/3b7d2f59-5a02-4f21-87aa-e92332d457d7/sheet/1d7e5e82-45e7-492a-b45a-de4253c68da4/state/analysis</w:t>
                      </w:r>
                      <w:r>
                        <w:rPr>
                          <w:color w:val="0563C1"/>
                          <w:szCs w:val="24"/>
                          <w:u w:val="single"/>
                        </w:rPr>
                        <w:t>;</w:t>
                      </w:r>
                      <w:r>
                        <w:rPr>
                          <w:szCs w:val="24"/>
                        </w:rPr>
                        <w:t xml:space="preserve"> </w:t>
                      </w:r>
                    </w:p>
                  </w:sdtContent>
                </w:sdt>
                <w:sdt>
                  <w:sdtPr>
                    <w:alias w:val="15 p."/>
                    <w:tag w:val="part_64f0e2cec8ba478f982c958890bb500e"/>
                    <w:lock w:val="sdtLocked"/>
                    <w:richText/>
                  </w:sdtPr>
                  <w:sdtContent>
                    <w:p>
                      <w:pPr>
                        <w:ind w:left="714" w:hanging="357"/>
                        <w:jc w:val="both"/>
                        <w:rPr>
                          <w:szCs w:val="24"/>
                        </w:rPr>
                      </w:pPr>
                      <w:sdt>
                        <w:sdtPr>
                          <w:alias w:val="Numeris"/>
                          <w:tag w:val="nr_64f0e2cec8ba478f982c958890bb500e"/>
                          <w:lock w:val="sdtLocked"/>
                          <w:richText/>
                        </w:sdtPr>
                        <w:sdtContent>
                          <w:r>
                            <w:rPr>
                              <w:color w:val="000000"/>
                              <w:szCs w:val="24"/>
                            </w:rPr>
                            <w:t>15</w:t>
                          </w:r>
                        </w:sdtContent>
                      </w:sdt>
                      <w:r>
                        <w:rPr>
                          <w:color w:val="000000"/>
                          <w:szCs w:val="24"/>
                        </w:rPr>
                        <w:t>.</w:t>
                        <w:tab/>
                      </w:r>
                      <w:r>
                        <w:rPr>
                          <w:color w:val="000000"/>
                          <w:szCs w:val="24"/>
                          <w:u w:val="single"/>
                        </w:rPr>
                        <w:t xml:space="preserve"> </w:t>
                      </w:r>
                      <w:r>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3df3d69cb40c4534a9a2e1e34bb349db"/>
                    <w:lock w:val="sdtLocked"/>
                    <w:richText/>
                  </w:sdtPr>
                  <w:sdtContent>
                    <w:p>
                      <w:pPr>
                        <w:ind w:left="714" w:hanging="357"/>
                        <w:jc w:val="both"/>
                        <w:rPr>
                          <w:szCs w:val="24"/>
                        </w:rPr>
                      </w:pPr>
                      <w:sdt>
                        <w:sdtPr>
                          <w:alias w:val="Numeris"/>
                          <w:tag w:val="nr_3df3d69cb40c4534a9a2e1e34bb349db"/>
                          <w:lock w:val="sdtLocked"/>
                          <w:richText/>
                        </w:sdtPr>
                        <w:sdtContent>
                          <w:r>
                            <w:rPr>
                              <w:color w:val="000000"/>
                              <w:szCs w:val="24"/>
                            </w:rPr>
                            <w:t>16</w:t>
                          </w:r>
                        </w:sdtContent>
                      </w:sdt>
                      <w:r>
                        <w:rPr>
                          <w:color w:val="000000"/>
                          <w:szCs w:val="24"/>
                        </w:rPr>
                        <w:t>.</w:t>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ac30d6c48a854b628cebd40f860c7942"/>
                    <w:lock w:val="sdtLocked"/>
                    <w:richText/>
                  </w:sdtPr>
                  <w:sdtContent>
                    <w:p>
                      <w:pPr>
                        <w:ind w:left="714" w:hanging="357"/>
                        <w:jc w:val="both"/>
                        <w:rPr>
                          <w:color w:val="0563C1"/>
                          <w:szCs w:val="24"/>
                          <w:u w:val="single"/>
                        </w:rPr>
                      </w:pPr>
                      <w:sdt>
                        <w:sdtPr>
                          <w:alias w:val="Numeris"/>
                          <w:tag w:val="nr_ac30d6c48a854b628cebd40f860c7942"/>
                          <w:lock w:val="sdtLocked"/>
                          <w:richText/>
                        </w:sdtPr>
                        <w:sdtContent>
                          <w:r>
                            <w:rPr>
                              <w:color w:val="000000"/>
                              <w:szCs w:val="24"/>
                            </w:rPr>
                            <w:t>17</w:t>
                          </w:r>
                        </w:sdtContent>
                      </w:sdt>
                      <w:r>
                        <w:rPr>
                          <w:color w:val="000000"/>
                          <w:szCs w:val="24"/>
                        </w:rPr>
                        <w:t>.</w:t>
                        <w:tab/>
                      </w:r>
                      <w:r>
                        <w:rPr>
                          <w:color w:val="0563C1"/>
                          <w:szCs w:val="24"/>
                          <w:u w:val="single"/>
                        </w:rPr>
                        <w:t xml:space="preserve">Nacionalinė švietimo agentūra, </w:t>
                      </w:r>
                      <w:r>
                        <w:rPr>
                          <w:color w:val="0563C1"/>
                          <w:szCs w:val="24"/>
                          <w:u w:val="single"/>
                        </w:rPr>
                        <w:t>https://www.nsa.smm.lt/</w:t>
                      </w:r>
                      <w:r>
                        <w:rPr>
                          <w:color w:val="0563C1"/>
                          <w:szCs w:val="24"/>
                          <w:u w:val="single"/>
                        </w:rPr>
                        <w:t>;</w:t>
                      </w:r>
                    </w:p>
                  </w:sdtContent>
                </w:sdt>
                <w:sdt>
                  <w:sdtPr>
                    <w:alias w:val="18 p."/>
                    <w:tag w:val="part_fb322198bc34464597000600d510aa8b"/>
                    <w:lock w:val="sdtLocked"/>
                    <w:richText/>
                  </w:sdtPr>
                  <w:sdtContent>
                    <w:p>
                      <w:pPr>
                        <w:ind w:left="714" w:hanging="357"/>
                        <w:jc w:val="both"/>
                        <w:rPr>
                          <w:color w:val="0563C1"/>
                          <w:szCs w:val="24"/>
                          <w:u w:val="single"/>
                        </w:rPr>
                      </w:pPr>
                      <w:sdt>
                        <w:sdtPr>
                          <w:alias w:val="Numeris"/>
                          <w:tag w:val="nr_fb322198bc34464597000600d510aa8b"/>
                          <w:lock w:val="sdtLocked"/>
                          <w:richText/>
                        </w:sdtPr>
                        <w:sdtContent>
                          <w:r>
                            <w:rPr>
                              <w:color w:val="000000"/>
                              <w:szCs w:val="24"/>
                            </w:rPr>
                            <w:t>18</w:t>
                          </w:r>
                        </w:sdtContent>
                      </w:sdt>
                      <w:r>
                        <w:rPr>
                          <w:color w:val="000000"/>
                          <w:szCs w:val="24"/>
                        </w:rPr>
                        <w:t>.</w:t>
                        <w:tab/>
                      </w:r>
                      <w:r>
                        <w:rPr>
                          <w:color w:val="0563C1"/>
                          <w:szCs w:val="24"/>
                          <w:u w:val="single"/>
                        </w:rPr>
                        <w:t xml:space="preserve">Saugomų teritorijų valstybės kadastras, </w:t>
                      </w:r>
                      <w:r>
                        <w:rPr>
                          <w:color w:val="0563C1"/>
                          <w:szCs w:val="24"/>
                          <w:u w:val="single"/>
                        </w:rPr>
                        <w:t>https://stvk.lt/map/</w:t>
                      </w:r>
                      <w:r>
                        <w:rPr>
                          <w:color w:val="0563C1"/>
                          <w:szCs w:val="24"/>
                          <w:u w:val="single"/>
                        </w:rPr>
                        <w:t xml:space="preserve">; </w:t>
                      </w:r>
                    </w:p>
                  </w:sdtContent>
                </w:sdt>
                <w:sdt>
                  <w:sdtPr>
                    <w:alias w:val="19 p."/>
                    <w:tag w:val="part_a945e9f791334ce6bf63666a736c5dfd"/>
                    <w:lock w:val="sdtLocked"/>
                    <w:richText/>
                  </w:sdtPr>
                  <w:sdtContent>
                    <w:p>
                      <w:pPr>
                        <w:ind w:left="714" w:hanging="357"/>
                        <w:jc w:val="both"/>
                        <w:rPr>
                          <w:color w:val="0563C1"/>
                          <w:szCs w:val="24"/>
                          <w:u w:val="single"/>
                        </w:rPr>
                      </w:pPr>
                      <w:sdt>
                        <w:sdtPr>
                          <w:alias w:val="Numeris"/>
                          <w:tag w:val="nr_a945e9f791334ce6bf63666a736c5dfd"/>
                          <w:lock w:val="sdtLocked"/>
                          <w:richText/>
                        </w:sdtPr>
                        <w:sdtContent>
                          <w:r>
                            <w:rPr>
                              <w:color w:val="000000"/>
                              <w:szCs w:val="24"/>
                            </w:rPr>
                            <w:t>19</w:t>
                          </w:r>
                        </w:sdtContent>
                      </w:sdt>
                      <w:r>
                        <w:rPr>
                          <w:color w:val="000000"/>
                          <w:szCs w:val="24"/>
                        </w:rPr>
                        <w:t>.</w:t>
                        <w:tab/>
                      </w:r>
                      <w:r>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e9b708208e8d4f3592ec17d9daaa6f2a"/>
                    <w:lock w:val="sdtLocked"/>
                    <w:richText/>
                  </w:sdtPr>
                  <w:sdtContent>
                    <w:p>
                      <w:pPr>
                        <w:ind w:left="714" w:hanging="357"/>
                        <w:jc w:val="both"/>
                        <w:rPr>
                          <w:color w:val="0563C1"/>
                          <w:szCs w:val="24"/>
                          <w:u w:val="single"/>
                        </w:rPr>
                      </w:pPr>
                      <w:sdt>
                        <w:sdtPr>
                          <w:alias w:val="Numeris"/>
                          <w:tag w:val="nr_e9b708208e8d4f3592ec17d9daaa6f2a"/>
                          <w:lock w:val="sdtLocked"/>
                          <w:richText/>
                        </w:sdtPr>
                        <w:sdtContent>
                          <w:r>
                            <w:rPr>
                              <w:color w:val="000000"/>
                              <w:szCs w:val="24"/>
                            </w:rPr>
                            <w:t>20</w:t>
                          </w:r>
                        </w:sdtContent>
                      </w:sdt>
                      <w:r>
                        <w:rPr>
                          <w:color w:val="000000"/>
                          <w:szCs w:val="24"/>
                        </w:rPr>
                        <w:t>.</w:t>
                        <w:tab/>
                      </w:r>
                      <w:r>
                        <w:rPr>
                          <w:color w:val="0563C1"/>
                          <w:szCs w:val="24"/>
                          <w:u w:val="single"/>
                        </w:rPr>
                        <w:t xml:space="preserve">Kultūros vertybių registras, </w:t>
                      </w:r>
                      <w:r>
                        <w:rPr>
                          <w:color w:val="0563C1"/>
                          <w:szCs w:val="24"/>
                          <w:u w:val="single"/>
                        </w:rPr>
                        <w:t>https://kvr.kpd.lt/</w:t>
                      </w:r>
                      <w:r>
                        <w:rPr>
                          <w:color w:val="0563C1"/>
                          <w:szCs w:val="24"/>
                          <w:u w:val="single"/>
                        </w:rPr>
                        <w:t xml:space="preserve">. </w:t>
                      </w:r>
                    </w:p>
                    <w:p>
                      <w:pPr>
                        <w:spacing w:line="276" w:lineRule="auto"/>
                        <w:rPr>
                          <w:szCs w:val="24"/>
                        </w:rPr>
                      </w:pPr>
                    </w:p>
                    <w:p>
                      <w:pPr>
                        <w:spacing w:line="276" w:lineRule="auto"/>
                        <w:rPr>
                          <w:szCs w:val="24"/>
                        </w:rPr>
                      </w:pPr>
                    </w:p>
                    <w:p>
                      <w:pPr>
                        <w:rPr>
                          <w:szCs w:val="24"/>
                        </w:rPr>
                      </w:pPr>
                      <w:r>
                        <w:rPr>
                          <w:szCs w:val="24"/>
                        </w:rPr>
                        <w:br w:type="page"/>
                      </w:r>
                    </w:p>
                    <w:p>
                      <w:pPr>
                        <w:spacing w:line="276" w:lineRule="auto"/>
                        <w:rPr>
                          <w:szCs w:val="24"/>
                        </w:rPr>
                        <w:sectPr>
                          <w:pgSz w:w="11906" w:h="16838"/>
                          <w:pgMar w:top="822" w:right="566" w:bottom="709" w:left="992" w:header="567" w:footer="567" w:gutter="0"/>
                          <w:cols w:space="1296"/>
                          <w:docGrid w:linePitch="360"/>
                        </w:sectPr>
                      </w:pPr>
                    </w:p>
                    <w:tbl>
                      <w:tblPr>
                        <w:tblW w:w="21838" w:type="dxa"/>
                        <w:tblLook w:val="04A0" w:firstRow="1" w:lastRow="0" w:firstColumn="1" w:lastColumn="0" w:noHBand="0" w:noVBand="1"/>
                      </w:tblPr>
                      <w:tblGrid>
                        <w:gridCol w:w="640"/>
                        <w:gridCol w:w="2337"/>
                        <w:gridCol w:w="1418"/>
                        <w:gridCol w:w="1283"/>
                        <w:gridCol w:w="3961"/>
                        <w:gridCol w:w="1560"/>
                        <w:gridCol w:w="1701"/>
                        <w:gridCol w:w="1701"/>
                        <w:gridCol w:w="2126"/>
                        <w:gridCol w:w="5111"/>
                      </w:tblGrid>
                      <w:tr>
                        <w:trPr>
                          <w:trHeight w:val="312"/>
                        </w:trPr>
                        <w:tc>
                          <w:tcPr>
                            <w:tcW w:w="640" w:type="dxa"/>
                            <w:tcBorders>
                              <w:top w:val="nil"/>
                              <w:left w:val="nil"/>
                              <w:bottom w:val="nil"/>
                              <w:right w:val="nil"/>
                            </w:tcBorders>
                            <w:shd w:val="clear" w:color="auto" w:fill="auto"/>
                            <w:noWrap/>
                            <w:vAlign w:val="bottom"/>
                            <w:hideMark/>
                          </w:tcPr>
                          <w:p>
                            <w:pPr>
                              <w:rPr>
                                <w:sz w:val="20"/>
                                <w:lang w:eastAsia="lt-LT"/>
                              </w:rPr>
                            </w:pPr>
                          </w:p>
                        </w:tc>
                        <w:tc>
                          <w:tcPr>
                            <w:tcW w:w="2337" w:type="dxa"/>
                            <w:tcBorders>
                              <w:top w:val="nil"/>
                              <w:left w:val="nil"/>
                              <w:bottom w:val="nil"/>
                              <w:right w:val="nil"/>
                            </w:tcBorders>
                            <w:shd w:val="clear" w:color="auto" w:fill="auto"/>
                            <w:noWrap/>
                            <w:vAlign w:val="bottom"/>
                            <w:hideMark/>
                          </w:tcPr>
                          <w:p>
                            <w:pPr>
                              <w:rPr>
                                <w:sz w:val="20"/>
                              </w:rPr>
                            </w:pPr>
                          </w:p>
                        </w:tc>
                        <w:tc>
                          <w:tcPr>
                            <w:tcW w:w="1418" w:type="dxa"/>
                            <w:tcBorders>
                              <w:top w:val="nil"/>
                              <w:left w:val="nil"/>
                              <w:bottom w:val="nil"/>
                              <w:right w:val="nil"/>
                            </w:tcBorders>
                            <w:shd w:val="clear" w:color="auto" w:fill="auto"/>
                            <w:noWrap/>
                            <w:vAlign w:val="bottom"/>
                            <w:hideMark/>
                          </w:tcPr>
                          <w:p>
                            <w:pPr>
                              <w:rPr>
                                <w:sz w:val="20"/>
                              </w:rPr>
                            </w:pPr>
                          </w:p>
                        </w:tc>
                        <w:tc>
                          <w:tcPr>
                            <w:tcW w:w="1283" w:type="dxa"/>
                            <w:tcBorders>
                              <w:top w:val="nil"/>
                              <w:left w:val="nil"/>
                              <w:bottom w:val="nil"/>
                              <w:right w:val="nil"/>
                            </w:tcBorders>
                            <w:shd w:val="clear" w:color="auto" w:fill="auto"/>
                            <w:noWrap/>
                            <w:vAlign w:val="bottom"/>
                            <w:hideMark/>
                          </w:tcPr>
                          <w:p>
                            <w:pPr>
                              <w:rPr>
                                <w:sz w:val="20"/>
                              </w:rPr>
                            </w:pPr>
                          </w:p>
                        </w:tc>
                        <w:tc>
                          <w:tcPr>
                            <w:tcW w:w="3961" w:type="dxa"/>
                            <w:tcBorders>
                              <w:top w:val="nil"/>
                              <w:left w:val="nil"/>
                              <w:bottom w:val="nil"/>
                              <w:right w:val="nil"/>
                            </w:tcBorders>
                            <w:shd w:val="clear" w:color="auto" w:fill="auto"/>
                            <w:noWrap/>
                            <w:vAlign w:val="bottom"/>
                            <w:hideMark/>
                          </w:tcPr>
                          <w:p>
                            <w:pPr>
                              <w:rPr>
                                <w:sz w:val="20"/>
                              </w:rPr>
                            </w:pPr>
                          </w:p>
                        </w:tc>
                        <w:tc>
                          <w:tcPr>
                            <w:tcW w:w="1560"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2126" w:type="dxa"/>
                            <w:tcBorders>
                              <w:top w:val="nil"/>
                              <w:left w:val="nil"/>
                              <w:bottom w:val="nil"/>
                              <w:right w:val="nil"/>
                            </w:tcBorders>
                            <w:shd w:val="clear" w:color="auto" w:fill="auto"/>
                            <w:noWrap/>
                            <w:vAlign w:val="bottom"/>
                            <w:hideMark/>
                          </w:tcPr>
                          <w:p>
                            <w:pPr>
                              <w:rPr>
                                <w:sz w:val="20"/>
                              </w:rPr>
                            </w:pPr>
                          </w:p>
                        </w:tc>
                        <w:tc>
                          <w:tcPr>
                            <w:tcW w:w="5111" w:type="dxa"/>
                            <w:tcBorders>
                              <w:top w:val="nil"/>
                              <w:left w:val="nil"/>
                              <w:bottom w:val="nil"/>
                              <w:right w:val="nil"/>
                            </w:tcBorders>
                            <w:shd w:val="clear" w:color="auto" w:fill="auto"/>
                            <w:noWrap/>
                            <w:vAlign w:val="bottom"/>
                            <w:hideMark/>
                          </w:tcPr>
                          <w:p>
                            <w:pPr>
                              <w:rPr>
                                <w:sz w:val="20"/>
                              </w:rPr>
                            </w:pPr>
                          </w:p>
                        </w:tc>
                      </w:tr>
                      <w:tr>
                        <w:trPr>
                          <w:trHeight w:val="276"/>
                        </w:trPr>
                        <w:tc>
                          <w:tcPr>
                            <w:tcW w:w="21838" w:type="dxa"/>
                            <w:gridSpan w:val="10"/>
                            <w:tcBorders>
                              <w:top w:val="nil"/>
                              <w:left w:val="nil"/>
                              <w:bottom w:val="nil"/>
                              <w:right w:val="nil"/>
                            </w:tcBorders>
                            <w:shd w:val="clear" w:color="auto" w:fill="auto"/>
                            <w:vAlign w:val="bottom"/>
                            <w:hideMark/>
                          </w:tcPr>
                          <w:p>
                            <w:pPr>
                              <w:jc w:val="center"/>
                              <w:rPr>
                                <w:b/>
                                <w:bCs/>
                                <w:color w:val="000000"/>
                                <w:sz w:val="20"/>
                              </w:rPr>
                            </w:pPr>
                            <w:r>
                              <w:rPr>
                                <w:b/>
                                <w:bCs/>
                                <w:color w:val="000000"/>
                                <w:sz w:val="20"/>
                              </w:rPr>
                              <w:t>II SKYRIUS</w:t>
                            </w:r>
                          </w:p>
                        </w:tc>
                      </w:tr>
                      <w:tr>
                        <w:trPr>
                          <w:trHeight w:val="276"/>
                        </w:trPr>
                        <w:tc>
                          <w:tcPr>
                            <w:tcW w:w="21838" w:type="dxa"/>
                            <w:gridSpan w:val="10"/>
                            <w:tcBorders>
                              <w:top w:val="nil"/>
                              <w:left w:val="nil"/>
                              <w:bottom w:val="nil"/>
                              <w:right w:val="nil"/>
                            </w:tcBorders>
                            <w:shd w:val="clear" w:color="auto" w:fill="auto"/>
                            <w:vAlign w:val="bottom"/>
                            <w:hideMark/>
                          </w:tcPr>
                          <w:p>
                            <w:pPr>
                              <w:jc w:val="center"/>
                              <w:rPr>
                                <w:b/>
                                <w:bCs/>
                                <w:color w:val="000000"/>
                                <w:sz w:val="20"/>
                              </w:rPr>
                            </w:pPr>
                            <w:r>
                              <w:rPr>
                                <w:b/>
                                <w:bCs/>
                                <w:color w:val="000000"/>
                                <w:sz w:val="20"/>
                              </w:rPr>
                              <w:t>REGIONO PLĖTROS TIKSLAI IR UŽDAVINIAI</w:t>
                            </w:r>
                          </w:p>
                        </w:tc>
                      </w:tr>
                      <w:tr>
                        <w:trPr>
                          <w:trHeight w:val="276"/>
                        </w:trPr>
                        <w:tc>
                          <w:tcPr>
                            <w:tcW w:w="640" w:type="dxa"/>
                            <w:tcBorders>
                              <w:top w:val="nil"/>
                              <w:left w:val="nil"/>
                              <w:bottom w:val="nil"/>
                              <w:right w:val="nil"/>
                            </w:tcBorders>
                            <w:shd w:val="clear" w:color="auto" w:fill="auto"/>
                            <w:noWrap/>
                            <w:vAlign w:val="bottom"/>
                            <w:hideMark/>
                          </w:tcPr>
                          <w:p>
                            <w:pPr>
                              <w:jc w:val="center"/>
                              <w:rPr>
                                <w:b/>
                                <w:bCs/>
                                <w:color w:val="000000"/>
                                <w:sz w:val="20"/>
                              </w:rPr>
                            </w:pPr>
                          </w:p>
                        </w:tc>
                        <w:tc>
                          <w:tcPr>
                            <w:tcW w:w="2337" w:type="dxa"/>
                            <w:tcBorders>
                              <w:top w:val="nil"/>
                              <w:left w:val="nil"/>
                              <w:bottom w:val="nil"/>
                              <w:right w:val="nil"/>
                            </w:tcBorders>
                            <w:shd w:val="clear" w:color="auto" w:fill="auto"/>
                            <w:noWrap/>
                            <w:vAlign w:val="bottom"/>
                            <w:hideMark/>
                          </w:tcPr>
                          <w:p>
                            <w:pPr>
                              <w:rPr>
                                <w:sz w:val="20"/>
                              </w:rPr>
                            </w:pPr>
                          </w:p>
                        </w:tc>
                        <w:tc>
                          <w:tcPr>
                            <w:tcW w:w="1418" w:type="dxa"/>
                            <w:tcBorders>
                              <w:top w:val="nil"/>
                              <w:left w:val="nil"/>
                              <w:bottom w:val="nil"/>
                              <w:right w:val="nil"/>
                            </w:tcBorders>
                            <w:shd w:val="clear" w:color="auto" w:fill="auto"/>
                            <w:noWrap/>
                            <w:vAlign w:val="bottom"/>
                            <w:hideMark/>
                          </w:tcPr>
                          <w:p>
                            <w:pPr>
                              <w:rPr>
                                <w:sz w:val="20"/>
                              </w:rPr>
                            </w:pPr>
                          </w:p>
                        </w:tc>
                        <w:tc>
                          <w:tcPr>
                            <w:tcW w:w="1283" w:type="dxa"/>
                            <w:tcBorders>
                              <w:top w:val="nil"/>
                              <w:left w:val="nil"/>
                              <w:bottom w:val="nil"/>
                              <w:right w:val="nil"/>
                            </w:tcBorders>
                            <w:shd w:val="clear" w:color="auto" w:fill="auto"/>
                            <w:noWrap/>
                            <w:vAlign w:val="bottom"/>
                            <w:hideMark/>
                          </w:tcPr>
                          <w:p>
                            <w:pPr>
                              <w:rPr>
                                <w:sz w:val="20"/>
                              </w:rPr>
                            </w:pPr>
                          </w:p>
                        </w:tc>
                        <w:tc>
                          <w:tcPr>
                            <w:tcW w:w="3961" w:type="dxa"/>
                            <w:tcBorders>
                              <w:top w:val="nil"/>
                              <w:left w:val="nil"/>
                              <w:bottom w:val="nil"/>
                              <w:right w:val="nil"/>
                            </w:tcBorders>
                            <w:shd w:val="clear" w:color="auto" w:fill="auto"/>
                            <w:noWrap/>
                            <w:vAlign w:val="bottom"/>
                            <w:hideMark/>
                          </w:tcPr>
                          <w:p>
                            <w:pPr>
                              <w:rPr>
                                <w:sz w:val="20"/>
                              </w:rPr>
                            </w:pPr>
                          </w:p>
                        </w:tc>
                        <w:tc>
                          <w:tcPr>
                            <w:tcW w:w="1560"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2126" w:type="dxa"/>
                            <w:tcBorders>
                              <w:top w:val="nil"/>
                              <w:left w:val="nil"/>
                              <w:bottom w:val="nil"/>
                              <w:right w:val="nil"/>
                            </w:tcBorders>
                            <w:shd w:val="clear" w:color="auto" w:fill="auto"/>
                            <w:noWrap/>
                            <w:vAlign w:val="bottom"/>
                            <w:hideMark/>
                          </w:tcPr>
                          <w:p>
                            <w:pPr>
                              <w:rPr>
                                <w:sz w:val="20"/>
                              </w:rPr>
                            </w:pPr>
                          </w:p>
                        </w:tc>
                        <w:tc>
                          <w:tcPr>
                            <w:tcW w:w="5111" w:type="dxa"/>
                            <w:tcBorders>
                              <w:top w:val="nil"/>
                              <w:left w:val="nil"/>
                              <w:bottom w:val="nil"/>
                              <w:right w:val="nil"/>
                            </w:tcBorders>
                            <w:shd w:val="clear" w:color="auto" w:fill="auto"/>
                            <w:noWrap/>
                            <w:vAlign w:val="bottom"/>
                            <w:hideMark/>
                          </w:tcPr>
                          <w:p>
                            <w:pPr>
                              <w:rPr>
                                <w:sz w:val="20"/>
                              </w:rPr>
                            </w:pPr>
                          </w:p>
                        </w:tc>
                      </w:tr>
                      <w:tr>
                        <w:trPr>
                          <w:trHeight w:val="276"/>
                        </w:trPr>
                        <w:tc>
                          <w:tcPr>
                            <w:tcW w:w="21838" w:type="dxa"/>
                            <w:gridSpan w:val="10"/>
                            <w:tcBorders>
                              <w:top w:val="nil"/>
                              <w:left w:val="nil"/>
                              <w:bottom w:val="nil"/>
                              <w:right w:val="nil"/>
                            </w:tcBorders>
                            <w:shd w:val="clear" w:color="auto" w:fill="auto"/>
                            <w:noWrap/>
                            <w:vAlign w:val="center"/>
                            <w:hideMark/>
                          </w:tcPr>
                          <w:p>
                            <w:pPr>
                              <w:rPr>
                                <w:sz w:val="20"/>
                              </w:rPr>
                            </w:pPr>
                            <w:r>
                              <w:rPr>
                                <w:b/>
                                <w:bCs/>
                                <w:color w:val="000000"/>
                                <w:sz w:val="20"/>
                              </w:rPr>
                              <w:t>2 lentelė. Regiono plėtros tikslai ir uždaviniai</w:t>
                            </w:r>
                          </w:p>
                        </w:tc>
                      </w:tr>
                      <w:tr>
                        <w:trPr>
                          <w:trHeight w:val="276"/>
                        </w:trPr>
                        <w:tc>
                          <w:tcPr>
                            <w:tcW w:w="6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Eil. Nr.</w:t>
                            </w:r>
                          </w:p>
                        </w:tc>
                        <w:tc>
                          <w:tcPr>
                            <w:tcW w:w="3755" w:type="dxa"/>
                            <w:gridSpan w:val="2"/>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Regiono plėtros tikslai ir uždaviniai</w:t>
                            </w:r>
                          </w:p>
                        </w:tc>
                        <w:tc>
                          <w:tcPr>
                            <w:tcW w:w="128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Stebėsenos rodiklio tipas</w:t>
                            </w:r>
                          </w:p>
                        </w:tc>
                        <w:tc>
                          <w:tcPr>
                            <w:tcW w:w="8923" w:type="dxa"/>
                            <w:gridSpan w:val="4"/>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Stebėsenos rodikliai</w:t>
                            </w:r>
                          </w:p>
                        </w:tc>
                        <w:tc>
                          <w:tcPr>
                            <w:tcW w:w="212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 xml:space="preserve">Teritorijos naudojimo privalomosios nuostatos </w:t>
                            </w:r>
                          </w:p>
                        </w:tc>
                        <w:tc>
                          <w:tcPr>
                            <w:tcW w:w="511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 xml:space="preserve">Išankstinės sąlygos </w:t>
                            </w:r>
                          </w:p>
                        </w:tc>
                      </w:tr>
                      <w:tr>
                        <w:trPr>
                          <w:trHeight w:val="828"/>
                        </w:trPr>
                        <w:tc>
                          <w:tcPr>
                            <w:tcW w:w="64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c>
                          <w:tcPr>
                            <w:tcW w:w="2337"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Tikslų ir uždavinių pavadinimai</w:t>
                            </w:r>
                          </w:p>
                        </w:tc>
                        <w:tc>
                          <w:tcPr>
                            <w:tcW w:w="1418"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Tikslų ir uždavinių kodai</w:t>
                            </w:r>
                          </w:p>
                        </w:tc>
                        <w:tc>
                          <w:tcPr>
                            <w:tcW w:w="1283" w:type="dxa"/>
                            <w:vMerge/>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0"/>
                              </w:rPr>
                            </w:pPr>
                          </w:p>
                        </w:tc>
                        <w:tc>
                          <w:tcPr>
                            <w:tcW w:w="396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Rodiklio pavadinimas (matavimo vienetai)</w:t>
                            </w:r>
                          </w:p>
                        </w:tc>
                        <w:tc>
                          <w:tcPr>
                            <w:tcW w:w="1560"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Pradinė reikšmė (metai)</w:t>
                            </w:r>
                          </w:p>
                        </w:tc>
                        <w:tc>
                          <w:tcPr>
                            <w:tcW w:w="170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Tarpinė siektina reikšmė (metai)</w:t>
                            </w:r>
                          </w:p>
                        </w:tc>
                        <w:tc>
                          <w:tcPr>
                            <w:tcW w:w="170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Galutinė siektina reikšmė (metai)</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c>
                          <w:tcPr>
                            <w:tcW w:w="511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r>
                      <w:tr>
                        <w:trPr>
                          <w:trHeight w:val="228"/>
                        </w:trPr>
                        <w:tc>
                          <w:tcPr>
                            <w:tcW w:w="640" w:type="dxa"/>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1</w:t>
                            </w:r>
                          </w:p>
                        </w:tc>
                        <w:tc>
                          <w:tcPr>
                            <w:tcW w:w="2337"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2</w:t>
                            </w:r>
                          </w:p>
                        </w:tc>
                        <w:tc>
                          <w:tcPr>
                            <w:tcW w:w="1418"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3</w:t>
                            </w:r>
                          </w:p>
                        </w:tc>
                        <w:tc>
                          <w:tcPr>
                            <w:tcW w:w="1283"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4</w:t>
                            </w:r>
                          </w:p>
                        </w:tc>
                        <w:tc>
                          <w:tcPr>
                            <w:tcW w:w="396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5</w:t>
                            </w:r>
                          </w:p>
                        </w:tc>
                        <w:tc>
                          <w:tcPr>
                            <w:tcW w:w="1560"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6</w:t>
                            </w:r>
                          </w:p>
                        </w:tc>
                        <w:tc>
                          <w:tcPr>
                            <w:tcW w:w="170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7</w:t>
                            </w:r>
                          </w:p>
                        </w:tc>
                        <w:tc>
                          <w:tcPr>
                            <w:tcW w:w="170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8</w:t>
                            </w:r>
                          </w:p>
                        </w:tc>
                        <w:tc>
                          <w:tcPr>
                            <w:tcW w:w="2126"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9</w:t>
                            </w:r>
                          </w:p>
                        </w:tc>
                        <w:tc>
                          <w:tcPr>
                            <w:tcW w:w="511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rPr>
                            </w:pPr>
                            <w:r>
                              <w:rPr>
                                <w:b/>
                                <w:bCs/>
                                <w:color w:val="000000"/>
                                <w:sz w:val="20"/>
                              </w:rPr>
                              <w:t>10</w:t>
                            </w:r>
                          </w:p>
                        </w:tc>
                      </w:tr>
                      <w:tr>
                        <w:trPr>
                          <w:trHeight w:val="828"/>
                        </w:trPr>
                        <w:tc>
                          <w:tcPr>
                            <w:tcW w:w="6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rPr>
                            </w:pPr>
                            <w:r>
                              <w:rPr>
                                <w:color w:val="000000"/>
                                <w:sz w:val="20"/>
                              </w:rPr>
                              <w:t>1.</w:t>
                            </w:r>
                          </w:p>
                        </w:tc>
                        <w:tc>
                          <w:tcPr>
                            <w:tcW w:w="2337"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Mažinti socialinę atskirtį ir skurdo rizikos lygį</w:t>
                            </w:r>
                          </w:p>
                        </w:tc>
                        <w:tc>
                          <w:tcPr>
                            <w:tcW w:w="1418"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LT024-01</w:t>
                            </w: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jc w:val="both"/>
                              <w:rPr>
                                <w:color w:val="000000"/>
                                <w:sz w:val="20"/>
                              </w:rPr>
                            </w:pPr>
                            <w:r>
                              <w:rPr>
                                <w:color w:val="000000"/>
                                <w:sz w:val="20"/>
                              </w:rPr>
                              <w:t>Patenkintas socialinio būsto poreikis nuo tokią teisę turinčių asmenų (šeimų) skaičiaus,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55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57 </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62 </w:t>
                              <w:br/>
                              <w:t>(2030)</w:t>
                            </w:r>
                          </w:p>
                        </w:tc>
                        <w:tc>
                          <w:tcPr>
                            <w:tcW w:w="2126"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Bendrojo plano tekstinės dalies 58.p, 66.1 p., 74 p., 142 p.</w:t>
                            </w:r>
                          </w:p>
                        </w:tc>
                        <w:tc>
                          <w:tcPr>
                            <w:tcW w:w="511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Patvirtintose regionų plėtros planų pažangos priemonėse numatytos veiklos, skirtos socialinio būsto prieinamumui didinti, ir investicijomis užtikrinamas socialinio būsto prieinamumas neįgaliesiems bei gausioms šeimoms.</w:t>
                            </w:r>
                          </w:p>
                        </w:tc>
                      </w:tr>
                      <w:tr>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jc w:val="both"/>
                              <w:rPr>
                                <w:color w:val="000000"/>
                                <w:sz w:val="20"/>
                              </w:rPr>
                            </w:pPr>
                            <w:r>
                              <w:rPr>
                                <w:color w:val="000000"/>
                                <w:sz w:val="20"/>
                              </w:rPr>
                              <w:t>Socialines paslaugas gaunančių tikslinės grupės asmenų dalis nuo bendro su skurdo rizika ar socialine atskirtimi susiduriančių gyventojų skaičiaus,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12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12,9 </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19</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511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Patvirtintose regionų plėtros planų pažangos priemonėse numatytos veiklos, skirtos institucinės globos pertvarkai įgyvendinti, ir iki 2022 m. liepos 1 d. yra parengti ir suderinti su Socialinės apsaugos ir darbo ministerija regioniniai socialinių paslaugų ir socialinių paslaugų infrastruktūros, reikalingos institucinės globos pertvarkai įgyvendinti, žemėlapiai</w:t>
                            </w:r>
                          </w:p>
                        </w:tc>
                      </w:tr>
                      <w:tr>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jc w:val="both"/>
                              <w:rPr>
                                <w:color w:val="000000"/>
                                <w:sz w:val="20"/>
                              </w:rPr>
                            </w:pPr>
                            <w:r>
                              <w:rPr>
                                <w:color w:val="000000"/>
                                <w:sz w:val="20"/>
                              </w:rPr>
                              <w:t>Prevencinėmis priemonėmis išvengiamas mirtingumas (standartizuotas), Mirusiųjų skaičius 100 tūkst. gyventojų</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333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250</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182</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511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Patvirtintose regionų plėtros planų pažangos priemonėse numatytos veiklos, skirtos kokybiškų visuomenės sveikatos priežiūros paslaugų prieinamumui didinti, yra pagrįstos mokslo įrodymais, pripažinta gerąja praktika ar tarptautiniais standartais, pagal Sveikatos apsaugos ministerijos pateiktas rekomendacijas (metodiką).</w:t>
                            </w:r>
                          </w:p>
                        </w:tc>
                      </w:tr>
                      <w:tr>
                        <w:trPr>
                          <w:trHeight w:val="1380"/>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jc w:val="both"/>
                              <w:rPr>
                                <w:color w:val="000000"/>
                                <w:sz w:val="20"/>
                              </w:rPr>
                            </w:pPr>
                            <w:r>
                              <w:rPr>
                                <w:color w:val="000000"/>
                                <w:sz w:val="20"/>
                              </w:rPr>
                              <w:t>Gydymo priemonėmis išvengiamas mirtingumas, Mirusiųjų skaičius 100 tūkst. gyventojų</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201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162</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108</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511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Patvirtintose regionų plėtros planų pažangos priemonėse numatytos veiklos, skirtos ilgalaikės priežiūros paslaugų plėtrai savivaldybėse,  ir iki 2023 m. IV ketv. su Sveikatos apsaugos ministerija suderinti regiono ilgalaikės priežiūros paslaugų savivaldybėse organizavimo ir infrastruktūros, reikalingos ilgalaikės priežiūros paslaugų teikimui, modernizavimo žemėlapiai</w:t>
                            </w: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jc w:val="both"/>
                              <w:rPr>
                                <w:color w:val="000000"/>
                                <w:sz w:val="20"/>
                              </w:rPr>
                            </w:pPr>
                            <w:r>
                              <w:rPr>
                                <w:color w:val="000000"/>
                                <w:sz w:val="20"/>
                              </w:rPr>
                              <w:t>3–5 metų vaikų, ugdomų švietimo įstaigose, dalis,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79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79,4</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84</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511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w:t>
                            </w:r>
                          </w:p>
                        </w:tc>
                      </w:tr>
                      <w:tr>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jc w:val="both"/>
                              <w:rPr>
                                <w:color w:val="000000"/>
                                <w:sz w:val="20"/>
                              </w:rPr>
                            </w:pPr>
                            <w:r>
                              <w:rPr>
                                <w:color w:val="000000"/>
                                <w:sz w:val="20"/>
                              </w:rPr>
                              <w:t>Negalią turinčių mokinių, ugdomų įtraukiuoju būdu bendros paskirties švietimo įstaigose (bendrosiose klasėse), dalis,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53,3 </w:t>
                              <w:br/>
                              <w:t>(2020-2021)</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85</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90</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511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w:t>
                            </w:r>
                          </w:p>
                        </w:tc>
                      </w:tr>
                      <w:tr>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jc w:val="both"/>
                              <w:rPr>
                                <w:color w:val="000000"/>
                                <w:sz w:val="20"/>
                              </w:rPr>
                            </w:pPr>
                            <w:r>
                              <w:rPr>
                                <w:color w:val="000000"/>
                                <w:sz w:val="20"/>
                              </w:rPr>
                              <w:t>Neformaliojo vaikų švietimo galimybėmis pasinaudojusių mokinių dalis (išskyrus ikimokykliniame ir priešmokykliniame ugdyme dalyvaujančius vaikus),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56 </w:t>
                              <w:br/>
                              <w:t>(2019)</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59</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68</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i/>
                                <w:iCs/>
                                <w:color w:val="000000"/>
                                <w:sz w:val="20"/>
                              </w:rPr>
                            </w:pPr>
                          </w:p>
                        </w:tc>
                        <w:tc>
                          <w:tcPr>
                            <w:tcW w:w="511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w:t>
                            </w:r>
                          </w:p>
                        </w:tc>
                      </w:tr>
                      <w:tr>
                        <w:trPr>
                          <w:trHeight w:val="828"/>
                        </w:trPr>
                        <w:tc>
                          <w:tcPr>
                            <w:tcW w:w="640"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1.1.</w:t>
                            </w:r>
                          </w:p>
                        </w:tc>
                        <w:tc>
                          <w:tcPr>
                            <w:tcW w:w="2337"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Pagerinti socialinių paslaugų prieinamumą ir kokybę siekiant geresnių pažeidžiamų asmenų integracijos į visuomenę sąlygų</w:t>
                            </w:r>
                          </w:p>
                        </w:tc>
                        <w:tc>
                          <w:tcPr>
                            <w:tcW w:w="1418"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LT024-01-01</w:t>
                            </w: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Naujų arba modernizuotų socialinių būstų naudotojų skaičius per metus, naudotojai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Asmenų, turinčių intelekto ir (ar) psichikos negalią, gavusių paslaugas naujoje ar modernizuotoje infrastruktūroje skaičius per metus, asmenys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Asmenų, turinčių intelekto ir (ar) psichikos negalią,  gyvenančių stacionariose socialinės globos įstaigose, mažėjimas, asmenys.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1104"/>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Socialiai pažeidžiamų, socialinę riziką (atskirtį) patiriančių asmenų, gavusių paslaugas naujoje ar modernizuotoje infrastruktūroje skaičius per metus, asmenys per metus.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r>
                      <w:tr>
                        <w:trPr>
                          <w:trHeight w:val="828"/>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0"/>
                              </w:rPr>
                            </w:pPr>
                            <w:r>
                              <w:rPr>
                                <w:color w:val="000000"/>
                                <w:sz w:val="20"/>
                              </w:rPr>
                              <w:t>Naujos arba modernizuotos socialinės rūpybos infrastruktūros naudotojų skaičius per metus, naudotojai per metus.</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1.2. </w:t>
                            </w:r>
                          </w:p>
                        </w:tc>
                        <w:tc>
                          <w:tcPr>
                            <w:tcW w:w="2337"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Pagerinti sveikatos priežiūros paslaugų kokybę bei sąlygas sveikai gyvensenai</w:t>
                            </w:r>
                          </w:p>
                        </w:tc>
                        <w:tc>
                          <w:tcPr>
                            <w:tcW w:w="1418"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LT024-01-02</w:t>
                            </w: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Asmenų, palankiai vertinančių visuomenės sveikatos priežiūros paslaugų kokybę, dalis, Procentai</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Asmenų, po dalyvavimo veiklose, pagerinusių sveikatos raštingumo kompetenciją, dalis, Procentai</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Ilgalaikės priežiūros paslaugų gavėjų, palankiai vertinančių gaunamų paslaugų kokybę, dalis, Procentai</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450"/>
                        </w:trPr>
                        <w:tc>
                          <w:tcPr>
                            <w:tcW w:w="64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rPr>
                            </w:pPr>
                            <w:r>
                              <w:rPr>
                                <w:color w:val="000000"/>
                                <w:sz w:val="20"/>
                              </w:rPr>
                              <w:t>1.3.</w:t>
                            </w:r>
                          </w:p>
                        </w:tc>
                        <w:tc>
                          <w:tcPr>
                            <w:tcW w:w="2337"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Pagerinti švietimo paslaugų prieinamumą ir kokybę</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LT024-01-03</w:t>
                            </w: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R.B.2.2070 Naujos arba modernizuotos vaikų priežiūros infrastruktūros naudotojų skaičius per metus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2 345</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r>
                      <w:tr>
                        <w:trPr>
                          <w:trHeight w:val="450"/>
                        </w:trPr>
                        <w:tc>
                          <w:tcPr>
                            <w:tcW w:w="64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(2024)</w:t>
                            </w: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(2029)</w:t>
                            </w:r>
                          </w:p>
                        </w:tc>
                        <w:tc>
                          <w:tcPr>
                            <w:tcW w:w="2126"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5111" w:type="dxa"/>
                            <w:vMerge/>
                            <w:tcBorders>
                              <w:top w:val="nil"/>
                              <w:left w:val="single" w:sz="4" w:space="0" w:color="auto"/>
                              <w:bottom w:val="single" w:sz="4" w:space="0" w:color="000000"/>
                              <w:right w:val="single" w:sz="4" w:space="0" w:color="auto"/>
                            </w:tcBorders>
                            <w:vAlign w:val="center"/>
                            <w:hideMark/>
                          </w:tcPr>
                          <w:p>
                            <w:pPr>
                              <w:rPr>
                                <w:color w:val="000000"/>
                                <w:sz w:val="20"/>
                              </w:rPr>
                            </w:pPr>
                          </w:p>
                        </w:tc>
                      </w:tr>
                      <w:tr>
                        <w:trPr>
                          <w:trHeight w:val="450"/>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R.S.2.3030 Vaikų, pasinaudojusių pavėžėjimo paslaugomis naujai įsigytomis transporto priemonėmis, skaičius per metus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77</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r>
                      <w:tr>
                        <w:trPr>
                          <w:trHeight w:val="450"/>
                        </w:trPr>
                        <w:tc>
                          <w:tcPr>
                            <w:tcW w:w="64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(2024)</w:t>
                            </w: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(2029)</w:t>
                            </w:r>
                          </w:p>
                        </w:tc>
                        <w:tc>
                          <w:tcPr>
                            <w:tcW w:w="2126"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5111" w:type="dxa"/>
                            <w:vMerge/>
                            <w:tcBorders>
                              <w:top w:val="nil"/>
                              <w:left w:val="single" w:sz="4" w:space="0" w:color="auto"/>
                              <w:bottom w:val="single" w:sz="4" w:space="0" w:color="000000"/>
                              <w:right w:val="single" w:sz="4" w:space="0" w:color="auto"/>
                            </w:tcBorders>
                            <w:vAlign w:val="center"/>
                            <w:hideMark/>
                          </w:tcPr>
                          <w:p>
                            <w:pPr>
                              <w:rPr>
                                <w:color w:val="000000"/>
                                <w:sz w:val="20"/>
                              </w:rPr>
                            </w:pPr>
                          </w:p>
                        </w:tc>
                      </w:tr>
                      <w:tr>
                        <w:trPr>
                          <w:trHeight w:val="276"/>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R.B.2.2071 Naujos arba modernizuotos švietimo infrastruktūros naudotojų skaičius per metus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9 310</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r>
                      <w:tr>
                        <w:trPr>
                          <w:trHeight w:val="276"/>
                        </w:trPr>
                        <w:tc>
                          <w:tcPr>
                            <w:tcW w:w="64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(2024)</w:t>
                            </w: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(2029)</w:t>
                            </w:r>
                          </w:p>
                        </w:tc>
                        <w:tc>
                          <w:tcPr>
                            <w:tcW w:w="2126"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5111" w:type="dxa"/>
                            <w:vMerge/>
                            <w:tcBorders>
                              <w:top w:val="nil"/>
                              <w:left w:val="single" w:sz="4" w:space="0" w:color="auto"/>
                              <w:bottom w:val="single" w:sz="4" w:space="0" w:color="000000"/>
                              <w:right w:val="single" w:sz="4" w:space="0" w:color="auto"/>
                            </w:tcBorders>
                            <w:vAlign w:val="center"/>
                            <w:hideMark/>
                          </w:tcPr>
                          <w:p>
                            <w:pPr>
                              <w:rPr>
                                <w:color w:val="000000"/>
                                <w:sz w:val="20"/>
                              </w:rPr>
                            </w:pPr>
                          </w:p>
                        </w:tc>
                      </w:tr>
                      <w:tr>
                        <w:trPr>
                          <w:trHeight w:val="585"/>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R.S.2.3026 Mokyklų, kuriose buvo įdiegtos universalaus dizaino ir kitos inžinerinės priemonės, aplinką pritaikant asmenims, turintiems negalią, dalis nuo visų mokyklų</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12</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r>
                      <w:tr>
                        <w:trPr>
                          <w:trHeight w:val="585"/>
                        </w:trPr>
                        <w:tc>
                          <w:tcPr>
                            <w:tcW w:w="64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(2024)</w:t>
                            </w: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(2029)</w:t>
                            </w:r>
                          </w:p>
                        </w:tc>
                        <w:tc>
                          <w:tcPr>
                            <w:tcW w:w="2126"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5111" w:type="dxa"/>
                            <w:vMerge/>
                            <w:tcBorders>
                              <w:top w:val="nil"/>
                              <w:left w:val="single" w:sz="4" w:space="0" w:color="auto"/>
                              <w:bottom w:val="single" w:sz="4" w:space="0" w:color="000000"/>
                              <w:right w:val="single" w:sz="4" w:space="0" w:color="auto"/>
                            </w:tcBorders>
                            <w:vAlign w:val="center"/>
                            <w:hideMark/>
                          </w:tcPr>
                          <w:p>
                            <w:pPr>
                              <w:rPr>
                                <w:color w:val="000000"/>
                                <w:sz w:val="20"/>
                              </w:rPr>
                            </w:pPr>
                          </w:p>
                        </w:tc>
                      </w:tr>
                      <w:tr>
                        <w:trPr>
                          <w:trHeight w:val="276"/>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R.S.2.3027 Mokinių, kurie naudojasi sukurta visos dienos mokyklos infrastruktūra, skaičius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0</w:t>
                            </w:r>
                          </w:p>
                        </w:tc>
                        <w:tc>
                          <w:tcPr>
                            <w:tcW w:w="1701" w:type="dxa"/>
                            <w:tcBorders>
                              <w:top w:val="nil"/>
                              <w:left w:val="nil"/>
                              <w:bottom w:val="nil"/>
                              <w:right w:val="single" w:sz="4" w:space="0" w:color="auto"/>
                            </w:tcBorders>
                            <w:shd w:val="clear" w:color="auto" w:fill="auto"/>
                            <w:vAlign w:val="bottom"/>
                            <w:hideMark/>
                          </w:tcPr>
                          <w:p>
                            <w:pPr>
                              <w:jc w:val="center"/>
                              <w:rPr>
                                <w:color w:val="000000"/>
                                <w:sz w:val="20"/>
                              </w:rPr>
                            </w:pPr>
                            <w:r>
                              <w:rPr>
                                <w:color w:val="000000"/>
                                <w:sz w:val="20"/>
                              </w:rPr>
                              <w:t>2 829</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r>
                      <w:tr>
                        <w:trPr>
                          <w:trHeight w:val="276"/>
                        </w:trPr>
                        <w:tc>
                          <w:tcPr>
                            <w:tcW w:w="64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(2024)</w:t>
                            </w: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(2029)</w:t>
                            </w:r>
                          </w:p>
                        </w:tc>
                        <w:tc>
                          <w:tcPr>
                            <w:tcW w:w="2126"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5111" w:type="dxa"/>
                            <w:vMerge/>
                            <w:tcBorders>
                              <w:top w:val="nil"/>
                              <w:left w:val="single" w:sz="4" w:space="0" w:color="auto"/>
                              <w:bottom w:val="single" w:sz="4" w:space="0" w:color="000000"/>
                              <w:right w:val="single" w:sz="4" w:space="0" w:color="auto"/>
                            </w:tcBorders>
                            <w:vAlign w:val="center"/>
                            <w:hideMark/>
                          </w:tcPr>
                          <w:p>
                            <w:pPr>
                              <w:rPr>
                                <w:color w:val="000000"/>
                                <w:sz w:val="20"/>
                              </w:rPr>
                            </w:pPr>
                          </w:p>
                        </w:tc>
                      </w:tr>
                      <w:tr>
                        <w:trPr>
                          <w:trHeight w:val="2410"/>
                        </w:trPr>
                        <w:tc>
                          <w:tcPr>
                            <w:tcW w:w="640"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2.</w:t>
                            </w:r>
                          </w:p>
                        </w:tc>
                        <w:tc>
                          <w:tcPr>
                            <w:tcW w:w="2337"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Pagerinti sąlygas investicijoms ir skatinti ekonominį aktyvumą</w:t>
                            </w:r>
                          </w:p>
                        </w:tc>
                        <w:tc>
                          <w:tcPr>
                            <w:tcW w:w="1418"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LT024-02</w:t>
                            </w: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Gyventojų užimtumo lygis (15–64 metų) |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62,8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67,8 </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69,7</w:t>
                            </w:r>
                          </w:p>
                        </w:tc>
                        <w:tc>
                          <w:tcPr>
                            <w:tcW w:w="2126"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Bendrojo plano tekstinės dalies 90 p., 118 p., 141 p. Bendrojo plano brėžinys „Regionai 2030“, Bendrojo plano konkretizuotų sprendinių brėžinys „Kultūros politika ir rekreacija“</w:t>
                            </w: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rPr>
                            </w:pPr>
                            <w:r>
                              <w:rPr>
                                <w:color w:val="000000"/>
                                <w:sz w:val="20"/>
                              </w:rPr>
                              <w:t>1. Patvirtintos teritorinės strategijos, atitinkančios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(Bendrųjų nuostatų reglamento), 29 straipsnio reikalavimus ir patvirtintose regionų plėtros planų pažangos priemonėse yra numatytos veiklos šioms strategijoms įgyvendinti.</w:t>
                            </w:r>
                          </w:p>
                        </w:tc>
                      </w:tr>
                      <w:tr>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Pridėtinė vertė gamybos sąnaudomis pagal veiklos vykdymo vietą (nefinansinių įmonių), tenkanti vienam dirbančiajam per metus | tūkst. Eur</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15,9 </w:t>
                              <w:br/>
                              <w:t>(2019)</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18,7</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24,4</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vMerge/>
                            <w:tcBorders>
                              <w:top w:val="nil"/>
                              <w:left w:val="single" w:sz="4" w:space="0" w:color="auto"/>
                              <w:bottom w:val="single" w:sz="4" w:space="0" w:color="auto"/>
                              <w:right w:val="single" w:sz="4" w:space="0" w:color="auto"/>
                            </w:tcBorders>
                            <w:vAlign w:val="center"/>
                            <w:hideMark/>
                          </w:tcPr>
                          <w:p>
                            <w:pPr>
                              <w:rPr>
                                <w:color w:val="000000"/>
                                <w:sz w:val="20"/>
                              </w:rPr>
                            </w:pPr>
                          </w:p>
                        </w:tc>
                      </w:tr>
                      <w:tr>
                        <w:trPr>
                          <w:trHeight w:val="474"/>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Asmenys, patiriantys skurdo riziką ar socialinę atskirtį,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36,4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28,7 </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21,9</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vMerge/>
                            <w:tcBorders>
                              <w:top w:val="nil"/>
                              <w:left w:val="single" w:sz="4" w:space="0" w:color="auto"/>
                              <w:bottom w:val="single" w:sz="4" w:space="0" w:color="auto"/>
                              <w:right w:val="single" w:sz="4" w:space="0" w:color="auto"/>
                            </w:tcBorders>
                            <w:vAlign w:val="center"/>
                            <w:hideMark/>
                          </w:tcPr>
                          <w:p>
                            <w:pPr>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2.1. </w:t>
                            </w:r>
                          </w:p>
                        </w:tc>
                        <w:tc>
                          <w:tcPr>
                            <w:tcW w:w="2337"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Skatinti investicijų pritraukimą ir verslo plėtrą regione gerinant sąlygas investicijoms</w:t>
                            </w:r>
                          </w:p>
                        </w:tc>
                        <w:tc>
                          <w:tcPr>
                            <w:tcW w:w="1418"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LT024-02-01</w:t>
                            </w: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Sukurtos arba atkurtos teritorijos, naudojamos ekonominei, rekreacinei ar turizmo paskirčiai, hektarai</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Metinis konsoliduotų viešųjų paslaugų vartotojų skaičius, vartotojai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Dviračiams skirtos infrastruktūros metinis naudotojų skaičius, naudotojai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2.2.</w:t>
                            </w:r>
                          </w:p>
                        </w:tc>
                        <w:tc>
                          <w:tcPr>
                            <w:tcW w:w="233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Skatinti regiono gyventojų ekonominį aktyvumą ir didinti regiono patrauklumą</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LT024-02-02</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Sukurtos arba atkurtos teritorijos, naudojamos ekonominei veiklai, hektarai </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r>
                      <w:tr>
                        <w:trPr>
                          <w:trHeight w:val="828"/>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Rekultivuota žemė, naudojama žaliesiems plotams, socialiniams būstams, ekonominei arba kitai paskirčiai, hektarai</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single" w:sz="4" w:space="0" w:color="auto"/>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Metinis konsoliduotų viešųjų paslaugų vartotojų skaičius, vartotojai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1104"/>
                        </w:trPr>
                        <w:tc>
                          <w:tcPr>
                            <w:tcW w:w="640"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3.</w:t>
                            </w:r>
                          </w:p>
                        </w:tc>
                        <w:tc>
                          <w:tcPr>
                            <w:tcW w:w="2337"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Skatinti tvarų išteklių naudojimą ir gerinti aplinkos būklę</w:t>
                            </w:r>
                          </w:p>
                        </w:tc>
                        <w:tc>
                          <w:tcPr>
                            <w:tcW w:w="1418"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LT024-03</w:t>
                            </w: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Žuvusiųjų keliuose skaičius, skaičius, tenkantis 1 mln. gyventojų 2020</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66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63</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59</w:t>
                              <w:br/>
                              <w:t>(2030)</w:t>
                            </w:r>
                          </w:p>
                        </w:tc>
                        <w:tc>
                          <w:tcPr>
                            <w:tcW w:w="2126"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Bendrojo plano tekstinės dalies 58 p., 66.3 p., 66.7 p., 219 p.</w:t>
                            </w: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rPr>
                            </w:pPr>
                            <w:r>
                              <w:rPr>
                                <w:color w:val="000000"/>
                                <w:sz w:val="20"/>
                              </w:rPr>
                              <w:t>Pagal Juodųjų dėmių nustatymo, tyrimo ir šalinimo reikalavimų ir tvarkos aprašą, patvirtintą Lietuvos Respublikos susisiekimo ministro 2022 m. sausio 27 d. įsakymu Nr.3 51 „Dėl Juodųjų dėmių nustatymo, tyrimo ir šalinimo reikalavimų ir tvarkos aprašo patvirtinimo“, nustatytos juodosios dėmės ir avaringos vietos vietinės reikšmės keliuose ir gatvėse.</w:t>
                            </w: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Sunkiai sužeistųjų keliuose skaičius, skaičius, tenkantis 1 mln. gyventojų</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206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195</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185</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vMerge/>
                            <w:tcBorders>
                              <w:top w:val="nil"/>
                              <w:left w:val="single" w:sz="4" w:space="0" w:color="auto"/>
                              <w:bottom w:val="single" w:sz="4" w:space="0" w:color="auto"/>
                              <w:right w:val="single" w:sz="4" w:space="0" w:color="auto"/>
                            </w:tcBorders>
                            <w:vAlign w:val="center"/>
                            <w:hideMark/>
                          </w:tcPr>
                          <w:p>
                            <w:pPr>
                              <w:rPr>
                                <w:color w:val="000000"/>
                                <w:sz w:val="20"/>
                              </w:rPr>
                            </w:pPr>
                          </w:p>
                        </w:tc>
                      </w:tr>
                      <w:tr>
                        <w:trPr>
                          <w:trHeight w:val="552"/>
                        </w:trPr>
                        <w:tc>
                          <w:tcPr>
                            <w:tcW w:w="640"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Šiltnamio efektą sukeliančių dujų išmetimas 1 gyventojui – gyventojų kelionių įtaka (lengvųjų automobilių, motociklų, mopedų ir viešojo transporto naudojimas), tonos</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1,54 </w:t>
                              <w:br/>
                              <w:t>(2019)</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1,4</w:t>
                              <w:br/>
                              <w:t>(2025)</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1,3</w:t>
                              <w:br/>
                              <w:t>(2030)</w:t>
                            </w:r>
                          </w:p>
                        </w:tc>
                        <w:tc>
                          <w:tcPr>
                            <w:tcW w:w="2126"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 xml:space="preserve">1. Savivaldybės tarybos patvirtintas darnaus judumo mieste planas, kurio parengimas finansuotas 2014–2020 m. ES fondų lėšomis. </w:t>
                            </w:r>
                          </w:p>
                        </w:tc>
                      </w:tr>
                      <w:tr>
                        <w:trPr>
                          <w:trHeight w:val="828"/>
                        </w:trPr>
                        <w:tc>
                          <w:tcPr>
                            <w:tcW w:w="640"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2126"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5111"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 xml:space="preserve">2. Pagal Lietuvos Respublikos alternatyviųjų degalų įstatymo nuostatas  parengtas ir patvirtintas viešųjų ir pusiau viešųjų elektromobilių įkrovimo prieigų vietinės reikšmės keliuose planas iki 2030 m.</w:t>
                            </w:r>
                          </w:p>
                        </w:tc>
                      </w:tr>
                      <w:tr>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Gyventojų, aprūpinamų geriamojo vandens tiekimo paslaugomis, dalis, palyginti su visais gyventojais,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72,6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76</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80</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rPr>
                            </w:pPr>
                            <w:r>
                              <w:rPr>
                                <w:color w:val="000000"/>
                                <w:sz w:val="20"/>
                              </w:rPr>
                              <w:t>Projekto veiklų atitiktis geriamojo vandens tiekimo ir nuotekų tvarkymo infrastruktūros plėtros planui.</w:t>
                            </w:r>
                          </w:p>
                        </w:tc>
                      </w:tr>
                      <w:tr>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Gyventojų, aprūpinamų centralizuotai teikiamomis nuotekų tvarkymo paslaugomis, dalis, palyginti su visais gyventojais, Procentai</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60,4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66</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74</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vMerge/>
                            <w:tcBorders>
                              <w:top w:val="nil"/>
                              <w:left w:val="single" w:sz="4" w:space="0" w:color="auto"/>
                              <w:bottom w:val="single" w:sz="4" w:space="0" w:color="auto"/>
                              <w:right w:val="single" w:sz="4" w:space="0" w:color="auto"/>
                            </w:tcBorders>
                            <w:vAlign w:val="center"/>
                            <w:hideMark/>
                          </w:tcPr>
                          <w:p>
                            <w:pPr>
                              <w:rPr>
                                <w:color w:val="000000"/>
                                <w:sz w:val="20"/>
                              </w:rPr>
                            </w:pPr>
                          </w:p>
                        </w:tc>
                      </w:tr>
                      <w:tr>
                        <w:trPr>
                          <w:trHeight w:val="1380"/>
                        </w:trPr>
                        <w:tc>
                          <w:tcPr>
                            <w:tcW w:w="640"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Potencialių taršos židinių tankumas 300 gyv./km</w:t>
                            </w:r>
                            <w:r>
                              <w:rPr>
                                <w:color w:val="000000"/>
                                <w:sz w:val="20"/>
                                <w:vertAlign w:val="superscript"/>
                              </w:rPr>
                              <w:t>2</w:t>
                            </w:r>
                            <w:r>
                              <w:rPr>
                                <w:color w:val="000000"/>
                                <w:sz w:val="20"/>
                              </w:rPr>
                              <w:t xml:space="preserve"> ir didesnio tankumo ir aplinkinėje teritorijoje (iki 2 km.), Vnt./km</w:t>
                            </w:r>
                            <w:r>
                              <w:rPr>
                                <w:color w:val="000000"/>
                                <w:sz w:val="20"/>
                                <w:vertAlign w:val="superscript"/>
                              </w:rPr>
                              <w:t>2</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0,12 </w:t>
                              <w:br/>
                              <w:t>(2021)</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0,12</w:t>
                              <w:br/>
                              <w:t>(2025)</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0,11</w:t>
                              <w:br/>
                              <w:t>(2030)</w:t>
                            </w:r>
                          </w:p>
                        </w:tc>
                        <w:tc>
                          <w:tcPr>
                            <w:tcW w:w="2126"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1. Miestams, turintiems daugiau kaip 20 000 gyventojų, parengti ir patvirtinti žalinimo planai pagal aplinkos ministro patvirtintą metodiką žalinimo planams rengti. Kitoms urbanizuotoms vietovėms parengti ir patvirtinti žaliosios infrastruktūros poreikio žemėlapiai pagal aplinkos ministro patvirtintą metodiką žaliosios infrastruktūros poreikio žemėlapių sudarymui.</w:t>
                            </w:r>
                          </w:p>
                        </w:tc>
                      </w:tr>
                      <w:tr>
                        <w:trPr>
                          <w:trHeight w:val="2052"/>
                        </w:trPr>
                        <w:tc>
                          <w:tcPr>
                            <w:tcW w:w="640"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2126"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5111"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2. Projektai įgyvendinami urbanizuotose teritorijose, kurių gyventojų tankis yra 1500 gyventojų/km</w:t>
                            </w:r>
                            <w:r>
                              <w:rPr>
                                <w:color w:val="000000"/>
                                <w:sz w:val="20"/>
                                <w:vertAlign w:val="superscript"/>
                              </w:rPr>
                              <w:t xml:space="preserve">2 </w:t>
                            </w:r>
                            <w:r>
                              <w:rPr>
                                <w:color w:val="000000"/>
                                <w:sz w:val="20"/>
                              </w:rPr>
                              <w:t>arba didesnis ir kurių gamtinių ir antropogeninių plotų santykis yra mažesnis nei 1,5 (t. y. neatitinka optimalaus Lietuvos teritorijos žemės naudmenų plotų santykio, kurį sudaro 60 proc. natūralios naudmenos ir 40 proc. intensyvaus naudojimo antropogeninės naudmenos) taip, kaip numatyta žalinimo planuose ar žaliosios infrastruktūros poreikio žemėlapiuose. Į mažesnio nei 1500/km</w:t>
                            </w:r>
                            <w:r>
                              <w:rPr>
                                <w:color w:val="000000"/>
                                <w:sz w:val="20"/>
                                <w:vertAlign w:val="superscript"/>
                              </w:rPr>
                              <w:t>2</w:t>
                            </w:r>
                            <w:r>
                              <w:rPr>
                                <w:color w:val="000000"/>
                                <w:sz w:val="20"/>
                              </w:rPr>
                              <w:t xml:space="preserve"> gyventojų tankumo teritoriją gali patekti ne daugiau kaip 20 proc. tvarkomos teritorijos.</w:t>
                            </w:r>
                          </w:p>
                        </w:tc>
                      </w:tr>
                      <w:tr>
                        <w:trPr>
                          <w:trHeight w:val="612"/>
                        </w:trPr>
                        <w:tc>
                          <w:tcPr>
                            <w:tcW w:w="640"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2126" w:type="dxa"/>
                            <w:vMerge/>
                            <w:tcBorders>
                              <w:top w:val="nil"/>
                              <w:left w:val="single" w:sz="4" w:space="0" w:color="auto"/>
                              <w:bottom w:val="single" w:sz="4" w:space="0" w:color="auto"/>
                              <w:right w:val="single" w:sz="4" w:space="0" w:color="auto"/>
                            </w:tcBorders>
                            <w:vAlign w:val="center"/>
                            <w:hideMark/>
                          </w:tcPr>
                          <w:p>
                            <w:pPr>
                              <w:rPr>
                                <w:color w:val="000000"/>
                                <w:sz w:val="20"/>
                              </w:rPr>
                            </w:pPr>
                          </w:p>
                        </w:tc>
                        <w:tc>
                          <w:tcPr>
                            <w:tcW w:w="5111"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3. Projektai įgyvendinami urbanizuotose teritorijose, kurių gyventojų tankis didesnis kaip 300 gyventojų/km</w:t>
                            </w:r>
                            <w:r>
                              <w:rPr>
                                <w:color w:val="000000"/>
                                <w:sz w:val="20"/>
                                <w:vertAlign w:val="superscript"/>
                              </w:rPr>
                              <w:t>2</w:t>
                            </w:r>
                            <w:r>
                              <w:rPr>
                                <w:color w:val="000000"/>
                                <w:sz w:val="20"/>
                              </w:rPr>
                              <w:t xml:space="preserve"> ir aplinkinėje teritorijoje (iki 2 km). </w:t>
                            </w:r>
                          </w:p>
                        </w:tc>
                      </w:tr>
                      <w:tr>
                        <w:trPr>
                          <w:trHeight w:val="888"/>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Nepralaidžių dangų ir žaliosios infrastruktūros plotų santykis 1 500 gyv./km</w:t>
                            </w:r>
                            <w:r>
                              <w:rPr>
                                <w:color w:val="000000"/>
                                <w:sz w:val="20"/>
                                <w:vertAlign w:val="superscript"/>
                              </w:rPr>
                              <w:t>2</w:t>
                            </w:r>
                            <w:r>
                              <w:rPr>
                                <w:color w:val="000000"/>
                                <w:sz w:val="20"/>
                              </w:rPr>
                              <w:t xml:space="preserve"> ir didesnio tankumo teritorijoje, Santykis, dešimtainė trupmena</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1,08 </w:t>
                              <w:br/>
                              <w:t>(2021)</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1,07 </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1,06</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FFFFFF"/>
                            <w:vAlign w:val="center"/>
                            <w:hideMark/>
                          </w:tcPr>
                          <w:p>
                            <w:pPr>
                              <w:rPr>
                                <w:color w:val="000000"/>
                                <w:sz w:val="20"/>
                              </w:rPr>
                            </w:pPr>
                            <w:r>
                              <w:rPr>
                                <w:color w:val="000000"/>
                                <w:sz w:val="20"/>
                              </w:rPr>
                              <w:t>Rekultivuota žemė naudojama želdynų ir želdinių įrengimui, socialiniams būstams, ūkinei, kultūrinei, sporto ar bendruomeninei veiklai</w:t>
                            </w: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Sąvartynuose šalinamų komunalinių atliekų dalis, Procentai </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20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14</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5</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rPr>
                            </w:pPr>
                            <w:r>
                              <w:rPr>
                                <w:color w:val="000000"/>
                                <w:sz w:val="20"/>
                              </w:rPr>
                              <w:t>Veiklų atitiktis patvirtintiems regioniniams ir (ar) savivaldybių atliekų prevencijos ir tvarkymo planams, parengtiems Valstybiniam atliekų prevencijos ir tvarkymo 2021–2027 m. planui įgyvendinti.</w:t>
                            </w: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Paruoštų pakartotinai naudoti ir perdirbtų komunalinių atliekų dalis, Procentai </w:t>
                            </w:r>
                          </w:p>
                        </w:tc>
                        <w:tc>
                          <w:tcPr>
                            <w:tcW w:w="1560"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65 </w:t>
                              <w:br/>
                              <w:t>(2020)</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68</w:t>
                              <w:br/>
                              <w:t>(2025)</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0"/>
                              </w:rPr>
                            </w:pPr>
                            <w:r>
                              <w:rPr>
                                <w:color w:val="000000"/>
                                <w:sz w:val="20"/>
                              </w:rPr>
                              <w:t>72</w:t>
                              <w:br/>
                              <w:t>(2030)</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vMerge/>
                            <w:tcBorders>
                              <w:top w:val="nil"/>
                              <w:left w:val="single" w:sz="4" w:space="0" w:color="auto"/>
                              <w:bottom w:val="single" w:sz="4" w:space="0" w:color="auto"/>
                              <w:right w:val="single" w:sz="4" w:space="0" w:color="auto"/>
                            </w:tcBorders>
                            <w:vAlign w:val="center"/>
                            <w:hideMark/>
                          </w:tcPr>
                          <w:p>
                            <w:pPr>
                              <w:rPr>
                                <w:color w:val="000000"/>
                                <w:sz w:val="20"/>
                              </w:rPr>
                            </w:pPr>
                          </w:p>
                        </w:tc>
                      </w:tr>
                      <w:tr>
                        <w:trPr>
                          <w:trHeight w:val="1656"/>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Poveikio*</w:t>
                            </w:r>
                          </w:p>
                        </w:tc>
                        <w:tc>
                          <w:tcPr>
                            <w:tcW w:w="3961"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Priešlaikinės mirtys, priskiriamos ilgalaikiam kietųjų dalelių KD2,5 poveikiui, Mirusiųjų skaičius 100 tūkst. gyventojų</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 xml:space="preserve">89 </w:t>
                              <w:br/>
                              <w:t>(2019)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88</w:t>
                              <w:br/>
                              <w:t>(2025)</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rPr>
                            </w:pPr>
                            <w:r>
                              <w:rPr>
                                <w:color w:val="000000"/>
                                <w:sz w:val="20"/>
                              </w:rPr>
                              <w:t>87</w:t>
                              <w:br/>
                              <w:t>(2030)</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rPr>
                                <w:color w:val="000000"/>
                                <w:sz w:val="20"/>
                              </w:rPr>
                            </w:pPr>
                            <w:r>
                              <w:rPr>
                                <w:color w:val="000000"/>
                                <w:sz w:val="20"/>
                              </w:rPr>
                              <w:t>Savivaldybės tarybos patvirtinta Bendrųjų savivaldybių aplinkos monitoringo nuostatų reikalavimus atitinkanti savivaldybės aplinkos (oro) monitoringo programa kietųjų dalelių KD2,5 koncentracijos aplinkos ore matavimams ir kitų oro teršalų (kai reikia) koncentracijos aplinkos ore matavimams, su Aplinkos apsaugos agentūros derinimo išvada, kad matavimų, atliktų pagal programoje kietųjų dalelių KD2.5 matavimams nustatytas sąlygas duomenys bus tinkami naudoti valstybinio aplinkos monitoringo tikslams.</w:t>
                            </w:r>
                          </w:p>
                        </w:tc>
                      </w:tr>
                      <w:tr>
                        <w:trPr>
                          <w:trHeight w:val="276"/>
                        </w:trPr>
                        <w:tc>
                          <w:tcPr>
                            <w:tcW w:w="6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3.1.</w:t>
                            </w:r>
                          </w:p>
                        </w:tc>
                        <w:tc>
                          <w:tcPr>
                            <w:tcW w:w="233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Sumažinti ŠESD emisijas regione gerinant susisiekimo ir eismo saugumo sąlygas</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LT024-03-01</w:t>
                            </w:r>
                          </w:p>
                        </w:tc>
                        <w:tc>
                          <w:tcPr>
                            <w:tcW w:w="128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Rezultato***</w:t>
                            </w:r>
                          </w:p>
                        </w:tc>
                        <w:tc>
                          <w:tcPr>
                            <w:tcW w:w="396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rPr>
                                <w:color w:val="000000"/>
                                <w:sz w:val="20"/>
                              </w:rPr>
                            </w:pPr>
                            <w:r>
                              <w:rPr>
                                <w:color w:val="000000"/>
                                <w:sz w:val="20"/>
                              </w:rPr>
                              <w:t>R.S.2.3024 Panaikintos juodosios dėmės ar avaringos vietos vietinės reikšmės keliuose (gatvėse), skaičius</w:t>
                            </w:r>
                          </w:p>
                        </w:tc>
                        <w:tc>
                          <w:tcPr>
                            <w:tcW w:w="15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jc w:val="center"/>
                              <w:rPr>
                                <w:color w:val="000000"/>
                                <w:sz w:val="20"/>
                              </w:rPr>
                            </w:pPr>
                            <w:r>
                              <w:rPr>
                                <w:color w:val="000000"/>
                                <w:sz w:val="20"/>
                              </w:rPr>
                              <w:t xml:space="preserve">0 </w:t>
                              <w:br/>
                              <w:t>(2023)</w:t>
                            </w:r>
                          </w:p>
                        </w:tc>
                        <w:tc>
                          <w:tcPr>
                            <w:tcW w:w="1701" w:type="dxa"/>
                            <w:tcBorders>
                              <w:top w:val="single" w:sz="4" w:space="0" w:color="auto"/>
                              <w:left w:val="nil"/>
                              <w:bottom w:val="nil"/>
                              <w:right w:val="single" w:sz="4" w:space="0" w:color="auto"/>
                            </w:tcBorders>
                            <w:shd w:val="clear" w:color="auto" w:fill="auto"/>
                            <w:vAlign w:val="bottom"/>
                            <w:hideMark/>
                          </w:tcPr>
                          <w:p>
                            <w:pPr>
                              <w:jc w:val="center"/>
                              <w:rPr>
                                <w:color w:val="000000"/>
                                <w:sz w:val="20"/>
                              </w:rPr>
                            </w:pPr>
                            <w:r>
                              <w:rPr>
                                <w:color w:val="000000"/>
                                <w:sz w:val="20"/>
                              </w:rPr>
                              <w:t>0</w:t>
                            </w:r>
                          </w:p>
                        </w:tc>
                        <w:tc>
                          <w:tcPr>
                            <w:tcW w:w="1701" w:type="dxa"/>
                            <w:tcBorders>
                              <w:top w:val="single" w:sz="4" w:space="0" w:color="auto"/>
                              <w:left w:val="nil"/>
                              <w:bottom w:val="nil"/>
                              <w:right w:val="single" w:sz="4" w:space="0" w:color="auto"/>
                            </w:tcBorders>
                            <w:shd w:val="clear" w:color="auto" w:fill="auto"/>
                            <w:vAlign w:val="bottom"/>
                            <w:hideMark/>
                          </w:tcPr>
                          <w:p>
                            <w:pPr>
                              <w:jc w:val="center"/>
                              <w:rPr>
                                <w:color w:val="000000"/>
                                <w:sz w:val="20"/>
                              </w:rPr>
                            </w:pPr>
                            <w:r>
                              <w:rPr>
                                <w:color w:val="000000"/>
                                <w:sz w:val="20"/>
                              </w:rPr>
                              <w:t>2</w:t>
                            </w:r>
                          </w:p>
                        </w:tc>
                        <w:tc>
                          <w:tcPr>
                            <w:tcW w:w="212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c>
                          <w:tcPr>
                            <w:tcW w:w="511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pPr>
                              <w:ind w:firstLine="53"/>
                              <w:jc w:val="center"/>
                              <w:rPr>
                                <w:color w:val="000000"/>
                                <w:sz w:val="20"/>
                              </w:rPr>
                            </w:pPr>
                          </w:p>
                        </w:tc>
                      </w:tr>
                      <w:tr>
                        <w:trPr>
                          <w:trHeight w:val="276"/>
                        </w:trPr>
                        <w:tc>
                          <w:tcPr>
                            <w:tcW w:w="64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2337"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283"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3961"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560"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(2024)</w:t>
                            </w:r>
                          </w:p>
                        </w:tc>
                        <w:tc>
                          <w:tcPr>
                            <w:tcW w:w="1701" w:type="dxa"/>
                            <w:tcBorders>
                              <w:top w:val="nil"/>
                              <w:left w:val="nil"/>
                              <w:bottom w:val="single" w:sz="4" w:space="0" w:color="auto"/>
                              <w:right w:val="single" w:sz="4" w:space="0" w:color="auto"/>
                            </w:tcBorders>
                            <w:shd w:val="clear" w:color="auto" w:fill="auto"/>
                            <w:hideMark/>
                          </w:tcPr>
                          <w:p>
                            <w:pPr>
                              <w:jc w:val="center"/>
                              <w:rPr>
                                <w:color w:val="000000"/>
                                <w:sz w:val="20"/>
                              </w:rPr>
                            </w:pPr>
                            <w:r>
                              <w:rPr>
                                <w:color w:val="000000"/>
                                <w:sz w:val="20"/>
                              </w:rPr>
                              <w:t>(2029)</w:t>
                            </w:r>
                          </w:p>
                        </w:tc>
                        <w:tc>
                          <w:tcPr>
                            <w:tcW w:w="2126" w:type="dxa"/>
                            <w:vMerge/>
                            <w:tcBorders>
                              <w:top w:val="nil"/>
                              <w:left w:val="single" w:sz="4" w:space="0" w:color="auto"/>
                              <w:bottom w:val="single" w:sz="4" w:space="0" w:color="000000"/>
                              <w:right w:val="single" w:sz="4" w:space="0" w:color="auto"/>
                            </w:tcBorders>
                            <w:vAlign w:val="center"/>
                            <w:hideMark/>
                          </w:tcPr>
                          <w:p>
                            <w:pPr>
                              <w:rPr>
                                <w:color w:val="000000"/>
                                <w:sz w:val="20"/>
                              </w:rPr>
                            </w:pPr>
                          </w:p>
                        </w:tc>
                        <w:tc>
                          <w:tcPr>
                            <w:tcW w:w="5111" w:type="dxa"/>
                            <w:vMerge/>
                            <w:tcBorders>
                              <w:top w:val="nil"/>
                              <w:left w:val="single" w:sz="4" w:space="0" w:color="auto"/>
                              <w:bottom w:val="single" w:sz="4" w:space="0" w:color="000000"/>
                              <w:right w:val="single" w:sz="4" w:space="0" w:color="auto"/>
                            </w:tcBorders>
                            <w:vAlign w:val="center"/>
                            <w:hideMark/>
                          </w:tcPr>
                          <w:p>
                            <w:pPr>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Naujo arba modernizuoto viešojo transporto naudotojų skaičius per metus, Naudotojai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Numatomas išmetamas šiltnamio efektą sukeliančių dujų kiekis, Tonos CO2 ekvivalentu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Dviračiams skirtos infrastruktūros naudotojų skaičius per metus, Naudotojai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rPr>
                            </w:pPr>
                            <w:r>
                              <w:rPr>
                                <w:color w:val="000000"/>
                                <w:sz w:val="20"/>
                              </w:rPr>
                              <w:t xml:space="preserve">3.2. </w:t>
                            </w:r>
                          </w:p>
                        </w:tc>
                        <w:tc>
                          <w:tcPr>
                            <w:tcW w:w="2337"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Skatinti tausojantį išteklių naudojimą</w:t>
                            </w:r>
                          </w:p>
                        </w:tc>
                        <w:tc>
                          <w:tcPr>
                            <w:tcW w:w="1418"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LT024-03-02</w:t>
                            </w: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Gyventojai, prisijungę prie patobulintų viešojo vandens tiekimo sistemų, Asmenys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Gyventojai, prisijungę bent prie antrinių viešojo nuotekų valymo įrenginių, Asmenys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276"/>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Surinktos atskirai išrūšiuotos atliekos, Tonos per metus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Rekultivuota žemė, naudojama žaliesiems plotams, socialiniams būstams, ekonominei arba kitai paskirčiai, Hektarai</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Gyventojai, galintys naudotis nauja ar patobulinta žaliąja infrastruktūra, asmenys</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pPr>
                              <w:ind w:firstLine="53"/>
                              <w:rPr>
                                <w:color w:val="000000"/>
                                <w:sz w:val="20"/>
                              </w:rPr>
                            </w:pPr>
                          </w:p>
                        </w:tc>
                        <w:tc>
                          <w:tcPr>
                            <w:tcW w:w="2337"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1283"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Rezultato**</w:t>
                            </w:r>
                          </w:p>
                        </w:tc>
                        <w:tc>
                          <w:tcPr>
                            <w:tcW w:w="3961" w:type="dxa"/>
                            <w:tcBorders>
                              <w:top w:val="nil"/>
                              <w:left w:val="nil"/>
                              <w:bottom w:val="single" w:sz="4" w:space="0" w:color="auto"/>
                              <w:right w:val="single" w:sz="4" w:space="0" w:color="auto"/>
                            </w:tcBorders>
                            <w:shd w:val="clear" w:color="auto" w:fill="auto"/>
                            <w:vAlign w:val="center"/>
                            <w:hideMark/>
                          </w:tcPr>
                          <w:p>
                            <w:pPr>
                              <w:rPr>
                                <w:color w:val="000000"/>
                                <w:sz w:val="20"/>
                              </w:rPr>
                            </w:pPr>
                            <w:r>
                              <w:rPr>
                                <w:color w:val="000000"/>
                                <w:sz w:val="20"/>
                              </w:rPr>
                              <w:t>Aplinkosaugos sistemų efektyvumo padidėjimas, procentai</w:t>
                            </w:r>
                          </w:p>
                        </w:tc>
                        <w:tc>
                          <w:tcPr>
                            <w:tcW w:w="1560"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1701"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rPr>
                            </w:pPr>
                            <w:r>
                              <w:rPr>
                                <w:color w:val="000000"/>
                                <w:sz w:val="20"/>
                              </w:rPr>
                              <w:t xml:space="preserve">- </w:t>
                            </w:r>
                          </w:p>
                        </w:tc>
                        <w:tc>
                          <w:tcPr>
                            <w:tcW w:w="2126"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c>
                          <w:tcPr>
                            <w:tcW w:w="5111" w:type="dxa"/>
                            <w:tcBorders>
                              <w:top w:val="nil"/>
                              <w:left w:val="nil"/>
                              <w:bottom w:val="single" w:sz="4" w:space="0" w:color="auto"/>
                              <w:right w:val="single" w:sz="4" w:space="0" w:color="auto"/>
                            </w:tcBorders>
                            <w:shd w:val="clear" w:color="000000" w:fill="D9D9D9"/>
                            <w:vAlign w:val="center"/>
                            <w:hideMark/>
                          </w:tcPr>
                          <w:p>
                            <w:pPr>
                              <w:ind w:firstLine="53"/>
                              <w:rPr>
                                <w:color w:val="000000"/>
                                <w:sz w:val="20"/>
                              </w:rPr>
                            </w:pPr>
                          </w:p>
                        </w:tc>
                      </w:tr>
                      <w:tr>
                        <w:trPr>
                          <w:trHeight w:val="276"/>
                        </w:trPr>
                        <w:tc>
                          <w:tcPr>
                            <w:tcW w:w="640" w:type="dxa"/>
                            <w:tcBorders>
                              <w:top w:val="nil"/>
                              <w:left w:val="nil"/>
                              <w:bottom w:val="nil"/>
                              <w:right w:val="nil"/>
                            </w:tcBorders>
                            <w:shd w:val="clear" w:color="auto" w:fill="auto"/>
                            <w:noWrap/>
                            <w:vAlign w:val="bottom"/>
                            <w:hideMark/>
                          </w:tcPr>
                          <w:p>
                            <w:pPr>
                              <w:rPr>
                                <w:color w:val="000000"/>
                                <w:sz w:val="20"/>
                              </w:rPr>
                            </w:pPr>
                          </w:p>
                        </w:tc>
                        <w:tc>
                          <w:tcPr>
                            <w:tcW w:w="2337" w:type="dxa"/>
                            <w:tcBorders>
                              <w:top w:val="nil"/>
                              <w:left w:val="nil"/>
                              <w:bottom w:val="nil"/>
                              <w:right w:val="nil"/>
                            </w:tcBorders>
                            <w:shd w:val="clear" w:color="auto" w:fill="auto"/>
                            <w:noWrap/>
                            <w:vAlign w:val="bottom"/>
                            <w:hideMark/>
                          </w:tcPr>
                          <w:p>
                            <w:pPr>
                              <w:rPr>
                                <w:sz w:val="20"/>
                              </w:rPr>
                            </w:pPr>
                          </w:p>
                        </w:tc>
                        <w:tc>
                          <w:tcPr>
                            <w:tcW w:w="1418" w:type="dxa"/>
                            <w:tcBorders>
                              <w:top w:val="nil"/>
                              <w:left w:val="nil"/>
                              <w:bottom w:val="nil"/>
                              <w:right w:val="nil"/>
                            </w:tcBorders>
                            <w:shd w:val="clear" w:color="auto" w:fill="auto"/>
                            <w:noWrap/>
                            <w:vAlign w:val="bottom"/>
                            <w:hideMark/>
                          </w:tcPr>
                          <w:p>
                            <w:pPr>
                              <w:rPr>
                                <w:sz w:val="20"/>
                              </w:rPr>
                            </w:pPr>
                          </w:p>
                        </w:tc>
                        <w:tc>
                          <w:tcPr>
                            <w:tcW w:w="1283" w:type="dxa"/>
                            <w:tcBorders>
                              <w:top w:val="nil"/>
                              <w:left w:val="nil"/>
                              <w:bottom w:val="nil"/>
                              <w:right w:val="nil"/>
                            </w:tcBorders>
                            <w:shd w:val="clear" w:color="auto" w:fill="auto"/>
                            <w:noWrap/>
                            <w:vAlign w:val="bottom"/>
                            <w:hideMark/>
                          </w:tcPr>
                          <w:p>
                            <w:pPr>
                              <w:rPr>
                                <w:sz w:val="20"/>
                              </w:rPr>
                            </w:pPr>
                          </w:p>
                        </w:tc>
                        <w:tc>
                          <w:tcPr>
                            <w:tcW w:w="3961" w:type="dxa"/>
                            <w:tcBorders>
                              <w:top w:val="nil"/>
                              <w:left w:val="nil"/>
                              <w:bottom w:val="nil"/>
                              <w:right w:val="nil"/>
                            </w:tcBorders>
                            <w:shd w:val="clear" w:color="auto" w:fill="auto"/>
                            <w:noWrap/>
                            <w:vAlign w:val="bottom"/>
                            <w:hideMark/>
                          </w:tcPr>
                          <w:p>
                            <w:pPr>
                              <w:rPr>
                                <w:sz w:val="20"/>
                              </w:rPr>
                            </w:pPr>
                          </w:p>
                        </w:tc>
                        <w:tc>
                          <w:tcPr>
                            <w:tcW w:w="1560"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2126" w:type="dxa"/>
                            <w:tcBorders>
                              <w:top w:val="nil"/>
                              <w:left w:val="nil"/>
                              <w:bottom w:val="nil"/>
                              <w:right w:val="nil"/>
                            </w:tcBorders>
                            <w:shd w:val="clear" w:color="auto" w:fill="auto"/>
                            <w:noWrap/>
                            <w:vAlign w:val="bottom"/>
                            <w:hideMark/>
                          </w:tcPr>
                          <w:p>
                            <w:pPr>
                              <w:rPr>
                                <w:sz w:val="20"/>
                              </w:rPr>
                            </w:pPr>
                          </w:p>
                        </w:tc>
                        <w:tc>
                          <w:tcPr>
                            <w:tcW w:w="5111" w:type="dxa"/>
                            <w:tcBorders>
                              <w:top w:val="nil"/>
                              <w:left w:val="nil"/>
                              <w:bottom w:val="nil"/>
                              <w:right w:val="nil"/>
                            </w:tcBorders>
                            <w:shd w:val="clear" w:color="auto" w:fill="auto"/>
                            <w:noWrap/>
                            <w:vAlign w:val="bottom"/>
                            <w:hideMark/>
                          </w:tcPr>
                          <w:p>
                            <w:pPr>
                              <w:rPr>
                                <w:sz w:val="20"/>
                              </w:rPr>
                            </w:pPr>
                          </w:p>
                        </w:tc>
                      </w:tr>
                      <w:tr>
                        <w:trPr>
                          <w:trHeight w:val="750"/>
                        </w:trPr>
                        <w:tc>
                          <w:tcPr>
                            <w:tcW w:w="640" w:type="dxa"/>
                            <w:tcBorders>
                              <w:top w:val="nil"/>
                              <w:left w:val="nil"/>
                              <w:bottom w:val="nil"/>
                              <w:right w:val="nil"/>
                            </w:tcBorders>
                            <w:shd w:val="clear" w:color="auto" w:fill="auto"/>
                            <w:noWrap/>
                            <w:hideMark/>
                          </w:tcPr>
                          <w:p>
                            <w:pPr>
                              <w:jc w:val="right"/>
                              <w:rPr>
                                <w:color w:val="000000"/>
                                <w:sz w:val="20"/>
                              </w:rPr>
                            </w:pPr>
                            <w:r>
                              <w:rPr>
                                <w:color w:val="000000"/>
                                <w:sz w:val="20"/>
                              </w:rPr>
                              <w:t>*</w:t>
                            </w:r>
                          </w:p>
                        </w:tc>
                        <w:tc>
                          <w:tcPr>
                            <w:tcW w:w="21198" w:type="dxa"/>
                            <w:gridSpan w:val="9"/>
                            <w:tcBorders>
                              <w:top w:val="nil"/>
                              <w:left w:val="nil"/>
                              <w:bottom w:val="nil"/>
                              <w:right w:val="nil"/>
                            </w:tcBorders>
                            <w:shd w:val="clear" w:color="auto" w:fill="auto"/>
                            <w:hideMark/>
                          </w:tcPr>
                          <w:p>
                            <w:pPr>
                              <w:rPr>
                                <w:color w:val="000000"/>
                                <w:sz w:val="20"/>
                              </w:rPr>
                            </w:pPr>
                            <w:r>
                              <w:rPr>
                                <w:color w:val="000000"/>
                                <w:sz w:val="20"/>
                              </w:rPr>
                              <w:t>Poveikio rodiklių reikšmės – preliminarios (išskyrus RPP nustatytas siektinas poveikio rodiklių "Gyventojų užimtumo lygis (15–64 metų)", "Pridėtinė vertė gamybos sąnaudomis pagal veiklos vykdymo vietą (nefinansų įmonių), tenkanti vienam dirbančiajam per metus"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trPr>
                          <w:trHeight w:val="765"/>
                        </w:trPr>
                        <w:tc>
                          <w:tcPr>
                            <w:tcW w:w="640" w:type="dxa"/>
                            <w:tcBorders>
                              <w:top w:val="nil"/>
                              <w:left w:val="nil"/>
                              <w:bottom w:val="nil"/>
                              <w:right w:val="nil"/>
                            </w:tcBorders>
                            <w:shd w:val="clear" w:color="auto" w:fill="auto"/>
                            <w:noWrap/>
                            <w:hideMark/>
                          </w:tcPr>
                          <w:p>
                            <w:pPr>
                              <w:jc w:val="right"/>
                              <w:rPr>
                                <w:color w:val="000000"/>
                                <w:sz w:val="20"/>
                              </w:rPr>
                            </w:pPr>
                            <w:r>
                              <w:rPr>
                                <w:color w:val="000000"/>
                                <w:sz w:val="20"/>
                              </w:rPr>
                              <w:t>**</w:t>
                            </w:r>
                          </w:p>
                        </w:tc>
                        <w:tc>
                          <w:tcPr>
                            <w:tcW w:w="21198" w:type="dxa"/>
                            <w:gridSpan w:val="9"/>
                            <w:tcBorders>
                              <w:top w:val="nil"/>
                              <w:left w:val="nil"/>
                              <w:bottom w:val="nil"/>
                              <w:right w:val="nil"/>
                            </w:tcBorders>
                            <w:shd w:val="clear" w:color="auto" w:fill="auto"/>
                            <w:hideMark/>
                          </w:tcPr>
                          <w:p>
                            <w:pPr>
                              <w:rPr>
                                <w:color w:val="000000"/>
                                <w:sz w:val="20"/>
                              </w:rPr>
                            </w:pPr>
                            <w:r>
                              <w:rPr>
                                <w:color w:val="000000"/>
                                <w:sz w:val="20"/>
                              </w:rPr>
                              <w:t>Rezultato rodikliai – preliminarūs. Kadangi rezultato rodikliai susiję su Europos Sąjungos finansinės paramos programavimo dokumentais, rezultato rodikliai bus patikslinti atitinkamai ministerijai patvirtinus regioninių pažangos priemonių finansavimo gaires. Jų reikšmės bus nustatys, kai bus patvirtinta Stebėsenos rodiklių nustatymo ir skaičiavimo tvarka ir / ar rodiklių skaičiavimo aprašų suvestinė.</w:t>
                            </w:r>
                          </w:p>
                        </w:tc>
                      </w:tr>
                      <w:tr>
                        <w:trPr>
                          <w:trHeight w:val="765"/>
                        </w:trPr>
                        <w:tc>
                          <w:tcPr>
                            <w:tcW w:w="640" w:type="dxa"/>
                            <w:tcBorders>
                              <w:top w:val="nil"/>
                              <w:left w:val="nil"/>
                              <w:bottom w:val="nil"/>
                              <w:right w:val="nil"/>
                            </w:tcBorders>
                            <w:shd w:val="clear" w:color="auto" w:fill="auto"/>
                            <w:noWrap/>
                            <w:hideMark/>
                          </w:tcPr>
                          <w:p>
                            <w:pPr>
                              <w:jc w:val="right"/>
                              <w:rPr>
                                <w:color w:val="000000"/>
                                <w:sz w:val="20"/>
                              </w:rPr>
                            </w:pPr>
                            <w:r>
                              <w:rPr>
                                <w:color w:val="000000"/>
                                <w:sz w:val="20"/>
                              </w:rPr>
                              <w:t>***</w:t>
                            </w:r>
                          </w:p>
                        </w:tc>
                        <w:tc>
                          <w:tcPr>
                            <w:tcW w:w="21198" w:type="dxa"/>
                            <w:gridSpan w:val="9"/>
                            <w:tcBorders>
                              <w:top w:val="nil"/>
                              <w:left w:val="nil"/>
                              <w:bottom w:val="nil"/>
                              <w:right w:val="nil"/>
                            </w:tcBorders>
                            <w:shd w:val="clear" w:color="auto" w:fill="auto"/>
                            <w:hideMark/>
                          </w:tcPr>
                          <w:p>
                            <w:pPr>
                              <w:rPr>
                                <w:color w:val="000000"/>
                                <w:sz w:val="20"/>
                              </w:rPr>
                            </w:pPr>
                            <w:r>
                              <w:rPr>
                                <w:color w:val="000000"/>
                                <w:sz w:val="20"/>
                              </w:rPr>
                              <w:t>Rezultato rodiklių reikšmės – preliminarios. Rezultato rodikliai pažangos priemonei pasirinkti vadovaujantis Regioninių pažangos priemonių finansavimo gairėmis. Rodiklių reikšmės gali būti tikslinamos, kai bus patvirtinta Stebėsenos rodiklių nustatymo ir skaičiavimo tvarka ir / ar rodiklių skaičiavimo aprašų suvestinė.</w:t>
                            </w:r>
                          </w:p>
                        </w:tc>
                      </w:tr>
                    </w:tbl>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tbl>
                      <w:tblPr>
                        <w:tblW w:w="22064" w:type="dxa"/>
                        <w:tblLook w:val="04A0" w:firstRow="1" w:lastRow="0" w:firstColumn="1" w:lastColumn="0" w:noHBand="0" w:noVBand="1"/>
                      </w:tblPr>
                      <w:tblGrid>
                        <w:gridCol w:w="542"/>
                        <w:gridCol w:w="2293"/>
                        <w:gridCol w:w="1843"/>
                        <w:gridCol w:w="3544"/>
                        <w:gridCol w:w="3118"/>
                        <w:gridCol w:w="1276"/>
                        <w:gridCol w:w="1843"/>
                        <w:gridCol w:w="1701"/>
                        <w:gridCol w:w="1559"/>
                        <w:gridCol w:w="2126"/>
                        <w:gridCol w:w="2219"/>
                      </w:tblGrid>
                      <w:tr>
                        <w:trPr>
                          <w:trHeight w:val="288"/>
                        </w:trPr>
                        <w:tc>
                          <w:tcPr>
                            <w:tcW w:w="22064" w:type="dxa"/>
                            <w:gridSpan w:val="11"/>
                            <w:tcBorders>
                              <w:top w:val="nil"/>
                              <w:left w:val="nil"/>
                              <w:bottom w:val="nil"/>
                              <w:right w:val="nil"/>
                            </w:tcBorders>
                            <w:shd w:val="clear" w:color="auto" w:fill="auto"/>
                            <w:vAlign w:val="bottom"/>
                            <w:hideMark/>
                          </w:tcPr>
                          <w:p>
                            <w:pPr>
                              <w:jc w:val="center"/>
                              <w:rPr>
                                <w:b/>
                                <w:bCs/>
                                <w:color w:val="000000"/>
                                <w:sz w:val="22"/>
                                <w:szCs w:val="22"/>
                                <w:lang w:eastAsia="lt-LT"/>
                              </w:rPr>
                            </w:pPr>
                            <w:r>
                              <w:rPr>
                                <w:b/>
                                <w:bCs/>
                                <w:color w:val="000000"/>
                                <w:sz w:val="22"/>
                                <w:szCs w:val="22"/>
                              </w:rPr>
                              <w:t>III SKYRIUS</w:t>
                            </w:r>
                          </w:p>
                        </w:tc>
                      </w:tr>
                      <w:tr>
                        <w:trPr>
                          <w:trHeight w:val="288"/>
                        </w:trPr>
                        <w:tc>
                          <w:tcPr>
                            <w:tcW w:w="22064" w:type="dxa"/>
                            <w:gridSpan w:val="11"/>
                            <w:tcBorders>
                              <w:top w:val="nil"/>
                              <w:left w:val="nil"/>
                              <w:bottom w:val="nil"/>
                              <w:right w:val="nil"/>
                            </w:tcBorders>
                            <w:shd w:val="clear" w:color="auto" w:fill="auto"/>
                            <w:vAlign w:val="bottom"/>
                            <w:hideMark/>
                          </w:tcPr>
                          <w:p>
                            <w:pPr>
                              <w:jc w:val="center"/>
                              <w:rPr>
                                <w:b/>
                                <w:bCs/>
                                <w:color w:val="000000"/>
                                <w:sz w:val="22"/>
                                <w:szCs w:val="22"/>
                              </w:rPr>
                            </w:pPr>
                            <w:r>
                              <w:rPr>
                                <w:b/>
                                <w:bCs/>
                                <w:color w:val="000000"/>
                                <w:sz w:val="22"/>
                                <w:szCs w:val="22"/>
                              </w:rPr>
                              <w:t>REGIONO PLĖTROS PLANO PAŽANGOS PRIEMONĖS</w:t>
                            </w:r>
                          </w:p>
                        </w:tc>
                      </w:tr>
                      <w:tr>
                        <w:trPr>
                          <w:trHeight w:val="288"/>
                        </w:trPr>
                        <w:tc>
                          <w:tcPr>
                            <w:tcW w:w="542" w:type="dxa"/>
                            <w:tcBorders>
                              <w:top w:val="nil"/>
                              <w:left w:val="nil"/>
                              <w:bottom w:val="nil"/>
                              <w:right w:val="nil"/>
                            </w:tcBorders>
                            <w:shd w:val="clear" w:color="auto" w:fill="auto"/>
                            <w:noWrap/>
                            <w:vAlign w:val="bottom"/>
                            <w:hideMark/>
                          </w:tcPr>
                          <w:p>
                            <w:pPr>
                              <w:jc w:val="center"/>
                              <w:rPr>
                                <w:b/>
                                <w:bCs/>
                                <w:color w:val="000000"/>
                                <w:sz w:val="22"/>
                                <w:szCs w:val="22"/>
                              </w:rPr>
                            </w:pPr>
                          </w:p>
                        </w:tc>
                        <w:tc>
                          <w:tcPr>
                            <w:tcW w:w="2293" w:type="dxa"/>
                            <w:tcBorders>
                              <w:top w:val="nil"/>
                              <w:left w:val="nil"/>
                              <w:bottom w:val="nil"/>
                              <w:right w:val="nil"/>
                            </w:tcBorders>
                            <w:shd w:val="clear" w:color="auto" w:fill="auto"/>
                            <w:noWrap/>
                            <w:vAlign w:val="bottom"/>
                            <w:hideMark/>
                          </w:tcPr>
                          <w:p>
                            <w:pPr>
                              <w:rPr>
                                <w:sz w:val="20"/>
                              </w:rPr>
                            </w:pPr>
                          </w:p>
                        </w:tc>
                        <w:tc>
                          <w:tcPr>
                            <w:tcW w:w="1843" w:type="dxa"/>
                            <w:tcBorders>
                              <w:top w:val="nil"/>
                              <w:left w:val="nil"/>
                              <w:bottom w:val="nil"/>
                              <w:right w:val="nil"/>
                            </w:tcBorders>
                            <w:shd w:val="clear" w:color="auto" w:fill="auto"/>
                            <w:noWrap/>
                            <w:vAlign w:val="bottom"/>
                            <w:hideMark/>
                          </w:tcPr>
                          <w:p>
                            <w:pPr>
                              <w:rPr>
                                <w:sz w:val="20"/>
                              </w:rPr>
                            </w:pPr>
                          </w:p>
                        </w:tc>
                        <w:tc>
                          <w:tcPr>
                            <w:tcW w:w="3544" w:type="dxa"/>
                            <w:tcBorders>
                              <w:top w:val="nil"/>
                              <w:left w:val="nil"/>
                              <w:bottom w:val="nil"/>
                              <w:right w:val="nil"/>
                            </w:tcBorders>
                            <w:shd w:val="clear" w:color="auto" w:fill="auto"/>
                            <w:noWrap/>
                            <w:vAlign w:val="bottom"/>
                            <w:hideMark/>
                          </w:tcPr>
                          <w:p>
                            <w:pPr>
                              <w:rPr>
                                <w:sz w:val="20"/>
                              </w:rPr>
                            </w:pPr>
                          </w:p>
                        </w:tc>
                        <w:tc>
                          <w:tcPr>
                            <w:tcW w:w="3118" w:type="dxa"/>
                            <w:tcBorders>
                              <w:top w:val="nil"/>
                              <w:left w:val="nil"/>
                              <w:bottom w:val="nil"/>
                              <w:right w:val="nil"/>
                            </w:tcBorders>
                            <w:shd w:val="clear" w:color="auto" w:fill="auto"/>
                            <w:noWrap/>
                            <w:vAlign w:val="bottom"/>
                            <w:hideMark/>
                          </w:tcPr>
                          <w:p>
                            <w:pPr>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843"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1559" w:type="dxa"/>
                            <w:tcBorders>
                              <w:top w:val="nil"/>
                              <w:left w:val="nil"/>
                              <w:bottom w:val="nil"/>
                              <w:right w:val="nil"/>
                            </w:tcBorders>
                            <w:shd w:val="clear" w:color="auto" w:fill="auto"/>
                            <w:noWrap/>
                            <w:vAlign w:val="bottom"/>
                            <w:hideMark/>
                          </w:tcPr>
                          <w:p>
                            <w:pPr>
                              <w:rPr>
                                <w:sz w:val="20"/>
                              </w:rPr>
                            </w:pPr>
                          </w:p>
                        </w:tc>
                        <w:tc>
                          <w:tcPr>
                            <w:tcW w:w="2126" w:type="dxa"/>
                            <w:tcBorders>
                              <w:top w:val="nil"/>
                              <w:left w:val="nil"/>
                              <w:bottom w:val="nil"/>
                              <w:right w:val="nil"/>
                            </w:tcBorders>
                            <w:shd w:val="clear" w:color="auto" w:fill="auto"/>
                            <w:noWrap/>
                            <w:vAlign w:val="bottom"/>
                            <w:hideMark/>
                          </w:tcPr>
                          <w:p>
                            <w:pPr>
                              <w:rPr>
                                <w:sz w:val="20"/>
                              </w:rPr>
                            </w:pPr>
                          </w:p>
                        </w:tc>
                        <w:tc>
                          <w:tcPr>
                            <w:tcW w:w="2219" w:type="dxa"/>
                            <w:tcBorders>
                              <w:top w:val="nil"/>
                              <w:left w:val="nil"/>
                              <w:bottom w:val="nil"/>
                              <w:right w:val="nil"/>
                            </w:tcBorders>
                            <w:shd w:val="clear" w:color="auto" w:fill="auto"/>
                            <w:noWrap/>
                            <w:vAlign w:val="bottom"/>
                            <w:hideMark/>
                          </w:tcPr>
                          <w:p>
                            <w:pPr>
                              <w:rPr>
                                <w:sz w:val="20"/>
                              </w:rPr>
                            </w:pPr>
                          </w:p>
                        </w:tc>
                      </w:tr>
                      <w:tr>
                        <w:trPr>
                          <w:trHeight w:val="312"/>
                        </w:trPr>
                        <w:tc>
                          <w:tcPr>
                            <w:tcW w:w="22064" w:type="dxa"/>
                            <w:gridSpan w:val="11"/>
                            <w:tcBorders>
                              <w:top w:val="nil"/>
                              <w:left w:val="nil"/>
                              <w:bottom w:val="nil"/>
                              <w:right w:val="nil"/>
                            </w:tcBorders>
                            <w:shd w:val="clear" w:color="auto" w:fill="auto"/>
                            <w:noWrap/>
                            <w:vAlign w:val="bottom"/>
                            <w:hideMark/>
                          </w:tcPr>
                          <w:p>
                            <w:pPr>
                              <w:rPr>
                                <w:sz w:val="20"/>
                              </w:rPr>
                            </w:pPr>
                            <w:r>
                              <w:rPr>
                                <w:b/>
                                <w:bCs/>
                                <w:color w:val="000000"/>
                                <w:szCs w:val="24"/>
                              </w:rPr>
                              <w:t>3 lentelė. Pažangos priemonių suvestinė</w:t>
                            </w:r>
                          </w:p>
                        </w:tc>
                      </w:tr>
                      <w:tr>
                        <w:trPr>
                          <w:trHeight w:val="288"/>
                        </w:trPr>
                        <w:tc>
                          <w:tcPr>
                            <w:tcW w:w="54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Eil. Nr.</w:t>
                            </w:r>
                          </w:p>
                        </w:tc>
                        <w:tc>
                          <w:tcPr>
                            <w:tcW w:w="4136" w:type="dxa"/>
                            <w:gridSpan w:val="2"/>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Pažangos priemonė</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Pažangos priemone įgyvendinamas regiono plėtros uždavinys</w:t>
                            </w:r>
                          </w:p>
                        </w:tc>
                        <w:tc>
                          <w:tcPr>
                            <w:tcW w:w="31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Kiti regiono plėtros uždaviniai</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Būtinosios sąlygos</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 xml:space="preserve">Prisidėjimas prie horizontaliųjų principų (toliau – HP) įgyvendinimo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Koordinatorius</w:t>
                            </w:r>
                          </w:p>
                        </w:tc>
                        <w:tc>
                          <w:tcPr>
                            <w:tcW w:w="5904" w:type="dxa"/>
                            <w:gridSpan w:val="3"/>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Preliminarus pažangos lėšų poreikis (Eur)*</w:t>
                            </w:r>
                          </w:p>
                        </w:tc>
                      </w:tr>
                      <w:tr>
                        <w:trPr>
                          <w:trHeight w:val="828"/>
                        </w:trPr>
                        <w:tc>
                          <w:tcPr>
                            <w:tcW w:w="5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2293"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Pavadinimas</w:t>
                            </w:r>
                          </w:p>
                        </w:tc>
                        <w:tc>
                          <w:tcPr>
                            <w:tcW w:w="1843"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Kodas</w:t>
                            </w:r>
                          </w:p>
                        </w:tc>
                        <w:tc>
                          <w:tcPr>
                            <w:tcW w:w="354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1559" w:type="dxa"/>
                            <w:tcBorders>
                              <w:top w:val="nil"/>
                              <w:left w:val="nil"/>
                              <w:bottom w:val="single" w:sz="4" w:space="0" w:color="auto"/>
                              <w:right w:val="single" w:sz="4" w:space="0" w:color="auto"/>
                            </w:tcBorders>
                            <w:shd w:val="clear" w:color="000000" w:fill="DBE5F1"/>
                            <w:vAlign w:val="center"/>
                            <w:hideMark/>
                          </w:tcPr>
                          <w:p>
                            <w:pPr>
                              <w:rPr>
                                <w:b/>
                                <w:bCs/>
                                <w:color w:val="000000"/>
                                <w:sz w:val="22"/>
                                <w:szCs w:val="22"/>
                              </w:rPr>
                            </w:pPr>
                            <w:r>
                              <w:rPr>
                                <w:b/>
                                <w:bCs/>
                                <w:color w:val="000000"/>
                                <w:sz w:val="22"/>
                                <w:szCs w:val="22"/>
                              </w:rPr>
                              <w:t>Iš viso</w:t>
                            </w:r>
                          </w:p>
                        </w:tc>
                        <w:tc>
                          <w:tcPr>
                            <w:tcW w:w="2126" w:type="dxa"/>
                            <w:tcBorders>
                              <w:top w:val="nil"/>
                              <w:left w:val="nil"/>
                              <w:bottom w:val="single" w:sz="4" w:space="0" w:color="auto"/>
                              <w:right w:val="single" w:sz="4" w:space="0" w:color="auto"/>
                            </w:tcBorders>
                            <w:shd w:val="clear" w:color="000000" w:fill="DBE5F1"/>
                            <w:vAlign w:val="center"/>
                            <w:hideMark/>
                          </w:tcPr>
                          <w:p>
                            <w:pPr>
                              <w:rPr>
                                <w:b/>
                                <w:bCs/>
                                <w:color w:val="000000"/>
                                <w:sz w:val="22"/>
                                <w:szCs w:val="22"/>
                              </w:rPr>
                            </w:pPr>
                            <w:r>
                              <w:rPr>
                                <w:b/>
                                <w:bCs/>
                                <w:color w:val="000000"/>
                                <w:sz w:val="22"/>
                                <w:szCs w:val="22"/>
                              </w:rPr>
                              <w:t>Iš jų: ES ir kitos tarptautinės finansinės paramos lėšos</w:t>
                            </w:r>
                          </w:p>
                        </w:tc>
                        <w:tc>
                          <w:tcPr>
                            <w:tcW w:w="2219" w:type="dxa"/>
                            <w:tcBorders>
                              <w:top w:val="nil"/>
                              <w:left w:val="nil"/>
                              <w:bottom w:val="single" w:sz="4" w:space="0" w:color="auto"/>
                              <w:right w:val="single" w:sz="4" w:space="0" w:color="auto"/>
                            </w:tcBorders>
                            <w:shd w:val="clear" w:color="000000" w:fill="DBE5F1"/>
                            <w:vAlign w:val="center"/>
                            <w:hideMark/>
                          </w:tcPr>
                          <w:p>
                            <w:pPr>
                              <w:rPr>
                                <w:b/>
                                <w:bCs/>
                                <w:color w:val="000000"/>
                                <w:sz w:val="22"/>
                                <w:szCs w:val="22"/>
                              </w:rPr>
                            </w:pPr>
                            <w:r>
                              <w:rPr>
                                <w:b/>
                                <w:bCs/>
                                <w:color w:val="000000"/>
                                <w:sz w:val="22"/>
                                <w:szCs w:val="22"/>
                              </w:rPr>
                              <w:t>Iš jų: Lietuvos Respublikos valstybės biudžeto lėšos</w:t>
                            </w:r>
                          </w:p>
                        </w:tc>
                      </w:tr>
                      <w:tr>
                        <w:trPr>
                          <w:trHeight w:val="240"/>
                        </w:trPr>
                        <w:tc>
                          <w:tcPr>
                            <w:tcW w:w="542" w:type="dxa"/>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1</w:t>
                            </w:r>
                          </w:p>
                        </w:tc>
                        <w:tc>
                          <w:tcPr>
                            <w:tcW w:w="2293"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2</w:t>
                            </w:r>
                          </w:p>
                        </w:tc>
                        <w:tc>
                          <w:tcPr>
                            <w:tcW w:w="1843"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3</w:t>
                            </w:r>
                          </w:p>
                        </w:tc>
                        <w:tc>
                          <w:tcPr>
                            <w:tcW w:w="3544"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4</w:t>
                            </w:r>
                          </w:p>
                        </w:tc>
                        <w:tc>
                          <w:tcPr>
                            <w:tcW w:w="3118"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5</w:t>
                            </w:r>
                          </w:p>
                        </w:tc>
                        <w:tc>
                          <w:tcPr>
                            <w:tcW w:w="1276"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6</w:t>
                            </w:r>
                          </w:p>
                        </w:tc>
                        <w:tc>
                          <w:tcPr>
                            <w:tcW w:w="1843"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7</w:t>
                            </w:r>
                          </w:p>
                        </w:tc>
                        <w:tc>
                          <w:tcPr>
                            <w:tcW w:w="1701"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8</w:t>
                            </w:r>
                          </w:p>
                        </w:tc>
                        <w:tc>
                          <w:tcPr>
                            <w:tcW w:w="1559"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9</w:t>
                            </w:r>
                          </w:p>
                        </w:tc>
                        <w:tc>
                          <w:tcPr>
                            <w:tcW w:w="2126"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10</w:t>
                            </w:r>
                          </w:p>
                        </w:tc>
                        <w:tc>
                          <w:tcPr>
                            <w:tcW w:w="2219"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11</w:t>
                            </w:r>
                          </w:p>
                        </w:tc>
                      </w:tr>
                      <w:tr>
                        <w:trPr>
                          <w:trHeight w:val="828"/>
                        </w:trPr>
                        <w:tc>
                          <w:tcPr>
                            <w:tcW w:w="54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1.</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Socialinio būsto fondo plėtra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LT024-01-01-04</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Lygių galimybių visiems HP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8 768 089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7 452 876</w:t>
                            </w:r>
                          </w:p>
                        </w:tc>
                        <w:tc>
                          <w:tcPr>
                            <w:tcW w:w="221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828"/>
                        </w:trPr>
                        <w:tc>
                          <w:tcPr>
                            <w:tcW w:w="54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2.</w:t>
                            </w:r>
                          </w:p>
                        </w:tc>
                        <w:tc>
                          <w:tcPr>
                            <w:tcW w:w="229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Institucinės globos pertvarkos įgyvendinimas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LT024-01-01-02</w:t>
                            </w:r>
                          </w:p>
                        </w:tc>
                        <w:tc>
                          <w:tcPr>
                            <w:tcW w:w="3544"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Lygių galimybių visiems HP</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9 630 588</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8 186 000</w:t>
                            </w:r>
                          </w:p>
                        </w:tc>
                        <w:tc>
                          <w:tcPr>
                            <w:tcW w:w="2219"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3.</w:t>
                            </w:r>
                          </w:p>
                        </w:tc>
                        <w:tc>
                          <w:tcPr>
                            <w:tcW w:w="229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Nestacionarių socialinių paslaugų plėtra</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LT024-01-01-03</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9 718 946</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8 261 104</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4.</w:t>
                            </w:r>
                          </w:p>
                        </w:tc>
                        <w:tc>
                          <w:tcPr>
                            <w:tcW w:w="2293" w:type="dxa"/>
                            <w:tcBorders>
                              <w:top w:val="nil"/>
                              <w:left w:val="nil"/>
                              <w:bottom w:val="nil"/>
                              <w:right w:val="single" w:sz="4" w:space="0" w:color="auto"/>
                            </w:tcBorders>
                            <w:shd w:val="clear" w:color="auto" w:fill="auto"/>
                            <w:vAlign w:val="center"/>
                            <w:hideMark/>
                          </w:tcPr>
                          <w:p>
                            <w:pPr>
                              <w:rPr>
                                <w:color w:val="000000"/>
                                <w:sz w:val="22"/>
                                <w:szCs w:val="22"/>
                              </w:rPr>
                            </w:pPr>
                            <w:r>
                              <w:rPr>
                                <w:color w:val="000000"/>
                                <w:sz w:val="22"/>
                                <w:szCs w:val="22"/>
                              </w:rPr>
                              <w:t xml:space="preserve">Socialinių paslaugų plėtra senyvo amžiaus asmenims </w:t>
                            </w:r>
                          </w:p>
                        </w:tc>
                        <w:tc>
                          <w:tcPr>
                            <w:tcW w:w="1843" w:type="dxa"/>
                            <w:tcBorders>
                              <w:top w:val="nil"/>
                              <w:left w:val="nil"/>
                              <w:bottom w:val="nil"/>
                              <w:right w:val="single" w:sz="4" w:space="0" w:color="auto"/>
                            </w:tcBorders>
                            <w:shd w:val="clear" w:color="auto" w:fill="auto"/>
                            <w:vAlign w:val="center"/>
                            <w:hideMark/>
                          </w:tcPr>
                          <w:p>
                            <w:pPr>
                              <w:rPr>
                                <w:color w:val="000000"/>
                                <w:sz w:val="22"/>
                                <w:szCs w:val="22"/>
                              </w:rPr>
                            </w:pPr>
                            <w:r>
                              <w:rPr>
                                <w:color w:val="000000"/>
                                <w:sz w:val="22"/>
                                <w:szCs w:val="22"/>
                              </w:rPr>
                              <w:t>LT024-01-01-04</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567 647</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482 500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5.</w:t>
                            </w:r>
                          </w:p>
                        </w:tc>
                        <w:tc>
                          <w:tcPr>
                            <w:tcW w:w="229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Visuomenės sveikatos paslaugų gerinimas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LT024-01-02-01</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sveikatos priežiūros paslaugų kokybę bei sąlygas sveikai gyvensenai</w:t>
                            </w:r>
                          </w:p>
                        </w:tc>
                        <w:tc>
                          <w:tcPr>
                            <w:tcW w:w="3118"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Lygių galimybių visiems HP; Inovatyvumo (kūrybingumo)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2 266 706</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1 926 700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6.</w:t>
                            </w:r>
                          </w:p>
                        </w:tc>
                        <w:tc>
                          <w:tcPr>
                            <w:tcW w:w="229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Ilgalaikės priežiūros paslaugų plėtra</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LT024-01-02-02</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sveikatos priežiūros paslaugų kokybę bei sąlygas sveikai gyvensenai</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Lygių galimybių visiems HP; Inovatyvumo (kūrybingumo)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714 118</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607 000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7.</w:t>
                            </w:r>
                          </w:p>
                        </w:tc>
                        <w:tc>
                          <w:tcPr>
                            <w:tcW w:w="2293" w:type="dxa"/>
                            <w:tcBorders>
                              <w:top w:val="nil"/>
                              <w:left w:val="nil"/>
                              <w:bottom w:val="nil"/>
                              <w:right w:val="single" w:sz="4" w:space="0" w:color="auto"/>
                            </w:tcBorders>
                            <w:shd w:val="clear" w:color="auto" w:fill="auto"/>
                            <w:vAlign w:val="center"/>
                            <w:hideMark/>
                          </w:tcPr>
                          <w:p>
                            <w:pPr>
                              <w:rPr>
                                <w:color w:val="000000"/>
                                <w:sz w:val="22"/>
                                <w:szCs w:val="22"/>
                              </w:rPr>
                            </w:pPr>
                            <w:r>
                              <w:rPr>
                                <w:color w:val="000000"/>
                                <w:sz w:val="22"/>
                                <w:szCs w:val="22"/>
                              </w:rPr>
                              <w:t>Švietimo paslaugų prieinamumo ir kokybės gerinimas Marijampolės regione</w:t>
                            </w:r>
                          </w:p>
                        </w:tc>
                        <w:tc>
                          <w:tcPr>
                            <w:tcW w:w="1843" w:type="dxa"/>
                            <w:tcBorders>
                              <w:top w:val="nil"/>
                              <w:left w:val="nil"/>
                              <w:bottom w:val="nil"/>
                              <w:right w:val="single" w:sz="4" w:space="0" w:color="auto"/>
                            </w:tcBorders>
                            <w:shd w:val="clear" w:color="auto" w:fill="auto"/>
                            <w:vAlign w:val="center"/>
                            <w:hideMark/>
                          </w:tcPr>
                          <w:p>
                            <w:pPr>
                              <w:rPr>
                                <w:color w:val="000000"/>
                                <w:sz w:val="22"/>
                                <w:szCs w:val="22"/>
                              </w:rPr>
                            </w:pPr>
                            <w:r>
                              <w:rPr>
                                <w:color w:val="000000"/>
                                <w:sz w:val="22"/>
                                <w:szCs w:val="22"/>
                              </w:rPr>
                              <w:t>LT024-01-03-01</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švietimo paslaugų prieinamumą ir kokybę</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000000"/>
                                <w:sz w:val="22"/>
                                <w:szCs w:val="22"/>
                              </w:rPr>
                            </w:pPr>
                            <w:r>
                              <w:rPr>
                                <w:i/>
                                <w:iCs/>
                                <w:color w:val="00000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 xml:space="preserve">Darnaus vystymosi HP; </w:t>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9 571 521</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8 135 793</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nil"/>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8.</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Prielaidų investicijų pritraukimui ir ekonominiam aktyvumui sudarymas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LT024-02-01-01</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investicijų pritraukimą ir verslo plėtrą regione gerinant sąlygas investicijoms</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regiono gyventojų ekonominį aktyvumą ir didinti regiono patrauklumą</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23 659 735</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20 110 775</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nil"/>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9.</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Prielaidų miesto augimui sudarymas</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LT024-02-02-01</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regiono gyventojų ekonominį aktyvumą ir didinti regiono patrauklumą</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investicijų pritraukimą ir verslo plėtrą regione gerinant sąlygas investicijoms</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21 465 826</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18 245 952</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nil"/>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10.</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Eismo saugos priemonių diegimas</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LT024-03-01-01</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Sumažinti ŠESD emisijas regione gerinant susisiekimo ir eismo saugumo sąlygas</w:t>
                            </w:r>
                          </w:p>
                        </w:tc>
                        <w:tc>
                          <w:tcPr>
                            <w:tcW w:w="3118"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000000"/>
                                <w:sz w:val="22"/>
                                <w:szCs w:val="22"/>
                              </w:rPr>
                            </w:pPr>
                            <w:r>
                              <w:rPr>
                                <w:i/>
                                <w:iCs/>
                                <w:color w:val="00000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000000"/>
                                <w:sz w:val="22"/>
                                <w:szCs w:val="22"/>
                              </w:rPr>
                            </w:pPr>
                            <w:r>
                              <w:rPr>
                                <w:i/>
                                <w:iCs/>
                                <w:color w:val="00000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 xml:space="preserve">Darnaus vystymosi HP; </w:t>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1 235 294</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1 050 000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nil"/>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11.</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Darnaus judumo skatinimas miestuose</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LT024-03-01-02</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Sumažinti ŠESD emisijas regione gerinant susisiekimo ir eismo saugumo sąlygas</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 xml:space="preserve">Darnaus vystymosi HP; </w:t>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19 560 000</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16 626 000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both"/>
                              <w:rPr>
                                <w:color w:val="000000"/>
                                <w:sz w:val="22"/>
                                <w:szCs w:val="22"/>
                              </w:rPr>
                            </w:pPr>
                            <w:r>
                              <w:rPr>
                                <w:color w:val="000000"/>
                                <w:sz w:val="22"/>
                                <w:szCs w:val="22"/>
                              </w:rPr>
                              <w:t>12.</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Vandens tiekimo ir nuotekų sistemų plėtra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LT024-03-02-01</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tausojantį išteklių naudojimą</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 xml:space="preserve">Darnaus vystymosi HP; </w:t>
                              <w:br/>
                              <w:t>Lygių galimybių visiems HP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39 457 765</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33 539 100</w:t>
                            </w:r>
                          </w:p>
                        </w:tc>
                        <w:tc>
                          <w:tcPr>
                            <w:tcW w:w="221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single" w:sz="4" w:space="0" w:color="auto"/>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13.</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Žaliosios infrastruktūros plėtra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LT024-03-02-02</w:t>
                            </w:r>
                          </w:p>
                        </w:tc>
                        <w:tc>
                          <w:tcPr>
                            <w:tcW w:w="3544"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tausojantį išteklių naudojimą</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Sumažinti ŠESD emisijas regione gerinant susisiekimo ir eismo saugumo sąlygas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Darnaus vystymosi HP</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1 224 588</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1 040 900</w:t>
                            </w:r>
                          </w:p>
                        </w:tc>
                        <w:tc>
                          <w:tcPr>
                            <w:tcW w:w="2219"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nil"/>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14.</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Užterštų teritorijų tvarkymas</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LT024-03-02-03</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tausojantį išteklių naudojimą</w:t>
                            </w:r>
                          </w:p>
                        </w:tc>
                        <w:tc>
                          <w:tcPr>
                            <w:tcW w:w="3118"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000000"/>
                                <w:sz w:val="22"/>
                                <w:szCs w:val="22"/>
                              </w:rPr>
                            </w:pPr>
                            <w:r>
                              <w:rPr>
                                <w:i/>
                                <w:iCs/>
                                <w:color w:val="00000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000000"/>
                                <w:sz w:val="22"/>
                                <w:szCs w:val="22"/>
                              </w:rPr>
                            </w:pPr>
                            <w:r>
                              <w:rPr>
                                <w:i/>
                                <w:iCs/>
                                <w:color w:val="00000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352 941</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300 000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nil"/>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15.</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Rūšiuojamojo atliekų surinkimo skatinimas</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LT024-03-02-04</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tausojantį išteklių naudojimą</w:t>
                            </w:r>
                          </w:p>
                        </w:tc>
                        <w:tc>
                          <w:tcPr>
                            <w:tcW w:w="3118"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 xml:space="preserve">Darnaus vystymosi HP; </w:t>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6 786 412</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5 768 450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552"/>
                        </w:trPr>
                        <w:tc>
                          <w:tcPr>
                            <w:tcW w:w="542" w:type="dxa"/>
                            <w:tcBorders>
                              <w:top w:val="nil"/>
                              <w:left w:val="single" w:sz="4" w:space="0" w:color="auto"/>
                              <w:bottom w:val="single" w:sz="4" w:space="0" w:color="auto"/>
                              <w:right w:val="nil"/>
                            </w:tcBorders>
                            <w:shd w:val="clear" w:color="auto" w:fill="auto"/>
                            <w:vAlign w:val="center"/>
                            <w:hideMark/>
                          </w:tcPr>
                          <w:p>
                            <w:pPr>
                              <w:jc w:val="both"/>
                              <w:rPr>
                                <w:color w:val="000000"/>
                                <w:sz w:val="22"/>
                                <w:szCs w:val="22"/>
                              </w:rPr>
                            </w:pPr>
                            <w:r>
                              <w:rPr>
                                <w:color w:val="000000"/>
                                <w:sz w:val="22"/>
                                <w:szCs w:val="22"/>
                              </w:rPr>
                              <w:t>16.</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Oro monitoringo sistemų diegimas</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LT024-03-02-05</w:t>
                            </w:r>
                          </w:p>
                        </w:tc>
                        <w:tc>
                          <w:tcPr>
                            <w:tcW w:w="3544"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Skatinti tausojantį išteklių naudojimą</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pPr>
                              <w:ind w:firstLine="57"/>
                              <w:jc w:val="center"/>
                              <w:rPr>
                                <w:i/>
                                <w:iCs/>
                                <w:color w:val="808080"/>
                                <w:sz w:val="22"/>
                                <w:szCs w:val="22"/>
                              </w:rPr>
                            </w:pPr>
                            <w:r>
                              <w:rPr>
                                <w:i/>
                                <w:iCs/>
                                <w:color w:val="80808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492 647</w:t>
                            </w:r>
                          </w:p>
                        </w:tc>
                        <w:tc>
                          <w:tcPr>
                            <w:tcW w:w="212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418 750</w:t>
                            </w:r>
                          </w:p>
                        </w:tc>
                        <w:tc>
                          <w:tcPr>
                            <w:tcW w:w="2219"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rPr>
                            </w:pPr>
                            <w:r>
                              <w:rPr>
                                <w:color w:val="000000"/>
                                <w:sz w:val="22"/>
                                <w:szCs w:val="22"/>
                              </w:rPr>
                              <w:t>0</w:t>
                            </w:r>
                          </w:p>
                        </w:tc>
                      </w:tr>
                      <w:tr>
                        <w:trPr>
                          <w:trHeight w:val="288"/>
                        </w:trPr>
                        <w:tc>
                          <w:tcPr>
                            <w:tcW w:w="542" w:type="dxa"/>
                            <w:tcBorders>
                              <w:top w:val="nil"/>
                              <w:left w:val="single" w:sz="4" w:space="0" w:color="auto"/>
                              <w:bottom w:val="single" w:sz="4" w:space="0" w:color="auto"/>
                              <w:right w:val="single" w:sz="4" w:space="0" w:color="auto"/>
                            </w:tcBorders>
                            <w:shd w:val="clear" w:color="auto" w:fill="auto"/>
                            <w:vAlign w:val="center"/>
                            <w:hideMark/>
                          </w:tcPr>
                          <w:p>
                            <w:pPr>
                              <w:ind w:firstLine="57"/>
                              <w:jc w:val="both"/>
                              <w:rPr>
                                <w:i/>
                                <w:iCs/>
                                <w:color w:val="000000"/>
                                <w:sz w:val="22"/>
                                <w:szCs w:val="22"/>
                              </w:rPr>
                            </w:pPr>
                          </w:p>
                        </w:tc>
                        <w:tc>
                          <w:tcPr>
                            <w:tcW w:w="2293" w:type="dxa"/>
                            <w:tcBorders>
                              <w:top w:val="nil"/>
                              <w:left w:val="nil"/>
                              <w:bottom w:val="single" w:sz="4" w:space="0" w:color="auto"/>
                              <w:right w:val="single" w:sz="4" w:space="0" w:color="auto"/>
                            </w:tcBorders>
                            <w:shd w:val="clear" w:color="auto" w:fill="auto"/>
                            <w:vAlign w:val="center"/>
                            <w:hideMark/>
                          </w:tcPr>
                          <w:p>
                            <w:pPr>
                              <w:rPr>
                                <w:b/>
                                <w:bCs/>
                                <w:color w:val="000000"/>
                                <w:sz w:val="22"/>
                                <w:szCs w:val="22"/>
                              </w:rPr>
                            </w:pPr>
                            <w:r>
                              <w:rPr>
                                <w:b/>
                                <w:bCs/>
                                <w:color w:val="000000"/>
                                <w:sz w:val="22"/>
                                <w:szCs w:val="22"/>
                              </w:rPr>
                              <w:t>Iš viso</w:t>
                            </w:r>
                          </w:p>
                        </w:tc>
                        <w:tc>
                          <w:tcPr>
                            <w:tcW w:w="1843" w:type="dxa"/>
                            <w:tcBorders>
                              <w:top w:val="nil"/>
                              <w:left w:val="nil"/>
                              <w:bottom w:val="single" w:sz="4" w:space="0" w:color="auto"/>
                              <w:right w:val="single" w:sz="4" w:space="0" w:color="auto"/>
                            </w:tcBorders>
                            <w:shd w:val="clear" w:color="auto" w:fill="auto"/>
                            <w:vAlign w:val="center"/>
                            <w:hideMark/>
                          </w:tcPr>
                          <w:p>
                            <w:pPr>
                              <w:ind w:firstLine="57"/>
                              <w:rPr>
                                <w:b/>
                                <w:bCs/>
                                <w:color w:val="000000"/>
                                <w:sz w:val="22"/>
                                <w:szCs w:val="22"/>
                              </w:rPr>
                            </w:pPr>
                          </w:p>
                        </w:tc>
                        <w:tc>
                          <w:tcPr>
                            <w:tcW w:w="3544" w:type="dxa"/>
                            <w:tcBorders>
                              <w:top w:val="nil"/>
                              <w:left w:val="nil"/>
                              <w:bottom w:val="single" w:sz="4" w:space="0" w:color="auto"/>
                              <w:right w:val="single" w:sz="4" w:space="0" w:color="auto"/>
                            </w:tcBorders>
                            <w:shd w:val="clear" w:color="auto" w:fill="auto"/>
                            <w:vAlign w:val="center"/>
                            <w:hideMark/>
                          </w:tcPr>
                          <w:p>
                            <w:pPr>
                              <w:ind w:firstLine="57"/>
                              <w:rPr>
                                <w:b/>
                                <w:bCs/>
                                <w:color w:val="000000"/>
                                <w:sz w:val="22"/>
                                <w:szCs w:val="22"/>
                              </w:rPr>
                            </w:pPr>
                          </w:p>
                        </w:tc>
                        <w:tc>
                          <w:tcPr>
                            <w:tcW w:w="3118" w:type="dxa"/>
                            <w:tcBorders>
                              <w:top w:val="nil"/>
                              <w:left w:val="nil"/>
                              <w:bottom w:val="single" w:sz="4" w:space="0" w:color="auto"/>
                              <w:right w:val="single" w:sz="4" w:space="0" w:color="auto"/>
                            </w:tcBorders>
                            <w:shd w:val="clear" w:color="auto" w:fill="auto"/>
                            <w:vAlign w:val="center"/>
                            <w:hideMark/>
                          </w:tcPr>
                          <w:p>
                            <w:pPr>
                              <w:ind w:firstLine="57"/>
                              <w:rPr>
                                <w:b/>
                                <w:bCs/>
                                <w:color w:val="000000"/>
                                <w:sz w:val="22"/>
                                <w:szCs w:val="22"/>
                              </w:rPr>
                            </w:pPr>
                          </w:p>
                        </w:tc>
                        <w:tc>
                          <w:tcPr>
                            <w:tcW w:w="1276" w:type="dxa"/>
                            <w:tcBorders>
                              <w:top w:val="nil"/>
                              <w:left w:val="nil"/>
                              <w:bottom w:val="single" w:sz="4" w:space="0" w:color="auto"/>
                              <w:right w:val="single" w:sz="4" w:space="0" w:color="auto"/>
                            </w:tcBorders>
                            <w:shd w:val="clear" w:color="auto" w:fill="auto"/>
                            <w:vAlign w:val="center"/>
                            <w:hideMark/>
                          </w:tcPr>
                          <w:p>
                            <w:pPr>
                              <w:ind w:firstLine="57"/>
                              <w:rPr>
                                <w:b/>
                                <w:bCs/>
                                <w:color w:val="000000"/>
                                <w:sz w:val="22"/>
                                <w:szCs w:val="22"/>
                              </w:rPr>
                            </w:pPr>
                          </w:p>
                        </w:tc>
                        <w:tc>
                          <w:tcPr>
                            <w:tcW w:w="1843" w:type="dxa"/>
                            <w:tcBorders>
                              <w:top w:val="nil"/>
                              <w:left w:val="nil"/>
                              <w:bottom w:val="single" w:sz="4" w:space="0" w:color="auto"/>
                              <w:right w:val="single" w:sz="4" w:space="0" w:color="auto"/>
                            </w:tcBorders>
                            <w:shd w:val="clear" w:color="auto" w:fill="auto"/>
                            <w:vAlign w:val="center"/>
                            <w:hideMark/>
                          </w:tcPr>
                          <w:p>
                            <w:pPr>
                              <w:ind w:firstLine="57"/>
                              <w:rPr>
                                <w:b/>
                                <w:bCs/>
                                <w:color w:val="000000"/>
                                <w:sz w:val="22"/>
                                <w:szCs w:val="22"/>
                              </w:rPr>
                            </w:pPr>
                          </w:p>
                        </w:tc>
                        <w:tc>
                          <w:tcPr>
                            <w:tcW w:w="1701" w:type="dxa"/>
                            <w:tcBorders>
                              <w:top w:val="nil"/>
                              <w:left w:val="nil"/>
                              <w:bottom w:val="single" w:sz="4" w:space="0" w:color="auto"/>
                              <w:right w:val="single" w:sz="4" w:space="0" w:color="auto"/>
                            </w:tcBorders>
                            <w:shd w:val="clear" w:color="auto" w:fill="auto"/>
                            <w:vAlign w:val="center"/>
                            <w:hideMark/>
                          </w:tcPr>
                          <w:p>
                            <w:pPr>
                              <w:ind w:firstLine="57"/>
                              <w:rPr>
                                <w:b/>
                                <w:bCs/>
                                <w:color w:val="000000"/>
                                <w:sz w:val="22"/>
                                <w:szCs w:val="22"/>
                              </w:rPr>
                            </w:pPr>
                          </w:p>
                        </w:tc>
                        <w:tc>
                          <w:tcPr>
                            <w:tcW w:w="1559" w:type="dxa"/>
                            <w:tcBorders>
                              <w:top w:val="nil"/>
                              <w:left w:val="nil"/>
                              <w:bottom w:val="single" w:sz="4" w:space="0" w:color="auto"/>
                              <w:right w:val="single" w:sz="4" w:space="0" w:color="auto"/>
                            </w:tcBorders>
                            <w:shd w:val="clear" w:color="auto" w:fill="auto"/>
                            <w:vAlign w:val="center"/>
                            <w:hideMark/>
                          </w:tcPr>
                          <w:p>
                            <w:pPr>
                              <w:jc w:val="center"/>
                              <w:rPr>
                                <w:b/>
                                <w:bCs/>
                                <w:color w:val="000000"/>
                                <w:sz w:val="22"/>
                                <w:szCs w:val="22"/>
                              </w:rPr>
                            </w:pPr>
                            <w:r>
                              <w:rPr>
                                <w:b/>
                                <w:bCs/>
                                <w:color w:val="000000"/>
                                <w:sz w:val="22"/>
                                <w:szCs w:val="22"/>
                              </w:rPr>
                              <w:t>155 472 824</w:t>
                            </w:r>
                          </w:p>
                        </w:tc>
                        <w:tc>
                          <w:tcPr>
                            <w:tcW w:w="2126" w:type="dxa"/>
                            <w:tcBorders>
                              <w:top w:val="nil"/>
                              <w:left w:val="nil"/>
                              <w:bottom w:val="single" w:sz="4" w:space="0" w:color="auto"/>
                              <w:right w:val="single" w:sz="4" w:space="0" w:color="auto"/>
                            </w:tcBorders>
                            <w:shd w:val="clear" w:color="auto" w:fill="auto"/>
                            <w:vAlign w:val="center"/>
                            <w:hideMark/>
                          </w:tcPr>
                          <w:p>
                            <w:pPr>
                              <w:jc w:val="center"/>
                              <w:rPr>
                                <w:b/>
                                <w:bCs/>
                                <w:color w:val="000000"/>
                                <w:sz w:val="22"/>
                                <w:szCs w:val="22"/>
                              </w:rPr>
                            </w:pPr>
                            <w:r>
                              <w:rPr>
                                <w:b/>
                                <w:bCs/>
                                <w:color w:val="000000"/>
                                <w:sz w:val="22"/>
                                <w:szCs w:val="22"/>
                              </w:rPr>
                              <w:t>132 151 900</w:t>
                            </w:r>
                          </w:p>
                        </w:tc>
                        <w:tc>
                          <w:tcPr>
                            <w:tcW w:w="2219" w:type="dxa"/>
                            <w:tcBorders>
                              <w:top w:val="nil"/>
                              <w:left w:val="nil"/>
                              <w:bottom w:val="single" w:sz="4" w:space="0" w:color="auto"/>
                              <w:right w:val="single" w:sz="4" w:space="0" w:color="auto"/>
                            </w:tcBorders>
                            <w:shd w:val="clear" w:color="auto" w:fill="auto"/>
                            <w:vAlign w:val="center"/>
                            <w:hideMark/>
                          </w:tcPr>
                          <w:p>
                            <w:pPr>
                              <w:jc w:val="center"/>
                              <w:rPr>
                                <w:b/>
                                <w:bCs/>
                                <w:color w:val="000000"/>
                                <w:sz w:val="22"/>
                                <w:szCs w:val="22"/>
                              </w:rPr>
                            </w:pPr>
                            <w:r>
                              <w:rPr>
                                <w:b/>
                                <w:bCs/>
                                <w:color w:val="000000"/>
                                <w:sz w:val="22"/>
                                <w:szCs w:val="22"/>
                              </w:rPr>
                              <w:t>0</w:t>
                            </w:r>
                          </w:p>
                        </w:tc>
                      </w:tr>
                      <w:tr>
                        <w:trPr>
                          <w:trHeight w:val="288"/>
                        </w:trPr>
                        <w:tc>
                          <w:tcPr>
                            <w:tcW w:w="542" w:type="dxa"/>
                            <w:tcBorders>
                              <w:top w:val="nil"/>
                              <w:left w:val="nil"/>
                              <w:bottom w:val="nil"/>
                              <w:right w:val="nil"/>
                            </w:tcBorders>
                            <w:shd w:val="clear" w:color="auto" w:fill="auto"/>
                            <w:vAlign w:val="center"/>
                            <w:hideMark/>
                          </w:tcPr>
                          <w:p>
                            <w:pPr>
                              <w:jc w:val="center"/>
                              <w:rPr>
                                <w:b/>
                                <w:bCs/>
                                <w:color w:val="000000"/>
                                <w:sz w:val="22"/>
                                <w:szCs w:val="22"/>
                              </w:rPr>
                            </w:pPr>
                          </w:p>
                        </w:tc>
                        <w:tc>
                          <w:tcPr>
                            <w:tcW w:w="2293" w:type="dxa"/>
                            <w:tcBorders>
                              <w:top w:val="nil"/>
                              <w:left w:val="nil"/>
                              <w:bottom w:val="nil"/>
                              <w:right w:val="nil"/>
                            </w:tcBorders>
                            <w:shd w:val="clear" w:color="auto" w:fill="auto"/>
                            <w:vAlign w:val="center"/>
                            <w:hideMark/>
                          </w:tcPr>
                          <w:p>
                            <w:pPr>
                              <w:ind w:firstLine="57"/>
                              <w:rPr>
                                <w:b/>
                                <w:bCs/>
                                <w:color w:val="000000"/>
                                <w:sz w:val="22"/>
                                <w:szCs w:val="22"/>
                              </w:rPr>
                            </w:pPr>
                          </w:p>
                        </w:tc>
                        <w:tc>
                          <w:tcPr>
                            <w:tcW w:w="1843" w:type="dxa"/>
                            <w:tcBorders>
                              <w:top w:val="nil"/>
                              <w:left w:val="nil"/>
                              <w:bottom w:val="nil"/>
                              <w:right w:val="nil"/>
                            </w:tcBorders>
                            <w:shd w:val="clear" w:color="auto" w:fill="auto"/>
                            <w:vAlign w:val="center"/>
                            <w:hideMark/>
                          </w:tcPr>
                          <w:p>
                            <w:pPr>
                              <w:ind w:firstLine="57"/>
                              <w:rPr>
                                <w:b/>
                                <w:bCs/>
                                <w:color w:val="000000"/>
                                <w:sz w:val="22"/>
                                <w:szCs w:val="22"/>
                              </w:rPr>
                            </w:pPr>
                          </w:p>
                        </w:tc>
                        <w:tc>
                          <w:tcPr>
                            <w:tcW w:w="3544" w:type="dxa"/>
                            <w:tcBorders>
                              <w:top w:val="nil"/>
                              <w:left w:val="nil"/>
                              <w:bottom w:val="nil"/>
                              <w:right w:val="nil"/>
                            </w:tcBorders>
                            <w:shd w:val="clear" w:color="auto" w:fill="auto"/>
                            <w:vAlign w:val="center"/>
                            <w:hideMark/>
                          </w:tcPr>
                          <w:p>
                            <w:pPr>
                              <w:ind w:firstLine="57"/>
                              <w:rPr>
                                <w:b/>
                                <w:bCs/>
                                <w:color w:val="000000"/>
                                <w:sz w:val="22"/>
                                <w:szCs w:val="22"/>
                              </w:rPr>
                            </w:pPr>
                          </w:p>
                        </w:tc>
                        <w:tc>
                          <w:tcPr>
                            <w:tcW w:w="3118" w:type="dxa"/>
                            <w:tcBorders>
                              <w:top w:val="nil"/>
                              <w:left w:val="nil"/>
                              <w:bottom w:val="nil"/>
                              <w:right w:val="nil"/>
                            </w:tcBorders>
                            <w:shd w:val="clear" w:color="auto" w:fill="auto"/>
                            <w:vAlign w:val="center"/>
                            <w:hideMark/>
                          </w:tcPr>
                          <w:p>
                            <w:pPr>
                              <w:ind w:firstLine="57"/>
                              <w:rPr>
                                <w:b/>
                                <w:bCs/>
                                <w:color w:val="000000"/>
                                <w:sz w:val="22"/>
                                <w:szCs w:val="22"/>
                              </w:rPr>
                            </w:pPr>
                          </w:p>
                        </w:tc>
                        <w:tc>
                          <w:tcPr>
                            <w:tcW w:w="1276" w:type="dxa"/>
                            <w:tcBorders>
                              <w:top w:val="nil"/>
                              <w:left w:val="nil"/>
                              <w:bottom w:val="nil"/>
                              <w:right w:val="nil"/>
                            </w:tcBorders>
                            <w:shd w:val="clear" w:color="auto" w:fill="auto"/>
                            <w:vAlign w:val="center"/>
                            <w:hideMark/>
                          </w:tcPr>
                          <w:p>
                            <w:pPr>
                              <w:ind w:firstLine="57"/>
                              <w:rPr>
                                <w:b/>
                                <w:bCs/>
                                <w:color w:val="000000"/>
                                <w:sz w:val="22"/>
                                <w:szCs w:val="22"/>
                              </w:rPr>
                            </w:pPr>
                          </w:p>
                        </w:tc>
                        <w:tc>
                          <w:tcPr>
                            <w:tcW w:w="1843" w:type="dxa"/>
                            <w:tcBorders>
                              <w:top w:val="nil"/>
                              <w:left w:val="nil"/>
                              <w:bottom w:val="nil"/>
                              <w:right w:val="nil"/>
                            </w:tcBorders>
                            <w:shd w:val="clear" w:color="auto" w:fill="auto"/>
                            <w:vAlign w:val="center"/>
                            <w:hideMark/>
                          </w:tcPr>
                          <w:p>
                            <w:pPr>
                              <w:ind w:firstLine="57"/>
                              <w:rPr>
                                <w:b/>
                                <w:bCs/>
                                <w:color w:val="000000"/>
                                <w:sz w:val="22"/>
                                <w:szCs w:val="22"/>
                              </w:rPr>
                            </w:pPr>
                          </w:p>
                        </w:tc>
                        <w:tc>
                          <w:tcPr>
                            <w:tcW w:w="1701" w:type="dxa"/>
                            <w:tcBorders>
                              <w:top w:val="nil"/>
                              <w:left w:val="nil"/>
                              <w:bottom w:val="nil"/>
                              <w:right w:val="nil"/>
                            </w:tcBorders>
                            <w:shd w:val="clear" w:color="auto" w:fill="auto"/>
                            <w:vAlign w:val="center"/>
                            <w:hideMark/>
                          </w:tcPr>
                          <w:p>
                            <w:pPr>
                              <w:ind w:firstLine="57"/>
                              <w:rPr>
                                <w:b/>
                                <w:bCs/>
                                <w:color w:val="000000"/>
                                <w:sz w:val="22"/>
                                <w:szCs w:val="22"/>
                              </w:rPr>
                            </w:pPr>
                          </w:p>
                        </w:tc>
                        <w:tc>
                          <w:tcPr>
                            <w:tcW w:w="1559" w:type="dxa"/>
                            <w:tcBorders>
                              <w:top w:val="nil"/>
                              <w:left w:val="nil"/>
                              <w:bottom w:val="nil"/>
                              <w:right w:val="nil"/>
                            </w:tcBorders>
                            <w:shd w:val="clear" w:color="auto" w:fill="auto"/>
                            <w:vAlign w:val="center"/>
                            <w:hideMark/>
                          </w:tcPr>
                          <w:p>
                            <w:pPr>
                              <w:rPr>
                                <w:b/>
                                <w:bCs/>
                                <w:color w:val="000000"/>
                                <w:sz w:val="22"/>
                                <w:szCs w:val="22"/>
                              </w:rPr>
                            </w:pPr>
                          </w:p>
                        </w:tc>
                        <w:tc>
                          <w:tcPr>
                            <w:tcW w:w="2126" w:type="dxa"/>
                            <w:tcBorders>
                              <w:top w:val="nil"/>
                              <w:left w:val="nil"/>
                              <w:bottom w:val="nil"/>
                              <w:right w:val="nil"/>
                            </w:tcBorders>
                            <w:shd w:val="clear" w:color="auto" w:fill="auto"/>
                            <w:vAlign w:val="center"/>
                            <w:hideMark/>
                          </w:tcPr>
                          <w:p>
                            <w:pPr>
                              <w:rPr>
                                <w:sz w:val="20"/>
                              </w:rPr>
                            </w:pPr>
                          </w:p>
                        </w:tc>
                        <w:tc>
                          <w:tcPr>
                            <w:tcW w:w="2219" w:type="dxa"/>
                            <w:tcBorders>
                              <w:top w:val="nil"/>
                              <w:left w:val="nil"/>
                              <w:bottom w:val="nil"/>
                              <w:right w:val="nil"/>
                            </w:tcBorders>
                            <w:shd w:val="clear" w:color="auto" w:fill="auto"/>
                            <w:vAlign w:val="center"/>
                            <w:hideMark/>
                          </w:tcPr>
                          <w:p>
                            <w:pPr>
                              <w:ind w:firstLine="57"/>
                              <w:rPr>
                                <w:b/>
                                <w:bCs/>
                                <w:color w:val="000000"/>
                                <w:sz w:val="22"/>
                                <w:szCs w:val="22"/>
                              </w:rPr>
                            </w:pPr>
                          </w:p>
                        </w:tc>
                      </w:tr>
                      <w:tr>
                        <w:trPr>
                          <w:trHeight w:val="288"/>
                        </w:trPr>
                        <w:tc>
                          <w:tcPr>
                            <w:tcW w:w="542" w:type="dxa"/>
                            <w:tcBorders>
                              <w:top w:val="nil"/>
                              <w:left w:val="nil"/>
                              <w:bottom w:val="nil"/>
                              <w:right w:val="nil"/>
                            </w:tcBorders>
                            <w:shd w:val="clear" w:color="auto" w:fill="auto"/>
                            <w:noWrap/>
                            <w:vAlign w:val="bottom"/>
                            <w:hideMark/>
                          </w:tcPr>
                          <w:p>
                            <w:pPr>
                              <w:rPr>
                                <w:b/>
                                <w:bCs/>
                                <w:color w:val="000000"/>
                                <w:sz w:val="22"/>
                                <w:szCs w:val="22"/>
                              </w:rPr>
                            </w:pPr>
                          </w:p>
                        </w:tc>
                        <w:tc>
                          <w:tcPr>
                            <w:tcW w:w="21522" w:type="dxa"/>
                            <w:gridSpan w:val="10"/>
                            <w:tcBorders>
                              <w:top w:val="nil"/>
                              <w:left w:val="nil"/>
                              <w:bottom w:val="nil"/>
                              <w:right w:val="nil"/>
                            </w:tcBorders>
                            <w:shd w:val="clear" w:color="auto" w:fill="auto"/>
                            <w:noWrap/>
                            <w:vAlign w:val="bottom"/>
                            <w:hideMark/>
                          </w:tcPr>
                          <w:p>
                            <w:pPr>
                              <w:rPr>
                                <w:color w:val="000000"/>
                                <w:sz w:val="22"/>
                                <w:szCs w:val="22"/>
                              </w:rPr>
                            </w:pPr>
                            <w:r>
                              <w:rPr>
                                <w:color w:val="000000"/>
                                <w:sz w:val="22"/>
                                <w:szCs w:val="22"/>
                              </w:rPr>
                              <w:t xml:space="preserve">* - pažangos lėšų poreikis – preliminarus ir bus tikslinamas atitinkamoms ministerijoms patvirtinus regioninių pažangos priemonių finansavimo gaires. </w:t>
                            </w:r>
                          </w:p>
                        </w:tc>
                      </w:tr>
                      <w:tr>
                        <w:trPr>
                          <w:trHeight w:val="288"/>
                        </w:trPr>
                        <w:tc>
                          <w:tcPr>
                            <w:tcW w:w="542" w:type="dxa"/>
                            <w:tcBorders>
                              <w:top w:val="nil"/>
                              <w:left w:val="nil"/>
                              <w:bottom w:val="nil"/>
                              <w:right w:val="nil"/>
                            </w:tcBorders>
                            <w:shd w:val="clear" w:color="auto" w:fill="auto"/>
                            <w:noWrap/>
                            <w:vAlign w:val="bottom"/>
                            <w:hideMark/>
                          </w:tcPr>
                          <w:p>
                            <w:pPr>
                              <w:rPr>
                                <w:color w:val="000000"/>
                                <w:sz w:val="22"/>
                                <w:szCs w:val="22"/>
                              </w:rPr>
                            </w:pPr>
                          </w:p>
                        </w:tc>
                        <w:tc>
                          <w:tcPr>
                            <w:tcW w:w="2293" w:type="dxa"/>
                            <w:tcBorders>
                              <w:top w:val="nil"/>
                              <w:left w:val="nil"/>
                              <w:bottom w:val="nil"/>
                              <w:right w:val="nil"/>
                            </w:tcBorders>
                            <w:shd w:val="clear" w:color="auto" w:fill="auto"/>
                            <w:noWrap/>
                            <w:vAlign w:val="bottom"/>
                            <w:hideMark/>
                          </w:tcPr>
                          <w:p>
                            <w:pPr>
                              <w:rPr>
                                <w:sz w:val="20"/>
                              </w:rPr>
                            </w:pPr>
                          </w:p>
                        </w:tc>
                        <w:tc>
                          <w:tcPr>
                            <w:tcW w:w="1843" w:type="dxa"/>
                            <w:tcBorders>
                              <w:top w:val="nil"/>
                              <w:left w:val="nil"/>
                              <w:bottom w:val="nil"/>
                              <w:right w:val="nil"/>
                            </w:tcBorders>
                            <w:shd w:val="clear" w:color="auto" w:fill="auto"/>
                            <w:noWrap/>
                            <w:vAlign w:val="bottom"/>
                            <w:hideMark/>
                          </w:tcPr>
                          <w:p>
                            <w:pPr>
                              <w:rPr>
                                <w:sz w:val="20"/>
                              </w:rPr>
                            </w:pPr>
                          </w:p>
                        </w:tc>
                        <w:tc>
                          <w:tcPr>
                            <w:tcW w:w="3544" w:type="dxa"/>
                            <w:tcBorders>
                              <w:top w:val="nil"/>
                              <w:left w:val="nil"/>
                              <w:bottom w:val="nil"/>
                              <w:right w:val="nil"/>
                            </w:tcBorders>
                            <w:shd w:val="clear" w:color="auto" w:fill="auto"/>
                            <w:noWrap/>
                            <w:vAlign w:val="bottom"/>
                            <w:hideMark/>
                          </w:tcPr>
                          <w:p>
                            <w:pPr>
                              <w:rPr>
                                <w:sz w:val="20"/>
                              </w:rPr>
                            </w:pPr>
                          </w:p>
                        </w:tc>
                        <w:tc>
                          <w:tcPr>
                            <w:tcW w:w="3118" w:type="dxa"/>
                            <w:tcBorders>
                              <w:top w:val="nil"/>
                              <w:left w:val="nil"/>
                              <w:bottom w:val="nil"/>
                              <w:right w:val="nil"/>
                            </w:tcBorders>
                            <w:shd w:val="clear" w:color="auto" w:fill="auto"/>
                            <w:noWrap/>
                            <w:vAlign w:val="bottom"/>
                            <w:hideMark/>
                          </w:tcPr>
                          <w:p>
                            <w:pPr>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843" w:type="dxa"/>
                            <w:tcBorders>
                              <w:top w:val="nil"/>
                              <w:left w:val="nil"/>
                              <w:bottom w:val="nil"/>
                              <w:right w:val="nil"/>
                            </w:tcBorders>
                            <w:shd w:val="clear" w:color="auto" w:fill="auto"/>
                            <w:noWrap/>
                            <w:vAlign w:val="bottom"/>
                            <w:hideMark/>
                          </w:tcPr>
                          <w:p>
                            <w:pPr>
                              <w:rPr>
                                <w:sz w:val="20"/>
                              </w:rPr>
                            </w:pPr>
                          </w:p>
                        </w:tc>
                        <w:tc>
                          <w:tcPr>
                            <w:tcW w:w="1701" w:type="dxa"/>
                            <w:tcBorders>
                              <w:top w:val="nil"/>
                              <w:left w:val="nil"/>
                              <w:bottom w:val="nil"/>
                              <w:right w:val="nil"/>
                            </w:tcBorders>
                            <w:shd w:val="clear" w:color="auto" w:fill="auto"/>
                            <w:noWrap/>
                            <w:vAlign w:val="bottom"/>
                            <w:hideMark/>
                          </w:tcPr>
                          <w:p>
                            <w:pPr>
                              <w:rPr>
                                <w:sz w:val="20"/>
                              </w:rPr>
                            </w:pPr>
                          </w:p>
                        </w:tc>
                        <w:tc>
                          <w:tcPr>
                            <w:tcW w:w="1559" w:type="dxa"/>
                            <w:tcBorders>
                              <w:top w:val="nil"/>
                              <w:left w:val="nil"/>
                              <w:bottom w:val="nil"/>
                              <w:right w:val="nil"/>
                            </w:tcBorders>
                            <w:shd w:val="clear" w:color="auto" w:fill="auto"/>
                            <w:noWrap/>
                            <w:vAlign w:val="bottom"/>
                            <w:hideMark/>
                          </w:tcPr>
                          <w:p>
                            <w:pPr>
                              <w:rPr>
                                <w:sz w:val="20"/>
                              </w:rPr>
                            </w:pPr>
                          </w:p>
                        </w:tc>
                        <w:tc>
                          <w:tcPr>
                            <w:tcW w:w="2126" w:type="dxa"/>
                            <w:tcBorders>
                              <w:top w:val="nil"/>
                              <w:left w:val="nil"/>
                              <w:bottom w:val="nil"/>
                              <w:right w:val="nil"/>
                            </w:tcBorders>
                            <w:shd w:val="clear" w:color="auto" w:fill="auto"/>
                            <w:noWrap/>
                            <w:vAlign w:val="bottom"/>
                            <w:hideMark/>
                          </w:tcPr>
                          <w:p>
                            <w:pPr>
                              <w:rPr>
                                <w:sz w:val="20"/>
                              </w:rPr>
                            </w:pPr>
                          </w:p>
                        </w:tc>
                        <w:tc>
                          <w:tcPr>
                            <w:tcW w:w="2219" w:type="dxa"/>
                            <w:tcBorders>
                              <w:top w:val="nil"/>
                              <w:left w:val="nil"/>
                              <w:bottom w:val="nil"/>
                              <w:right w:val="nil"/>
                            </w:tcBorders>
                            <w:shd w:val="clear" w:color="auto" w:fill="auto"/>
                            <w:noWrap/>
                            <w:vAlign w:val="bottom"/>
                            <w:hideMark/>
                          </w:tcPr>
                          <w:p>
                            <w:pPr>
                              <w:rPr>
                                <w:sz w:val="20"/>
                              </w:rPr>
                            </w:pPr>
                          </w:p>
                        </w:tc>
                      </w:tr>
                    </w:tbl>
                    <w:p>
                      <w:pPr>
                        <w:spacing w:line="276" w:lineRule="auto"/>
                        <w:rPr>
                          <w:szCs w:val="24"/>
                        </w:rPr>
                      </w:pPr>
                    </w:p>
                    <w:p>
                      <w:pPr>
                        <w:spacing w:line="276" w:lineRule="auto"/>
                        <w:rPr>
                          <w:szCs w:val="24"/>
                        </w:rPr>
                      </w:pPr>
                    </w:p>
                    <w:tbl>
                      <w:tblPr>
                        <w:tblW w:w="21972" w:type="dxa"/>
                        <w:tblLook w:val="04A0" w:firstRow="1" w:lastRow="0" w:firstColumn="1" w:lastColumn="0" w:noHBand="0" w:noVBand="1"/>
                      </w:tblPr>
                      <w:tblGrid>
                        <w:gridCol w:w="1418"/>
                        <w:gridCol w:w="888"/>
                        <w:gridCol w:w="1314"/>
                        <w:gridCol w:w="1342"/>
                        <w:gridCol w:w="1134"/>
                        <w:gridCol w:w="1070"/>
                        <w:gridCol w:w="1057"/>
                        <w:gridCol w:w="1134"/>
                        <w:gridCol w:w="1417"/>
                        <w:gridCol w:w="1418"/>
                        <w:gridCol w:w="1701"/>
                        <w:gridCol w:w="1276"/>
                        <w:gridCol w:w="3117"/>
                        <w:gridCol w:w="1276"/>
                        <w:gridCol w:w="1251"/>
                        <w:gridCol w:w="1159"/>
                      </w:tblGrid>
                      <w:tr>
                        <w:trPr>
                          <w:trHeight w:val="288"/>
                        </w:trPr>
                        <w:tc>
                          <w:tcPr>
                            <w:tcW w:w="21972" w:type="dxa"/>
                            <w:gridSpan w:val="16"/>
                            <w:tcBorders>
                              <w:top w:val="nil"/>
                              <w:left w:val="nil"/>
                              <w:bottom w:val="nil"/>
                              <w:right w:val="nil"/>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IV SKYRIUS</w:t>
                            </w:r>
                          </w:p>
                        </w:tc>
                      </w:tr>
                      <w:tr>
                        <w:trPr>
                          <w:trHeight w:val="288"/>
                        </w:trPr>
                        <w:tc>
                          <w:tcPr>
                            <w:tcW w:w="21972" w:type="dxa"/>
                            <w:gridSpan w:val="16"/>
                            <w:tcBorders>
                              <w:top w:val="nil"/>
                              <w:left w:val="nil"/>
                              <w:bottom w:val="nil"/>
                              <w:right w:val="nil"/>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PAŽANGOS PRIEMONIŲ APRAŠAS</w:t>
                            </w:r>
                          </w:p>
                        </w:tc>
                      </w:tr>
                      <w:tr>
                        <w:trPr>
                          <w:trHeight w:val="288"/>
                        </w:trPr>
                        <w:tc>
                          <w:tcPr>
                            <w:tcW w:w="1418" w:type="dxa"/>
                            <w:tcBorders>
                              <w:top w:val="nil"/>
                              <w:left w:val="nil"/>
                              <w:bottom w:val="nil"/>
                              <w:right w:val="nil"/>
                            </w:tcBorders>
                            <w:shd w:val="clear" w:color="auto" w:fill="auto"/>
                            <w:noWrap/>
                            <w:vAlign w:val="bottom"/>
                            <w:hideMark/>
                          </w:tcPr>
                          <w:p>
                            <w:pPr>
                              <w:jc w:val="center"/>
                              <w:rPr>
                                <w:b/>
                                <w:bCs/>
                                <w:color w:val="000000"/>
                                <w:sz w:val="22"/>
                                <w:szCs w:val="22"/>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21972" w:type="dxa"/>
                            <w:gridSpan w:val="16"/>
                            <w:tcBorders>
                              <w:top w:val="nil"/>
                              <w:left w:val="nil"/>
                              <w:bottom w:val="nil"/>
                              <w:right w:val="nil"/>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I SKIRSNIS</w:t>
                            </w:r>
                          </w:p>
                        </w:tc>
                      </w:tr>
                      <w:tr>
                        <w:trPr>
                          <w:trHeight w:val="288"/>
                        </w:trPr>
                        <w:tc>
                          <w:tcPr>
                            <w:tcW w:w="21972" w:type="dxa"/>
                            <w:gridSpan w:val="16"/>
                            <w:tcBorders>
                              <w:top w:val="nil"/>
                              <w:left w:val="nil"/>
                              <w:bottom w:val="nil"/>
                              <w:right w:val="nil"/>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trPr>
                          <w:trHeight w:val="288"/>
                        </w:trPr>
                        <w:tc>
                          <w:tcPr>
                            <w:tcW w:w="1418" w:type="dxa"/>
                            <w:tcBorders>
                              <w:top w:val="nil"/>
                              <w:left w:val="nil"/>
                              <w:bottom w:val="nil"/>
                              <w:right w:val="nil"/>
                            </w:tcBorders>
                            <w:shd w:val="clear" w:color="auto" w:fill="auto"/>
                            <w:noWrap/>
                            <w:vAlign w:val="bottom"/>
                            <w:hideMark/>
                          </w:tcPr>
                          <w:p>
                            <w:pPr>
                              <w:jc w:val="center"/>
                              <w:rPr>
                                <w:b/>
                                <w:bCs/>
                                <w:color w:val="000000"/>
                                <w:sz w:val="22"/>
                                <w:szCs w:val="22"/>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300"/>
                        </w:trPr>
                        <w:tc>
                          <w:tcPr>
                            <w:tcW w:w="21972" w:type="dxa"/>
                            <w:gridSpan w:val="16"/>
                            <w:tcBorders>
                              <w:top w:val="nil"/>
                              <w:left w:val="nil"/>
                              <w:bottom w:val="nil"/>
                              <w:right w:val="nil"/>
                            </w:tcBorders>
                            <w:shd w:val="clear" w:color="auto" w:fill="auto"/>
                            <w:noWrap/>
                            <w:vAlign w:val="bottom"/>
                            <w:hideMark/>
                          </w:tcPr>
                          <w:p>
                            <w:pPr>
                              <w:rPr>
                                <w:sz w:val="20"/>
                                <w:lang w:eastAsia="lt-LT"/>
                              </w:rPr>
                            </w:pPr>
                            <w:r>
                              <w:rPr>
                                <w:b/>
                                <w:bCs/>
                                <w:color w:val="000000"/>
                                <w:sz w:val="22"/>
                                <w:szCs w:val="22"/>
                                <w:lang w:eastAsia="lt-LT"/>
                              </w:rPr>
                              <w:t>4 lentelė. Pažangos priemonės įgyvendinimo rezultato rodikliai</w:t>
                            </w:r>
                          </w:p>
                        </w:tc>
                      </w:tr>
                      <w:tr>
                        <w:trPr>
                          <w:trHeight w:val="300"/>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lang w:eastAsia="lt-LT"/>
                              </w:rPr>
                            </w:pPr>
                            <w:r>
                              <w:rPr>
                                <w:b/>
                                <w:bCs/>
                                <w:color w:val="000000"/>
                                <w:sz w:val="22"/>
                                <w:szCs w:val="22"/>
                                <w:lang w:eastAsia="lt-LT"/>
                              </w:rPr>
                              <w:t>Eil. Nr.</w:t>
                            </w:r>
                          </w:p>
                        </w:tc>
                        <w:tc>
                          <w:tcPr>
                            <w:tcW w:w="2202"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lang w:eastAsia="lt-LT"/>
                              </w:rPr>
                            </w:pPr>
                            <w:r>
                              <w:rPr>
                                <w:b/>
                                <w:bCs/>
                                <w:color w:val="000000"/>
                                <w:sz w:val="22"/>
                                <w:szCs w:val="22"/>
                                <w:lang w:eastAsia="lt-LT"/>
                              </w:rPr>
                              <w:t>Rodiklio kodas</w:t>
                            </w:r>
                          </w:p>
                        </w:tc>
                        <w:tc>
                          <w:tcPr>
                            <w:tcW w:w="7154"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pPr>
                              <w:jc w:val="center"/>
                              <w:rPr>
                                <w:b/>
                                <w:bCs/>
                                <w:color w:val="000000"/>
                                <w:sz w:val="22"/>
                                <w:szCs w:val="22"/>
                                <w:lang w:eastAsia="lt-LT"/>
                              </w:rPr>
                            </w:pPr>
                            <w:r>
                              <w:rPr>
                                <w:b/>
                                <w:bCs/>
                                <w:color w:val="000000"/>
                                <w:sz w:val="22"/>
                                <w:szCs w:val="22"/>
                                <w:lang w:eastAsia="lt-LT"/>
                              </w:rPr>
                              <w:t>Rodiklio pavadinimas (matavimo vienetas)</w:t>
                            </w:r>
                          </w:p>
                        </w:tc>
                        <w:tc>
                          <w:tcPr>
                            <w:tcW w:w="439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pPr>
                              <w:jc w:val="center"/>
                              <w:rPr>
                                <w:b/>
                                <w:bCs/>
                                <w:color w:val="000000"/>
                                <w:sz w:val="22"/>
                                <w:szCs w:val="22"/>
                                <w:lang w:eastAsia="lt-LT"/>
                              </w:rPr>
                            </w:pPr>
                            <w:r>
                              <w:rPr>
                                <w:b/>
                                <w:bCs/>
                                <w:color w:val="000000"/>
                                <w:sz w:val="22"/>
                                <w:szCs w:val="22"/>
                                <w:lang w:eastAsia="lt-LT"/>
                              </w:rPr>
                              <w:t>Pradinė rodiklio reikšmė (2022)</w:t>
                            </w:r>
                          </w:p>
                        </w:tc>
                        <w:tc>
                          <w:tcPr>
                            <w:tcW w:w="6803" w:type="dxa"/>
                            <w:gridSpan w:val="4"/>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22"/>
                                <w:szCs w:val="22"/>
                                <w:lang w:eastAsia="lt-LT"/>
                              </w:rPr>
                            </w:pPr>
                            <w:r>
                              <w:rPr>
                                <w:b/>
                                <w:bCs/>
                                <w:color w:val="000000"/>
                                <w:sz w:val="22"/>
                                <w:szCs w:val="22"/>
                                <w:lang w:eastAsia="lt-LT"/>
                              </w:rPr>
                              <w:t>Siektinos rodiklio reikšmės*</w:t>
                            </w:r>
                          </w:p>
                        </w:tc>
                      </w:tr>
                      <w:tr>
                        <w:trPr>
                          <w:trHeight w:val="28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2202" w:type="dxa"/>
                            <w:gridSpan w:val="2"/>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7154" w:type="dxa"/>
                            <w:gridSpan w:val="6"/>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4395" w:type="dxa"/>
                            <w:gridSpan w:val="3"/>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3117" w:type="dxa"/>
                            <w:tcBorders>
                              <w:top w:val="nil"/>
                              <w:left w:val="nil"/>
                              <w:bottom w:val="single" w:sz="4" w:space="0" w:color="auto"/>
                              <w:right w:val="single" w:sz="4" w:space="0" w:color="auto"/>
                            </w:tcBorders>
                            <w:shd w:val="clear" w:color="000000" w:fill="DBE5F1"/>
                            <w:noWrap/>
                            <w:vAlign w:val="center"/>
                            <w:hideMark/>
                          </w:tcPr>
                          <w:p>
                            <w:pPr>
                              <w:jc w:val="center"/>
                              <w:rPr>
                                <w:b/>
                                <w:bCs/>
                                <w:color w:val="000000"/>
                                <w:sz w:val="22"/>
                                <w:szCs w:val="22"/>
                                <w:lang w:eastAsia="lt-LT"/>
                              </w:rPr>
                            </w:pPr>
                            <w:r>
                              <w:rPr>
                                <w:b/>
                                <w:bCs/>
                                <w:color w:val="000000"/>
                                <w:sz w:val="22"/>
                                <w:szCs w:val="22"/>
                                <w:lang w:eastAsia="lt-LT"/>
                              </w:rPr>
                              <w:t>Tarpinė siektina reikšmė (2024)</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22"/>
                                <w:szCs w:val="22"/>
                                <w:lang w:eastAsia="lt-LT"/>
                              </w:rPr>
                            </w:pPr>
                            <w:r>
                              <w:rPr>
                                <w:b/>
                                <w:bCs/>
                                <w:color w:val="000000"/>
                                <w:sz w:val="22"/>
                                <w:szCs w:val="22"/>
                                <w:lang w:eastAsia="lt-LT"/>
                              </w:rPr>
                              <w:t>Galutinė siektina reikšmė (2029)</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18"/>
                                <w:szCs w:val="18"/>
                                <w:lang w:eastAsia="lt-LT"/>
                              </w:rPr>
                            </w:pPr>
                            <w:r>
                              <w:rPr>
                                <w:b/>
                                <w:bCs/>
                                <w:color w:val="000000"/>
                                <w:sz w:val="18"/>
                                <w:szCs w:val="18"/>
                                <w:lang w:eastAsia="lt-LT"/>
                              </w:rPr>
                              <w:t>1</w:t>
                            </w:r>
                          </w:p>
                        </w:tc>
                        <w:tc>
                          <w:tcPr>
                            <w:tcW w:w="2202" w:type="dxa"/>
                            <w:gridSpan w:val="2"/>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18"/>
                                <w:szCs w:val="18"/>
                                <w:lang w:eastAsia="lt-LT"/>
                              </w:rPr>
                            </w:pPr>
                            <w:r>
                              <w:rPr>
                                <w:b/>
                                <w:bCs/>
                                <w:color w:val="000000"/>
                                <w:sz w:val="18"/>
                                <w:szCs w:val="18"/>
                                <w:lang w:eastAsia="lt-LT"/>
                              </w:rPr>
                              <w:t>2</w:t>
                            </w:r>
                          </w:p>
                        </w:tc>
                        <w:tc>
                          <w:tcPr>
                            <w:tcW w:w="7154" w:type="dxa"/>
                            <w:gridSpan w:val="6"/>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18"/>
                                <w:szCs w:val="18"/>
                                <w:lang w:eastAsia="lt-LT"/>
                              </w:rPr>
                            </w:pPr>
                            <w:r>
                              <w:rPr>
                                <w:b/>
                                <w:bCs/>
                                <w:color w:val="000000"/>
                                <w:sz w:val="18"/>
                                <w:szCs w:val="18"/>
                                <w:lang w:eastAsia="lt-LT"/>
                              </w:rPr>
                              <w:t>3</w:t>
                            </w:r>
                          </w:p>
                        </w:tc>
                        <w:tc>
                          <w:tcPr>
                            <w:tcW w:w="4395" w:type="dxa"/>
                            <w:gridSpan w:val="3"/>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18"/>
                                <w:szCs w:val="18"/>
                                <w:lang w:eastAsia="lt-LT"/>
                              </w:rPr>
                            </w:pPr>
                            <w:r>
                              <w:rPr>
                                <w:b/>
                                <w:bCs/>
                                <w:color w:val="000000"/>
                                <w:sz w:val="18"/>
                                <w:szCs w:val="18"/>
                                <w:lang w:eastAsia="lt-LT"/>
                              </w:rPr>
                              <w:t>4</w:t>
                            </w:r>
                          </w:p>
                        </w:tc>
                        <w:tc>
                          <w:tcPr>
                            <w:tcW w:w="3117" w:type="dxa"/>
                            <w:tcBorders>
                              <w:top w:val="nil"/>
                              <w:left w:val="nil"/>
                              <w:bottom w:val="single" w:sz="4" w:space="0" w:color="auto"/>
                              <w:right w:val="single" w:sz="4" w:space="0" w:color="auto"/>
                            </w:tcBorders>
                            <w:shd w:val="clear" w:color="000000" w:fill="DBE5F1"/>
                            <w:noWrap/>
                            <w:vAlign w:val="center"/>
                            <w:hideMark/>
                          </w:tcPr>
                          <w:p>
                            <w:pPr>
                              <w:jc w:val="center"/>
                              <w:rPr>
                                <w:b/>
                                <w:bCs/>
                                <w:color w:val="000000"/>
                                <w:sz w:val="18"/>
                                <w:szCs w:val="18"/>
                                <w:lang w:eastAsia="lt-LT"/>
                              </w:rPr>
                            </w:pPr>
                            <w:r>
                              <w:rPr>
                                <w:b/>
                                <w:bCs/>
                                <w:color w:val="000000"/>
                                <w:sz w:val="18"/>
                                <w:szCs w:val="18"/>
                                <w:lang w:eastAsia="lt-LT"/>
                              </w:rPr>
                              <w:t>5</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18"/>
                                <w:szCs w:val="18"/>
                                <w:lang w:eastAsia="lt-LT"/>
                              </w:rPr>
                            </w:pPr>
                            <w:r>
                              <w:rPr>
                                <w:b/>
                                <w:bCs/>
                                <w:color w:val="000000"/>
                                <w:sz w:val="18"/>
                                <w:szCs w:val="18"/>
                                <w:lang w:eastAsia="lt-LT"/>
                              </w:rPr>
                              <w:t>6</w:t>
                            </w:r>
                          </w:p>
                        </w:tc>
                      </w:tr>
                      <w:tr>
                        <w:trPr>
                          <w:trHeight w:val="585"/>
                        </w:trPr>
                        <w:tc>
                          <w:tcPr>
                            <w:tcW w:w="1418" w:type="dxa"/>
                            <w:tcBorders>
                              <w:top w:val="nil"/>
                              <w:left w:val="single" w:sz="4" w:space="0" w:color="auto"/>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 xml:space="preserve">1. </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R.B.2.2070</w:t>
                            </w:r>
                          </w:p>
                        </w:tc>
                        <w:tc>
                          <w:tcPr>
                            <w:tcW w:w="7154" w:type="dxa"/>
                            <w:gridSpan w:val="6"/>
                            <w:tcBorders>
                              <w:top w:val="single" w:sz="4" w:space="0" w:color="auto"/>
                              <w:left w:val="nil"/>
                              <w:bottom w:val="single" w:sz="4" w:space="0" w:color="auto"/>
                              <w:right w:val="single" w:sz="4" w:space="0" w:color="auto"/>
                            </w:tcBorders>
                            <w:shd w:val="clear" w:color="auto" w:fill="auto"/>
                            <w:hideMark/>
                          </w:tcPr>
                          <w:p>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4395" w:type="dxa"/>
                            <w:gridSpan w:val="3"/>
                            <w:tcBorders>
                              <w:top w:val="single" w:sz="4" w:space="0" w:color="auto"/>
                              <w:left w:val="nil"/>
                              <w:bottom w:val="single" w:sz="4" w:space="0" w:color="auto"/>
                              <w:right w:val="single" w:sz="4" w:space="0" w:color="auto"/>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2 345</w:t>
                            </w:r>
                          </w:p>
                        </w:tc>
                      </w:tr>
                      <w:tr>
                        <w:trPr>
                          <w:trHeight w:val="645"/>
                        </w:trPr>
                        <w:tc>
                          <w:tcPr>
                            <w:tcW w:w="1418" w:type="dxa"/>
                            <w:tcBorders>
                              <w:top w:val="nil"/>
                              <w:left w:val="single" w:sz="4" w:space="0" w:color="auto"/>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R.S.2.3030</w:t>
                            </w:r>
                          </w:p>
                        </w:tc>
                        <w:tc>
                          <w:tcPr>
                            <w:tcW w:w="7154" w:type="dxa"/>
                            <w:gridSpan w:val="6"/>
                            <w:tcBorders>
                              <w:top w:val="single" w:sz="4" w:space="0" w:color="auto"/>
                              <w:left w:val="nil"/>
                              <w:bottom w:val="single" w:sz="4" w:space="0" w:color="auto"/>
                              <w:right w:val="single" w:sz="4" w:space="0" w:color="000000"/>
                            </w:tcBorders>
                            <w:shd w:val="clear" w:color="auto" w:fill="auto"/>
                            <w:hideMark/>
                          </w:tcPr>
                          <w:p>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77</w:t>
                            </w:r>
                          </w:p>
                        </w:tc>
                      </w:tr>
                      <w:tr>
                        <w:trPr>
                          <w:trHeight w:val="600"/>
                        </w:trPr>
                        <w:tc>
                          <w:tcPr>
                            <w:tcW w:w="1418" w:type="dxa"/>
                            <w:tcBorders>
                              <w:top w:val="nil"/>
                              <w:left w:val="single" w:sz="4" w:space="0" w:color="auto"/>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R.B.2.2071</w:t>
                            </w:r>
                          </w:p>
                        </w:tc>
                        <w:tc>
                          <w:tcPr>
                            <w:tcW w:w="7154" w:type="dxa"/>
                            <w:gridSpan w:val="6"/>
                            <w:tcBorders>
                              <w:top w:val="single" w:sz="4" w:space="0" w:color="auto"/>
                              <w:left w:val="nil"/>
                              <w:bottom w:val="single" w:sz="4" w:space="0" w:color="auto"/>
                              <w:right w:val="single" w:sz="4" w:space="0" w:color="000000"/>
                            </w:tcBorders>
                            <w:shd w:val="clear" w:color="auto" w:fill="auto"/>
                            <w:hideMark/>
                          </w:tcPr>
                          <w:p>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9 310</w:t>
                            </w:r>
                          </w:p>
                        </w:tc>
                      </w:tr>
                      <w:tr>
                        <w:trPr>
                          <w:trHeight w:val="645"/>
                        </w:trPr>
                        <w:tc>
                          <w:tcPr>
                            <w:tcW w:w="1418" w:type="dxa"/>
                            <w:tcBorders>
                              <w:top w:val="nil"/>
                              <w:left w:val="single" w:sz="4" w:space="0" w:color="auto"/>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R.S.2.3026</w:t>
                            </w:r>
                          </w:p>
                        </w:tc>
                        <w:tc>
                          <w:tcPr>
                            <w:tcW w:w="7154" w:type="dxa"/>
                            <w:gridSpan w:val="6"/>
                            <w:tcBorders>
                              <w:top w:val="single" w:sz="4" w:space="0" w:color="auto"/>
                              <w:left w:val="nil"/>
                              <w:bottom w:val="single" w:sz="4" w:space="0" w:color="auto"/>
                              <w:right w:val="single" w:sz="4" w:space="0" w:color="000000"/>
                            </w:tcBorders>
                            <w:shd w:val="clear" w:color="auto" w:fill="auto"/>
                            <w:hideMark/>
                          </w:tcPr>
                          <w:p>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12</w:t>
                            </w:r>
                          </w:p>
                        </w:tc>
                      </w:tr>
                      <w:tr>
                        <w:trPr>
                          <w:trHeight w:val="645"/>
                        </w:trPr>
                        <w:tc>
                          <w:tcPr>
                            <w:tcW w:w="1418" w:type="dxa"/>
                            <w:tcBorders>
                              <w:top w:val="nil"/>
                              <w:left w:val="single" w:sz="4" w:space="0" w:color="auto"/>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5.</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R.S.2.3027</w:t>
                            </w:r>
                          </w:p>
                        </w:tc>
                        <w:tc>
                          <w:tcPr>
                            <w:tcW w:w="7154" w:type="dxa"/>
                            <w:gridSpan w:val="6"/>
                            <w:tcBorders>
                              <w:top w:val="single" w:sz="4" w:space="0" w:color="auto"/>
                              <w:left w:val="nil"/>
                              <w:bottom w:val="single" w:sz="4" w:space="0" w:color="auto"/>
                              <w:right w:val="single" w:sz="4" w:space="0" w:color="000000"/>
                            </w:tcBorders>
                            <w:shd w:val="clear" w:color="auto" w:fill="auto"/>
                            <w:hideMark/>
                          </w:tcPr>
                          <w:p>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pPr>
                              <w:jc w:val="center"/>
                              <w:rPr>
                                <w:color w:val="000000"/>
                                <w:sz w:val="22"/>
                                <w:szCs w:val="22"/>
                                <w:lang w:eastAsia="lt-LT"/>
                              </w:rPr>
                            </w:pPr>
                            <w:r>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lang w:eastAsia="lt-LT"/>
                              </w:rPr>
                            </w:pPr>
                            <w:r>
                              <w:rPr>
                                <w:color w:val="000000"/>
                                <w:sz w:val="22"/>
                                <w:szCs w:val="22"/>
                                <w:lang w:eastAsia="lt-LT"/>
                              </w:rPr>
                              <w:t>2 829</w:t>
                            </w:r>
                          </w:p>
                        </w:tc>
                      </w:tr>
                      <w:tr>
                        <w:trPr>
                          <w:trHeight w:val="288"/>
                        </w:trPr>
                        <w:tc>
                          <w:tcPr>
                            <w:tcW w:w="1418"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418" w:type="dxa"/>
                            <w:tcBorders>
                              <w:top w:val="nil"/>
                              <w:left w:val="nil"/>
                              <w:bottom w:val="nil"/>
                              <w:right w:val="nil"/>
                            </w:tcBorders>
                            <w:shd w:val="clear" w:color="auto" w:fill="auto"/>
                            <w:noWrap/>
                            <w:vAlign w:val="bottom"/>
                            <w:hideMark/>
                          </w:tcPr>
                          <w:p>
                            <w:pPr>
                              <w:rPr>
                                <w:sz w:val="20"/>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7166" w:type="dxa"/>
                            <w:gridSpan w:val="6"/>
                            <w:tcBorders>
                              <w:top w:val="nil"/>
                              <w:left w:val="nil"/>
                              <w:bottom w:val="nil"/>
                              <w:right w:val="nil"/>
                            </w:tcBorders>
                            <w:shd w:val="clear" w:color="auto" w:fill="auto"/>
                            <w:noWrap/>
                            <w:vAlign w:val="bottom"/>
                            <w:hideMark/>
                          </w:tcPr>
                          <w:p>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c>
                          <w:tcPr>
                            <w:tcW w:w="1057" w:type="dxa"/>
                            <w:tcBorders>
                              <w:top w:val="nil"/>
                              <w:left w:val="nil"/>
                              <w:bottom w:val="nil"/>
                              <w:right w:val="nil"/>
                            </w:tcBorders>
                            <w:shd w:val="clear" w:color="auto" w:fill="auto"/>
                            <w:noWrap/>
                            <w:vAlign w:val="bottom"/>
                            <w:hideMark/>
                          </w:tcPr>
                          <w:p>
                            <w:pPr>
                              <w:rPr>
                                <w:b/>
                                <w:bCs/>
                                <w:color w:val="000000"/>
                                <w:sz w:val="22"/>
                                <w:szCs w:val="22"/>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Finansavimo šaltiniai</w:t>
                            </w:r>
                          </w:p>
                        </w:tc>
                        <w:tc>
                          <w:tcPr>
                            <w:tcW w:w="6803" w:type="dxa"/>
                            <w:gridSpan w:val="4"/>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Lėšų poreikis, eurais</w:t>
                            </w:r>
                          </w:p>
                        </w:tc>
                      </w:tr>
                      <w:tr>
                        <w:trPr>
                          <w:trHeight w:val="240"/>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1</w:t>
                            </w:r>
                          </w:p>
                        </w:tc>
                        <w:tc>
                          <w:tcPr>
                            <w:tcW w:w="6803" w:type="dxa"/>
                            <w:gridSpan w:val="4"/>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2</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1. Lietuvos Respublikos valstybės biudžeto asignavimų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9 571 521,30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1.1. Valstybės biudžeto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pPr>
                              <w:ind w:firstLine="57"/>
                              <w:jc w:val="center"/>
                              <w:rPr>
                                <w:color w:val="000000"/>
                                <w:sz w:val="22"/>
                                <w:szCs w:val="22"/>
                                <w:lang w:eastAsia="lt-LT"/>
                              </w:rPr>
                            </w:pPr>
                            <w:r>
                              <w:rPr>
                                <w:color w:val="000000"/>
                                <w:sz w:val="22"/>
                                <w:szCs w:val="22"/>
                                <w:lang w:eastAsia="lt-LT"/>
                              </w:rPr>
                              <w:t xml:space="preserve">- </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1 435 728,20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1.2.1. 2021–2027 m. ES struktūrinių fondų bendrojo finansavimo lėšos (1.2.2.8.1.)</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1 028 062,00</w:t>
                            </w:r>
                          </w:p>
                        </w:tc>
                      </w:tr>
                      <w:tr>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pPr>
                              <w:rPr>
                                <w:color w:val="000000"/>
                                <w:sz w:val="22"/>
                                <w:szCs w:val="22"/>
                                <w:lang w:eastAsia="lt-LT"/>
                              </w:rPr>
                            </w:pPr>
                            <w:r>
                              <w:rPr>
                                <w:color w:val="000000"/>
                                <w:sz w:val="22"/>
                                <w:szCs w:val="22"/>
                                <w:lang w:eastAsia="lt-LT"/>
                              </w:rPr>
                              <w:t>1.2.2. Savivaldybių biudžeto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407 666,20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sz w:val="22"/>
                                <w:szCs w:val="22"/>
                                <w:lang w:eastAsia="lt-LT"/>
                              </w:rPr>
                            </w:pPr>
                            <w:r>
                              <w:rPr>
                                <w:b/>
                                <w:bCs/>
                                <w:sz w:val="22"/>
                                <w:szCs w:val="22"/>
                                <w:lang w:eastAsia="lt-LT"/>
                              </w:rPr>
                              <w:t>1.3. ES ir kitos tarptautinės finansinės paramos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8 135 793,10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sz w:val="22"/>
                                <w:szCs w:val="22"/>
                                <w:lang w:eastAsia="lt-LT"/>
                              </w:rPr>
                            </w:pPr>
                            <w:r>
                              <w:rPr>
                                <w:sz w:val="22"/>
                                <w:szCs w:val="22"/>
                                <w:lang w:eastAsia="lt-LT"/>
                              </w:rPr>
                              <w:t>1.3.1. 2021–2027 m. ES struktūrinių fondų lėšos (1.3.2.8.1.)</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8 135 793,10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1.4. Tikslinės paskirties valstybės biudžeto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jc w:val="center"/>
                              <w:rPr>
                                <w:color w:val="000000"/>
                                <w:sz w:val="22"/>
                                <w:szCs w:val="22"/>
                                <w:lang w:eastAsia="lt-LT"/>
                              </w:rPr>
                            </w:pPr>
                            <w:r>
                              <w:rPr>
                                <w:color w:val="000000"/>
                                <w:sz w:val="22"/>
                                <w:szCs w:val="22"/>
                                <w:lang w:eastAsia="lt-LT"/>
                              </w:rPr>
                              <w:t xml:space="preserve">- </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pPr>
                              <w:rPr>
                                <w:b/>
                                <w:bCs/>
                                <w:color w:val="000000"/>
                                <w:sz w:val="22"/>
                                <w:szCs w:val="22"/>
                                <w:lang w:eastAsia="lt-LT"/>
                              </w:rPr>
                            </w:pPr>
                            <w:r>
                              <w:rPr>
                                <w:b/>
                                <w:bCs/>
                                <w:color w:val="000000"/>
                                <w:sz w:val="22"/>
                                <w:szCs w:val="22"/>
                                <w:lang w:eastAsia="lt-LT"/>
                              </w:rPr>
                              <w:t>2. Kitos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2.1. Savivaldybių biudžetų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2.2. Privačios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2.3. Kitos viešosios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IŠ VISO</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lang w:eastAsia="lt-LT"/>
                              </w:rPr>
                            </w:pPr>
                            <w:r>
                              <w:rPr>
                                <w:b/>
                                <w:bCs/>
                                <w:color w:val="000000"/>
                                <w:sz w:val="22"/>
                                <w:szCs w:val="22"/>
                                <w:lang w:eastAsia="lt-LT"/>
                              </w:rPr>
                              <w:t>9 571 521,30</w:t>
                            </w:r>
                          </w:p>
                        </w:tc>
                      </w:tr>
                      <w:tr>
                        <w:trPr>
                          <w:trHeight w:val="288"/>
                        </w:trPr>
                        <w:tc>
                          <w:tcPr>
                            <w:tcW w:w="1418" w:type="dxa"/>
                            <w:tcBorders>
                              <w:top w:val="nil"/>
                              <w:left w:val="nil"/>
                              <w:bottom w:val="nil"/>
                              <w:right w:val="nil"/>
                            </w:tcBorders>
                            <w:shd w:val="clear" w:color="auto" w:fill="auto"/>
                            <w:noWrap/>
                            <w:vAlign w:val="bottom"/>
                            <w:hideMark/>
                          </w:tcPr>
                          <w:p>
                            <w:pPr>
                              <w:jc w:val="center"/>
                              <w:rPr>
                                <w:b/>
                                <w:bCs/>
                                <w:color w:val="000000"/>
                                <w:sz w:val="22"/>
                                <w:szCs w:val="22"/>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418" w:type="dxa"/>
                            <w:tcBorders>
                              <w:top w:val="nil"/>
                              <w:left w:val="nil"/>
                              <w:bottom w:val="nil"/>
                              <w:right w:val="nil"/>
                            </w:tcBorders>
                            <w:shd w:val="clear" w:color="auto" w:fill="auto"/>
                            <w:noWrap/>
                            <w:vAlign w:val="bottom"/>
                            <w:hideMark/>
                          </w:tcPr>
                          <w:p>
                            <w:pPr>
                              <w:rPr>
                                <w:sz w:val="20"/>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8286" w:type="dxa"/>
                            <w:gridSpan w:val="13"/>
                            <w:tcBorders>
                              <w:top w:val="nil"/>
                              <w:left w:val="nil"/>
                              <w:bottom w:val="nil"/>
                              <w:right w:val="nil"/>
                            </w:tcBorders>
                            <w:shd w:val="clear" w:color="auto" w:fill="auto"/>
                            <w:noWrap/>
                            <w:vAlign w:val="bottom"/>
                            <w:hideMark/>
                          </w:tcPr>
                          <w:p>
                            <w:pPr>
                              <w:rPr>
                                <w:sz w:val="20"/>
                                <w:lang w:eastAsia="lt-LT"/>
                              </w:rPr>
                            </w:pPr>
                            <w:r>
                              <w:rPr>
                                <w:b/>
                                <w:bCs/>
                                <w:color w:val="000000"/>
                                <w:sz w:val="22"/>
                                <w:szCs w:val="22"/>
                                <w:lang w:eastAsia="lt-LT"/>
                              </w:rPr>
                              <w:t xml:space="preserve">6 lentelė. Pažangos priemonės veiklos, poveiklės ir (arba) projektai </w:t>
                            </w: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Veiklos, poveiklės, projektai</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Veiklos, poveiklės, projekto tipas</w:t>
                            </w:r>
                          </w:p>
                        </w:tc>
                        <w:tc>
                          <w:tcPr>
                            <w:tcW w:w="13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rPr>
                                <w:b/>
                                <w:bCs/>
                                <w:color w:val="000000"/>
                                <w:sz w:val="16"/>
                                <w:szCs w:val="16"/>
                                <w:lang w:eastAsia="lt-LT"/>
                              </w:rPr>
                            </w:pPr>
                            <w:r>
                              <w:rPr>
                                <w:b/>
                                <w:bCs/>
                                <w:color w:val="000000"/>
                                <w:sz w:val="16"/>
                                <w:szCs w:val="16"/>
                                <w:lang w:eastAsia="lt-LT"/>
                              </w:rPr>
                              <w:t>Galimi partneriai</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Aktyviais veiksmais prisidedama prie HP (Taip / Ne)</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rPr>
                                <w:b/>
                                <w:bCs/>
                                <w:color w:val="000000"/>
                                <w:sz w:val="16"/>
                                <w:szCs w:val="16"/>
                                <w:lang w:eastAsia="lt-LT"/>
                              </w:rPr>
                            </w:pPr>
                            <w:r>
                              <w:rPr>
                                <w:b/>
                                <w:bCs/>
                                <w:color w:val="000000"/>
                                <w:sz w:val="16"/>
                                <w:szCs w:val="16"/>
                                <w:lang w:eastAsia="lt-LT"/>
                              </w:rPr>
                              <w:t>Projektų finansavimo forma</w:t>
                            </w:r>
                          </w:p>
                        </w:tc>
                        <w:tc>
                          <w:tcPr>
                            <w:tcW w:w="6946" w:type="dxa"/>
                            <w:gridSpan w:val="5"/>
                            <w:tcBorders>
                              <w:top w:val="single" w:sz="4" w:space="0" w:color="auto"/>
                              <w:left w:val="nil"/>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Pažangos lėšos (eurais) ir jų finansavimo šaltiniai</w:t>
                            </w:r>
                          </w:p>
                        </w:tc>
                        <w:tc>
                          <w:tcPr>
                            <w:tcW w:w="4393" w:type="dxa"/>
                            <w:gridSpan w:val="2"/>
                            <w:tcBorders>
                              <w:top w:val="single" w:sz="4" w:space="0" w:color="auto"/>
                              <w:left w:val="nil"/>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Stebėsenos rodikliai</w:t>
                            </w:r>
                          </w:p>
                        </w:tc>
                        <w:tc>
                          <w:tcPr>
                            <w:tcW w:w="125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Įgyvendinimo pradžia (metai, ketv.)</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Įgyvendinimo pabaiga (metai, ketv.)</w:t>
                            </w:r>
                          </w:p>
                        </w:tc>
                      </w:tr>
                      <w:tr>
                        <w:trPr>
                          <w:trHeight w:val="106"/>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Iš viso</w:t>
                            </w:r>
                          </w:p>
                        </w:tc>
                        <w:tc>
                          <w:tcPr>
                            <w:tcW w:w="4536" w:type="dxa"/>
                            <w:gridSpan w:val="3"/>
                            <w:tcBorders>
                              <w:top w:val="single" w:sz="4" w:space="0" w:color="auto"/>
                              <w:left w:val="nil"/>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Iš jų kitos lėšos, ne mažiau kaip</w:t>
                            </w:r>
                          </w:p>
                        </w:tc>
                        <w:tc>
                          <w:tcPr>
                            <w:tcW w:w="3117"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Rodiklio kodas, pavadinimas ir matavimo vienetai*</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 xml:space="preserve">Siektina rodiklio reikšmė </w:t>
                              <w:br/>
                              <w:t>(2029)</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14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Valstybės biudžeto lėšos</w:t>
                            </w:r>
                          </w:p>
                        </w:tc>
                        <w:tc>
                          <w:tcPr>
                            <w:tcW w:w="1418" w:type="dxa"/>
                            <w:tcBorders>
                              <w:top w:val="nil"/>
                              <w:left w:val="nil"/>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701" w:type="dxa"/>
                            <w:tcBorders>
                              <w:top w:val="nil"/>
                              <w:left w:val="nil"/>
                              <w:bottom w:val="single" w:sz="4" w:space="0" w:color="auto"/>
                              <w:right w:val="single" w:sz="4" w:space="0" w:color="auto"/>
                            </w:tcBorders>
                            <w:shd w:val="clear" w:color="000000" w:fill="D9E2F3"/>
                            <w:vAlign w:val="center"/>
                            <w:hideMark/>
                          </w:tcPr>
                          <w:p>
                            <w:pPr>
                              <w:jc w:val="center"/>
                              <w:rPr>
                                <w:b/>
                                <w:bCs/>
                                <w:color w:val="000000"/>
                                <w:sz w:val="16"/>
                                <w:szCs w:val="16"/>
                                <w:lang w:eastAsia="lt-LT"/>
                              </w:rPr>
                            </w:pPr>
                            <w:r>
                              <w:rPr>
                                <w:b/>
                                <w:bCs/>
                                <w:color w:val="000000"/>
                                <w:sz w:val="16"/>
                                <w:szCs w:val="16"/>
                                <w:lang w:eastAsia="lt-LT"/>
                              </w:rPr>
                              <w:t>ES ir kitos tarptautinės finansinės paramos lėšos</w:t>
                            </w:r>
                          </w:p>
                        </w:tc>
                        <w:tc>
                          <w:tcPr>
                            <w:tcW w:w="1276"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240"/>
                        </w:trPr>
                        <w:tc>
                          <w:tcPr>
                            <w:tcW w:w="1418" w:type="dxa"/>
                            <w:tcBorders>
                              <w:top w:val="nil"/>
                              <w:left w:val="single" w:sz="4" w:space="0" w:color="auto"/>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w:t>
                            </w:r>
                          </w:p>
                        </w:tc>
                        <w:tc>
                          <w:tcPr>
                            <w:tcW w:w="888"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2</w:t>
                            </w:r>
                          </w:p>
                        </w:tc>
                        <w:tc>
                          <w:tcPr>
                            <w:tcW w:w="1314"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3</w:t>
                            </w:r>
                          </w:p>
                        </w:tc>
                        <w:tc>
                          <w:tcPr>
                            <w:tcW w:w="1342"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4</w:t>
                            </w:r>
                          </w:p>
                        </w:tc>
                        <w:tc>
                          <w:tcPr>
                            <w:tcW w:w="1134"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6</w:t>
                            </w:r>
                          </w:p>
                        </w:tc>
                        <w:tc>
                          <w:tcPr>
                            <w:tcW w:w="1057"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7</w:t>
                            </w:r>
                          </w:p>
                        </w:tc>
                        <w:tc>
                          <w:tcPr>
                            <w:tcW w:w="1134"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8</w:t>
                            </w:r>
                          </w:p>
                        </w:tc>
                        <w:tc>
                          <w:tcPr>
                            <w:tcW w:w="1417"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9</w:t>
                            </w:r>
                          </w:p>
                        </w:tc>
                        <w:tc>
                          <w:tcPr>
                            <w:tcW w:w="1418"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10</w:t>
                            </w:r>
                          </w:p>
                        </w:tc>
                        <w:tc>
                          <w:tcPr>
                            <w:tcW w:w="1701"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11</w:t>
                            </w:r>
                          </w:p>
                        </w:tc>
                        <w:tc>
                          <w:tcPr>
                            <w:tcW w:w="1276"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12</w:t>
                            </w:r>
                          </w:p>
                        </w:tc>
                        <w:tc>
                          <w:tcPr>
                            <w:tcW w:w="3117"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13</w:t>
                            </w:r>
                          </w:p>
                        </w:tc>
                        <w:tc>
                          <w:tcPr>
                            <w:tcW w:w="1276"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14</w:t>
                            </w:r>
                          </w:p>
                        </w:tc>
                        <w:tc>
                          <w:tcPr>
                            <w:tcW w:w="1251"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15</w:t>
                            </w:r>
                          </w:p>
                        </w:tc>
                        <w:tc>
                          <w:tcPr>
                            <w:tcW w:w="1159" w:type="dxa"/>
                            <w:tcBorders>
                              <w:top w:val="nil"/>
                              <w:left w:val="nil"/>
                              <w:bottom w:val="nil"/>
                              <w:right w:val="single" w:sz="4" w:space="0" w:color="auto"/>
                            </w:tcBorders>
                            <w:shd w:val="clear" w:color="000000" w:fill="D9E2F3"/>
                            <w:vAlign w:val="center"/>
                            <w:hideMark/>
                          </w:tcPr>
                          <w:p>
                            <w:pPr>
                              <w:jc w:val="center"/>
                              <w:rPr>
                                <w:b/>
                                <w:bCs/>
                                <w:color w:val="000000"/>
                                <w:sz w:val="18"/>
                                <w:szCs w:val="18"/>
                                <w:lang w:eastAsia="lt-LT"/>
                              </w:rPr>
                            </w:pPr>
                            <w:r>
                              <w:rPr>
                                <w:b/>
                                <w:bCs/>
                                <w:color w:val="000000"/>
                                <w:sz w:val="18"/>
                                <w:szCs w:val="18"/>
                                <w:lang w:eastAsia="lt-LT"/>
                              </w:rPr>
                              <w:t>16</w:t>
                            </w:r>
                          </w:p>
                        </w:tc>
                      </w:tr>
                      <w:tr>
                        <w:trPr>
                          <w:trHeight w:val="46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1. Padidinti ugdymo prieinamumą ir sudaryti sąlygas visos dienos mokyklai</w:t>
                            </w:r>
                          </w:p>
                        </w:tc>
                        <w:tc>
                          <w:tcPr>
                            <w:tcW w:w="8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I</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Savivaldybių administracijos, ugdymo įstaigos</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Savivaldybių administracijos, ugdymo įstaigos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Dotacija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9 571 521,30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1 028 062,00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8 135 793,10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407 666,20</w:t>
                            </w:r>
                          </w:p>
                        </w:tc>
                        <w:tc>
                          <w:tcPr>
                            <w:tcW w:w="3117" w:type="dxa"/>
                            <w:tcBorders>
                              <w:top w:val="single" w:sz="4" w:space="0" w:color="auto"/>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11 829</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2026 m. IV ketv.</w:t>
                            </w:r>
                          </w:p>
                        </w:tc>
                      </w:tr>
                      <w:tr>
                        <w:trPr>
                          <w:trHeight w:val="73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9 310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61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6</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84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12</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45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2 420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67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2 345</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444"/>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P.S.2.1024 Sukurtų naujų ikimokyklinio ugdymo vietų skaičius,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80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22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P.S.2.1029 Tikslinės transporto priemonės,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5</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612"/>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77</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42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2 829</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r>
                      <w:tr>
                        <w:trPr>
                          <w:trHeight w:val="408"/>
                        </w:trPr>
                        <w:tc>
                          <w:tcPr>
                            <w:tcW w:w="1418" w:type="dxa"/>
                            <w:tcBorders>
                              <w:top w:val="nil"/>
                              <w:left w:val="single" w:sz="4" w:space="0" w:color="auto"/>
                              <w:bottom w:val="single" w:sz="4" w:space="0" w:color="auto"/>
                              <w:right w:val="single" w:sz="4" w:space="0" w:color="auto"/>
                            </w:tcBorders>
                            <w:shd w:val="clear" w:color="000000" w:fill="D9D9D9"/>
                            <w:vAlign w:val="center"/>
                            <w:hideMark/>
                          </w:tcPr>
                          <w:p>
                            <w:pPr>
                              <w:rPr>
                                <w:color w:val="000000"/>
                                <w:sz w:val="16"/>
                                <w:szCs w:val="16"/>
                                <w:lang w:eastAsia="lt-LT"/>
                              </w:rPr>
                            </w:pPr>
                            <w:r>
                              <w:rPr>
                                <w:color w:val="000000"/>
                                <w:sz w:val="16"/>
                                <w:szCs w:val="16"/>
                                <w:lang w:eastAsia="lt-LT"/>
                              </w:rPr>
                              <w:t>1 veiklos poveiklės neskiriamos</w:t>
                            </w:r>
                          </w:p>
                        </w:tc>
                        <w:tc>
                          <w:tcPr>
                            <w:tcW w:w="888"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808080"/>
                                <w:sz w:val="16"/>
                                <w:szCs w:val="16"/>
                                <w:lang w:eastAsia="lt-LT"/>
                              </w:rPr>
                            </w:pPr>
                          </w:p>
                        </w:tc>
                        <w:tc>
                          <w:tcPr>
                            <w:tcW w:w="1314"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80808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808080"/>
                                <w:sz w:val="16"/>
                                <w:szCs w:val="16"/>
                                <w:lang w:eastAsia="lt-LT"/>
                              </w:rPr>
                            </w:pPr>
                          </w:p>
                        </w:tc>
                        <w:tc>
                          <w:tcPr>
                            <w:tcW w:w="1134"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808080"/>
                                <w:sz w:val="16"/>
                                <w:szCs w:val="16"/>
                                <w:lang w:eastAsia="lt-LT"/>
                              </w:rPr>
                            </w:pPr>
                          </w:p>
                        </w:tc>
                        <w:tc>
                          <w:tcPr>
                            <w:tcW w:w="1057"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808080"/>
                                <w:sz w:val="16"/>
                                <w:szCs w:val="16"/>
                                <w:lang w:eastAsia="lt-LT"/>
                              </w:rPr>
                            </w:pPr>
                          </w:p>
                        </w:tc>
                        <w:tc>
                          <w:tcPr>
                            <w:tcW w:w="1134" w:type="dxa"/>
                            <w:tcBorders>
                              <w:top w:val="nil"/>
                              <w:left w:val="nil"/>
                              <w:bottom w:val="single" w:sz="4" w:space="0" w:color="auto"/>
                              <w:right w:val="single" w:sz="4" w:space="0" w:color="auto"/>
                            </w:tcBorders>
                            <w:shd w:val="clear" w:color="000000" w:fill="D9D9D9"/>
                            <w:vAlign w:val="center"/>
                            <w:hideMark/>
                          </w:tcPr>
                          <w:p>
                            <w:pPr>
                              <w:ind w:firstLine="38"/>
                              <w:jc w:val="right"/>
                              <w:rPr>
                                <w:b/>
                                <w:bCs/>
                                <w:color w:val="80808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pPr>
                              <w:ind w:firstLine="38"/>
                              <w:jc w:val="right"/>
                              <w:rPr>
                                <w:b/>
                                <w:bCs/>
                                <w:color w:val="000000"/>
                                <w:sz w:val="16"/>
                                <w:szCs w:val="16"/>
                                <w:lang w:eastAsia="lt-LT"/>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38"/>
                              <w:jc w:val="right"/>
                              <w:rPr>
                                <w:b/>
                                <w:bCs/>
                                <w:i/>
                                <w:iCs/>
                                <w:color w:val="000000"/>
                                <w:sz w:val="16"/>
                                <w:szCs w:val="16"/>
                                <w:lang w:eastAsia="lt-LT"/>
                              </w:rPr>
                            </w:pPr>
                          </w:p>
                        </w:tc>
                        <w:tc>
                          <w:tcPr>
                            <w:tcW w:w="1701" w:type="dxa"/>
                            <w:tcBorders>
                              <w:top w:val="nil"/>
                              <w:left w:val="nil"/>
                              <w:bottom w:val="single" w:sz="4" w:space="0" w:color="auto"/>
                              <w:right w:val="single" w:sz="4" w:space="0" w:color="auto"/>
                            </w:tcBorders>
                            <w:shd w:val="clear" w:color="000000" w:fill="D9D9D9"/>
                            <w:vAlign w:val="center"/>
                            <w:hideMark/>
                          </w:tcPr>
                          <w:p>
                            <w:pPr>
                              <w:ind w:firstLine="38"/>
                              <w:jc w:val="right"/>
                              <w:rPr>
                                <w:b/>
                                <w:bCs/>
                                <w:i/>
                                <w:iCs/>
                                <w:color w:val="00000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pPr>
                              <w:ind w:firstLine="38"/>
                              <w:jc w:val="right"/>
                              <w:rPr>
                                <w:b/>
                                <w:bCs/>
                                <w:color w:val="000000"/>
                                <w:sz w:val="16"/>
                                <w:szCs w:val="16"/>
                                <w:lang w:eastAsia="lt-LT"/>
                              </w:rPr>
                            </w:pPr>
                          </w:p>
                        </w:tc>
                        <w:tc>
                          <w:tcPr>
                            <w:tcW w:w="3117"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808080"/>
                                <w:sz w:val="16"/>
                                <w:szCs w:val="16"/>
                                <w:lang w:eastAsia="lt-LT"/>
                              </w:rPr>
                            </w:pPr>
                          </w:p>
                        </w:tc>
                        <w:tc>
                          <w:tcPr>
                            <w:tcW w:w="1276" w:type="dxa"/>
                            <w:tcBorders>
                              <w:top w:val="nil"/>
                              <w:left w:val="nil"/>
                              <w:bottom w:val="single" w:sz="4" w:space="0" w:color="auto"/>
                              <w:right w:val="single" w:sz="4" w:space="0" w:color="auto"/>
                            </w:tcBorders>
                            <w:shd w:val="clear" w:color="000000" w:fill="D9D9D9"/>
                            <w:vAlign w:val="center"/>
                            <w:hideMark/>
                          </w:tcPr>
                          <w:p>
                            <w:pPr>
                              <w:ind w:firstLine="38"/>
                              <w:jc w:val="center"/>
                              <w:rPr>
                                <w:b/>
                                <w:bCs/>
                                <w:color w:val="808080"/>
                                <w:sz w:val="16"/>
                                <w:szCs w:val="16"/>
                                <w:lang w:eastAsia="lt-LT"/>
                              </w:rPr>
                            </w:pPr>
                          </w:p>
                        </w:tc>
                        <w:tc>
                          <w:tcPr>
                            <w:tcW w:w="1251" w:type="dxa"/>
                            <w:tcBorders>
                              <w:top w:val="nil"/>
                              <w:left w:val="nil"/>
                              <w:bottom w:val="single" w:sz="4" w:space="0" w:color="auto"/>
                              <w:right w:val="single" w:sz="4" w:space="0" w:color="auto"/>
                            </w:tcBorders>
                            <w:shd w:val="clear" w:color="000000" w:fill="D9D9D9"/>
                            <w:vAlign w:val="center"/>
                            <w:hideMark/>
                          </w:tcPr>
                          <w:p>
                            <w:pPr>
                              <w:ind w:firstLine="38"/>
                              <w:jc w:val="both"/>
                              <w:rPr>
                                <w:i/>
                                <w:iCs/>
                                <w:color w:val="808080"/>
                                <w:sz w:val="16"/>
                                <w:szCs w:val="16"/>
                                <w:lang w:eastAsia="lt-LT"/>
                              </w:rPr>
                            </w:pPr>
                          </w:p>
                        </w:tc>
                        <w:tc>
                          <w:tcPr>
                            <w:tcW w:w="1159"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lang w:eastAsia="lt-LT"/>
                              </w:rPr>
                            </w:pPr>
                          </w:p>
                        </w:tc>
                      </w:tr>
                      <w:tr>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1.1.1. Ikimokyklinio ugdymo paslaugų plėtra Kazlų Rūdoje II etapas</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880 000,00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132 000,00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748 000,00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195</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 ketv.</w:t>
                            </w:r>
                          </w:p>
                        </w:tc>
                      </w:tr>
                      <w:tr>
                        <w:trPr>
                          <w:trHeight w:val="40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165</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28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P.S.2.1024 Sukurtų naujų ikimokyklinio ugdymo vietų skaičius, skaičius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40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0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1.1.2. Naujų ikimokyklinio ugdymo vietų kūrimas Vilkaviškio rajone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90 000,00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13 500,00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76 500,00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287</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IV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278</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28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P.S.2.1024 Sukurtų naujų ikimokyklinio ugdymo vietų skaičius,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30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1.1.3. Ikimokyklinio ugdymo prieinamumo didinimas Šakių rajono savivaldybėje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Šakių ikimokyklinio ugdymo mokykla „Maži žingsneliai“</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200 000,00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30 000,00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170 000,00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170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2025 m. III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150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28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P.S.2.1024 Sukurtų naujų ikimokyklinio ugdymo vietų skaičius,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28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P.S.2.1029 Tikslinės transporto priemonės,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15</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1.1.4. Universalaus dizaino elementų ir kitų inžinerinių priemonių įrengimas Marijampolės Sūduvos 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375 000,00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318 750,00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56 250,00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500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2024 m. III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III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500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6</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1.1.5. Universalaus dizaino elementų ir kitų inžinerinių priemonių įrengimas Marijampolės „Žiburėlio“ mokykloje-daugiafunkciame centre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1 070 000,00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909 500,00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160 500,00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150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2024 m. III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III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150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6</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1.1.6. Universalaus dizaino elementų ir kitų inžinerinių priemonių įrengimas Marijampolės Jono Totoraičio progimnazijoje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370 000,00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314 500,00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55 500,00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650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2024 m. III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III ketv.</w:t>
                            </w:r>
                          </w:p>
                        </w:tc>
                      </w:tr>
                      <w:tr>
                        <w:trPr>
                          <w:trHeight w:val="450"/>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650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6</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28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1.1.7. Ugdymo sąlygų gerinimas Panemunių mokykloje-daugiafunkciame centre, Griškabūdžio ir Kudirkos Naumiesčio Vinco Kudirkos gimnazijose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330 000,00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49 500,00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280 500,00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P.S.2.1029 Tikslinės transporto priemonės, skaičius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3</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2025 m. III ketv.</w:t>
                            </w:r>
                          </w:p>
                        </w:tc>
                      </w:tr>
                      <w:tr>
                        <w:trPr>
                          <w:trHeight w:val="172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54</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1.1.8. Universalaus dizaino elementų ir kitų inžinerinių priemonių įrengimas Vilkaviškio rajono bendrojo ugdymo mokyklose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567 300,00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85 095,00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482 205,00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1585</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IV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954</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15</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28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P.S.2.1029 Tikslinės transporto priemonės,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8</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1.1.9. Saugios ir palankios aplinkos mokiniams sukūrimas Kalvarijos 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Kalvarijos gimnazija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588 235,30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88 235,30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500 000,00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80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2024 m. 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IV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750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500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612"/>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25</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1.1.10. Plėtoti įvairialypį  švietimą vykdant visos dienos  mokyklų veiklą  Kazlų Rūdos savivaldybėje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250 000,00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37 500,00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212 500,00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160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2025 m. IV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646</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425</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1.1.11. Visos dienos mokyklos erdvių sukūrimas ir pritaikymas Marijampolės savivaldybės vaikų lopšeliuose-darželiuose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764 000,00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649 400,00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114 600,00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870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2024 m. 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1728</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915"/>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1728</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1.1.12. Visos dienos mokyklos erdvių sukūrimas ir pritaikymas Marijampolės savivaldybės pradinio ir pagrindinio ugdymo įstaigose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1 230 000,00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163 683,80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1 045 500,00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20 816,20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1250</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2024 m. I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 ketv.</w:t>
                            </w:r>
                          </w:p>
                        </w:tc>
                      </w:tr>
                      <w:tr>
                        <w:trPr>
                          <w:trHeight w:val="459"/>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4000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70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4000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1.1.13. Visos dienos mokyklos įkūrimas Šakių „Varpo“ mokykloje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Šakių „Varpo“ mokykla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1 500 000,00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225 000,00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1 275 000,00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160</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2025 m. III ketv.</w:t>
                            </w:r>
                          </w:p>
                        </w:tc>
                      </w:tr>
                      <w:tr>
                        <w:trPr>
                          <w:trHeight w:val="40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1000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650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1.1.14. Visos dienos mokyklos įkūrimas Lukšių Vinco Grybo 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Lukšių Vinco Grybo gimnazija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820 000,00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123 000,00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697 000,00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75</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2025 m. III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550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280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5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1.1.15. Plėtoti įvairialypį švietimą vykdant visos dienos mokyklų veiklą Vilkaviškio rajone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lang w:eastAsia="lt-LT"/>
                              </w:rPr>
                            </w:pPr>
                            <w:r>
                              <w:rPr>
                                <w:b/>
                                <w:bCs/>
                                <w:color w:val="000000"/>
                                <w:sz w:val="16"/>
                                <w:szCs w:val="16"/>
                                <w:lang w:eastAsia="lt-LT"/>
                              </w:rPr>
                              <w:t xml:space="preserve">-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536 986,00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80 547,90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456 438,10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16"/>
                                <w:szCs w:val="16"/>
                                <w:lang w:eastAsia="lt-LT"/>
                              </w:rPr>
                            </w:pPr>
                            <w:r>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234</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2026 m. IV ketv.</w:t>
                            </w: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1998</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50"/>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1201</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40</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408"/>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24</w:t>
                            </w:r>
                          </w:p>
                        </w:tc>
                        <w:tc>
                          <w:tcPr>
                            <w:tcW w:w="1251"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lang w:eastAsia="lt-LT"/>
                              </w:rPr>
                            </w:pPr>
                          </w:p>
                        </w:tc>
                      </w:tr>
                      <w:tr>
                        <w:trPr>
                          <w:trHeight w:val="288"/>
                        </w:trPr>
                        <w:tc>
                          <w:tcPr>
                            <w:tcW w:w="8223" w:type="dxa"/>
                            <w:gridSpan w:val="7"/>
                            <w:tcBorders>
                              <w:top w:val="nil"/>
                              <w:left w:val="single" w:sz="4" w:space="0" w:color="auto"/>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Iš viso pažangos priemonės veikloms:</w:t>
                            </w:r>
                          </w:p>
                        </w:tc>
                        <w:tc>
                          <w:tcPr>
                            <w:tcW w:w="1134" w:type="dxa"/>
                            <w:tcBorders>
                              <w:top w:val="nil"/>
                              <w:left w:val="nil"/>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9 571 521,30</w:t>
                            </w:r>
                          </w:p>
                        </w:tc>
                        <w:tc>
                          <w:tcPr>
                            <w:tcW w:w="1417" w:type="dxa"/>
                            <w:tcBorders>
                              <w:top w:val="nil"/>
                              <w:left w:val="nil"/>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0,00</w:t>
                            </w:r>
                          </w:p>
                        </w:tc>
                        <w:tc>
                          <w:tcPr>
                            <w:tcW w:w="1418" w:type="dxa"/>
                            <w:tcBorders>
                              <w:top w:val="nil"/>
                              <w:left w:val="nil"/>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1 028 062,00</w:t>
                            </w:r>
                          </w:p>
                        </w:tc>
                        <w:tc>
                          <w:tcPr>
                            <w:tcW w:w="1701" w:type="dxa"/>
                            <w:tcBorders>
                              <w:top w:val="nil"/>
                              <w:left w:val="nil"/>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8 135 793,10</w:t>
                            </w:r>
                          </w:p>
                        </w:tc>
                        <w:tc>
                          <w:tcPr>
                            <w:tcW w:w="1276" w:type="dxa"/>
                            <w:tcBorders>
                              <w:top w:val="nil"/>
                              <w:left w:val="nil"/>
                              <w:bottom w:val="single" w:sz="4" w:space="0" w:color="auto"/>
                              <w:right w:val="single" w:sz="4" w:space="0" w:color="auto"/>
                            </w:tcBorders>
                            <w:shd w:val="clear" w:color="auto" w:fill="auto"/>
                            <w:vAlign w:val="center"/>
                            <w:hideMark/>
                          </w:tcPr>
                          <w:p>
                            <w:pPr>
                              <w:jc w:val="right"/>
                              <w:rPr>
                                <w:b/>
                                <w:bCs/>
                                <w:color w:val="000000"/>
                                <w:sz w:val="16"/>
                                <w:szCs w:val="16"/>
                                <w:lang w:eastAsia="lt-LT"/>
                              </w:rPr>
                            </w:pPr>
                            <w:r>
                              <w:rPr>
                                <w:b/>
                                <w:bCs/>
                                <w:color w:val="000000"/>
                                <w:sz w:val="16"/>
                                <w:szCs w:val="16"/>
                                <w:lang w:eastAsia="lt-LT"/>
                              </w:rPr>
                              <w:t>407 666,20</w:t>
                            </w:r>
                          </w:p>
                        </w:tc>
                        <w:tc>
                          <w:tcPr>
                            <w:tcW w:w="6803" w:type="dxa"/>
                            <w:gridSpan w:val="4"/>
                            <w:tcBorders>
                              <w:top w:val="nil"/>
                              <w:left w:val="nil"/>
                              <w:bottom w:val="single" w:sz="4" w:space="0" w:color="auto"/>
                              <w:right w:val="single" w:sz="4" w:space="0" w:color="auto"/>
                            </w:tcBorders>
                            <w:shd w:val="clear" w:color="auto" w:fill="auto"/>
                            <w:vAlign w:val="center"/>
                            <w:hideMark/>
                          </w:tcPr>
                          <w:p>
                            <w:pPr>
                              <w:ind w:firstLine="38"/>
                              <w:jc w:val="both"/>
                              <w:rPr>
                                <w:b/>
                                <w:bCs/>
                                <w:color w:val="000000"/>
                                <w:sz w:val="16"/>
                                <w:szCs w:val="16"/>
                                <w:lang w:eastAsia="lt-LT"/>
                              </w:rPr>
                            </w:pPr>
                          </w:p>
                        </w:tc>
                      </w:tr>
                      <w:tr>
                        <w:trPr>
                          <w:trHeight w:val="765"/>
                        </w:trPr>
                        <w:tc>
                          <w:tcPr>
                            <w:tcW w:w="1418" w:type="dxa"/>
                            <w:tcBorders>
                              <w:top w:val="nil"/>
                              <w:left w:val="nil"/>
                              <w:bottom w:val="nil"/>
                              <w:right w:val="nil"/>
                            </w:tcBorders>
                            <w:shd w:val="clear" w:color="auto" w:fill="auto"/>
                            <w:noWrap/>
                            <w:hideMark/>
                          </w:tcPr>
                          <w:p>
                            <w:pPr>
                              <w:jc w:val="right"/>
                              <w:rPr>
                                <w:color w:val="000000"/>
                                <w:sz w:val="16"/>
                                <w:szCs w:val="16"/>
                                <w:lang w:eastAsia="lt-LT"/>
                              </w:rPr>
                            </w:pPr>
                            <w:r>
                              <w:rPr>
                                <w:color w:val="000000"/>
                                <w:sz w:val="16"/>
                                <w:szCs w:val="16"/>
                                <w:lang w:eastAsia="lt-LT"/>
                              </w:rPr>
                              <w:t>*</w:t>
                            </w:r>
                          </w:p>
                        </w:tc>
                        <w:tc>
                          <w:tcPr>
                            <w:tcW w:w="20554" w:type="dxa"/>
                            <w:gridSpan w:val="15"/>
                            <w:tcBorders>
                              <w:top w:val="single" w:sz="4" w:space="0" w:color="auto"/>
                              <w:left w:val="nil"/>
                              <w:bottom w:val="nil"/>
                              <w:right w:val="nil"/>
                            </w:tcBorders>
                            <w:shd w:val="clear" w:color="auto" w:fill="auto"/>
                            <w:hideMark/>
                          </w:tcPr>
                          <w:p>
                            <w:pPr>
                              <w:rPr>
                                <w:color w:val="000000"/>
                                <w:sz w:val="16"/>
                                <w:szCs w:val="16"/>
                                <w:lang w:eastAsia="lt-LT"/>
                              </w:rPr>
                            </w:pPr>
                            <w:r>
                              <w:rPr>
                                <w:color w:val="000000"/>
                                <w:sz w:val="16"/>
                                <w:szCs w:val="16"/>
                                <w:lang w:eastAsia="lt-LT"/>
                              </w:rPr>
                              <w:t>Rezultato rodiklių reikšmės – preliminarios. Rezultato rodikliai pažangos priemonei pasirinkti vadovaujantis Regioninės pažangos priemonės Nr. 12-003-03-01-23 (RE) „Padidinti ugdymo prieinamumą atskirtį patiriantiems vaikams“ finansavimo gairių ir Regioninės pažangos priemonės Nr. 12-003-03-02-17 (RE) „Plėtoti įvairialypį švietimą vykdant visos dienos mokyklų veiklą“ finansavimo gairių 2.1. dalyse „Finansuojamos veiklos ir siekiami stebėsenos rodikliai“ pateikta informacija. Rodiklių reikšmės preliminarios, jos bus patikslintos, kai bus patvirtinta Stebėsenos rodiklių nustatymo ir skaičiavimo tvarka ir / ar rodiklių skaičiavimo aprašų suvestinė.</w:t>
                            </w:r>
                          </w:p>
                        </w:tc>
                      </w:tr>
                      <w:tr>
                        <w:trPr>
                          <w:trHeight w:val="288"/>
                        </w:trPr>
                        <w:tc>
                          <w:tcPr>
                            <w:tcW w:w="1418" w:type="dxa"/>
                            <w:tcBorders>
                              <w:top w:val="nil"/>
                              <w:left w:val="nil"/>
                              <w:bottom w:val="nil"/>
                              <w:right w:val="nil"/>
                            </w:tcBorders>
                            <w:shd w:val="clear" w:color="auto" w:fill="auto"/>
                            <w:noWrap/>
                            <w:vAlign w:val="bottom"/>
                            <w:hideMark/>
                          </w:tcPr>
                          <w:p>
                            <w:pPr>
                              <w:rPr>
                                <w:color w:val="000000"/>
                                <w:sz w:val="16"/>
                                <w:szCs w:val="16"/>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4962" w:type="dxa"/>
                            <w:gridSpan w:val="4"/>
                            <w:tcBorders>
                              <w:top w:val="nil"/>
                              <w:left w:val="nil"/>
                              <w:bottom w:val="nil"/>
                              <w:right w:val="nil"/>
                            </w:tcBorders>
                            <w:shd w:val="clear" w:color="auto" w:fill="auto"/>
                            <w:noWrap/>
                            <w:vAlign w:val="bottom"/>
                            <w:hideMark/>
                          </w:tcPr>
                          <w:p>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134" w:type="dxa"/>
                            <w:tcBorders>
                              <w:top w:val="nil"/>
                              <w:left w:val="nil"/>
                              <w:bottom w:val="nil"/>
                              <w:right w:val="nil"/>
                            </w:tcBorders>
                            <w:shd w:val="clear" w:color="auto" w:fill="auto"/>
                            <w:noWrap/>
                            <w:vAlign w:val="bottom"/>
                            <w:hideMark/>
                          </w:tcPr>
                          <w:p>
                            <w:pPr>
                              <w:rPr>
                                <w:b/>
                                <w:bCs/>
                                <w:color w:val="000000"/>
                                <w:sz w:val="22"/>
                                <w:szCs w:val="22"/>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Eil. Nr.</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Specialieji projektų atrankos kriterijai</w:t>
                            </w:r>
                          </w:p>
                        </w:tc>
                        <w:tc>
                          <w:tcPr>
                            <w:tcW w:w="5812" w:type="dxa"/>
                            <w:gridSpan w:val="5"/>
                            <w:tcBorders>
                              <w:top w:val="single" w:sz="4" w:space="0" w:color="auto"/>
                              <w:left w:val="nil"/>
                              <w:bottom w:val="single" w:sz="4" w:space="0" w:color="auto"/>
                              <w:right w:val="single" w:sz="4" w:space="0" w:color="000000"/>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Pažangos priemonės veikla (-os)</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 xml:space="preserve">Atitikties specialiajam projektų atrankos kriterijui vertinimo aspektai </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1</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2</w:t>
                            </w:r>
                          </w:p>
                        </w:tc>
                        <w:tc>
                          <w:tcPr>
                            <w:tcW w:w="5812" w:type="dxa"/>
                            <w:gridSpan w:val="5"/>
                            <w:tcBorders>
                              <w:top w:val="single" w:sz="4" w:space="0" w:color="auto"/>
                              <w:left w:val="nil"/>
                              <w:bottom w:val="single" w:sz="4" w:space="0" w:color="auto"/>
                              <w:right w:val="single" w:sz="4" w:space="0" w:color="000000"/>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3</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4</w:t>
                            </w:r>
                          </w:p>
                        </w:tc>
                      </w:tr>
                      <w:tr>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3544" w:type="dxa"/>
                            <w:gridSpan w:val="3"/>
                            <w:tcBorders>
                              <w:top w:val="single" w:sz="4" w:space="0" w:color="auto"/>
                              <w:left w:val="nil"/>
                              <w:bottom w:val="single" w:sz="4" w:space="0" w:color="auto"/>
                              <w:right w:val="single" w:sz="4" w:space="0" w:color="000000"/>
                            </w:tcBorders>
                            <w:shd w:val="clear" w:color="auto" w:fill="auto"/>
                            <w:noWrap/>
                            <w:hideMark/>
                          </w:tcPr>
                          <w:p>
                            <w:pPr>
                              <w:rPr>
                                <w:i/>
                                <w:iCs/>
                                <w:color w:val="000000"/>
                                <w:sz w:val="22"/>
                                <w:szCs w:val="22"/>
                                <w:lang w:eastAsia="lt-LT"/>
                              </w:rPr>
                            </w:pPr>
                            <w:r>
                              <w:rPr>
                                <w:i/>
                                <w:iCs/>
                                <w:color w:val="000000"/>
                                <w:sz w:val="22"/>
                                <w:szCs w:val="22"/>
                                <w:lang w:eastAsia="lt-LT"/>
                              </w:rPr>
                              <w:t>Nenustatomi</w:t>
                            </w:r>
                          </w:p>
                        </w:tc>
                        <w:tc>
                          <w:tcPr>
                            <w:tcW w:w="5812" w:type="dxa"/>
                            <w:gridSpan w:val="5"/>
                            <w:tcBorders>
                              <w:top w:val="single" w:sz="4" w:space="0" w:color="auto"/>
                              <w:left w:val="nil"/>
                              <w:bottom w:val="single" w:sz="4" w:space="0" w:color="auto"/>
                              <w:right w:val="single" w:sz="4" w:space="0" w:color="000000"/>
                            </w:tcBorders>
                            <w:shd w:val="clear" w:color="auto" w:fill="auto"/>
                            <w:noWrap/>
                            <w:hideMark/>
                          </w:tcPr>
                          <w:p>
                            <w:pPr>
                              <w:ind w:firstLine="57"/>
                              <w:jc w:val="center"/>
                              <w:rPr>
                                <w:i/>
                                <w:iCs/>
                                <w:color w:val="000000"/>
                                <w:sz w:val="22"/>
                                <w:szCs w:val="22"/>
                                <w:lang w:eastAsia="lt-LT"/>
                              </w:rPr>
                            </w:pPr>
                          </w:p>
                        </w:tc>
                        <w:tc>
                          <w:tcPr>
                            <w:tcW w:w="11198" w:type="dxa"/>
                            <w:gridSpan w:val="7"/>
                            <w:tcBorders>
                              <w:top w:val="single" w:sz="4" w:space="0" w:color="auto"/>
                              <w:left w:val="nil"/>
                              <w:bottom w:val="single" w:sz="4" w:space="0" w:color="auto"/>
                              <w:right w:val="single" w:sz="4" w:space="0" w:color="auto"/>
                            </w:tcBorders>
                            <w:shd w:val="clear" w:color="auto" w:fill="auto"/>
                            <w:noWrap/>
                            <w:hideMark/>
                          </w:tcPr>
                          <w:p>
                            <w:pPr>
                              <w:ind w:firstLine="57"/>
                              <w:jc w:val="center"/>
                              <w:rPr>
                                <w:color w:val="000000"/>
                                <w:sz w:val="22"/>
                                <w:szCs w:val="22"/>
                                <w:lang w:eastAsia="lt-LT"/>
                              </w:rPr>
                            </w:pPr>
                          </w:p>
                        </w:tc>
                      </w:tr>
                      <w:tr>
                        <w:trPr>
                          <w:trHeight w:val="288"/>
                        </w:trPr>
                        <w:tc>
                          <w:tcPr>
                            <w:tcW w:w="1418"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418" w:type="dxa"/>
                            <w:tcBorders>
                              <w:top w:val="nil"/>
                              <w:left w:val="nil"/>
                              <w:bottom w:val="nil"/>
                              <w:right w:val="nil"/>
                            </w:tcBorders>
                            <w:shd w:val="clear" w:color="auto" w:fill="auto"/>
                            <w:noWrap/>
                            <w:vAlign w:val="bottom"/>
                            <w:hideMark/>
                          </w:tcPr>
                          <w:p>
                            <w:pPr>
                              <w:rPr>
                                <w:sz w:val="20"/>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4962" w:type="dxa"/>
                            <w:gridSpan w:val="4"/>
                            <w:tcBorders>
                              <w:top w:val="nil"/>
                              <w:left w:val="nil"/>
                              <w:bottom w:val="nil"/>
                              <w:right w:val="nil"/>
                            </w:tcBorders>
                            <w:shd w:val="clear" w:color="auto" w:fill="auto"/>
                            <w:noWrap/>
                            <w:vAlign w:val="bottom"/>
                            <w:hideMark/>
                          </w:tcPr>
                          <w:p>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134" w:type="dxa"/>
                            <w:tcBorders>
                              <w:top w:val="nil"/>
                              <w:left w:val="nil"/>
                              <w:bottom w:val="nil"/>
                              <w:right w:val="nil"/>
                            </w:tcBorders>
                            <w:shd w:val="clear" w:color="auto" w:fill="auto"/>
                            <w:noWrap/>
                            <w:vAlign w:val="bottom"/>
                            <w:hideMark/>
                          </w:tcPr>
                          <w:p>
                            <w:pPr>
                              <w:rPr>
                                <w:b/>
                                <w:bCs/>
                                <w:color w:val="000000"/>
                                <w:sz w:val="22"/>
                                <w:szCs w:val="22"/>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Eil. Nr.</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Prioritetinis projektų atrankos kriterijus</w:t>
                            </w:r>
                          </w:p>
                        </w:tc>
                        <w:tc>
                          <w:tcPr>
                            <w:tcW w:w="5812" w:type="dxa"/>
                            <w:gridSpan w:val="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Pažangos priemonės veikla (-os)</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 xml:space="preserve">Atitikties prioritetiniam projektų atrankos kriterijui vertinimo aspektai </w:t>
                            </w:r>
                          </w:p>
                        </w:tc>
                      </w:tr>
                      <w:tr>
                        <w:trPr>
                          <w:trHeight w:val="225"/>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1</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2</w:t>
                            </w:r>
                          </w:p>
                        </w:tc>
                        <w:tc>
                          <w:tcPr>
                            <w:tcW w:w="5812" w:type="dxa"/>
                            <w:gridSpan w:val="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3</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4</w:t>
                            </w:r>
                          </w:p>
                        </w:tc>
                      </w:tr>
                      <w:tr>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3544" w:type="dxa"/>
                            <w:gridSpan w:val="3"/>
                            <w:tcBorders>
                              <w:top w:val="single" w:sz="4" w:space="0" w:color="auto"/>
                              <w:left w:val="nil"/>
                              <w:bottom w:val="single" w:sz="4" w:space="0" w:color="auto"/>
                              <w:right w:val="single" w:sz="4" w:space="0" w:color="auto"/>
                            </w:tcBorders>
                            <w:shd w:val="clear" w:color="auto" w:fill="auto"/>
                            <w:noWrap/>
                            <w:hideMark/>
                          </w:tcPr>
                          <w:p>
                            <w:pPr>
                              <w:rPr>
                                <w:i/>
                                <w:iCs/>
                                <w:color w:val="000000"/>
                                <w:sz w:val="22"/>
                                <w:szCs w:val="22"/>
                                <w:lang w:eastAsia="lt-LT"/>
                              </w:rPr>
                            </w:pPr>
                            <w:r>
                              <w:rPr>
                                <w:i/>
                                <w:iCs/>
                                <w:color w:val="000000"/>
                                <w:sz w:val="22"/>
                                <w:szCs w:val="22"/>
                                <w:lang w:eastAsia="lt-LT"/>
                              </w:rPr>
                              <w:t>Nenustatomi</w:t>
                            </w:r>
                          </w:p>
                        </w:tc>
                        <w:tc>
                          <w:tcPr>
                            <w:tcW w:w="5812" w:type="dxa"/>
                            <w:gridSpan w:val="5"/>
                            <w:tcBorders>
                              <w:top w:val="single" w:sz="4" w:space="0" w:color="auto"/>
                              <w:left w:val="nil"/>
                              <w:bottom w:val="single" w:sz="4" w:space="0" w:color="auto"/>
                              <w:right w:val="single" w:sz="4" w:space="0" w:color="auto"/>
                            </w:tcBorders>
                            <w:shd w:val="clear" w:color="auto" w:fill="auto"/>
                            <w:noWrap/>
                            <w:hideMark/>
                          </w:tcPr>
                          <w:p>
                            <w:pPr>
                              <w:ind w:firstLine="57"/>
                              <w:jc w:val="center"/>
                              <w:rPr>
                                <w:i/>
                                <w:iCs/>
                                <w:color w:val="000000"/>
                                <w:sz w:val="22"/>
                                <w:szCs w:val="22"/>
                                <w:lang w:eastAsia="lt-LT"/>
                              </w:rPr>
                            </w:pPr>
                          </w:p>
                        </w:tc>
                        <w:tc>
                          <w:tcPr>
                            <w:tcW w:w="11198" w:type="dxa"/>
                            <w:gridSpan w:val="7"/>
                            <w:tcBorders>
                              <w:top w:val="single" w:sz="4" w:space="0" w:color="auto"/>
                              <w:left w:val="nil"/>
                              <w:bottom w:val="single" w:sz="4" w:space="0" w:color="auto"/>
                              <w:right w:val="single" w:sz="4" w:space="0" w:color="auto"/>
                            </w:tcBorders>
                            <w:shd w:val="clear" w:color="auto" w:fill="auto"/>
                            <w:noWrap/>
                            <w:hideMark/>
                          </w:tcPr>
                          <w:p>
                            <w:pPr>
                              <w:ind w:firstLine="57"/>
                              <w:jc w:val="center"/>
                              <w:rPr>
                                <w:color w:val="000000"/>
                                <w:sz w:val="22"/>
                                <w:szCs w:val="22"/>
                                <w:lang w:eastAsia="lt-LT"/>
                              </w:rPr>
                            </w:pPr>
                          </w:p>
                        </w:tc>
                      </w:tr>
                      <w:tr>
                        <w:trPr>
                          <w:trHeight w:val="288"/>
                        </w:trPr>
                        <w:tc>
                          <w:tcPr>
                            <w:tcW w:w="1418"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418" w:type="dxa"/>
                            <w:tcBorders>
                              <w:top w:val="nil"/>
                              <w:left w:val="nil"/>
                              <w:bottom w:val="nil"/>
                              <w:right w:val="nil"/>
                            </w:tcBorders>
                            <w:shd w:val="clear" w:color="auto" w:fill="auto"/>
                            <w:noWrap/>
                            <w:vAlign w:val="bottom"/>
                            <w:hideMark/>
                          </w:tcPr>
                          <w:p>
                            <w:pPr>
                              <w:rPr>
                                <w:sz w:val="20"/>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3620" w:type="dxa"/>
                            <w:gridSpan w:val="3"/>
                            <w:tcBorders>
                              <w:top w:val="nil"/>
                              <w:left w:val="nil"/>
                              <w:bottom w:val="nil"/>
                              <w:right w:val="nil"/>
                            </w:tcBorders>
                            <w:shd w:val="clear" w:color="auto" w:fill="auto"/>
                            <w:noWrap/>
                            <w:vAlign w:val="bottom"/>
                            <w:hideMark/>
                          </w:tcPr>
                          <w:p>
                            <w:pPr>
                              <w:rPr>
                                <w:b/>
                                <w:bCs/>
                                <w:color w:val="000000"/>
                                <w:sz w:val="22"/>
                                <w:szCs w:val="22"/>
                                <w:lang w:eastAsia="lt-LT"/>
                              </w:rPr>
                            </w:pPr>
                            <w:r>
                              <w:rPr>
                                <w:b/>
                                <w:bCs/>
                                <w:color w:val="000000"/>
                                <w:sz w:val="22"/>
                                <w:szCs w:val="22"/>
                                <w:lang w:eastAsia="lt-LT"/>
                              </w:rPr>
                              <w:t>9 lentelė. Reikalavimai projektams</w:t>
                            </w:r>
                          </w:p>
                        </w:tc>
                        <w:tc>
                          <w:tcPr>
                            <w:tcW w:w="1342" w:type="dxa"/>
                            <w:tcBorders>
                              <w:top w:val="nil"/>
                              <w:left w:val="nil"/>
                              <w:bottom w:val="nil"/>
                              <w:right w:val="nil"/>
                            </w:tcBorders>
                            <w:shd w:val="clear" w:color="auto" w:fill="auto"/>
                            <w:noWrap/>
                            <w:vAlign w:val="bottom"/>
                            <w:hideMark/>
                          </w:tcPr>
                          <w:p>
                            <w:pPr>
                              <w:rPr>
                                <w:b/>
                                <w:bCs/>
                                <w:color w:val="000000"/>
                                <w:sz w:val="22"/>
                                <w:szCs w:val="22"/>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945"/>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pPr>
                              <w:jc w:val="center"/>
                              <w:rPr>
                                <w:b/>
                                <w:bCs/>
                                <w:color w:val="000000"/>
                                <w:sz w:val="22"/>
                                <w:szCs w:val="22"/>
                                <w:lang w:eastAsia="lt-LT"/>
                              </w:rPr>
                            </w:pPr>
                            <w:r>
                              <w:rPr>
                                <w:b/>
                                <w:bCs/>
                                <w:color w:val="000000"/>
                                <w:sz w:val="22"/>
                                <w:szCs w:val="22"/>
                                <w:lang w:eastAsia="lt-LT"/>
                              </w:rPr>
                              <w:t>Eil. Nr.</w:t>
                            </w:r>
                          </w:p>
                        </w:tc>
                        <w:tc>
                          <w:tcPr>
                            <w:tcW w:w="3544" w:type="dxa"/>
                            <w:gridSpan w:val="3"/>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7010" w:type="dxa"/>
                            <w:gridSpan w:val="12"/>
                            <w:tcBorders>
                              <w:top w:val="single" w:sz="4" w:space="0" w:color="auto"/>
                              <w:left w:val="nil"/>
                              <w:bottom w:val="single" w:sz="4" w:space="0" w:color="auto"/>
                              <w:right w:val="single" w:sz="4" w:space="0" w:color="000000"/>
                            </w:tcBorders>
                            <w:shd w:val="clear" w:color="000000" w:fill="DBE5F1"/>
                            <w:noWrap/>
                            <w:vAlign w:val="center"/>
                            <w:hideMark/>
                          </w:tcPr>
                          <w:p>
                            <w:pPr>
                              <w:jc w:val="center"/>
                              <w:rPr>
                                <w:b/>
                                <w:bCs/>
                                <w:color w:val="000000"/>
                                <w:sz w:val="22"/>
                                <w:szCs w:val="22"/>
                                <w:lang w:eastAsia="lt-LT"/>
                              </w:rPr>
                            </w:pPr>
                            <w:r>
                              <w:rPr>
                                <w:b/>
                                <w:bCs/>
                                <w:color w:val="000000"/>
                                <w:sz w:val="22"/>
                                <w:szCs w:val="22"/>
                                <w:lang w:eastAsia="lt-LT"/>
                              </w:rPr>
                              <w:t>Reikalavimai projektams</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1</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2</w:t>
                            </w:r>
                          </w:p>
                        </w:tc>
                        <w:tc>
                          <w:tcPr>
                            <w:tcW w:w="17010" w:type="dxa"/>
                            <w:gridSpan w:val="12"/>
                            <w:tcBorders>
                              <w:top w:val="single" w:sz="4" w:space="0" w:color="auto"/>
                              <w:left w:val="nil"/>
                              <w:bottom w:val="single" w:sz="4" w:space="0" w:color="auto"/>
                              <w:right w:val="single" w:sz="4" w:space="0" w:color="000000"/>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3</w:t>
                            </w:r>
                          </w:p>
                        </w:tc>
                      </w:tr>
                      <w:tr>
                        <w:trPr>
                          <w:trHeight w:val="118"/>
                        </w:trPr>
                        <w:tc>
                          <w:tcPr>
                            <w:tcW w:w="1418" w:type="dxa"/>
                            <w:tcBorders>
                              <w:top w:val="nil"/>
                              <w:left w:val="single" w:sz="4" w:space="0" w:color="auto"/>
                              <w:bottom w:val="single" w:sz="4" w:space="0" w:color="auto"/>
                              <w:right w:val="single" w:sz="4" w:space="0" w:color="auto"/>
                            </w:tcBorders>
                            <w:shd w:val="clear" w:color="auto" w:fill="auto"/>
                            <w:noWrap/>
                            <w:hideMark/>
                          </w:tcPr>
                          <w:p>
                            <w:pPr>
                              <w:jc w:val="center"/>
                              <w:rPr>
                                <w:color w:val="000000"/>
                                <w:sz w:val="22"/>
                                <w:szCs w:val="22"/>
                                <w:lang w:eastAsia="lt-LT"/>
                              </w:rPr>
                            </w:pPr>
                            <w:r>
                              <w:rPr>
                                <w:color w:val="000000"/>
                                <w:sz w:val="22"/>
                                <w:szCs w:val="22"/>
                                <w:lang w:eastAsia="lt-LT"/>
                              </w:rPr>
                              <w:t>1.</w:t>
                            </w:r>
                          </w:p>
                        </w:tc>
                        <w:tc>
                          <w:tcPr>
                            <w:tcW w:w="3544" w:type="dxa"/>
                            <w:gridSpan w:val="3"/>
                            <w:tcBorders>
                              <w:top w:val="single" w:sz="4" w:space="0" w:color="auto"/>
                              <w:left w:val="nil"/>
                              <w:bottom w:val="single" w:sz="4" w:space="0" w:color="auto"/>
                              <w:right w:val="single" w:sz="4" w:space="0" w:color="auto"/>
                            </w:tcBorders>
                            <w:shd w:val="clear" w:color="auto" w:fill="auto"/>
                            <w:hideMark/>
                          </w:tcPr>
                          <w:p>
                            <w:pPr>
                              <w:rPr>
                                <w:color w:val="000000"/>
                                <w:sz w:val="22"/>
                                <w:szCs w:val="22"/>
                                <w:lang w:eastAsia="lt-LT"/>
                              </w:rPr>
                            </w:pPr>
                            <w:r>
                              <w:rPr>
                                <w:color w:val="000000"/>
                                <w:sz w:val="22"/>
                                <w:szCs w:val="22"/>
                                <w:lang w:eastAsia="lt-LT"/>
                              </w:rPr>
                              <w:t>1 veikla „Padidinti ugdymo prieinamumą ir sudaryti sąlygas visos dienos mokyklai“.</w:t>
                            </w:r>
                          </w:p>
                        </w:tc>
                        <w:tc>
                          <w:tcPr>
                            <w:tcW w:w="17010" w:type="dxa"/>
                            <w:gridSpan w:val="12"/>
                            <w:tcBorders>
                              <w:top w:val="single" w:sz="4" w:space="0" w:color="auto"/>
                              <w:left w:val="nil"/>
                              <w:bottom w:val="single" w:sz="4" w:space="0" w:color="auto"/>
                              <w:right w:val="single" w:sz="4" w:space="0" w:color="000000"/>
                            </w:tcBorders>
                            <w:shd w:val="clear" w:color="auto" w:fill="auto"/>
                            <w:hideMark/>
                          </w:tcPr>
                          <w:p>
                            <w:pPr>
                              <w:rPr>
                                <w:color w:val="000000"/>
                                <w:sz w:val="22"/>
                                <w:szCs w:val="22"/>
                                <w:lang w:eastAsia="lt-LT"/>
                              </w:rPr>
                            </w:pPr>
                            <w:r>
                              <w:rPr>
                                <w:color w:val="000000"/>
                                <w:sz w:val="22"/>
                                <w:szCs w:val="22"/>
                                <w:lang w:eastAsia="lt-LT"/>
                              </w:rPr>
                              <w:t>Projektai, kuriuos numatoma finansuoti ir įgyvendinti pagal šią pažangos priemonę, turi atitikti:</w:t>
                              <w:br/>
                              <w:t>1) Regioninės pažangos priemonės Nr. 12-003-03-01-23 (RE) „Padidinti ugdymo prieinamumą atskirtį patiriantiems vaikams“ finansavimo gairių, patvirtintų Lietuvos Respublikos švietimo, mokslo ir sporto ministro 2022 m. rugsėjo 30 d. įsakymu Nr. V-1542 „Dėl Regioninės pažangos priemonės Nr. 12-003-03-01-23 (RE) „Padidinti ugdymo prieinamumą atskirtį patiriantiems vaikams“ finansavimo gairių patvirtinimo“, reikalavimus;</w:t>
                              <w:br/>
                              <w:t>2) Regioninės pažangos priemonės Nr. 12-003-03-02-17 (RE) „Plėtoti įvairialypį švietimą vykdant visos dienos mokyklų veiklą“ finansavimo gairių, patvirtintų Lietuvos Respublikos švietimo, mokslo ir sporto ministro 2022 m. spalio 13 d. įsakymu Nr. V-1637 „Dėl Regioninės pažangos priemonės Nr. 12-003-03-02-17 (RE) „Plėtoti įvairialypį švietimą vykdant visos dienos mokyklų veiklą“ finansavimo gairių patvirtinimo“, reikalavimus;</w:t>
                              <w:br/>
                              <w:t>3)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trPr>
                          <w:trHeight w:val="276"/>
                        </w:trPr>
                        <w:tc>
                          <w:tcPr>
                            <w:tcW w:w="1418" w:type="dxa"/>
                            <w:tcBorders>
                              <w:top w:val="nil"/>
                              <w:left w:val="nil"/>
                              <w:bottom w:val="nil"/>
                              <w:right w:val="nil"/>
                            </w:tcBorders>
                            <w:shd w:val="clear" w:color="auto" w:fill="auto"/>
                            <w:noWrap/>
                            <w:vAlign w:val="bottom"/>
                            <w:hideMark/>
                          </w:tcPr>
                          <w:p>
                            <w:pPr>
                              <w:rPr>
                                <w:color w:val="000000"/>
                                <w:sz w:val="22"/>
                                <w:szCs w:val="22"/>
                                <w:lang w:eastAsia="lt-LT"/>
                              </w:rPr>
                            </w:pPr>
                          </w:p>
                        </w:tc>
                        <w:tc>
                          <w:tcPr>
                            <w:tcW w:w="888" w:type="dxa"/>
                            <w:tcBorders>
                              <w:top w:val="nil"/>
                              <w:left w:val="nil"/>
                              <w:bottom w:val="nil"/>
                              <w:right w:val="nil"/>
                            </w:tcBorders>
                            <w:shd w:val="clear" w:color="auto" w:fill="auto"/>
                            <w:noWrap/>
                            <w:hideMark/>
                          </w:tcPr>
                          <w:p>
                            <w:pPr>
                              <w:rPr>
                                <w:sz w:val="20"/>
                                <w:lang w:eastAsia="lt-LT"/>
                              </w:rPr>
                            </w:pPr>
                          </w:p>
                        </w:tc>
                        <w:tc>
                          <w:tcPr>
                            <w:tcW w:w="1314" w:type="dxa"/>
                            <w:tcBorders>
                              <w:top w:val="nil"/>
                              <w:left w:val="nil"/>
                              <w:bottom w:val="nil"/>
                              <w:right w:val="nil"/>
                            </w:tcBorders>
                            <w:shd w:val="clear" w:color="auto" w:fill="auto"/>
                            <w:noWrap/>
                            <w:hideMark/>
                          </w:tcPr>
                          <w:p>
                            <w:pPr>
                              <w:rPr>
                                <w:sz w:val="20"/>
                                <w:lang w:eastAsia="lt-LT"/>
                              </w:rPr>
                            </w:pPr>
                          </w:p>
                        </w:tc>
                        <w:tc>
                          <w:tcPr>
                            <w:tcW w:w="1342" w:type="dxa"/>
                            <w:tcBorders>
                              <w:top w:val="nil"/>
                              <w:left w:val="nil"/>
                              <w:bottom w:val="nil"/>
                              <w:right w:val="nil"/>
                            </w:tcBorders>
                            <w:shd w:val="clear" w:color="auto" w:fill="auto"/>
                            <w:noWrap/>
                            <w:hideMark/>
                          </w:tcPr>
                          <w:p>
                            <w:pPr>
                              <w:rPr>
                                <w:sz w:val="20"/>
                                <w:lang w:eastAsia="lt-LT"/>
                              </w:rPr>
                            </w:pPr>
                          </w:p>
                        </w:tc>
                        <w:tc>
                          <w:tcPr>
                            <w:tcW w:w="1134" w:type="dxa"/>
                            <w:tcBorders>
                              <w:top w:val="nil"/>
                              <w:left w:val="nil"/>
                              <w:bottom w:val="nil"/>
                              <w:right w:val="nil"/>
                            </w:tcBorders>
                            <w:shd w:val="clear" w:color="auto" w:fill="auto"/>
                            <w:noWrap/>
                            <w:hideMark/>
                          </w:tcPr>
                          <w:p>
                            <w:pPr>
                              <w:rPr>
                                <w:sz w:val="20"/>
                                <w:lang w:eastAsia="lt-LT"/>
                              </w:rPr>
                            </w:pPr>
                          </w:p>
                        </w:tc>
                        <w:tc>
                          <w:tcPr>
                            <w:tcW w:w="1070" w:type="dxa"/>
                            <w:tcBorders>
                              <w:top w:val="nil"/>
                              <w:left w:val="nil"/>
                              <w:bottom w:val="nil"/>
                              <w:right w:val="nil"/>
                            </w:tcBorders>
                            <w:shd w:val="clear" w:color="auto" w:fill="auto"/>
                            <w:noWrap/>
                            <w:hideMark/>
                          </w:tcPr>
                          <w:p>
                            <w:pPr>
                              <w:rPr>
                                <w:sz w:val="20"/>
                                <w:lang w:eastAsia="lt-LT"/>
                              </w:rPr>
                            </w:pPr>
                          </w:p>
                        </w:tc>
                        <w:tc>
                          <w:tcPr>
                            <w:tcW w:w="1057" w:type="dxa"/>
                            <w:tcBorders>
                              <w:top w:val="nil"/>
                              <w:left w:val="nil"/>
                              <w:bottom w:val="nil"/>
                              <w:right w:val="nil"/>
                            </w:tcBorders>
                            <w:shd w:val="clear" w:color="auto" w:fill="auto"/>
                            <w:noWrap/>
                            <w:hideMark/>
                          </w:tcPr>
                          <w:p>
                            <w:pPr>
                              <w:rPr>
                                <w:sz w:val="20"/>
                                <w:lang w:eastAsia="lt-LT"/>
                              </w:rPr>
                            </w:pPr>
                          </w:p>
                        </w:tc>
                        <w:tc>
                          <w:tcPr>
                            <w:tcW w:w="1134" w:type="dxa"/>
                            <w:tcBorders>
                              <w:top w:val="nil"/>
                              <w:left w:val="nil"/>
                              <w:bottom w:val="nil"/>
                              <w:right w:val="nil"/>
                            </w:tcBorders>
                            <w:shd w:val="clear" w:color="auto" w:fill="auto"/>
                            <w:hideMark/>
                          </w:tcPr>
                          <w:p>
                            <w:pPr>
                              <w:rPr>
                                <w:sz w:val="20"/>
                                <w:lang w:eastAsia="lt-LT"/>
                              </w:rPr>
                            </w:pPr>
                          </w:p>
                        </w:tc>
                        <w:tc>
                          <w:tcPr>
                            <w:tcW w:w="1417" w:type="dxa"/>
                            <w:tcBorders>
                              <w:top w:val="nil"/>
                              <w:left w:val="nil"/>
                              <w:bottom w:val="nil"/>
                              <w:right w:val="nil"/>
                            </w:tcBorders>
                            <w:shd w:val="clear" w:color="auto" w:fill="auto"/>
                            <w:hideMark/>
                          </w:tcPr>
                          <w:p>
                            <w:pPr>
                              <w:rPr>
                                <w:sz w:val="20"/>
                                <w:lang w:eastAsia="lt-LT"/>
                              </w:rPr>
                            </w:pPr>
                          </w:p>
                        </w:tc>
                        <w:tc>
                          <w:tcPr>
                            <w:tcW w:w="1418" w:type="dxa"/>
                            <w:tcBorders>
                              <w:top w:val="nil"/>
                              <w:left w:val="nil"/>
                              <w:bottom w:val="nil"/>
                              <w:right w:val="nil"/>
                            </w:tcBorders>
                            <w:shd w:val="clear" w:color="auto" w:fill="auto"/>
                            <w:hideMark/>
                          </w:tcPr>
                          <w:p>
                            <w:pPr>
                              <w:rPr>
                                <w:sz w:val="20"/>
                                <w:lang w:eastAsia="lt-LT"/>
                              </w:rPr>
                            </w:pPr>
                          </w:p>
                        </w:tc>
                        <w:tc>
                          <w:tcPr>
                            <w:tcW w:w="1701" w:type="dxa"/>
                            <w:tcBorders>
                              <w:top w:val="nil"/>
                              <w:left w:val="nil"/>
                              <w:bottom w:val="nil"/>
                              <w:right w:val="nil"/>
                            </w:tcBorders>
                            <w:shd w:val="clear" w:color="auto" w:fill="auto"/>
                            <w:hideMark/>
                          </w:tcPr>
                          <w:p>
                            <w:pPr>
                              <w:rPr>
                                <w:sz w:val="20"/>
                                <w:lang w:eastAsia="lt-LT"/>
                              </w:rPr>
                            </w:pPr>
                          </w:p>
                        </w:tc>
                        <w:tc>
                          <w:tcPr>
                            <w:tcW w:w="1276" w:type="dxa"/>
                            <w:tcBorders>
                              <w:top w:val="nil"/>
                              <w:left w:val="nil"/>
                              <w:bottom w:val="nil"/>
                              <w:right w:val="nil"/>
                            </w:tcBorders>
                            <w:shd w:val="clear" w:color="auto" w:fill="auto"/>
                            <w:hideMark/>
                          </w:tcPr>
                          <w:p>
                            <w:pPr>
                              <w:rPr>
                                <w:sz w:val="20"/>
                                <w:lang w:eastAsia="lt-LT"/>
                              </w:rPr>
                            </w:pPr>
                          </w:p>
                        </w:tc>
                        <w:tc>
                          <w:tcPr>
                            <w:tcW w:w="3117" w:type="dxa"/>
                            <w:tcBorders>
                              <w:top w:val="nil"/>
                              <w:left w:val="nil"/>
                              <w:bottom w:val="nil"/>
                              <w:right w:val="nil"/>
                            </w:tcBorders>
                            <w:shd w:val="clear" w:color="auto" w:fill="auto"/>
                            <w:hideMark/>
                          </w:tcPr>
                          <w:p>
                            <w:pPr>
                              <w:rPr>
                                <w:sz w:val="20"/>
                                <w:lang w:eastAsia="lt-LT"/>
                              </w:rPr>
                            </w:pPr>
                          </w:p>
                        </w:tc>
                        <w:tc>
                          <w:tcPr>
                            <w:tcW w:w="1276" w:type="dxa"/>
                            <w:tcBorders>
                              <w:top w:val="nil"/>
                              <w:left w:val="nil"/>
                              <w:bottom w:val="nil"/>
                              <w:right w:val="nil"/>
                            </w:tcBorders>
                            <w:shd w:val="clear" w:color="auto" w:fill="auto"/>
                            <w:hideMark/>
                          </w:tcPr>
                          <w:p>
                            <w:pPr>
                              <w:rPr>
                                <w:sz w:val="20"/>
                                <w:lang w:eastAsia="lt-LT"/>
                              </w:rPr>
                            </w:pPr>
                          </w:p>
                        </w:tc>
                        <w:tc>
                          <w:tcPr>
                            <w:tcW w:w="1251" w:type="dxa"/>
                            <w:tcBorders>
                              <w:top w:val="nil"/>
                              <w:left w:val="nil"/>
                              <w:bottom w:val="nil"/>
                              <w:right w:val="nil"/>
                            </w:tcBorders>
                            <w:shd w:val="clear" w:color="auto" w:fill="auto"/>
                            <w:hideMark/>
                          </w:tcPr>
                          <w:p>
                            <w:pPr>
                              <w:rPr>
                                <w:sz w:val="20"/>
                                <w:lang w:eastAsia="lt-LT"/>
                              </w:rPr>
                            </w:pPr>
                          </w:p>
                        </w:tc>
                        <w:tc>
                          <w:tcPr>
                            <w:tcW w:w="1159" w:type="dxa"/>
                            <w:tcBorders>
                              <w:top w:val="nil"/>
                              <w:left w:val="nil"/>
                              <w:bottom w:val="nil"/>
                              <w:right w:val="nil"/>
                            </w:tcBorders>
                            <w:shd w:val="clear" w:color="auto" w:fill="auto"/>
                            <w:hideMark/>
                          </w:tcPr>
                          <w:p>
                            <w:pPr>
                              <w:rPr>
                                <w:sz w:val="20"/>
                                <w:lang w:eastAsia="lt-LT"/>
                              </w:rPr>
                            </w:pPr>
                          </w:p>
                        </w:tc>
                      </w:tr>
                      <w:tr>
                        <w:trPr>
                          <w:trHeight w:val="288"/>
                        </w:trPr>
                        <w:tc>
                          <w:tcPr>
                            <w:tcW w:w="1418" w:type="dxa"/>
                            <w:tcBorders>
                              <w:top w:val="nil"/>
                              <w:left w:val="nil"/>
                              <w:bottom w:val="nil"/>
                              <w:right w:val="nil"/>
                            </w:tcBorders>
                            <w:shd w:val="clear" w:color="auto" w:fill="auto"/>
                            <w:noWrap/>
                            <w:vAlign w:val="bottom"/>
                            <w:hideMark/>
                          </w:tcPr>
                          <w:p>
                            <w:pPr>
                              <w:rPr>
                                <w:sz w:val="20"/>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4962" w:type="dxa"/>
                            <w:gridSpan w:val="4"/>
                            <w:tcBorders>
                              <w:top w:val="nil"/>
                              <w:left w:val="nil"/>
                              <w:bottom w:val="nil"/>
                              <w:right w:val="nil"/>
                            </w:tcBorders>
                            <w:shd w:val="clear" w:color="auto" w:fill="auto"/>
                            <w:noWrap/>
                            <w:vAlign w:val="bottom"/>
                            <w:hideMark/>
                          </w:tcPr>
                          <w:p>
                            <w:pPr>
                              <w:rPr>
                                <w:b/>
                                <w:bCs/>
                                <w:color w:val="000000"/>
                                <w:sz w:val="22"/>
                                <w:szCs w:val="22"/>
                                <w:lang w:eastAsia="lt-LT"/>
                              </w:rPr>
                            </w:pPr>
                            <w:r>
                              <w:rPr>
                                <w:b/>
                                <w:bCs/>
                                <w:color w:val="000000"/>
                                <w:sz w:val="22"/>
                                <w:szCs w:val="22"/>
                                <w:lang w:eastAsia="lt-LT"/>
                              </w:rPr>
                              <w:t>10 lentelė. Kiti reikalavimai dėl pažangos priemonės įgyvendinimo</w:t>
                            </w:r>
                          </w:p>
                        </w:tc>
                        <w:tc>
                          <w:tcPr>
                            <w:tcW w:w="1134" w:type="dxa"/>
                            <w:tcBorders>
                              <w:top w:val="nil"/>
                              <w:left w:val="nil"/>
                              <w:bottom w:val="nil"/>
                              <w:right w:val="nil"/>
                            </w:tcBorders>
                            <w:shd w:val="clear" w:color="auto" w:fill="auto"/>
                            <w:noWrap/>
                            <w:vAlign w:val="bottom"/>
                            <w:hideMark/>
                          </w:tcPr>
                          <w:p>
                            <w:pPr>
                              <w:rPr>
                                <w:b/>
                                <w:bCs/>
                                <w:color w:val="000000"/>
                                <w:sz w:val="22"/>
                                <w:szCs w:val="22"/>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r>
                        <w:trPr>
                          <w:trHeight w:val="288"/>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Eil. Nr.</w:t>
                            </w:r>
                          </w:p>
                        </w:tc>
                        <w:tc>
                          <w:tcPr>
                            <w:tcW w:w="20554" w:type="dxa"/>
                            <w:gridSpan w:val="1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lang w:eastAsia="lt-LT"/>
                              </w:rPr>
                            </w:pPr>
                            <w:r>
                              <w:rPr>
                                <w:b/>
                                <w:bCs/>
                                <w:color w:val="000000"/>
                                <w:sz w:val="22"/>
                                <w:szCs w:val="22"/>
                                <w:lang w:eastAsia="lt-LT"/>
                              </w:rPr>
                              <w:t>Reikalavimai</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1</w:t>
                            </w:r>
                          </w:p>
                        </w:tc>
                        <w:tc>
                          <w:tcPr>
                            <w:tcW w:w="20554" w:type="dxa"/>
                            <w:gridSpan w:val="1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lang w:eastAsia="lt-LT"/>
                              </w:rPr>
                            </w:pPr>
                            <w:r>
                              <w:rPr>
                                <w:b/>
                                <w:bCs/>
                                <w:color w:val="000000"/>
                                <w:sz w:val="18"/>
                                <w:szCs w:val="18"/>
                                <w:lang w:eastAsia="lt-LT"/>
                              </w:rPr>
                              <w:t>2</w:t>
                            </w:r>
                          </w:p>
                        </w:tc>
                      </w:tr>
                      <w:tr>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0554" w:type="dxa"/>
                            <w:gridSpan w:val="15"/>
                            <w:tcBorders>
                              <w:top w:val="single" w:sz="4" w:space="0" w:color="auto"/>
                              <w:left w:val="nil"/>
                              <w:bottom w:val="single" w:sz="4" w:space="0" w:color="auto"/>
                              <w:right w:val="single" w:sz="4" w:space="0" w:color="auto"/>
                            </w:tcBorders>
                            <w:shd w:val="clear" w:color="auto" w:fill="auto"/>
                            <w:noWrap/>
                            <w:hideMark/>
                          </w:tcPr>
                          <w:p>
                            <w:pPr>
                              <w:rPr>
                                <w:i/>
                                <w:iCs/>
                                <w:color w:val="000000"/>
                                <w:sz w:val="22"/>
                                <w:szCs w:val="22"/>
                                <w:lang w:eastAsia="lt-LT"/>
                              </w:rPr>
                            </w:pPr>
                            <w:r>
                              <w:rPr>
                                <w:i/>
                                <w:iCs/>
                                <w:color w:val="000000"/>
                                <w:sz w:val="22"/>
                                <w:szCs w:val="22"/>
                                <w:lang w:eastAsia="lt-LT"/>
                              </w:rPr>
                              <w:t>Nenustatomi</w:t>
                            </w:r>
                          </w:p>
                        </w:tc>
                      </w:tr>
                      <w:tr>
                        <w:trPr>
                          <w:trHeight w:val="288"/>
                        </w:trPr>
                        <w:tc>
                          <w:tcPr>
                            <w:tcW w:w="1418" w:type="dxa"/>
                            <w:tcBorders>
                              <w:top w:val="nil"/>
                              <w:left w:val="nil"/>
                              <w:bottom w:val="nil"/>
                              <w:right w:val="nil"/>
                            </w:tcBorders>
                            <w:shd w:val="clear" w:color="auto" w:fill="auto"/>
                            <w:noWrap/>
                            <w:vAlign w:val="bottom"/>
                            <w:hideMark/>
                          </w:tcPr>
                          <w:p>
                            <w:pPr>
                              <w:rPr>
                                <w:i/>
                                <w:iCs/>
                                <w:color w:val="000000"/>
                                <w:sz w:val="22"/>
                                <w:szCs w:val="22"/>
                                <w:lang w:eastAsia="lt-LT"/>
                              </w:rPr>
                            </w:pPr>
                          </w:p>
                        </w:tc>
                        <w:tc>
                          <w:tcPr>
                            <w:tcW w:w="888" w:type="dxa"/>
                            <w:tcBorders>
                              <w:top w:val="nil"/>
                              <w:left w:val="nil"/>
                              <w:bottom w:val="nil"/>
                              <w:right w:val="nil"/>
                            </w:tcBorders>
                            <w:shd w:val="clear" w:color="auto" w:fill="auto"/>
                            <w:noWrap/>
                            <w:vAlign w:val="bottom"/>
                            <w:hideMark/>
                          </w:tcPr>
                          <w:p>
                            <w:pPr>
                              <w:rPr>
                                <w:sz w:val="20"/>
                                <w:lang w:eastAsia="lt-LT"/>
                              </w:rPr>
                            </w:pPr>
                          </w:p>
                        </w:tc>
                        <w:tc>
                          <w:tcPr>
                            <w:tcW w:w="1314" w:type="dxa"/>
                            <w:tcBorders>
                              <w:top w:val="nil"/>
                              <w:left w:val="nil"/>
                              <w:bottom w:val="nil"/>
                              <w:right w:val="nil"/>
                            </w:tcBorders>
                            <w:shd w:val="clear" w:color="auto" w:fill="auto"/>
                            <w:noWrap/>
                            <w:vAlign w:val="bottom"/>
                            <w:hideMark/>
                          </w:tcPr>
                          <w:p>
                            <w:pPr>
                              <w:rPr>
                                <w:sz w:val="20"/>
                                <w:lang w:eastAsia="lt-LT"/>
                              </w:rPr>
                            </w:pPr>
                          </w:p>
                        </w:tc>
                        <w:tc>
                          <w:tcPr>
                            <w:tcW w:w="1342"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070" w:type="dxa"/>
                            <w:tcBorders>
                              <w:top w:val="nil"/>
                              <w:left w:val="nil"/>
                              <w:bottom w:val="nil"/>
                              <w:right w:val="nil"/>
                            </w:tcBorders>
                            <w:shd w:val="clear" w:color="auto" w:fill="auto"/>
                            <w:noWrap/>
                            <w:vAlign w:val="bottom"/>
                            <w:hideMark/>
                          </w:tcPr>
                          <w:p>
                            <w:pPr>
                              <w:rPr>
                                <w:sz w:val="20"/>
                                <w:lang w:eastAsia="lt-LT"/>
                              </w:rPr>
                            </w:pPr>
                          </w:p>
                        </w:tc>
                        <w:tc>
                          <w:tcPr>
                            <w:tcW w:w="1057" w:type="dxa"/>
                            <w:tcBorders>
                              <w:top w:val="nil"/>
                              <w:left w:val="nil"/>
                              <w:bottom w:val="nil"/>
                              <w:right w:val="nil"/>
                            </w:tcBorders>
                            <w:shd w:val="clear" w:color="auto" w:fill="auto"/>
                            <w:noWrap/>
                            <w:vAlign w:val="bottom"/>
                            <w:hideMark/>
                          </w:tcPr>
                          <w:p>
                            <w:pPr>
                              <w:rPr>
                                <w:sz w:val="20"/>
                                <w:lang w:eastAsia="lt-LT"/>
                              </w:rPr>
                            </w:pPr>
                          </w:p>
                        </w:tc>
                        <w:tc>
                          <w:tcPr>
                            <w:tcW w:w="113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jc w:val="right"/>
                              <w:rPr>
                                <w:sz w:val="20"/>
                                <w:lang w:eastAsia="lt-LT"/>
                              </w:rPr>
                            </w:pPr>
                          </w:p>
                        </w:tc>
                        <w:tc>
                          <w:tcPr>
                            <w:tcW w:w="1418" w:type="dxa"/>
                            <w:tcBorders>
                              <w:top w:val="nil"/>
                              <w:left w:val="nil"/>
                              <w:bottom w:val="nil"/>
                              <w:right w:val="nil"/>
                            </w:tcBorders>
                            <w:shd w:val="clear" w:color="auto" w:fill="auto"/>
                            <w:noWrap/>
                            <w:vAlign w:val="bottom"/>
                            <w:hideMark/>
                          </w:tcPr>
                          <w:p>
                            <w:pPr>
                              <w:jc w:val="right"/>
                              <w:rPr>
                                <w:sz w:val="20"/>
                                <w:lang w:eastAsia="lt-LT"/>
                              </w:rPr>
                            </w:pPr>
                          </w:p>
                        </w:tc>
                        <w:tc>
                          <w:tcPr>
                            <w:tcW w:w="1701"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jc w:val="right"/>
                              <w:rPr>
                                <w:sz w:val="20"/>
                                <w:lang w:eastAsia="lt-LT"/>
                              </w:rPr>
                            </w:pPr>
                          </w:p>
                        </w:tc>
                        <w:tc>
                          <w:tcPr>
                            <w:tcW w:w="3117" w:type="dxa"/>
                            <w:tcBorders>
                              <w:top w:val="nil"/>
                              <w:left w:val="nil"/>
                              <w:bottom w:val="nil"/>
                              <w:right w:val="nil"/>
                            </w:tcBorders>
                            <w:shd w:val="clear" w:color="auto" w:fill="auto"/>
                            <w:noWrap/>
                            <w:vAlign w:val="bottom"/>
                            <w:hideMark/>
                          </w:tcPr>
                          <w:p>
                            <w:pPr>
                              <w:jc w:val="right"/>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251" w:type="dxa"/>
                            <w:tcBorders>
                              <w:top w:val="nil"/>
                              <w:left w:val="nil"/>
                              <w:bottom w:val="nil"/>
                              <w:right w:val="nil"/>
                            </w:tcBorders>
                            <w:shd w:val="clear" w:color="auto" w:fill="auto"/>
                            <w:noWrap/>
                            <w:vAlign w:val="bottom"/>
                            <w:hideMark/>
                          </w:tcPr>
                          <w:p>
                            <w:pPr>
                              <w:jc w:val="center"/>
                              <w:rPr>
                                <w:sz w:val="20"/>
                                <w:lang w:eastAsia="lt-LT"/>
                              </w:rPr>
                            </w:pPr>
                          </w:p>
                        </w:tc>
                        <w:tc>
                          <w:tcPr>
                            <w:tcW w:w="1159" w:type="dxa"/>
                            <w:tcBorders>
                              <w:top w:val="nil"/>
                              <w:left w:val="nil"/>
                              <w:bottom w:val="nil"/>
                              <w:right w:val="nil"/>
                            </w:tcBorders>
                            <w:shd w:val="clear" w:color="auto" w:fill="auto"/>
                            <w:noWrap/>
                            <w:vAlign w:val="bottom"/>
                            <w:hideMark/>
                          </w:tcPr>
                          <w:p>
                            <w:pPr>
                              <w:rPr>
                                <w:sz w:val="20"/>
                                <w:lang w:eastAsia="lt-LT"/>
                              </w:rPr>
                            </w:pPr>
                          </w:p>
                        </w:tc>
                      </w:tr>
                    </w:tbl>
                    <w:p>
                      <w:pPr>
                        <w:tabs>
                          <w:tab w:val="left" w:pos="11700"/>
                        </w:tabs>
                        <w:spacing w:line="276" w:lineRule="auto"/>
                        <w:ind w:firstLine="11700"/>
                        <w:rPr>
                          <w:szCs w:val="24"/>
                        </w:rPr>
                      </w:pPr>
                    </w:p>
                    <w:tbl>
                      <w:tblPr>
                        <w:tblW w:w="21974" w:type="dxa"/>
                        <w:tblLook w:val="04A0" w:firstRow="1" w:lastRow="0" w:firstColumn="1" w:lastColumn="0" w:noHBand="0" w:noVBand="1"/>
                      </w:tblPr>
                      <w:tblGrid>
                        <w:gridCol w:w="1418"/>
                        <w:gridCol w:w="893"/>
                        <w:gridCol w:w="1274"/>
                        <w:gridCol w:w="1436"/>
                        <w:gridCol w:w="1075"/>
                        <w:gridCol w:w="1070"/>
                        <w:gridCol w:w="1057"/>
                        <w:gridCol w:w="1134"/>
                        <w:gridCol w:w="1417"/>
                        <w:gridCol w:w="1418"/>
                        <w:gridCol w:w="1701"/>
                        <w:gridCol w:w="1276"/>
                        <w:gridCol w:w="3118"/>
                        <w:gridCol w:w="1276"/>
                        <w:gridCol w:w="1159"/>
                        <w:gridCol w:w="1252"/>
                      </w:tblGrid>
                      <w:tr>
                        <w:trPr>
                          <w:trHeight w:val="288"/>
                        </w:trPr>
                        <w:tc>
                          <w:tcPr>
                            <w:tcW w:w="1418" w:type="dxa"/>
                            <w:tcBorders>
                              <w:top w:val="nil"/>
                              <w:left w:val="nil"/>
                              <w:bottom w:val="nil"/>
                              <w:right w:val="nil"/>
                            </w:tcBorders>
                            <w:shd w:val="clear" w:color="auto" w:fill="auto"/>
                            <w:noWrap/>
                            <w:vAlign w:val="bottom"/>
                            <w:hideMark/>
                          </w:tcPr>
                          <w:p>
                            <w:pPr>
                              <w:jc w:val="center"/>
                              <w:rPr>
                                <w:b/>
                                <w:bCs/>
                                <w:color w:val="000000"/>
                                <w:sz w:val="22"/>
                                <w:szCs w:val="22"/>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21974" w:type="dxa"/>
                            <w:gridSpan w:val="16"/>
                            <w:tcBorders>
                              <w:top w:val="nil"/>
                              <w:left w:val="nil"/>
                              <w:bottom w:val="nil"/>
                              <w:right w:val="nil"/>
                            </w:tcBorders>
                            <w:shd w:val="clear" w:color="auto" w:fill="auto"/>
                            <w:noWrap/>
                            <w:vAlign w:val="bottom"/>
                            <w:hideMark/>
                          </w:tcPr>
                          <w:p>
                            <w:pPr>
                              <w:jc w:val="center"/>
                              <w:rPr>
                                <w:b/>
                                <w:bCs/>
                                <w:color w:val="000000"/>
                                <w:sz w:val="22"/>
                                <w:szCs w:val="22"/>
                              </w:rPr>
                            </w:pPr>
                            <w:r>
                              <w:rPr>
                                <w:b/>
                                <w:bCs/>
                                <w:color w:val="000000"/>
                                <w:sz w:val="22"/>
                                <w:szCs w:val="22"/>
                              </w:rPr>
                              <w:t>II SKIRSNIS</w:t>
                            </w:r>
                          </w:p>
                        </w:tc>
                      </w:tr>
                      <w:tr>
                        <w:trPr>
                          <w:trHeight w:val="288"/>
                        </w:trPr>
                        <w:tc>
                          <w:tcPr>
                            <w:tcW w:w="21974" w:type="dxa"/>
                            <w:gridSpan w:val="16"/>
                            <w:tcBorders>
                              <w:top w:val="nil"/>
                              <w:left w:val="nil"/>
                              <w:bottom w:val="nil"/>
                              <w:right w:val="nil"/>
                            </w:tcBorders>
                            <w:shd w:val="clear" w:color="auto" w:fill="auto"/>
                            <w:noWrap/>
                            <w:vAlign w:val="bottom"/>
                            <w:hideMark/>
                          </w:tcPr>
                          <w:p>
                            <w:pPr>
                              <w:jc w:val="center"/>
                              <w:rPr>
                                <w:b/>
                                <w:bCs/>
                                <w:color w:val="000000"/>
                                <w:sz w:val="22"/>
                                <w:szCs w:val="22"/>
                              </w:rPr>
                            </w:pPr>
                            <w:r>
                              <w:rPr>
                                <w:b/>
                                <w:bCs/>
                                <w:color w:val="000000"/>
                                <w:sz w:val="22"/>
                                <w:szCs w:val="22"/>
                              </w:rPr>
                              <w:t>Nr. LT024-03-01-01 „Eismo saugos priemonių diegimas“</w:t>
                            </w:r>
                          </w:p>
                        </w:tc>
                      </w:tr>
                      <w:tr>
                        <w:trPr>
                          <w:trHeight w:val="288"/>
                        </w:trPr>
                        <w:tc>
                          <w:tcPr>
                            <w:tcW w:w="1418" w:type="dxa"/>
                            <w:tcBorders>
                              <w:top w:val="nil"/>
                              <w:left w:val="nil"/>
                              <w:bottom w:val="nil"/>
                              <w:right w:val="nil"/>
                            </w:tcBorders>
                            <w:shd w:val="clear" w:color="auto" w:fill="auto"/>
                            <w:noWrap/>
                            <w:vAlign w:val="bottom"/>
                            <w:hideMark/>
                          </w:tcPr>
                          <w:p>
                            <w:pPr>
                              <w:jc w:val="center"/>
                              <w:rPr>
                                <w:b/>
                                <w:bCs/>
                                <w:color w:val="000000"/>
                                <w:sz w:val="22"/>
                                <w:szCs w:val="22"/>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300"/>
                        </w:trPr>
                        <w:tc>
                          <w:tcPr>
                            <w:tcW w:w="12192" w:type="dxa"/>
                            <w:gridSpan w:val="10"/>
                            <w:tcBorders>
                              <w:top w:val="nil"/>
                              <w:left w:val="nil"/>
                              <w:bottom w:val="nil"/>
                              <w:right w:val="nil"/>
                            </w:tcBorders>
                            <w:shd w:val="clear" w:color="auto" w:fill="auto"/>
                            <w:noWrap/>
                            <w:vAlign w:val="bottom"/>
                            <w:hideMark/>
                          </w:tcPr>
                          <w:p>
                            <w:pPr>
                              <w:rPr>
                                <w:sz w:val="20"/>
                              </w:rPr>
                            </w:pPr>
                            <w:r>
                              <w:rPr>
                                <w:b/>
                                <w:bCs/>
                                <w:color w:val="000000"/>
                                <w:sz w:val="22"/>
                                <w:szCs w:val="22"/>
                              </w:rPr>
                              <w:t>4 lentelė. Pažangos priemonės įgyvendinimo rezultato rodikliai</w:t>
                            </w:r>
                          </w:p>
                        </w:tc>
                        <w:tc>
                          <w:tcPr>
                            <w:tcW w:w="1701" w:type="dxa"/>
                            <w:tcBorders>
                              <w:top w:val="nil"/>
                              <w:left w:val="nil"/>
                              <w:bottom w:val="nil"/>
                              <w:right w:val="nil"/>
                            </w:tcBorders>
                            <w:shd w:val="clear" w:color="auto" w:fill="auto"/>
                            <w:noWrap/>
                            <w:vAlign w:val="bottom"/>
                            <w:hideMark/>
                          </w:tcPr>
                          <w:p>
                            <w:pPr>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3118" w:type="dxa"/>
                            <w:tcBorders>
                              <w:top w:val="nil"/>
                              <w:left w:val="nil"/>
                              <w:bottom w:val="nil"/>
                              <w:right w:val="nil"/>
                            </w:tcBorders>
                            <w:shd w:val="clear" w:color="auto" w:fill="auto"/>
                            <w:noWrap/>
                            <w:vAlign w:val="bottom"/>
                            <w:hideMark/>
                          </w:tcPr>
                          <w:p>
                            <w:pPr>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300"/>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Eil. Nr.</w:t>
                            </w:r>
                          </w:p>
                        </w:tc>
                        <w:tc>
                          <w:tcPr>
                            <w:tcW w:w="216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Rodiklio kodas</w:t>
                            </w:r>
                          </w:p>
                        </w:tc>
                        <w:tc>
                          <w:tcPr>
                            <w:tcW w:w="7189"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pPr>
                              <w:jc w:val="center"/>
                              <w:rPr>
                                <w:b/>
                                <w:bCs/>
                                <w:color w:val="000000"/>
                                <w:sz w:val="22"/>
                                <w:szCs w:val="22"/>
                              </w:rPr>
                            </w:pPr>
                            <w:r>
                              <w:rPr>
                                <w:b/>
                                <w:bCs/>
                                <w:color w:val="000000"/>
                                <w:sz w:val="22"/>
                                <w:szCs w:val="22"/>
                              </w:rPr>
                              <w:t>Rodiklio pavadinimas (matavimo vienetas)</w:t>
                            </w:r>
                          </w:p>
                        </w:tc>
                        <w:tc>
                          <w:tcPr>
                            <w:tcW w:w="439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pPr>
                              <w:jc w:val="center"/>
                              <w:rPr>
                                <w:b/>
                                <w:bCs/>
                                <w:color w:val="000000"/>
                                <w:sz w:val="22"/>
                                <w:szCs w:val="22"/>
                              </w:rPr>
                            </w:pPr>
                            <w:r>
                              <w:rPr>
                                <w:b/>
                                <w:bCs/>
                                <w:color w:val="000000"/>
                                <w:sz w:val="22"/>
                                <w:szCs w:val="22"/>
                              </w:rPr>
                              <w:t>Pradinė rodiklio reikšmė (2022)</w:t>
                            </w:r>
                          </w:p>
                        </w:tc>
                        <w:tc>
                          <w:tcPr>
                            <w:tcW w:w="6805" w:type="dxa"/>
                            <w:gridSpan w:val="4"/>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22"/>
                                <w:szCs w:val="22"/>
                              </w:rPr>
                            </w:pPr>
                            <w:r>
                              <w:rPr>
                                <w:b/>
                                <w:bCs/>
                                <w:color w:val="000000"/>
                                <w:sz w:val="22"/>
                                <w:szCs w:val="22"/>
                              </w:rPr>
                              <w:t>Siektinos rodiklio reikšmės*</w:t>
                            </w:r>
                          </w:p>
                        </w:tc>
                      </w:tr>
                      <w:tr>
                        <w:trPr>
                          <w:trHeight w:val="288"/>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2167" w:type="dxa"/>
                            <w:gridSpan w:val="2"/>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7189" w:type="dxa"/>
                            <w:gridSpan w:val="6"/>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4395" w:type="dxa"/>
                            <w:gridSpan w:val="3"/>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rPr>
                            </w:pPr>
                          </w:p>
                        </w:tc>
                        <w:tc>
                          <w:tcPr>
                            <w:tcW w:w="3118" w:type="dxa"/>
                            <w:tcBorders>
                              <w:top w:val="nil"/>
                              <w:left w:val="nil"/>
                              <w:bottom w:val="single" w:sz="4" w:space="0" w:color="auto"/>
                              <w:right w:val="single" w:sz="4" w:space="0" w:color="auto"/>
                            </w:tcBorders>
                            <w:shd w:val="clear" w:color="000000" w:fill="DBE5F1"/>
                            <w:noWrap/>
                            <w:vAlign w:val="center"/>
                            <w:hideMark/>
                          </w:tcPr>
                          <w:p>
                            <w:pPr>
                              <w:jc w:val="center"/>
                              <w:rPr>
                                <w:b/>
                                <w:bCs/>
                                <w:color w:val="000000"/>
                                <w:sz w:val="22"/>
                                <w:szCs w:val="22"/>
                              </w:rPr>
                            </w:pPr>
                            <w:r>
                              <w:rPr>
                                <w:b/>
                                <w:bCs/>
                                <w:color w:val="000000"/>
                                <w:sz w:val="22"/>
                                <w:szCs w:val="22"/>
                              </w:rPr>
                              <w:t>Tarpinė siektina reikšmė (2024)</w:t>
                            </w:r>
                          </w:p>
                        </w:tc>
                        <w:tc>
                          <w:tcPr>
                            <w:tcW w:w="3687" w:type="dxa"/>
                            <w:gridSpan w:val="3"/>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22"/>
                                <w:szCs w:val="22"/>
                              </w:rPr>
                            </w:pPr>
                            <w:r>
                              <w:rPr>
                                <w:b/>
                                <w:bCs/>
                                <w:color w:val="000000"/>
                                <w:sz w:val="22"/>
                                <w:szCs w:val="22"/>
                              </w:rPr>
                              <w:t>Galutinė siektina reikšmė (2029)</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1</w:t>
                            </w:r>
                          </w:p>
                        </w:tc>
                        <w:tc>
                          <w:tcPr>
                            <w:tcW w:w="2167" w:type="dxa"/>
                            <w:gridSpan w:val="2"/>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18"/>
                                <w:szCs w:val="18"/>
                              </w:rPr>
                            </w:pPr>
                            <w:r>
                              <w:rPr>
                                <w:b/>
                                <w:bCs/>
                                <w:color w:val="000000"/>
                                <w:sz w:val="18"/>
                                <w:szCs w:val="18"/>
                              </w:rPr>
                              <w:t>2</w:t>
                            </w:r>
                          </w:p>
                        </w:tc>
                        <w:tc>
                          <w:tcPr>
                            <w:tcW w:w="7189" w:type="dxa"/>
                            <w:gridSpan w:val="6"/>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18"/>
                                <w:szCs w:val="18"/>
                              </w:rPr>
                            </w:pPr>
                            <w:r>
                              <w:rPr>
                                <w:b/>
                                <w:bCs/>
                                <w:color w:val="000000"/>
                                <w:sz w:val="18"/>
                                <w:szCs w:val="18"/>
                              </w:rPr>
                              <w:t>3</w:t>
                            </w:r>
                          </w:p>
                        </w:tc>
                        <w:tc>
                          <w:tcPr>
                            <w:tcW w:w="4395" w:type="dxa"/>
                            <w:gridSpan w:val="3"/>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18"/>
                                <w:szCs w:val="18"/>
                              </w:rPr>
                            </w:pPr>
                            <w:r>
                              <w:rPr>
                                <w:b/>
                                <w:bCs/>
                                <w:color w:val="000000"/>
                                <w:sz w:val="18"/>
                                <w:szCs w:val="18"/>
                              </w:rPr>
                              <w:t>4</w:t>
                            </w:r>
                          </w:p>
                        </w:tc>
                        <w:tc>
                          <w:tcPr>
                            <w:tcW w:w="3118" w:type="dxa"/>
                            <w:tcBorders>
                              <w:top w:val="nil"/>
                              <w:left w:val="nil"/>
                              <w:bottom w:val="single" w:sz="4" w:space="0" w:color="auto"/>
                              <w:right w:val="single" w:sz="4" w:space="0" w:color="auto"/>
                            </w:tcBorders>
                            <w:shd w:val="clear" w:color="000000" w:fill="DBE5F1"/>
                            <w:noWrap/>
                            <w:vAlign w:val="center"/>
                            <w:hideMark/>
                          </w:tcPr>
                          <w:p>
                            <w:pPr>
                              <w:jc w:val="center"/>
                              <w:rPr>
                                <w:b/>
                                <w:bCs/>
                                <w:color w:val="000000"/>
                                <w:sz w:val="18"/>
                                <w:szCs w:val="18"/>
                              </w:rPr>
                            </w:pPr>
                            <w:r>
                              <w:rPr>
                                <w:b/>
                                <w:bCs/>
                                <w:color w:val="000000"/>
                                <w:sz w:val="18"/>
                                <w:szCs w:val="18"/>
                              </w:rPr>
                              <w:t>5</w:t>
                            </w:r>
                          </w:p>
                        </w:tc>
                        <w:tc>
                          <w:tcPr>
                            <w:tcW w:w="3687" w:type="dxa"/>
                            <w:gridSpan w:val="3"/>
                            <w:tcBorders>
                              <w:top w:val="single" w:sz="4" w:space="0" w:color="auto"/>
                              <w:left w:val="nil"/>
                              <w:bottom w:val="single" w:sz="4" w:space="0" w:color="auto"/>
                              <w:right w:val="single" w:sz="4" w:space="0" w:color="auto"/>
                            </w:tcBorders>
                            <w:shd w:val="clear" w:color="000000" w:fill="DBE5F1"/>
                            <w:noWrap/>
                            <w:vAlign w:val="center"/>
                            <w:hideMark/>
                          </w:tcPr>
                          <w:p>
                            <w:pPr>
                              <w:jc w:val="center"/>
                              <w:rPr>
                                <w:b/>
                                <w:bCs/>
                                <w:color w:val="000000"/>
                                <w:sz w:val="18"/>
                                <w:szCs w:val="18"/>
                              </w:rPr>
                            </w:pPr>
                            <w:r>
                              <w:rPr>
                                <w:b/>
                                <w:bCs/>
                                <w:color w:val="000000"/>
                                <w:sz w:val="18"/>
                                <w:szCs w:val="18"/>
                              </w:rPr>
                              <w:t>6</w:t>
                            </w:r>
                          </w:p>
                        </w:tc>
                      </w:tr>
                      <w:tr>
                        <w:trPr>
                          <w:trHeight w:val="90"/>
                        </w:trPr>
                        <w:tc>
                          <w:tcPr>
                            <w:tcW w:w="1418" w:type="dxa"/>
                            <w:tcBorders>
                              <w:top w:val="nil"/>
                              <w:left w:val="single" w:sz="4" w:space="0" w:color="auto"/>
                              <w:bottom w:val="single" w:sz="4" w:space="0" w:color="auto"/>
                              <w:right w:val="single" w:sz="4" w:space="0" w:color="auto"/>
                            </w:tcBorders>
                            <w:shd w:val="clear" w:color="auto" w:fill="auto"/>
                            <w:hideMark/>
                          </w:tcPr>
                          <w:p>
                            <w:pPr>
                              <w:jc w:val="center"/>
                              <w:rPr>
                                <w:color w:val="000000"/>
                                <w:sz w:val="22"/>
                                <w:szCs w:val="22"/>
                              </w:rPr>
                            </w:pPr>
                            <w:r>
                              <w:rPr>
                                <w:color w:val="000000"/>
                                <w:sz w:val="22"/>
                                <w:szCs w:val="22"/>
                              </w:rPr>
                              <w:t xml:space="preserve">1. </w:t>
                            </w:r>
                          </w:p>
                        </w:tc>
                        <w:tc>
                          <w:tcPr>
                            <w:tcW w:w="2167" w:type="dxa"/>
                            <w:gridSpan w:val="2"/>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rPr>
                            </w:pPr>
                            <w:r>
                              <w:rPr>
                                <w:color w:val="000000"/>
                                <w:sz w:val="22"/>
                                <w:szCs w:val="22"/>
                              </w:rPr>
                              <w:t>R.S.2.3024</w:t>
                            </w:r>
                          </w:p>
                        </w:tc>
                        <w:tc>
                          <w:tcPr>
                            <w:tcW w:w="7189" w:type="dxa"/>
                            <w:gridSpan w:val="6"/>
                            <w:tcBorders>
                              <w:top w:val="single" w:sz="4" w:space="0" w:color="auto"/>
                              <w:left w:val="nil"/>
                              <w:bottom w:val="single" w:sz="4" w:space="0" w:color="auto"/>
                              <w:right w:val="single" w:sz="4" w:space="0" w:color="auto"/>
                            </w:tcBorders>
                            <w:shd w:val="clear" w:color="auto" w:fill="auto"/>
                            <w:hideMark/>
                          </w:tcPr>
                          <w:p>
                            <w:pPr>
                              <w:rPr>
                                <w:color w:val="000000"/>
                                <w:sz w:val="22"/>
                                <w:szCs w:val="22"/>
                              </w:rPr>
                            </w:pPr>
                            <w:r>
                              <w:rPr>
                                <w:color w:val="000000"/>
                                <w:sz w:val="22"/>
                                <w:szCs w:val="22"/>
                              </w:rPr>
                              <w:t>Panaikintos juodosios dėmės ar avaringos vietos vietinės reikšmės keliuose (gatvėse)</w:t>
                            </w:r>
                          </w:p>
                        </w:tc>
                        <w:tc>
                          <w:tcPr>
                            <w:tcW w:w="4395" w:type="dxa"/>
                            <w:gridSpan w:val="3"/>
                            <w:tcBorders>
                              <w:top w:val="single" w:sz="4" w:space="0" w:color="auto"/>
                              <w:left w:val="nil"/>
                              <w:bottom w:val="single" w:sz="4" w:space="0" w:color="auto"/>
                              <w:right w:val="single" w:sz="4" w:space="0" w:color="auto"/>
                            </w:tcBorders>
                            <w:shd w:val="clear" w:color="auto" w:fill="auto"/>
                            <w:noWrap/>
                            <w:hideMark/>
                          </w:tcPr>
                          <w:p>
                            <w:pPr>
                              <w:jc w:val="center"/>
                              <w:rPr>
                                <w:color w:val="000000"/>
                                <w:sz w:val="22"/>
                                <w:szCs w:val="22"/>
                              </w:rPr>
                            </w:pPr>
                            <w:r>
                              <w:rPr>
                                <w:color w:val="000000"/>
                                <w:sz w:val="22"/>
                                <w:szCs w:val="22"/>
                              </w:rPr>
                              <w:t>0</w:t>
                            </w:r>
                          </w:p>
                        </w:tc>
                        <w:tc>
                          <w:tcPr>
                            <w:tcW w:w="3118" w:type="dxa"/>
                            <w:tcBorders>
                              <w:top w:val="nil"/>
                              <w:left w:val="nil"/>
                              <w:bottom w:val="single" w:sz="4" w:space="0" w:color="auto"/>
                              <w:right w:val="single" w:sz="4" w:space="0" w:color="auto"/>
                            </w:tcBorders>
                            <w:shd w:val="clear" w:color="auto" w:fill="auto"/>
                            <w:noWrap/>
                            <w:hideMark/>
                          </w:tcPr>
                          <w:p>
                            <w:pPr>
                              <w:jc w:val="center"/>
                              <w:rPr>
                                <w:color w:val="000000"/>
                                <w:sz w:val="22"/>
                                <w:szCs w:val="22"/>
                              </w:rPr>
                            </w:pPr>
                            <w:r>
                              <w:rPr>
                                <w:color w:val="000000"/>
                                <w:sz w:val="22"/>
                                <w:szCs w:val="22"/>
                              </w:rPr>
                              <w:t>0</w:t>
                            </w:r>
                          </w:p>
                        </w:tc>
                        <w:tc>
                          <w:tcPr>
                            <w:tcW w:w="3687" w:type="dxa"/>
                            <w:gridSpan w:val="3"/>
                            <w:tcBorders>
                              <w:top w:val="single" w:sz="4" w:space="0" w:color="auto"/>
                              <w:left w:val="nil"/>
                              <w:bottom w:val="single" w:sz="4" w:space="0" w:color="auto"/>
                              <w:right w:val="single" w:sz="4" w:space="0" w:color="000000"/>
                            </w:tcBorders>
                            <w:shd w:val="clear" w:color="auto" w:fill="auto"/>
                            <w:noWrap/>
                            <w:hideMark/>
                          </w:tcPr>
                          <w:p>
                            <w:pPr>
                              <w:jc w:val="center"/>
                              <w:rPr>
                                <w:color w:val="000000"/>
                                <w:sz w:val="22"/>
                                <w:szCs w:val="22"/>
                              </w:rPr>
                            </w:pPr>
                            <w:r>
                              <w:rPr>
                                <w:color w:val="000000"/>
                                <w:sz w:val="22"/>
                                <w:szCs w:val="22"/>
                              </w:rPr>
                              <w:t>2</w:t>
                            </w:r>
                          </w:p>
                        </w:tc>
                      </w:tr>
                      <w:tr>
                        <w:trPr>
                          <w:trHeight w:val="288"/>
                        </w:trPr>
                        <w:tc>
                          <w:tcPr>
                            <w:tcW w:w="1418" w:type="dxa"/>
                            <w:tcBorders>
                              <w:top w:val="nil"/>
                              <w:left w:val="nil"/>
                              <w:bottom w:val="nil"/>
                              <w:right w:val="nil"/>
                            </w:tcBorders>
                            <w:shd w:val="clear" w:color="auto" w:fill="auto"/>
                            <w:noWrap/>
                            <w:vAlign w:val="bottom"/>
                            <w:hideMark/>
                          </w:tcPr>
                          <w:p>
                            <w:pPr>
                              <w:jc w:val="center"/>
                              <w:rPr>
                                <w:color w:val="000000"/>
                                <w:sz w:val="22"/>
                                <w:szCs w:val="22"/>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418" w:type="dxa"/>
                            <w:tcBorders>
                              <w:top w:val="nil"/>
                              <w:left w:val="nil"/>
                              <w:bottom w:val="nil"/>
                              <w:right w:val="nil"/>
                            </w:tcBorders>
                            <w:shd w:val="clear" w:color="auto" w:fill="auto"/>
                            <w:noWrap/>
                            <w:vAlign w:val="bottom"/>
                            <w:hideMark/>
                          </w:tcPr>
                          <w:p>
                            <w:pPr>
                              <w:rPr>
                                <w:sz w:val="20"/>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0774" w:type="dxa"/>
                            <w:gridSpan w:val="9"/>
                            <w:tcBorders>
                              <w:top w:val="nil"/>
                              <w:left w:val="nil"/>
                              <w:bottom w:val="nil"/>
                              <w:right w:val="nil"/>
                            </w:tcBorders>
                            <w:shd w:val="clear" w:color="auto" w:fill="auto"/>
                            <w:noWrap/>
                            <w:vAlign w:val="bottom"/>
                            <w:hideMark/>
                          </w:tcPr>
                          <w:p>
                            <w:pPr>
                              <w:rPr>
                                <w:sz w:val="20"/>
                              </w:rPr>
                            </w:pPr>
                            <w:r>
                              <w:rPr>
                                <w:b/>
                                <w:bCs/>
                                <w:color w:val="000000"/>
                                <w:sz w:val="22"/>
                                <w:szCs w:val="22"/>
                              </w:rPr>
                              <w:t>5 lentelė. Pažangos priemonės finansavimo šaltiniai ir preliminarus pažangos lėšų poreikis</w:t>
                            </w: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Finansavimo šaltiniai</w:t>
                            </w:r>
                          </w:p>
                        </w:tc>
                        <w:tc>
                          <w:tcPr>
                            <w:tcW w:w="6805" w:type="dxa"/>
                            <w:gridSpan w:val="4"/>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Lėšų poreikis, eurais</w:t>
                            </w:r>
                          </w:p>
                        </w:tc>
                      </w:tr>
                      <w:tr>
                        <w:trPr>
                          <w:trHeight w:val="240"/>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1</w:t>
                            </w:r>
                          </w:p>
                        </w:tc>
                        <w:tc>
                          <w:tcPr>
                            <w:tcW w:w="6805" w:type="dxa"/>
                            <w:gridSpan w:val="4"/>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2</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rPr>
                            </w:pPr>
                            <w:r>
                              <w:rPr>
                                <w:b/>
                                <w:bCs/>
                                <w:color w:val="000000"/>
                                <w:sz w:val="22"/>
                                <w:szCs w:val="22"/>
                              </w:rPr>
                              <w:t>1. Lietuvos Respublikos valstybės biudžeto asignavimų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rPr>
                            </w:pPr>
                            <w:r>
                              <w:rPr>
                                <w:b/>
                                <w:bCs/>
                                <w:color w:val="000000"/>
                                <w:sz w:val="22"/>
                                <w:szCs w:val="22"/>
                              </w:rPr>
                              <w:t>1 050 000,00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rPr>
                            </w:pPr>
                            <w:r>
                              <w:rPr>
                                <w:b/>
                                <w:bCs/>
                                <w:color w:val="000000"/>
                                <w:sz w:val="22"/>
                                <w:szCs w:val="22"/>
                              </w:rPr>
                              <w:t>1.1. Valstybės biudžeto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rPr>
                            </w:pPr>
                            <w:r>
                              <w:rPr>
                                <w:b/>
                                <w:bCs/>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pPr>
                              <w:ind w:firstLine="57"/>
                              <w:rPr>
                                <w:i/>
                                <w:iCs/>
                                <w:color w:val="000000"/>
                                <w:sz w:val="22"/>
                                <w:szCs w:val="22"/>
                              </w:rPr>
                            </w:pPr>
                            <w:r>
                              <w:rPr>
                                <w:i/>
                                <w:iCs/>
                                <w:color w:val="000000"/>
                                <w:sz w:val="22"/>
                                <w:szCs w:val="22"/>
                              </w:rPr>
                              <w:t xml:space="preserve">- </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rPr>
                            </w:pPr>
                            <w:r>
                              <w:rPr>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rPr>
                            </w:pPr>
                            <w:r>
                              <w:rPr>
                                <w:b/>
                                <w:bCs/>
                                <w:color w:val="000000"/>
                                <w:sz w:val="22"/>
                                <w:szCs w:val="22"/>
                              </w:rPr>
                              <w:t>1.2. Europos Sąjungos (toliau – ES) ir kitos tarptautinės finansinės paramos bendrojo finansavimo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rPr>
                            </w:pPr>
                            <w:r>
                              <w:rPr>
                                <w:b/>
                                <w:bCs/>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rPr>
                            </w:pPr>
                            <w:r>
                              <w:rPr>
                                <w:color w:val="000000"/>
                                <w:sz w:val="22"/>
                                <w:szCs w:val="22"/>
                              </w:rPr>
                              <w:t>1.2.1. 2021–2027 m. ES struktūrinių fondų bendrojo finansavimo lėšos (1.2.2.8.1.)</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rPr>
                            </w:pPr>
                            <w:r>
                              <w:rPr>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rPr>
                            </w:pPr>
                            <w:r>
                              <w:rPr>
                                <w:b/>
                                <w:bCs/>
                                <w:color w:val="000000"/>
                                <w:sz w:val="22"/>
                                <w:szCs w:val="22"/>
                              </w:rPr>
                              <w:t>1.3. ES ir kitos tarptautinės finansinės paramos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rPr>
                            </w:pPr>
                            <w:r>
                              <w:rPr>
                                <w:b/>
                                <w:bCs/>
                                <w:color w:val="000000"/>
                                <w:sz w:val="22"/>
                                <w:szCs w:val="22"/>
                              </w:rPr>
                              <w:t>1 050 000,00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rPr>
                            </w:pPr>
                            <w:r>
                              <w:rPr>
                                <w:color w:val="000000"/>
                                <w:sz w:val="22"/>
                                <w:szCs w:val="22"/>
                              </w:rPr>
                              <w:t>1.3.1. 2021–2027 m. ES struktūrinių fondų lėšos (1.3.2.8.1.)</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rPr>
                            </w:pPr>
                            <w:r>
                              <w:rPr>
                                <w:color w:val="000000"/>
                                <w:sz w:val="22"/>
                                <w:szCs w:val="22"/>
                              </w:rPr>
                              <w:t>1 050 000,00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rPr>
                            </w:pPr>
                            <w:r>
                              <w:rPr>
                                <w:b/>
                                <w:bCs/>
                                <w:color w:val="000000"/>
                                <w:sz w:val="22"/>
                                <w:szCs w:val="22"/>
                              </w:rPr>
                              <w:t>1.4. Tikslinės paskirties valstybės biudžeto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rPr>
                            </w:pPr>
                            <w:r>
                              <w:rPr>
                                <w:b/>
                                <w:bCs/>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pPr>
                              <w:ind w:firstLine="57"/>
                              <w:rPr>
                                <w:i/>
                                <w:iCs/>
                                <w:color w:val="000000"/>
                                <w:sz w:val="22"/>
                                <w:szCs w:val="22"/>
                              </w:rPr>
                            </w:pPr>
                            <w:r>
                              <w:rPr>
                                <w:i/>
                                <w:iCs/>
                                <w:color w:val="000000"/>
                                <w:sz w:val="22"/>
                                <w:szCs w:val="22"/>
                              </w:rPr>
                              <w:t xml:space="preserve">- </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rPr>
                            </w:pPr>
                            <w:r>
                              <w:rPr>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pPr>
                              <w:rPr>
                                <w:b/>
                                <w:bCs/>
                                <w:color w:val="000000"/>
                                <w:sz w:val="22"/>
                                <w:szCs w:val="22"/>
                              </w:rPr>
                            </w:pPr>
                            <w:r>
                              <w:rPr>
                                <w:b/>
                                <w:bCs/>
                                <w:color w:val="000000"/>
                                <w:sz w:val="22"/>
                                <w:szCs w:val="22"/>
                              </w:rPr>
                              <w:t>2. Kitos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rPr>
                            </w:pPr>
                            <w:r>
                              <w:rPr>
                                <w:b/>
                                <w:bCs/>
                                <w:color w:val="000000"/>
                                <w:sz w:val="22"/>
                                <w:szCs w:val="22"/>
                              </w:rPr>
                              <w:t>185 294,00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rPr>
                            </w:pPr>
                            <w:r>
                              <w:rPr>
                                <w:color w:val="000000"/>
                                <w:sz w:val="22"/>
                                <w:szCs w:val="22"/>
                              </w:rPr>
                              <w:t>2.1. Savivaldybių biudžetų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rPr>
                            </w:pPr>
                            <w:r>
                              <w:rPr>
                                <w:color w:val="000000"/>
                                <w:sz w:val="22"/>
                                <w:szCs w:val="22"/>
                              </w:rPr>
                              <w:t>185 294,00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rPr>
                            </w:pPr>
                            <w:r>
                              <w:rPr>
                                <w:color w:val="000000"/>
                                <w:sz w:val="22"/>
                                <w:szCs w:val="22"/>
                              </w:rPr>
                              <w:t>2.2. Privačios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rPr>
                            </w:pPr>
                            <w:r>
                              <w:rPr>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rPr>
                            </w:pPr>
                            <w:r>
                              <w:rPr>
                                <w:color w:val="000000"/>
                                <w:sz w:val="22"/>
                                <w:szCs w:val="22"/>
                              </w:rPr>
                              <w:t>2.3. Kitos viešosios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 w:val="22"/>
                                <w:szCs w:val="22"/>
                              </w:rPr>
                            </w:pPr>
                            <w:r>
                              <w:rPr>
                                <w:color w:val="000000"/>
                                <w:sz w:val="22"/>
                                <w:szCs w:val="22"/>
                              </w:rPr>
                              <w:t>0,00</w:t>
                            </w:r>
                          </w:p>
                        </w:tc>
                      </w:tr>
                      <w:tr>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rPr>
                            </w:pPr>
                            <w:r>
                              <w:rPr>
                                <w:b/>
                                <w:bCs/>
                                <w:color w:val="000000"/>
                                <w:sz w:val="22"/>
                                <w:szCs w:val="22"/>
                              </w:rPr>
                              <w:t>IŠ VISO</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b/>
                                <w:bCs/>
                                <w:color w:val="000000"/>
                                <w:sz w:val="22"/>
                                <w:szCs w:val="22"/>
                              </w:rPr>
                            </w:pPr>
                            <w:r>
                              <w:rPr>
                                <w:b/>
                                <w:bCs/>
                                <w:color w:val="000000"/>
                                <w:sz w:val="22"/>
                                <w:szCs w:val="22"/>
                              </w:rPr>
                              <w:t>1 235 294,00</w:t>
                            </w:r>
                          </w:p>
                        </w:tc>
                      </w:tr>
                      <w:tr>
                        <w:trPr>
                          <w:trHeight w:val="288"/>
                        </w:trPr>
                        <w:tc>
                          <w:tcPr>
                            <w:tcW w:w="1418" w:type="dxa"/>
                            <w:tcBorders>
                              <w:top w:val="nil"/>
                              <w:left w:val="nil"/>
                              <w:bottom w:val="nil"/>
                              <w:right w:val="nil"/>
                            </w:tcBorders>
                            <w:shd w:val="clear" w:color="auto" w:fill="auto"/>
                            <w:noWrap/>
                            <w:vAlign w:val="bottom"/>
                            <w:hideMark/>
                          </w:tcPr>
                          <w:p>
                            <w:pPr>
                              <w:jc w:val="center"/>
                              <w:rPr>
                                <w:b/>
                                <w:bCs/>
                                <w:color w:val="000000"/>
                                <w:sz w:val="22"/>
                                <w:szCs w:val="22"/>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418" w:type="dxa"/>
                            <w:tcBorders>
                              <w:top w:val="nil"/>
                              <w:left w:val="nil"/>
                              <w:bottom w:val="nil"/>
                              <w:right w:val="nil"/>
                            </w:tcBorders>
                            <w:shd w:val="clear" w:color="auto" w:fill="auto"/>
                            <w:noWrap/>
                            <w:vAlign w:val="bottom"/>
                            <w:hideMark/>
                          </w:tcPr>
                          <w:p>
                            <w:pPr>
                              <w:rPr>
                                <w:sz w:val="20"/>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0774" w:type="dxa"/>
                            <w:gridSpan w:val="9"/>
                            <w:tcBorders>
                              <w:top w:val="nil"/>
                              <w:left w:val="nil"/>
                              <w:bottom w:val="nil"/>
                              <w:right w:val="nil"/>
                            </w:tcBorders>
                            <w:shd w:val="clear" w:color="auto" w:fill="auto"/>
                            <w:noWrap/>
                            <w:vAlign w:val="bottom"/>
                            <w:hideMark/>
                          </w:tcPr>
                          <w:p>
                            <w:pPr>
                              <w:rPr>
                                <w:sz w:val="20"/>
                              </w:rPr>
                            </w:pPr>
                            <w:r>
                              <w:rPr>
                                <w:b/>
                                <w:bCs/>
                                <w:color w:val="000000"/>
                                <w:sz w:val="22"/>
                                <w:szCs w:val="22"/>
                              </w:rPr>
                              <w:t xml:space="preserve">6 lentelė. Pažangos priemonės veiklos, poveiklės ir (arba) projektai </w:t>
                            </w: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402"/>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Veiklos, poveiklės, projektai</w:t>
                            </w:r>
                          </w:p>
                        </w:tc>
                        <w:tc>
                          <w:tcPr>
                            <w:tcW w:w="89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Veiklos, poveiklės, projekto tipas</w:t>
                            </w:r>
                          </w:p>
                        </w:tc>
                        <w:tc>
                          <w:tcPr>
                            <w:tcW w:w="12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rPr>
                                <w:b/>
                                <w:bCs/>
                                <w:color w:val="000000"/>
                                <w:sz w:val="16"/>
                                <w:szCs w:val="16"/>
                              </w:rPr>
                            </w:pPr>
                            <w:r>
                              <w:rPr>
                                <w:b/>
                                <w:bCs/>
                                <w:color w:val="000000"/>
                                <w:sz w:val="16"/>
                                <w:szCs w:val="16"/>
                              </w:rPr>
                              <w:t>Galimi pareiškėjai arba projektų vykdytojai, kai projektai atrenkami planavimo būdu</w:t>
                            </w:r>
                          </w:p>
                        </w:tc>
                        <w:tc>
                          <w:tcPr>
                            <w:tcW w:w="14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rPr>
                                <w:b/>
                                <w:bCs/>
                                <w:color w:val="000000"/>
                                <w:sz w:val="16"/>
                                <w:szCs w:val="16"/>
                              </w:rPr>
                            </w:pPr>
                            <w:r>
                              <w:rPr>
                                <w:b/>
                                <w:bCs/>
                                <w:color w:val="000000"/>
                                <w:sz w:val="16"/>
                                <w:szCs w:val="16"/>
                              </w:rPr>
                              <w:t>Galimi partneriai</w:t>
                            </w:r>
                          </w:p>
                        </w:tc>
                        <w:tc>
                          <w:tcPr>
                            <w:tcW w:w="107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Aktyviais veiksmais prisidedama prie HP (Taip / Ne)</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rPr>
                                <w:b/>
                                <w:bCs/>
                                <w:color w:val="000000"/>
                                <w:sz w:val="16"/>
                                <w:szCs w:val="16"/>
                              </w:rPr>
                            </w:pPr>
                            <w:r>
                              <w:rPr>
                                <w:b/>
                                <w:bCs/>
                                <w:color w:val="000000"/>
                                <w:sz w:val="16"/>
                                <w:szCs w:val="16"/>
                              </w:rPr>
                              <w:t>Projektų finansavimo forma</w:t>
                            </w:r>
                          </w:p>
                        </w:tc>
                        <w:tc>
                          <w:tcPr>
                            <w:tcW w:w="6946" w:type="dxa"/>
                            <w:gridSpan w:val="5"/>
                            <w:tcBorders>
                              <w:top w:val="single" w:sz="4" w:space="0" w:color="auto"/>
                              <w:left w:val="nil"/>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Pažangos lėšos (eurais) ir jų finansavimo šaltiniai</w:t>
                            </w:r>
                          </w:p>
                        </w:tc>
                        <w:tc>
                          <w:tcPr>
                            <w:tcW w:w="4394" w:type="dxa"/>
                            <w:gridSpan w:val="2"/>
                            <w:tcBorders>
                              <w:top w:val="single" w:sz="4" w:space="0" w:color="auto"/>
                              <w:left w:val="nil"/>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Stebėsenos rodikliai</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Įgyvendinimo pradžia (metai, ketv.)</w:t>
                            </w:r>
                          </w:p>
                        </w:tc>
                        <w:tc>
                          <w:tcPr>
                            <w:tcW w:w="12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Įgyvendinimo pabaiga (metai, ketv.)</w:t>
                            </w:r>
                          </w:p>
                        </w:tc>
                      </w:tr>
                      <w:tr>
                        <w:trPr>
                          <w:trHeight w:val="51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75"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Iš viso</w:t>
                            </w:r>
                          </w:p>
                        </w:tc>
                        <w:tc>
                          <w:tcPr>
                            <w:tcW w:w="4536" w:type="dxa"/>
                            <w:gridSpan w:val="3"/>
                            <w:tcBorders>
                              <w:top w:val="single" w:sz="4" w:space="0" w:color="auto"/>
                              <w:left w:val="nil"/>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Iš jų Lietuvos Respublikos valstybės biudžeto asignavimų lėšos, ne daugiau kaip</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Iš jų kitos lėšos, ne mažiau kaip</w:t>
                            </w:r>
                          </w:p>
                        </w:tc>
                        <w:tc>
                          <w:tcPr>
                            <w:tcW w:w="3118"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Rodiklio kodas, pavadinimas ir matavimo vienetai*</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Siektina rodiklio reikšmė (2029)</w:t>
                            </w: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r>
                      <w:tr>
                        <w:trPr>
                          <w:trHeight w:val="1545"/>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75"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pPr>
                              <w:rPr>
                                <w:b/>
                                <w:bCs/>
                                <w:color w:val="000000"/>
                                <w:sz w:val="16"/>
                                <w:szCs w:val="16"/>
                              </w:rPr>
                            </w:pPr>
                          </w:p>
                        </w:tc>
                        <w:tc>
                          <w:tcPr>
                            <w:tcW w:w="1417" w:type="dxa"/>
                            <w:tcBorders>
                              <w:top w:val="nil"/>
                              <w:left w:val="nil"/>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Valstybės biudžeto lėšos</w:t>
                            </w:r>
                          </w:p>
                        </w:tc>
                        <w:tc>
                          <w:tcPr>
                            <w:tcW w:w="1418" w:type="dxa"/>
                            <w:tcBorders>
                              <w:top w:val="nil"/>
                              <w:left w:val="nil"/>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ES ir kitos tarptautinės finansinės paramos bendrojo finansavimo lėšos</w:t>
                            </w:r>
                          </w:p>
                        </w:tc>
                        <w:tc>
                          <w:tcPr>
                            <w:tcW w:w="1701" w:type="dxa"/>
                            <w:tcBorders>
                              <w:top w:val="nil"/>
                              <w:left w:val="nil"/>
                              <w:bottom w:val="single" w:sz="4" w:space="0" w:color="auto"/>
                              <w:right w:val="single" w:sz="4" w:space="0" w:color="auto"/>
                            </w:tcBorders>
                            <w:shd w:val="clear" w:color="000000" w:fill="D9E2F3"/>
                            <w:vAlign w:val="center"/>
                            <w:hideMark/>
                          </w:tcPr>
                          <w:p>
                            <w:pPr>
                              <w:jc w:val="center"/>
                              <w:rPr>
                                <w:b/>
                                <w:bCs/>
                                <w:color w:val="000000"/>
                                <w:sz w:val="16"/>
                                <w:szCs w:val="16"/>
                              </w:rPr>
                            </w:pPr>
                            <w:r>
                              <w:rPr>
                                <w:b/>
                                <w:bCs/>
                                <w:color w:val="000000"/>
                                <w:sz w:val="16"/>
                                <w:szCs w:val="16"/>
                              </w:rPr>
                              <w:t>ES ir kitos tarptautinės finansinės paramos lėšos</w:t>
                            </w:r>
                          </w:p>
                        </w:tc>
                        <w:tc>
                          <w:tcPr>
                            <w:tcW w:w="1276" w:type="dxa"/>
                            <w:vMerge/>
                            <w:tcBorders>
                              <w:top w:val="nil"/>
                              <w:left w:val="single" w:sz="4" w:space="0" w:color="auto"/>
                              <w:bottom w:val="single" w:sz="4" w:space="0" w:color="auto"/>
                              <w:right w:val="single" w:sz="4" w:space="0" w:color="auto"/>
                            </w:tcBorders>
                            <w:vAlign w:val="center"/>
                            <w:hideMark/>
                          </w:tcPr>
                          <w:p>
                            <w:pPr>
                              <w:rPr>
                                <w:b/>
                                <w:bCs/>
                                <w:color w:val="000000"/>
                                <w:sz w:val="16"/>
                                <w:szCs w:val="16"/>
                              </w:rPr>
                            </w:pPr>
                          </w:p>
                        </w:tc>
                        <w:tc>
                          <w:tcPr>
                            <w:tcW w:w="3118" w:type="dxa"/>
                            <w:vMerge/>
                            <w:tcBorders>
                              <w:top w:val="nil"/>
                              <w:left w:val="single" w:sz="4" w:space="0" w:color="auto"/>
                              <w:bottom w:val="single" w:sz="4" w:space="0" w:color="auto"/>
                              <w:right w:val="single" w:sz="4" w:space="0" w:color="auto"/>
                            </w:tcBorders>
                            <w:vAlign w:val="center"/>
                            <w:hideMark/>
                          </w:tcPr>
                          <w:p>
                            <w:pPr>
                              <w:rPr>
                                <w:b/>
                                <w:bCs/>
                                <w:color w:val="000000"/>
                                <w:sz w:val="16"/>
                                <w:szCs w:val="16"/>
                              </w:rPr>
                            </w:pPr>
                          </w:p>
                        </w:tc>
                        <w:tc>
                          <w:tcPr>
                            <w:tcW w:w="1276" w:type="dxa"/>
                            <w:vMerge/>
                            <w:tcBorders>
                              <w:top w:val="nil"/>
                              <w:left w:val="single" w:sz="4" w:space="0" w:color="auto"/>
                              <w:bottom w:val="single" w:sz="4" w:space="0" w:color="auto"/>
                              <w:right w:val="single" w:sz="4" w:space="0" w:color="auto"/>
                            </w:tcBorders>
                            <w:vAlign w:val="center"/>
                            <w:hideMark/>
                          </w:tcPr>
                          <w:p>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r>
                      <w:tr>
                        <w:trPr>
                          <w:trHeight w:val="240"/>
                        </w:trPr>
                        <w:tc>
                          <w:tcPr>
                            <w:tcW w:w="1418" w:type="dxa"/>
                            <w:tcBorders>
                              <w:top w:val="nil"/>
                              <w:left w:val="single" w:sz="4" w:space="0" w:color="auto"/>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w:t>
                            </w:r>
                          </w:p>
                        </w:tc>
                        <w:tc>
                          <w:tcPr>
                            <w:tcW w:w="893"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2</w:t>
                            </w:r>
                          </w:p>
                        </w:tc>
                        <w:tc>
                          <w:tcPr>
                            <w:tcW w:w="1274"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3</w:t>
                            </w:r>
                          </w:p>
                        </w:tc>
                        <w:tc>
                          <w:tcPr>
                            <w:tcW w:w="1436"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4</w:t>
                            </w:r>
                          </w:p>
                        </w:tc>
                        <w:tc>
                          <w:tcPr>
                            <w:tcW w:w="1075"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6</w:t>
                            </w:r>
                          </w:p>
                        </w:tc>
                        <w:tc>
                          <w:tcPr>
                            <w:tcW w:w="1057"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7</w:t>
                            </w:r>
                          </w:p>
                        </w:tc>
                        <w:tc>
                          <w:tcPr>
                            <w:tcW w:w="1134"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8</w:t>
                            </w:r>
                          </w:p>
                        </w:tc>
                        <w:tc>
                          <w:tcPr>
                            <w:tcW w:w="1417"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9</w:t>
                            </w:r>
                          </w:p>
                        </w:tc>
                        <w:tc>
                          <w:tcPr>
                            <w:tcW w:w="1418"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10</w:t>
                            </w:r>
                          </w:p>
                        </w:tc>
                        <w:tc>
                          <w:tcPr>
                            <w:tcW w:w="1701"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11</w:t>
                            </w:r>
                          </w:p>
                        </w:tc>
                        <w:tc>
                          <w:tcPr>
                            <w:tcW w:w="1276"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12</w:t>
                            </w:r>
                          </w:p>
                        </w:tc>
                        <w:tc>
                          <w:tcPr>
                            <w:tcW w:w="3118"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13</w:t>
                            </w:r>
                          </w:p>
                        </w:tc>
                        <w:tc>
                          <w:tcPr>
                            <w:tcW w:w="1276"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14</w:t>
                            </w:r>
                          </w:p>
                        </w:tc>
                        <w:tc>
                          <w:tcPr>
                            <w:tcW w:w="1159"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15</w:t>
                            </w:r>
                          </w:p>
                        </w:tc>
                        <w:tc>
                          <w:tcPr>
                            <w:tcW w:w="1252" w:type="dxa"/>
                            <w:tcBorders>
                              <w:top w:val="nil"/>
                              <w:left w:val="nil"/>
                              <w:bottom w:val="nil"/>
                              <w:right w:val="single" w:sz="4" w:space="0" w:color="auto"/>
                            </w:tcBorders>
                            <w:shd w:val="clear" w:color="000000" w:fill="D9E2F3"/>
                            <w:vAlign w:val="center"/>
                            <w:hideMark/>
                          </w:tcPr>
                          <w:p>
                            <w:pPr>
                              <w:jc w:val="center"/>
                              <w:rPr>
                                <w:b/>
                                <w:bCs/>
                                <w:color w:val="000000"/>
                                <w:sz w:val="18"/>
                                <w:szCs w:val="18"/>
                              </w:rPr>
                            </w:pPr>
                            <w:r>
                              <w:rPr>
                                <w:b/>
                                <w:bCs/>
                                <w:color w:val="000000"/>
                                <w:sz w:val="18"/>
                                <w:szCs w:val="18"/>
                              </w:rPr>
                              <w:t>16</w:t>
                            </w:r>
                          </w:p>
                        </w:tc>
                      </w:tr>
                      <w:tr>
                        <w:trPr>
                          <w:trHeight w:val="660"/>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rPr>
                                <w:b/>
                                <w:bCs/>
                                <w:color w:val="000000"/>
                                <w:sz w:val="16"/>
                                <w:szCs w:val="16"/>
                              </w:rPr>
                            </w:pPr>
                            <w:r>
                              <w:rPr>
                                <w:b/>
                                <w:bCs/>
                                <w:color w:val="000000"/>
                                <w:sz w:val="16"/>
                                <w:szCs w:val="16"/>
                              </w:rPr>
                              <w:t>1. Eismo saugumo sprendinių diegimas Marijampolės regiono vietinės reikšmės keliuose ir gatvėse</w:t>
                            </w:r>
                          </w:p>
                        </w:tc>
                        <w:tc>
                          <w:tcPr>
                            <w:tcW w:w="8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I</w:t>
                            </w:r>
                          </w:p>
                        </w:tc>
                        <w:tc>
                          <w:tcPr>
                            <w:tcW w:w="12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Savivaldybių administracijos</w:t>
                            </w:r>
                          </w:p>
                        </w:tc>
                        <w:tc>
                          <w:tcPr>
                            <w:tcW w:w="14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rPr>
                            </w:pPr>
                            <w:r>
                              <w:rPr>
                                <w:b/>
                                <w:bCs/>
                                <w:color w:val="000000"/>
                                <w:sz w:val="16"/>
                                <w:szCs w:val="16"/>
                              </w:rPr>
                              <w:t xml:space="preserve">- </w:t>
                            </w:r>
                          </w:p>
                        </w:tc>
                        <w:tc>
                          <w:tcPr>
                            <w:tcW w:w="10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Dotacija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1 235 294,00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1 050 000,00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185 294,00</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pPr>
                              <w:rPr>
                                <w:b/>
                                <w:bCs/>
                                <w:color w:val="000000"/>
                                <w:sz w:val="16"/>
                                <w:szCs w:val="16"/>
                              </w:rPr>
                            </w:pPr>
                            <w:r>
                              <w:rPr>
                                <w:b/>
                                <w:bCs/>
                                <w:color w:val="000000"/>
                                <w:sz w:val="16"/>
                                <w:szCs w:val="16"/>
                              </w:rPr>
                              <w:t>P.S.2.1023 Įdiegtos saugų eismą gerinančios priemonės vietinės reikšmės keliuose (gatvėse)</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2</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2024 m. I ketv.</w:t>
                            </w:r>
                          </w:p>
                        </w:tc>
                        <w:tc>
                          <w:tcPr>
                            <w:tcW w:w="12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2026 m. I ketv.</w:t>
                            </w:r>
                          </w:p>
                        </w:tc>
                      </w:tr>
                      <w:tr>
                        <w:trPr>
                          <w:trHeight w:val="660"/>
                        </w:trPr>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75"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3118" w:type="dxa"/>
                            <w:tcBorders>
                              <w:top w:val="nil"/>
                              <w:left w:val="nil"/>
                              <w:bottom w:val="single" w:sz="4" w:space="0" w:color="auto"/>
                              <w:right w:val="single" w:sz="4" w:space="0" w:color="auto"/>
                            </w:tcBorders>
                            <w:shd w:val="clear" w:color="auto" w:fill="auto"/>
                            <w:vAlign w:val="center"/>
                            <w:hideMark/>
                          </w:tcPr>
                          <w:p>
                            <w:pPr>
                              <w:rPr>
                                <w:b/>
                                <w:bCs/>
                                <w:color w:val="000000"/>
                                <w:sz w:val="16"/>
                                <w:szCs w:val="16"/>
                              </w:rPr>
                            </w:pPr>
                            <w:r>
                              <w:rPr>
                                <w:b/>
                                <w:bCs/>
                                <w:color w:val="000000"/>
                                <w:sz w:val="16"/>
                                <w:szCs w:val="16"/>
                              </w:rPr>
                              <w:t>R.S.2.3024 Panaikintos juodosios dėmės ar avaringos vietos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2</w:t>
                            </w:r>
                          </w:p>
                        </w:tc>
                        <w:tc>
                          <w:tcPr>
                            <w:tcW w:w="1159"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16"/>
                                <w:szCs w:val="16"/>
                              </w:rPr>
                            </w:pPr>
                          </w:p>
                        </w:tc>
                      </w:tr>
                      <w:tr>
                        <w:trPr>
                          <w:trHeight w:val="408"/>
                        </w:trPr>
                        <w:tc>
                          <w:tcPr>
                            <w:tcW w:w="1418" w:type="dxa"/>
                            <w:tcBorders>
                              <w:top w:val="nil"/>
                              <w:left w:val="single" w:sz="4" w:space="0" w:color="auto"/>
                              <w:bottom w:val="single" w:sz="4" w:space="0" w:color="auto"/>
                              <w:right w:val="single" w:sz="4" w:space="0" w:color="auto"/>
                            </w:tcBorders>
                            <w:shd w:val="clear" w:color="000000" w:fill="D9D9D9"/>
                            <w:vAlign w:val="center"/>
                            <w:hideMark/>
                          </w:tcPr>
                          <w:p>
                            <w:pPr>
                              <w:rPr>
                                <w:color w:val="000000"/>
                                <w:sz w:val="16"/>
                                <w:szCs w:val="16"/>
                              </w:rPr>
                            </w:pPr>
                            <w:r>
                              <w:rPr>
                                <w:color w:val="000000"/>
                                <w:sz w:val="16"/>
                                <w:szCs w:val="16"/>
                              </w:rPr>
                              <w:t>1 veiklos poveiklės neskiriamos</w:t>
                            </w:r>
                          </w:p>
                        </w:tc>
                        <w:tc>
                          <w:tcPr>
                            <w:tcW w:w="893"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c>
                          <w:tcPr>
                            <w:tcW w:w="1274"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c>
                          <w:tcPr>
                            <w:tcW w:w="1436"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c>
                          <w:tcPr>
                            <w:tcW w:w="1075"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c>
                          <w:tcPr>
                            <w:tcW w:w="1134" w:type="dxa"/>
                            <w:tcBorders>
                              <w:top w:val="nil"/>
                              <w:left w:val="nil"/>
                              <w:bottom w:val="single" w:sz="4" w:space="0" w:color="auto"/>
                              <w:right w:val="single" w:sz="4" w:space="0" w:color="auto"/>
                            </w:tcBorders>
                            <w:shd w:val="clear" w:color="000000" w:fill="D9D9D9"/>
                            <w:vAlign w:val="center"/>
                            <w:hideMark/>
                          </w:tcPr>
                          <w:p>
                            <w:pPr>
                              <w:ind w:firstLine="38"/>
                              <w:jc w:val="center"/>
                              <w:rPr>
                                <w:b/>
                                <w:bCs/>
                                <w:color w:val="000000"/>
                                <w:sz w:val="16"/>
                                <w:szCs w:val="16"/>
                              </w:rPr>
                            </w:pPr>
                          </w:p>
                        </w:tc>
                        <w:tc>
                          <w:tcPr>
                            <w:tcW w:w="1417" w:type="dxa"/>
                            <w:tcBorders>
                              <w:top w:val="nil"/>
                              <w:left w:val="nil"/>
                              <w:bottom w:val="single" w:sz="4" w:space="0" w:color="auto"/>
                              <w:right w:val="single" w:sz="4" w:space="0" w:color="auto"/>
                            </w:tcBorders>
                            <w:shd w:val="clear" w:color="000000" w:fill="D9D9D9"/>
                            <w:vAlign w:val="center"/>
                            <w:hideMark/>
                          </w:tcPr>
                          <w:p>
                            <w:pPr>
                              <w:ind w:firstLine="38"/>
                              <w:jc w:val="center"/>
                              <w:rPr>
                                <w:b/>
                                <w:bCs/>
                                <w:color w:val="000000"/>
                                <w:sz w:val="16"/>
                                <w:szCs w:val="16"/>
                              </w:rPr>
                            </w:pPr>
                          </w:p>
                        </w:tc>
                        <w:tc>
                          <w:tcPr>
                            <w:tcW w:w="1418" w:type="dxa"/>
                            <w:tcBorders>
                              <w:top w:val="nil"/>
                              <w:left w:val="nil"/>
                              <w:bottom w:val="single" w:sz="4" w:space="0" w:color="auto"/>
                              <w:right w:val="single" w:sz="4" w:space="0" w:color="auto"/>
                            </w:tcBorders>
                            <w:shd w:val="clear" w:color="000000" w:fill="D9D9D9"/>
                            <w:vAlign w:val="center"/>
                            <w:hideMark/>
                          </w:tcPr>
                          <w:p>
                            <w:pPr>
                              <w:ind w:firstLine="38"/>
                              <w:jc w:val="center"/>
                              <w:rPr>
                                <w:b/>
                                <w:bCs/>
                                <w:i/>
                                <w:iCs/>
                                <w:color w:val="000000"/>
                                <w:sz w:val="16"/>
                                <w:szCs w:val="16"/>
                              </w:rPr>
                            </w:pPr>
                          </w:p>
                        </w:tc>
                        <w:tc>
                          <w:tcPr>
                            <w:tcW w:w="1701" w:type="dxa"/>
                            <w:tcBorders>
                              <w:top w:val="nil"/>
                              <w:left w:val="nil"/>
                              <w:bottom w:val="single" w:sz="4" w:space="0" w:color="auto"/>
                              <w:right w:val="single" w:sz="4" w:space="0" w:color="auto"/>
                            </w:tcBorders>
                            <w:shd w:val="clear" w:color="000000" w:fill="D9D9D9"/>
                            <w:vAlign w:val="center"/>
                            <w:hideMark/>
                          </w:tcPr>
                          <w:p>
                            <w:pPr>
                              <w:ind w:firstLine="38"/>
                              <w:jc w:val="center"/>
                              <w:rPr>
                                <w:b/>
                                <w:bCs/>
                                <w:i/>
                                <w:iCs/>
                                <w:color w:val="000000"/>
                                <w:sz w:val="16"/>
                                <w:szCs w:val="16"/>
                              </w:rPr>
                            </w:pPr>
                          </w:p>
                        </w:tc>
                        <w:tc>
                          <w:tcPr>
                            <w:tcW w:w="1276" w:type="dxa"/>
                            <w:tcBorders>
                              <w:top w:val="nil"/>
                              <w:left w:val="nil"/>
                              <w:bottom w:val="single" w:sz="4" w:space="0" w:color="auto"/>
                              <w:right w:val="single" w:sz="4" w:space="0" w:color="auto"/>
                            </w:tcBorders>
                            <w:shd w:val="clear" w:color="000000" w:fill="D9D9D9"/>
                            <w:vAlign w:val="center"/>
                            <w:hideMark/>
                          </w:tcPr>
                          <w:p>
                            <w:pPr>
                              <w:ind w:firstLine="38"/>
                              <w:jc w:val="center"/>
                              <w:rPr>
                                <w:b/>
                                <w:bCs/>
                                <w:color w:val="000000"/>
                                <w:sz w:val="16"/>
                                <w:szCs w:val="16"/>
                              </w:rPr>
                            </w:pPr>
                          </w:p>
                        </w:tc>
                        <w:tc>
                          <w:tcPr>
                            <w:tcW w:w="3118"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c>
                          <w:tcPr>
                            <w:tcW w:w="1276" w:type="dxa"/>
                            <w:tcBorders>
                              <w:top w:val="nil"/>
                              <w:left w:val="nil"/>
                              <w:bottom w:val="single" w:sz="4" w:space="0" w:color="auto"/>
                              <w:right w:val="single" w:sz="4" w:space="0" w:color="auto"/>
                            </w:tcBorders>
                            <w:shd w:val="clear" w:color="000000" w:fill="D9D9D9"/>
                            <w:vAlign w:val="center"/>
                            <w:hideMark/>
                          </w:tcPr>
                          <w:p>
                            <w:pPr>
                              <w:ind w:firstLine="38"/>
                              <w:jc w:val="center"/>
                              <w:rPr>
                                <w:b/>
                                <w:bCs/>
                                <w:color w:val="000000"/>
                                <w:sz w:val="16"/>
                                <w:szCs w:val="16"/>
                              </w:rPr>
                            </w:pPr>
                          </w:p>
                        </w:tc>
                        <w:tc>
                          <w:tcPr>
                            <w:tcW w:w="1159" w:type="dxa"/>
                            <w:tcBorders>
                              <w:top w:val="nil"/>
                              <w:left w:val="nil"/>
                              <w:bottom w:val="single" w:sz="4" w:space="0" w:color="auto"/>
                              <w:right w:val="single" w:sz="4" w:space="0" w:color="auto"/>
                            </w:tcBorders>
                            <w:shd w:val="clear" w:color="000000" w:fill="D9D9D9"/>
                            <w:vAlign w:val="center"/>
                            <w:hideMark/>
                          </w:tcPr>
                          <w:p>
                            <w:pPr>
                              <w:ind w:firstLine="38"/>
                              <w:jc w:val="both"/>
                              <w:rPr>
                                <w:i/>
                                <w:iCs/>
                                <w:color w:val="000000"/>
                                <w:sz w:val="16"/>
                                <w:szCs w:val="16"/>
                              </w:rPr>
                            </w:pPr>
                          </w:p>
                        </w:tc>
                        <w:tc>
                          <w:tcPr>
                            <w:tcW w:w="1252" w:type="dxa"/>
                            <w:tcBorders>
                              <w:top w:val="nil"/>
                              <w:left w:val="nil"/>
                              <w:bottom w:val="single" w:sz="4" w:space="0" w:color="auto"/>
                              <w:right w:val="single" w:sz="4" w:space="0" w:color="auto"/>
                            </w:tcBorders>
                            <w:shd w:val="clear" w:color="000000" w:fill="D9D9D9"/>
                            <w:vAlign w:val="center"/>
                            <w:hideMark/>
                          </w:tcPr>
                          <w:p>
                            <w:pPr>
                              <w:ind w:firstLine="38"/>
                              <w:jc w:val="both"/>
                              <w:rPr>
                                <w:b/>
                                <w:bCs/>
                                <w:color w:val="000000"/>
                                <w:sz w:val="16"/>
                                <w:szCs w:val="16"/>
                              </w:rPr>
                            </w:pPr>
                          </w:p>
                        </w:tc>
                      </w:tr>
                      <w:tr>
                        <w:trPr>
                          <w:trHeight w:val="75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rPr>
                            </w:pPr>
                            <w:r>
                              <w:rPr>
                                <w:color w:val="000000"/>
                                <w:sz w:val="16"/>
                                <w:szCs w:val="16"/>
                              </w:rPr>
                              <w:t>1.1.1. Inžinerinių eismo saugumo priemonių diegimas Marijampolės miesto Vilkaviškio gatvėje, įrengiant žiedinę sankryžą</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rPr>
                            </w:pPr>
                          </w:p>
                        </w:tc>
                        <w:tc>
                          <w:tcPr>
                            <w:tcW w:w="127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Marijampolės savivaldybės administracija</w:t>
                            </w: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rPr>
                            </w:pPr>
                            <w:r>
                              <w:rPr>
                                <w:b/>
                                <w:bCs/>
                                <w:color w:val="000000"/>
                                <w:sz w:val="16"/>
                                <w:szCs w:val="16"/>
                              </w:rPr>
                              <w:t xml:space="preserve">- </w:t>
                            </w:r>
                          </w:p>
                        </w:tc>
                        <w:tc>
                          <w:tcPr>
                            <w:tcW w:w="1075"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1 085 294,00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0,00</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16"/>
                                <w:szCs w:val="16"/>
                              </w:rPr>
                            </w:pPr>
                            <w:r>
                              <w:rPr>
                                <w:color w:val="000000"/>
                                <w:sz w:val="16"/>
                                <w:szCs w:val="16"/>
                              </w:rPr>
                              <w:t>0,00</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16"/>
                                <w:szCs w:val="16"/>
                              </w:rPr>
                            </w:pPr>
                            <w:r>
                              <w:rPr>
                                <w:color w:val="000000"/>
                                <w:sz w:val="16"/>
                                <w:szCs w:val="16"/>
                              </w:rPr>
                              <w:t>922 500,00</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16"/>
                                <w:szCs w:val="16"/>
                              </w:rPr>
                            </w:pPr>
                            <w:r>
                              <w:rPr>
                                <w:color w:val="000000"/>
                                <w:sz w:val="16"/>
                                <w:szCs w:val="16"/>
                              </w:rPr>
                              <w:t>162 794,00</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16"/>
                                <w:szCs w:val="16"/>
                              </w:rPr>
                            </w:pPr>
                            <w:r>
                              <w:rPr>
                                <w:color w:val="000000"/>
                                <w:sz w:val="16"/>
                                <w:szCs w:val="16"/>
                              </w:rPr>
                              <w:t>P.S.2.1023 Įdiegtos saugų eismą gerinančios priemonės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1</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2024 m. I ketv.</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2026 m. I ketv.</w:t>
                            </w:r>
                          </w:p>
                        </w:tc>
                      </w:tr>
                      <w:tr>
                        <w:trPr>
                          <w:trHeight w:val="750"/>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893" w:type="dxa"/>
                            <w:vMerge/>
                            <w:tcBorders>
                              <w:top w:val="nil"/>
                              <w:left w:val="single" w:sz="4" w:space="0" w:color="auto"/>
                              <w:bottom w:val="single" w:sz="4" w:space="0" w:color="auto"/>
                              <w:right w:val="single" w:sz="4" w:space="0" w:color="auto"/>
                            </w:tcBorders>
                            <w:vAlign w:val="center"/>
                            <w:hideMark/>
                          </w:tcPr>
                          <w:p>
                            <w:pPr>
                              <w:rPr>
                                <w:i/>
                                <w:iCs/>
                                <w:color w:val="000000"/>
                                <w:sz w:val="16"/>
                                <w:szCs w:val="16"/>
                              </w:rPr>
                            </w:pPr>
                          </w:p>
                        </w:tc>
                        <w:tc>
                          <w:tcPr>
                            <w:tcW w:w="1274"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pPr>
                              <w:rPr>
                                <w:b/>
                                <w:bCs/>
                                <w:color w:val="000000"/>
                                <w:sz w:val="16"/>
                                <w:szCs w:val="16"/>
                              </w:rPr>
                            </w:pPr>
                          </w:p>
                        </w:tc>
                        <w:tc>
                          <w:tcPr>
                            <w:tcW w:w="1075" w:type="dxa"/>
                            <w:vMerge/>
                            <w:tcBorders>
                              <w:top w:val="nil"/>
                              <w:left w:val="single" w:sz="4" w:space="0" w:color="auto"/>
                              <w:bottom w:val="single" w:sz="4" w:space="0" w:color="auto"/>
                              <w:right w:val="single" w:sz="4" w:space="0" w:color="auto"/>
                            </w:tcBorders>
                            <w:vAlign w:val="center"/>
                            <w:hideMark/>
                          </w:tcPr>
                          <w:p>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16"/>
                                <w:szCs w:val="16"/>
                              </w:rPr>
                            </w:pPr>
                          </w:p>
                        </w:tc>
                        <w:tc>
                          <w:tcPr>
                            <w:tcW w:w="1701" w:type="dxa"/>
                            <w:vMerge/>
                            <w:tcBorders>
                              <w:top w:val="nil"/>
                              <w:left w:val="single" w:sz="4" w:space="0" w:color="auto"/>
                              <w:bottom w:val="single" w:sz="4" w:space="0" w:color="000000"/>
                              <w:right w:val="single" w:sz="4" w:space="0" w:color="auto"/>
                            </w:tcBorders>
                            <w:vAlign w:val="center"/>
                            <w:hideMark/>
                          </w:tcPr>
                          <w:p>
                            <w:pPr>
                              <w:rPr>
                                <w:color w:val="000000"/>
                                <w:sz w:val="16"/>
                                <w:szCs w:val="16"/>
                              </w:rPr>
                            </w:pPr>
                          </w:p>
                        </w:tc>
                        <w:tc>
                          <w:tcPr>
                            <w:tcW w:w="1276" w:type="dxa"/>
                            <w:vMerge/>
                            <w:tcBorders>
                              <w:top w:val="nil"/>
                              <w:left w:val="single" w:sz="4" w:space="0" w:color="auto"/>
                              <w:bottom w:val="single" w:sz="4" w:space="0" w:color="000000"/>
                              <w:right w:val="single" w:sz="4" w:space="0" w:color="auto"/>
                            </w:tcBorders>
                            <w:vAlign w:val="center"/>
                            <w:hideMark/>
                          </w:tcPr>
                          <w:p>
                            <w:pPr>
                              <w:rPr>
                                <w:color w:val="000000"/>
                                <w:sz w:val="16"/>
                                <w:szCs w:val="16"/>
                              </w:rPr>
                            </w:pP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16"/>
                                <w:szCs w:val="16"/>
                              </w:rPr>
                            </w:pPr>
                            <w:r>
                              <w:rPr>
                                <w:color w:val="000000"/>
                                <w:sz w:val="16"/>
                                <w:szCs w:val="16"/>
                              </w:rPr>
                              <w:t>R.S.2.3024 Panaikintos juodosios dėmės ar avaringos vietos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1</w:t>
                            </w: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252"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r>
                      <w:tr>
                        <w:trPr>
                          <w:trHeight w:val="90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16"/>
                                <w:szCs w:val="16"/>
                              </w:rPr>
                            </w:pPr>
                            <w:r>
                              <w:rPr>
                                <w:color w:val="000000"/>
                                <w:sz w:val="16"/>
                                <w:szCs w:val="16"/>
                              </w:rPr>
                              <w:t>1.1.2. Eismo saugumo sprendinių įdiegimas Dariaus ir Girėno gatvės atkarpoje, įrengiant pėsčiųjų perėjos šviesoforinį valdymą</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rPr>
                            </w:pPr>
                          </w:p>
                        </w:tc>
                        <w:tc>
                          <w:tcPr>
                            <w:tcW w:w="127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Marijampolės savivaldybės administracija</w:t>
                            </w: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pPr>
                              <w:ind w:firstLine="38"/>
                              <w:jc w:val="center"/>
                              <w:rPr>
                                <w:b/>
                                <w:bCs/>
                                <w:color w:val="000000"/>
                                <w:sz w:val="16"/>
                                <w:szCs w:val="16"/>
                              </w:rPr>
                            </w:pPr>
                            <w:r>
                              <w:rPr>
                                <w:b/>
                                <w:bCs/>
                                <w:color w:val="000000"/>
                                <w:sz w:val="16"/>
                                <w:szCs w:val="16"/>
                              </w:rPr>
                              <w:t xml:space="preserve">- </w:t>
                            </w:r>
                          </w:p>
                        </w:tc>
                        <w:tc>
                          <w:tcPr>
                            <w:tcW w:w="1075"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pPr>
                              <w:ind w:firstLine="38"/>
                              <w:jc w:val="center"/>
                              <w:rPr>
                                <w:i/>
                                <w:iCs/>
                                <w:color w:val="000000"/>
                                <w:sz w:val="16"/>
                                <w:szCs w:val="16"/>
                              </w:rPr>
                            </w:pP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150 000,00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0,00</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16"/>
                                <w:szCs w:val="16"/>
                              </w:rPr>
                            </w:pPr>
                            <w:r>
                              <w:rPr>
                                <w:color w:val="000000"/>
                                <w:sz w:val="16"/>
                                <w:szCs w:val="16"/>
                              </w:rPr>
                              <w:t>0,00</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16"/>
                                <w:szCs w:val="16"/>
                              </w:rPr>
                            </w:pPr>
                            <w:r>
                              <w:rPr>
                                <w:color w:val="000000"/>
                                <w:sz w:val="16"/>
                                <w:szCs w:val="16"/>
                              </w:rPr>
                              <w:t>127 500,00</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16"/>
                                <w:szCs w:val="16"/>
                              </w:rPr>
                            </w:pPr>
                            <w:r>
                              <w:rPr>
                                <w:color w:val="000000"/>
                                <w:sz w:val="16"/>
                                <w:szCs w:val="16"/>
                              </w:rPr>
                              <w:t>22 500,00</w:t>
                            </w: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16"/>
                                <w:szCs w:val="16"/>
                              </w:rPr>
                            </w:pPr>
                            <w:r>
                              <w:rPr>
                                <w:color w:val="000000"/>
                                <w:sz w:val="16"/>
                                <w:szCs w:val="16"/>
                              </w:rPr>
                              <w:t>P.S.2.1023 Įdiegtos saugų eismą gerinančios priemonės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1</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2024 m. I ketv.</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2026 m. I ketv.</w:t>
                            </w:r>
                          </w:p>
                        </w:tc>
                      </w:tr>
                      <w:tr>
                        <w:trPr>
                          <w:trHeight w:val="900"/>
                        </w:trPr>
                        <w:tc>
                          <w:tcPr>
                            <w:tcW w:w="1418"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893" w:type="dxa"/>
                            <w:vMerge/>
                            <w:tcBorders>
                              <w:top w:val="nil"/>
                              <w:left w:val="single" w:sz="4" w:space="0" w:color="auto"/>
                              <w:bottom w:val="single" w:sz="4" w:space="0" w:color="auto"/>
                              <w:right w:val="single" w:sz="4" w:space="0" w:color="auto"/>
                            </w:tcBorders>
                            <w:vAlign w:val="center"/>
                            <w:hideMark/>
                          </w:tcPr>
                          <w:p>
                            <w:pPr>
                              <w:rPr>
                                <w:i/>
                                <w:iCs/>
                                <w:color w:val="000000"/>
                                <w:sz w:val="16"/>
                                <w:szCs w:val="16"/>
                              </w:rPr>
                            </w:pPr>
                          </w:p>
                        </w:tc>
                        <w:tc>
                          <w:tcPr>
                            <w:tcW w:w="1274"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pPr>
                              <w:rPr>
                                <w:b/>
                                <w:bCs/>
                                <w:color w:val="000000"/>
                                <w:sz w:val="16"/>
                                <w:szCs w:val="16"/>
                              </w:rPr>
                            </w:pPr>
                          </w:p>
                        </w:tc>
                        <w:tc>
                          <w:tcPr>
                            <w:tcW w:w="1075" w:type="dxa"/>
                            <w:vMerge/>
                            <w:tcBorders>
                              <w:top w:val="nil"/>
                              <w:left w:val="single" w:sz="4" w:space="0" w:color="auto"/>
                              <w:bottom w:val="single" w:sz="4" w:space="0" w:color="auto"/>
                              <w:right w:val="single" w:sz="4" w:space="0" w:color="auto"/>
                            </w:tcBorders>
                            <w:vAlign w:val="center"/>
                            <w:hideMark/>
                          </w:tcPr>
                          <w:p>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pPr>
                              <w:rPr>
                                <w:i/>
                                <w:iCs/>
                                <w:color w:val="000000"/>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418" w:type="dxa"/>
                            <w:vMerge/>
                            <w:tcBorders>
                              <w:top w:val="nil"/>
                              <w:left w:val="single" w:sz="4" w:space="0" w:color="auto"/>
                              <w:bottom w:val="single" w:sz="4" w:space="0" w:color="000000"/>
                              <w:right w:val="single" w:sz="4" w:space="0" w:color="auto"/>
                            </w:tcBorders>
                            <w:vAlign w:val="center"/>
                            <w:hideMark/>
                          </w:tcPr>
                          <w:p>
                            <w:pPr>
                              <w:rPr>
                                <w:color w:val="000000"/>
                                <w:sz w:val="16"/>
                                <w:szCs w:val="16"/>
                              </w:rPr>
                            </w:pPr>
                          </w:p>
                        </w:tc>
                        <w:tc>
                          <w:tcPr>
                            <w:tcW w:w="1701" w:type="dxa"/>
                            <w:vMerge/>
                            <w:tcBorders>
                              <w:top w:val="nil"/>
                              <w:left w:val="single" w:sz="4" w:space="0" w:color="auto"/>
                              <w:bottom w:val="single" w:sz="4" w:space="0" w:color="000000"/>
                              <w:right w:val="single" w:sz="4" w:space="0" w:color="auto"/>
                            </w:tcBorders>
                            <w:vAlign w:val="center"/>
                            <w:hideMark/>
                          </w:tcPr>
                          <w:p>
                            <w:pPr>
                              <w:rPr>
                                <w:color w:val="000000"/>
                                <w:sz w:val="16"/>
                                <w:szCs w:val="16"/>
                              </w:rPr>
                            </w:pPr>
                          </w:p>
                        </w:tc>
                        <w:tc>
                          <w:tcPr>
                            <w:tcW w:w="1276" w:type="dxa"/>
                            <w:vMerge/>
                            <w:tcBorders>
                              <w:top w:val="nil"/>
                              <w:left w:val="single" w:sz="4" w:space="0" w:color="auto"/>
                              <w:bottom w:val="single" w:sz="4" w:space="0" w:color="000000"/>
                              <w:right w:val="single" w:sz="4" w:space="0" w:color="auto"/>
                            </w:tcBorders>
                            <w:vAlign w:val="center"/>
                            <w:hideMark/>
                          </w:tcPr>
                          <w:p>
                            <w:pPr>
                              <w:rPr>
                                <w:color w:val="000000"/>
                                <w:sz w:val="16"/>
                                <w:szCs w:val="16"/>
                              </w:rPr>
                            </w:pPr>
                          </w:p>
                        </w:tc>
                        <w:tc>
                          <w:tcPr>
                            <w:tcW w:w="3118" w:type="dxa"/>
                            <w:tcBorders>
                              <w:top w:val="nil"/>
                              <w:left w:val="nil"/>
                              <w:bottom w:val="single" w:sz="4" w:space="0" w:color="auto"/>
                              <w:right w:val="single" w:sz="4" w:space="0" w:color="auto"/>
                            </w:tcBorders>
                            <w:shd w:val="clear" w:color="auto" w:fill="auto"/>
                            <w:vAlign w:val="center"/>
                            <w:hideMark/>
                          </w:tcPr>
                          <w:p>
                            <w:pPr>
                              <w:rPr>
                                <w:color w:val="000000"/>
                                <w:sz w:val="16"/>
                                <w:szCs w:val="16"/>
                              </w:rPr>
                            </w:pPr>
                            <w:r>
                              <w:rPr>
                                <w:color w:val="000000"/>
                                <w:sz w:val="16"/>
                                <w:szCs w:val="16"/>
                              </w:rPr>
                              <w:t>R.S.2.3024 Panaikintos juodosios dėmės ar avaringos vietos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16"/>
                                <w:szCs w:val="16"/>
                              </w:rPr>
                            </w:pPr>
                            <w:r>
                              <w:rPr>
                                <w:color w:val="000000"/>
                                <w:sz w:val="16"/>
                                <w:szCs w:val="16"/>
                              </w:rPr>
                              <w:t>1</w:t>
                            </w:r>
                          </w:p>
                        </w:tc>
                        <w:tc>
                          <w:tcPr>
                            <w:tcW w:w="1159"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c>
                          <w:tcPr>
                            <w:tcW w:w="1252" w:type="dxa"/>
                            <w:vMerge/>
                            <w:tcBorders>
                              <w:top w:val="nil"/>
                              <w:left w:val="single" w:sz="4" w:space="0" w:color="auto"/>
                              <w:bottom w:val="single" w:sz="4" w:space="0" w:color="auto"/>
                              <w:right w:val="single" w:sz="4" w:space="0" w:color="auto"/>
                            </w:tcBorders>
                            <w:vAlign w:val="center"/>
                            <w:hideMark/>
                          </w:tcPr>
                          <w:p>
                            <w:pPr>
                              <w:rPr>
                                <w:color w:val="000000"/>
                                <w:sz w:val="16"/>
                                <w:szCs w:val="16"/>
                              </w:rPr>
                            </w:pPr>
                          </w:p>
                        </w:tc>
                      </w:tr>
                      <w:tr>
                        <w:trPr>
                          <w:trHeight w:val="288"/>
                        </w:trPr>
                        <w:tc>
                          <w:tcPr>
                            <w:tcW w:w="8223" w:type="dxa"/>
                            <w:gridSpan w:val="7"/>
                            <w:tcBorders>
                              <w:top w:val="nil"/>
                              <w:left w:val="single" w:sz="4" w:space="0" w:color="auto"/>
                              <w:bottom w:val="single" w:sz="4" w:space="0" w:color="auto"/>
                              <w:right w:val="single" w:sz="4" w:space="0" w:color="auto"/>
                            </w:tcBorders>
                            <w:shd w:val="clear" w:color="auto" w:fill="auto"/>
                            <w:vAlign w:val="center"/>
                            <w:hideMark/>
                          </w:tcPr>
                          <w:p>
                            <w:pPr>
                              <w:jc w:val="right"/>
                              <w:rPr>
                                <w:b/>
                                <w:bCs/>
                                <w:color w:val="000000"/>
                                <w:sz w:val="16"/>
                                <w:szCs w:val="16"/>
                              </w:rPr>
                            </w:pPr>
                            <w:r>
                              <w:rPr>
                                <w:b/>
                                <w:bCs/>
                                <w:color w:val="000000"/>
                                <w:sz w:val="16"/>
                                <w:szCs w:val="16"/>
                              </w:rPr>
                              <w:t>Iš viso pažangos priemonės veikloms:</w:t>
                            </w:r>
                          </w:p>
                        </w:tc>
                        <w:tc>
                          <w:tcPr>
                            <w:tcW w:w="1134"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1 235 294,00</w:t>
                            </w:r>
                          </w:p>
                        </w:tc>
                        <w:tc>
                          <w:tcPr>
                            <w:tcW w:w="1417"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0,00</w:t>
                            </w:r>
                          </w:p>
                        </w:tc>
                        <w:tc>
                          <w:tcPr>
                            <w:tcW w:w="1418"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0,00</w:t>
                            </w:r>
                          </w:p>
                        </w:tc>
                        <w:tc>
                          <w:tcPr>
                            <w:tcW w:w="1701"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1 050 000,00</w:t>
                            </w:r>
                          </w:p>
                        </w:tc>
                        <w:tc>
                          <w:tcPr>
                            <w:tcW w:w="1276" w:type="dxa"/>
                            <w:tcBorders>
                              <w:top w:val="nil"/>
                              <w:left w:val="nil"/>
                              <w:bottom w:val="single" w:sz="4" w:space="0" w:color="auto"/>
                              <w:right w:val="single" w:sz="4" w:space="0" w:color="auto"/>
                            </w:tcBorders>
                            <w:shd w:val="clear" w:color="auto" w:fill="auto"/>
                            <w:vAlign w:val="center"/>
                            <w:hideMark/>
                          </w:tcPr>
                          <w:p>
                            <w:pPr>
                              <w:jc w:val="center"/>
                              <w:rPr>
                                <w:b/>
                                <w:bCs/>
                                <w:color w:val="000000"/>
                                <w:sz w:val="16"/>
                                <w:szCs w:val="16"/>
                              </w:rPr>
                            </w:pPr>
                            <w:r>
                              <w:rPr>
                                <w:b/>
                                <w:bCs/>
                                <w:color w:val="000000"/>
                                <w:sz w:val="16"/>
                                <w:szCs w:val="16"/>
                              </w:rPr>
                              <w:t>185 294,00</w:t>
                            </w:r>
                          </w:p>
                        </w:tc>
                        <w:tc>
                          <w:tcPr>
                            <w:tcW w:w="6805" w:type="dxa"/>
                            <w:gridSpan w:val="4"/>
                            <w:tcBorders>
                              <w:top w:val="nil"/>
                              <w:left w:val="nil"/>
                              <w:bottom w:val="single" w:sz="4" w:space="0" w:color="auto"/>
                              <w:right w:val="single" w:sz="4" w:space="0" w:color="auto"/>
                            </w:tcBorders>
                            <w:shd w:val="clear" w:color="auto" w:fill="auto"/>
                            <w:vAlign w:val="center"/>
                            <w:hideMark/>
                          </w:tcPr>
                          <w:p>
                            <w:pPr>
                              <w:ind w:firstLine="38"/>
                              <w:jc w:val="both"/>
                              <w:rPr>
                                <w:b/>
                                <w:bCs/>
                                <w:color w:val="000000"/>
                                <w:sz w:val="16"/>
                                <w:szCs w:val="16"/>
                              </w:rPr>
                            </w:pPr>
                          </w:p>
                        </w:tc>
                      </w:tr>
                      <w:tr>
                        <w:trPr>
                          <w:trHeight w:val="765"/>
                        </w:trPr>
                        <w:tc>
                          <w:tcPr>
                            <w:tcW w:w="1418" w:type="dxa"/>
                            <w:tcBorders>
                              <w:top w:val="nil"/>
                              <w:left w:val="nil"/>
                              <w:bottom w:val="nil"/>
                              <w:right w:val="nil"/>
                            </w:tcBorders>
                            <w:shd w:val="clear" w:color="auto" w:fill="auto"/>
                            <w:noWrap/>
                            <w:hideMark/>
                          </w:tcPr>
                          <w:p>
                            <w:pPr>
                              <w:jc w:val="right"/>
                              <w:rPr>
                                <w:color w:val="000000"/>
                                <w:sz w:val="16"/>
                                <w:szCs w:val="16"/>
                              </w:rPr>
                            </w:pPr>
                            <w:r>
                              <w:rPr>
                                <w:color w:val="000000"/>
                                <w:sz w:val="16"/>
                                <w:szCs w:val="16"/>
                              </w:rPr>
                              <w:t>*</w:t>
                            </w:r>
                          </w:p>
                        </w:tc>
                        <w:tc>
                          <w:tcPr>
                            <w:tcW w:w="20556" w:type="dxa"/>
                            <w:gridSpan w:val="15"/>
                            <w:tcBorders>
                              <w:top w:val="single" w:sz="4" w:space="0" w:color="auto"/>
                              <w:left w:val="nil"/>
                              <w:bottom w:val="nil"/>
                              <w:right w:val="nil"/>
                            </w:tcBorders>
                            <w:shd w:val="clear" w:color="auto" w:fill="auto"/>
                            <w:hideMark/>
                          </w:tcPr>
                          <w:p>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 vietinės reikšmės keliuose ir gatvėse“ finansavimo gairių 2.1. dalyje „Finansuojamos veiklos ir siekiami stebėsenos rodikliai“ pateikta informacija. Rodiklių reikšmės preliminarios, jos gali būti tikslinamos, kai bus patvirtinta Stebėsenos rodiklių nustatymo ir skaičiavimo tvarka ir / ar rodiklių skaičiavimo aprašų suvestinė.</w:t>
                            </w:r>
                          </w:p>
                        </w:tc>
                      </w:tr>
                      <w:tr>
                        <w:trPr>
                          <w:trHeight w:val="288"/>
                        </w:trPr>
                        <w:tc>
                          <w:tcPr>
                            <w:tcW w:w="1418" w:type="dxa"/>
                            <w:tcBorders>
                              <w:top w:val="nil"/>
                              <w:left w:val="nil"/>
                              <w:bottom w:val="nil"/>
                              <w:right w:val="nil"/>
                            </w:tcBorders>
                            <w:shd w:val="clear" w:color="auto" w:fill="auto"/>
                            <w:noWrap/>
                            <w:vAlign w:val="bottom"/>
                            <w:hideMark/>
                          </w:tcPr>
                          <w:p>
                            <w:pPr>
                              <w:rPr>
                                <w:color w:val="000000"/>
                                <w:sz w:val="16"/>
                                <w:szCs w:val="16"/>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0774" w:type="dxa"/>
                            <w:gridSpan w:val="9"/>
                            <w:tcBorders>
                              <w:top w:val="nil"/>
                              <w:left w:val="nil"/>
                              <w:bottom w:val="nil"/>
                              <w:right w:val="nil"/>
                            </w:tcBorders>
                            <w:shd w:val="clear" w:color="auto" w:fill="auto"/>
                            <w:noWrap/>
                            <w:vAlign w:val="bottom"/>
                            <w:hideMark/>
                          </w:tcPr>
                          <w:p>
                            <w:pPr>
                              <w:rPr>
                                <w:sz w:val="20"/>
                              </w:rPr>
                            </w:pPr>
                            <w:r>
                              <w:rPr>
                                <w:b/>
                                <w:bCs/>
                                <w:color w:val="000000"/>
                                <w:sz w:val="22"/>
                                <w:szCs w:val="22"/>
                              </w:rPr>
                              <w:t>7 lentelė. Pažangos priemonės specialieji projektų atrankos kriterijai</w:t>
                            </w: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Eil. Nr.</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Specialieji projektų atrankos kriterijai</w:t>
                            </w:r>
                          </w:p>
                        </w:tc>
                        <w:tc>
                          <w:tcPr>
                            <w:tcW w:w="5753" w:type="dxa"/>
                            <w:gridSpan w:val="5"/>
                            <w:tcBorders>
                              <w:top w:val="single" w:sz="4" w:space="0" w:color="auto"/>
                              <w:left w:val="nil"/>
                              <w:bottom w:val="single" w:sz="4" w:space="0" w:color="auto"/>
                              <w:right w:val="single" w:sz="4" w:space="0" w:color="000000"/>
                            </w:tcBorders>
                            <w:shd w:val="clear" w:color="000000" w:fill="DBE5F1"/>
                            <w:noWrap/>
                            <w:vAlign w:val="bottom"/>
                            <w:hideMark/>
                          </w:tcPr>
                          <w:p>
                            <w:pPr>
                              <w:jc w:val="center"/>
                              <w:rPr>
                                <w:b/>
                                <w:bCs/>
                                <w:color w:val="000000"/>
                                <w:sz w:val="22"/>
                                <w:szCs w:val="22"/>
                              </w:rPr>
                            </w:pPr>
                            <w:r>
                              <w:rPr>
                                <w:b/>
                                <w:bCs/>
                                <w:color w:val="000000"/>
                                <w:sz w:val="22"/>
                                <w:szCs w:val="22"/>
                              </w:rPr>
                              <w:t>Pažangos priemonės veikla (-os)</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 xml:space="preserve">Atitikties specialiajam projektų atrankos kriterijui vertinimo aspektai </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1</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2</w:t>
                            </w:r>
                          </w:p>
                        </w:tc>
                        <w:tc>
                          <w:tcPr>
                            <w:tcW w:w="5753" w:type="dxa"/>
                            <w:gridSpan w:val="5"/>
                            <w:tcBorders>
                              <w:top w:val="single" w:sz="4" w:space="0" w:color="auto"/>
                              <w:left w:val="nil"/>
                              <w:bottom w:val="single" w:sz="4" w:space="0" w:color="auto"/>
                              <w:right w:val="single" w:sz="4" w:space="0" w:color="000000"/>
                            </w:tcBorders>
                            <w:shd w:val="clear" w:color="000000" w:fill="DBE5F1"/>
                            <w:noWrap/>
                            <w:vAlign w:val="bottom"/>
                            <w:hideMark/>
                          </w:tcPr>
                          <w:p>
                            <w:pPr>
                              <w:jc w:val="center"/>
                              <w:rPr>
                                <w:b/>
                                <w:bCs/>
                                <w:color w:val="000000"/>
                                <w:sz w:val="18"/>
                                <w:szCs w:val="18"/>
                              </w:rPr>
                            </w:pPr>
                            <w:r>
                              <w:rPr>
                                <w:b/>
                                <w:bCs/>
                                <w:color w:val="000000"/>
                                <w:sz w:val="18"/>
                                <w:szCs w:val="18"/>
                              </w:rPr>
                              <w:t>3</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4</w:t>
                            </w:r>
                          </w:p>
                        </w:tc>
                      </w:tr>
                      <w:tr>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rPr>
                            </w:pPr>
                          </w:p>
                        </w:tc>
                        <w:tc>
                          <w:tcPr>
                            <w:tcW w:w="3603" w:type="dxa"/>
                            <w:gridSpan w:val="3"/>
                            <w:tcBorders>
                              <w:top w:val="single" w:sz="4" w:space="0" w:color="auto"/>
                              <w:left w:val="nil"/>
                              <w:bottom w:val="single" w:sz="4" w:space="0" w:color="auto"/>
                              <w:right w:val="single" w:sz="4" w:space="0" w:color="000000"/>
                            </w:tcBorders>
                            <w:shd w:val="clear" w:color="auto" w:fill="auto"/>
                            <w:noWrap/>
                            <w:hideMark/>
                          </w:tcPr>
                          <w:p>
                            <w:pPr>
                              <w:rPr>
                                <w:i/>
                                <w:iCs/>
                                <w:color w:val="000000"/>
                                <w:sz w:val="22"/>
                                <w:szCs w:val="22"/>
                              </w:rPr>
                            </w:pPr>
                            <w:r>
                              <w:rPr>
                                <w:i/>
                                <w:iCs/>
                                <w:color w:val="000000"/>
                                <w:sz w:val="22"/>
                                <w:szCs w:val="22"/>
                              </w:rPr>
                              <w:t>Nenustatomi</w:t>
                            </w:r>
                          </w:p>
                        </w:tc>
                        <w:tc>
                          <w:tcPr>
                            <w:tcW w:w="5753" w:type="dxa"/>
                            <w:gridSpan w:val="5"/>
                            <w:tcBorders>
                              <w:top w:val="single" w:sz="4" w:space="0" w:color="auto"/>
                              <w:left w:val="nil"/>
                              <w:bottom w:val="single" w:sz="4" w:space="0" w:color="auto"/>
                              <w:right w:val="single" w:sz="4" w:space="0" w:color="000000"/>
                            </w:tcBorders>
                            <w:shd w:val="clear" w:color="auto" w:fill="auto"/>
                            <w:noWrap/>
                            <w:hideMark/>
                          </w:tcPr>
                          <w:p>
                            <w:pPr>
                              <w:ind w:firstLine="57"/>
                              <w:jc w:val="center"/>
                              <w:rPr>
                                <w:i/>
                                <w:iCs/>
                                <w:color w:val="000000"/>
                                <w:sz w:val="22"/>
                                <w:szCs w:val="22"/>
                              </w:rPr>
                            </w:pPr>
                          </w:p>
                        </w:tc>
                        <w:tc>
                          <w:tcPr>
                            <w:tcW w:w="11200" w:type="dxa"/>
                            <w:gridSpan w:val="7"/>
                            <w:tcBorders>
                              <w:top w:val="single" w:sz="4" w:space="0" w:color="auto"/>
                              <w:left w:val="nil"/>
                              <w:bottom w:val="single" w:sz="4" w:space="0" w:color="auto"/>
                              <w:right w:val="single" w:sz="4" w:space="0" w:color="auto"/>
                            </w:tcBorders>
                            <w:shd w:val="clear" w:color="auto" w:fill="auto"/>
                            <w:noWrap/>
                            <w:hideMark/>
                          </w:tcPr>
                          <w:p>
                            <w:pPr>
                              <w:ind w:firstLine="57"/>
                              <w:jc w:val="center"/>
                              <w:rPr>
                                <w:color w:val="000000"/>
                                <w:sz w:val="22"/>
                                <w:szCs w:val="22"/>
                              </w:rPr>
                            </w:pPr>
                          </w:p>
                        </w:tc>
                      </w:tr>
                      <w:tr>
                        <w:trPr>
                          <w:trHeight w:val="288"/>
                        </w:trPr>
                        <w:tc>
                          <w:tcPr>
                            <w:tcW w:w="1418" w:type="dxa"/>
                            <w:tcBorders>
                              <w:top w:val="nil"/>
                              <w:left w:val="nil"/>
                              <w:bottom w:val="nil"/>
                              <w:right w:val="nil"/>
                            </w:tcBorders>
                            <w:shd w:val="clear" w:color="auto" w:fill="auto"/>
                            <w:noWrap/>
                            <w:vAlign w:val="bottom"/>
                            <w:hideMark/>
                          </w:tcPr>
                          <w:p>
                            <w:pPr>
                              <w:jc w:val="center"/>
                              <w:rPr>
                                <w:color w:val="000000"/>
                                <w:sz w:val="22"/>
                                <w:szCs w:val="22"/>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418" w:type="dxa"/>
                            <w:tcBorders>
                              <w:top w:val="nil"/>
                              <w:left w:val="nil"/>
                              <w:bottom w:val="nil"/>
                              <w:right w:val="nil"/>
                            </w:tcBorders>
                            <w:shd w:val="clear" w:color="auto" w:fill="auto"/>
                            <w:noWrap/>
                            <w:vAlign w:val="bottom"/>
                            <w:hideMark/>
                          </w:tcPr>
                          <w:p>
                            <w:pPr>
                              <w:rPr>
                                <w:sz w:val="20"/>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0774" w:type="dxa"/>
                            <w:gridSpan w:val="9"/>
                            <w:tcBorders>
                              <w:top w:val="nil"/>
                              <w:left w:val="nil"/>
                              <w:bottom w:val="nil"/>
                              <w:right w:val="nil"/>
                            </w:tcBorders>
                            <w:shd w:val="clear" w:color="auto" w:fill="auto"/>
                            <w:noWrap/>
                            <w:vAlign w:val="bottom"/>
                            <w:hideMark/>
                          </w:tcPr>
                          <w:p>
                            <w:pPr>
                              <w:rPr>
                                <w:sz w:val="20"/>
                              </w:rPr>
                            </w:pPr>
                            <w:r>
                              <w:rPr>
                                <w:b/>
                                <w:bCs/>
                                <w:color w:val="000000"/>
                                <w:sz w:val="22"/>
                                <w:szCs w:val="22"/>
                              </w:rPr>
                              <w:t>8 lentelė. Pažangos priemonės prioritetiniai projektų atrankos kriterijai</w:t>
                            </w: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Eil. Nr.</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Prioritetinis projektų atrankos kriterijus</w:t>
                            </w:r>
                          </w:p>
                        </w:tc>
                        <w:tc>
                          <w:tcPr>
                            <w:tcW w:w="5753" w:type="dxa"/>
                            <w:gridSpan w:val="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Pažangos priemonės veikla (-os)</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 xml:space="preserve">Atitikties prioritetiniam projektų atrankos kriterijui vertinimo aspektai </w:t>
                            </w:r>
                          </w:p>
                        </w:tc>
                      </w:tr>
                      <w:tr>
                        <w:trPr>
                          <w:trHeight w:val="225"/>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1</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2</w:t>
                            </w:r>
                          </w:p>
                        </w:tc>
                        <w:tc>
                          <w:tcPr>
                            <w:tcW w:w="5753" w:type="dxa"/>
                            <w:gridSpan w:val="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3</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4</w:t>
                            </w:r>
                          </w:p>
                        </w:tc>
                      </w:tr>
                      <w:tr>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rPr>
                            </w:pPr>
                          </w:p>
                        </w:tc>
                        <w:tc>
                          <w:tcPr>
                            <w:tcW w:w="3603" w:type="dxa"/>
                            <w:gridSpan w:val="3"/>
                            <w:tcBorders>
                              <w:top w:val="single" w:sz="4" w:space="0" w:color="auto"/>
                              <w:left w:val="nil"/>
                              <w:bottom w:val="single" w:sz="4" w:space="0" w:color="auto"/>
                              <w:right w:val="single" w:sz="4" w:space="0" w:color="auto"/>
                            </w:tcBorders>
                            <w:shd w:val="clear" w:color="auto" w:fill="auto"/>
                            <w:noWrap/>
                            <w:hideMark/>
                          </w:tcPr>
                          <w:p>
                            <w:pPr>
                              <w:rPr>
                                <w:i/>
                                <w:iCs/>
                                <w:color w:val="000000"/>
                                <w:sz w:val="22"/>
                                <w:szCs w:val="22"/>
                              </w:rPr>
                            </w:pPr>
                            <w:r>
                              <w:rPr>
                                <w:i/>
                                <w:iCs/>
                                <w:color w:val="000000"/>
                                <w:sz w:val="22"/>
                                <w:szCs w:val="22"/>
                              </w:rPr>
                              <w:t>Nenustatomi</w:t>
                            </w:r>
                          </w:p>
                        </w:tc>
                        <w:tc>
                          <w:tcPr>
                            <w:tcW w:w="5753" w:type="dxa"/>
                            <w:gridSpan w:val="5"/>
                            <w:tcBorders>
                              <w:top w:val="single" w:sz="4" w:space="0" w:color="auto"/>
                              <w:left w:val="nil"/>
                              <w:bottom w:val="single" w:sz="4" w:space="0" w:color="auto"/>
                              <w:right w:val="single" w:sz="4" w:space="0" w:color="auto"/>
                            </w:tcBorders>
                            <w:shd w:val="clear" w:color="auto" w:fill="auto"/>
                            <w:noWrap/>
                            <w:hideMark/>
                          </w:tcPr>
                          <w:p>
                            <w:pPr>
                              <w:ind w:firstLine="57"/>
                              <w:jc w:val="center"/>
                              <w:rPr>
                                <w:i/>
                                <w:iCs/>
                                <w:color w:val="000000"/>
                                <w:sz w:val="22"/>
                                <w:szCs w:val="22"/>
                              </w:rPr>
                            </w:pPr>
                          </w:p>
                        </w:tc>
                        <w:tc>
                          <w:tcPr>
                            <w:tcW w:w="11200" w:type="dxa"/>
                            <w:gridSpan w:val="7"/>
                            <w:tcBorders>
                              <w:top w:val="single" w:sz="4" w:space="0" w:color="auto"/>
                              <w:left w:val="nil"/>
                              <w:bottom w:val="single" w:sz="4" w:space="0" w:color="auto"/>
                              <w:right w:val="single" w:sz="4" w:space="0" w:color="auto"/>
                            </w:tcBorders>
                            <w:shd w:val="clear" w:color="auto" w:fill="auto"/>
                            <w:noWrap/>
                            <w:hideMark/>
                          </w:tcPr>
                          <w:p>
                            <w:pPr>
                              <w:ind w:firstLine="57"/>
                              <w:jc w:val="center"/>
                              <w:rPr>
                                <w:color w:val="000000"/>
                                <w:sz w:val="22"/>
                                <w:szCs w:val="22"/>
                              </w:rPr>
                            </w:pPr>
                          </w:p>
                        </w:tc>
                      </w:tr>
                      <w:tr>
                        <w:trPr>
                          <w:trHeight w:val="288"/>
                        </w:trPr>
                        <w:tc>
                          <w:tcPr>
                            <w:tcW w:w="1418" w:type="dxa"/>
                            <w:tcBorders>
                              <w:top w:val="nil"/>
                              <w:left w:val="nil"/>
                              <w:bottom w:val="nil"/>
                              <w:right w:val="nil"/>
                            </w:tcBorders>
                            <w:shd w:val="clear" w:color="auto" w:fill="auto"/>
                            <w:noWrap/>
                            <w:vAlign w:val="bottom"/>
                            <w:hideMark/>
                          </w:tcPr>
                          <w:p>
                            <w:pPr>
                              <w:jc w:val="center"/>
                              <w:rPr>
                                <w:color w:val="000000"/>
                                <w:sz w:val="22"/>
                                <w:szCs w:val="22"/>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418" w:type="dxa"/>
                            <w:tcBorders>
                              <w:top w:val="nil"/>
                              <w:left w:val="nil"/>
                              <w:bottom w:val="nil"/>
                              <w:right w:val="nil"/>
                            </w:tcBorders>
                            <w:shd w:val="clear" w:color="auto" w:fill="auto"/>
                            <w:noWrap/>
                            <w:vAlign w:val="bottom"/>
                            <w:hideMark/>
                          </w:tcPr>
                          <w:p>
                            <w:pPr>
                              <w:rPr>
                                <w:sz w:val="20"/>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3585" w:type="dxa"/>
                            <w:gridSpan w:val="3"/>
                            <w:tcBorders>
                              <w:top w:val="nil"/>
                              <w:left w:val="nil"/>
                              <w:bottom w:val="nil"/>
                              <w:right w:val="nil"/>
                            </w:tcBorders>
                            <w:shd w:val="clear" w:color="auto" w:fill="auto"/>
                            <w:noWrap/>
                            <w:vAlign w:val="bottom"/>
                            <w:hideMark/>
                          </w:tcPr>
                          <w:p>
                            <w:pPr>
                              <w:rPr>
                                <w:b/>
                                <w:bCs/>
                                <w:color w:val="000000"/>
                                <w:sz w:val="22"/>
                                <w:szCs w:val="22"/>
                              </w:rPr>
                            </w:pPr>
                            <w:r>
                              <w:rPr>
                                <w:b/>
                                <w:bCs/>
                                <w:color w:val="000000"/>
                                <w:sz w:val="22"/>
                                <w:szCs w:val="22"/>
                              </w:rPr>
                              <w:t>9 lentelė. Reikalavimai projektams</w:t>
                            </w:r>
                          </w:p>
                        </w:tc>
                        <w:tc>
                          <w:tcPr>
                            <w:tcW w:w="1436" w:type="dxa"/>
                            <w:tcBorders>
                              <w:top w:val="nil"/>
                              <w:left w:val="nil"/>
                              <w:bottom w:val="nil"/>
                              <w:right w:val="nil"/>
                            </w:tcBorders>
                            <w:shd w:val="clear" w:color="auto" w:fill="auto"/>
                            <w:noWrap/>
                            <w:vAlign w:val="bottom"/>
                            <w:hideMark/>
                          </w:tcPr>
                          <w:p>
                            <w:pPr>
                              <w:rPr>
                                <w:b/>
                                <w:bCs/>
                                <w:color w:val="000000"/>
                                <w:sz w:val="22"/>
                                <w:szCs w:val="22"/>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78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pPr>
                              <w:jc w:val="center"/>
                              <w:rPr>
                                <w:b/>
                                <w:bCs/>
                                <w:color w:val="000000"/>
                                <w:sz w:val="22"/>
                                <w:szCs w:val="22"/>
                              </w:rPr>
                            </w:pPr>
                            <w:r>
                              <w:rPr>
                                <w:b/>
                                <w:bCs/>
                                <w:color w:val="000000"/>
                                <w:sz w:val="22"/>
                                <w:szCs w:val="22"/>
                              </w:rPr>
                              <w:t>Eil. Nr.</w:t>
                            </w:r>
                          </w:p>
                        </w:tc>
                        <w:tc>
                          <w:tcPr>
                            <w:tcW w:w="3603" w:type="dxa"/>
                            <w:gridSpan w:val="3"/>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2"/>
                                <w:szCs w:val="22"/>
                              </w:rPr>
                            </w:pPr>
                            <w:r>
                              <w:rPr>
                                <w:b/>
                                <w:bCs/>
                                <w:color w:val="000000"/>
                                <w:sz w:val="22"/>
                                <w:szCs w:val="22"/>
                              </w:rPr>
                              <w:t>Veikla (-os) ir (ar) poveiklė (-ės), kurios projektams taikomas reikalavimas</w:t>
                            </w:r>
                          </w:p>
                        </w:tc>
                        <w:tc>
                          <w:tcPr>
                            <w:tcW w:w="16953" w:type="dxa"/>
                            <w:gridSpan w:val="12"/>
                            <w:tcBorders>
                              <w:top w:val="single" w:sz="4" w:space="0" w:color="auto"/>
                              <w:left w:val="nil"/>
                              <w:bottom w:val="single" w:sz="4" w:space="0" w:color="auto"/>
                              <w:right w:val="single" w:sz="4" w:space="0" w:color="000000"/>
                            </w:tcBorders>
                            <w:shd w:val="clear" w:color="000000" w:fill="DBE5F1"/>
                            <w:noWrap/>
                            <w:vAlign w:val="center"/>
                            <w:hideMark/>
                          </w:tcPr>
                          <w:p>
                            <w:pPr>
                              <w:jc w:val="center"/>
                              <w:rPr>
                                <w:b/>
                                <w:bCs/>
                                <w:color w:val="000000"/>
                                <w:sz w:val="22"/>
                                <w:szCs w:val="22"/>
                              </w:rPr>
                            </w:pPr>
                            <w:r>
                              <w:rPr>
                                <w:b/>
                                <w:bCs/>
                                <w:color w:val="000000"/>
                                <w:sz w:val="22"/>
                                <w:szCs w:val="22"/>
                              </w:rPr>
                              <w:t>Reikalavimai projektams</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1</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2</w:t>
                            </w:r>
                          </w:p>
                        </w:tc>
                        <w:tc>
                          <w:tcPr>
                            <w:tcW w:w="16953" w:type="dxa"/>
                            <w:gridSpan w:val="12"/>
                            <w:tcBorders>
                              <w:top w:val="single" w:sz="4" w:space="0" w:color="auto"/>
                              <w:left w:val="nil"/>
                              <w:bottom w:val="single" w:sz="4" w:space="0" w:color="auto"/>
                              <w:right w:val="single" w:sz="4" w:space="0" w:color="000000"/>
                            </w:tcBorders>
                            <w:shd w:val="clear" w:color="000000" w:fill="DBE5F1"/>
                            <w:noWrap/>
                            <w:vAlign w:val="bottom"/>
                            <w:hideMark/>
                          </w:tcPr>
                          <w:p>
                            <w:pPr>
                              <w:jc w:val="center"/>
                              <w:rPr>
                                <w:b/>
                                <w:bCs/>
                                <w:color w:val="000000"/>
                                <w:sz w:val="18"/>
                                <w:szCs w:val="18"/>
                              </w:rPr>
                            </w:pPr>
                            <w:r>
                              <w:rPr>
                                <w:b/>
                                <w:bCs/>
                                <w:color w:val="000000"/>
                                <w:sz w:val="18"/>
                                <w:szCs w:val="18"/>
                              </w:rPr>
                              <w:t>3</w:t>
                            </w:r>
                          </w:p>
                        </w:tc>
                      </w:tr>
                      <w:tr>
                        <w:trPr>
                          <w:trHeight w:val="63"/>
                        </w:trPr>
                        <w:tc>
                          <w:tcPr>
                            <w:tcW w:w="1418" w:type="dxa"/>
                            <w:tcBorders>
                              <w:top w:val="nil"/>
                              <w:left w:val="single" w:sz="4" w:space="0" w:color="auto"/>
                              <w:bottom w:val="single" w:sz="4" w:space="0" w:color="auto"/>
                              <w:right w:val="single" w:sz="4" w:space="0" w:color="auto"/>
                            </w:tcBorders>
                            <w:shd w:val="clear" w:color="auto" w:fill="auto"/>
                            <w:noWrap/>
                            <w:hideMark/>
                          </w:tcPr>
                          <w:p>
                            <w:pPr>
                              <w:jc w:val="center"/>
                              <w:rPr>
                                <w:color w:val="000000"/>
                                <w:sz w:val="22"/>
                                <w:szCs w:val="22"/>
                              </w:rPr>
                            </w:pPr>
                            <w:r>
                              <w:rPr>
                                <w:color w:val="000000"/>
                                <w:sz w:val="22"/>
                                <w:szCs w:val="22"/>
                              </w:rPr>
                              <w:t>1.</w:t>
                            </w:r>
                          </w:p>
                        </w:tc>
                        <w:tc>
                          <w:tcPr>
                            <w:tcW w:w="3603" w:type="dxa"/>
                            <w:gridSpan w:val="3"/>
                            <w:tcBorders>
                              <w:top w:val="single" w:sz="4" w:space="0" w:color="auto"/>
                              <w:left w:val="nil"/>
                              <w:bottom w:val="single" w:sz="4" w:space="0" w:color="auto"/>
                              <w:right w:val="single" w:sz="4" w:space="0" w:color="auto"/>
                            </w:tcBorders>
                            <w:shd w:val="clear" w:color="auto" w:fill="auto"/>
                            <w:hideMark/>
                          </w:tcPr>
                          <w:p>
                            <w:pPr>
                              <w:rPr>
                                <w:color w:val="000000"/>
                                <w:sz w:val="22"/>
                                <w:szCs w:val="22"/>
                              </w:rPr>
                            </w:pPr>
                            <w:r>
                              <w:rPr>
                                <w:color w:val="000000"/>
                                <w:sz w:val="22"/>
                                <w:szCs w:val="22"/>
                              </w:rPr>
                              <w:t>1 veikla „Eismo saugumo sprendinių diegimas Marijampolės regiono vietinės reikšmės keliuose ir gatvėse“.</w:t>
                            </w:r>
                          </w:p>
                        </w:tc>
                        <w:tc>
                          <w:tcPr>
                            <w:tcW w:w="16953" w:type="dxa"/>
                            <w:gridSpan w:val="12"/>
                            <w:tcBorders>
                              <w:top w:val="single" w:sz="4" w:space="0" w:color="auto"/>
                              <w:left w:val="nil"/>
                              <w:bottom w:val="single" w:sz="4" w:space="0" w:color="auto"/>
                              <w:right w:val="single" w:sz="4" w:space="0" w:color="000000"/>
                            </w:tcBorders>
                            <w:shd w:val="clear" w:color="auto" w:fill="auto"/>
                            <w:hideMark/>
                          </w:tcPr>
                          <w:p>
                            <w:pPr>
                              <w:rPr>
                                <w:color w:val="000000"/>
                                <w:sz w:val="22"/>
                                <w:szCs w:val="22"/>
                              </w:rPr>
                            </w:pPr>
                            <w:r>
                              <w:rPr>
                                <w:color w:val="000000"/>
                                <w:sz w:val="22"/>
                                <w:szCs w:val="22"/>
                              </w:rPr>
                              <w:t>Projektai, kuriuos numatoma finansuoti ir įgyvendinti pagal šią pažangos priemonę, turi atitikti:</w:t>
                              <w:br/>
                              <w:t>1) Regioninės pažangos priemonės Nr. Nr. 10-001-05-03-07 (RE) „Gerinti eismo saugą vietinės reikšmės keliuose ir gatvėse“ finansavimo gairių, patvirtintų Lietuvos Respublikos susisiekimo ministro 2023 m. sausio 30 d. įsakymu Nr. 3-37 „Dėl 2022–2030 metų plėtros programos valdytojos Lietuvos Respublikos susisiekimo ministerijos susisiekimo plėtros programos regioninės pažangos priemonės Nr. 10-001-05-03-07 (RE) „Gerinti eismo saugą vietinės reikšmės keliuose ir gatvėse“ finansavimo gairių patvirtinimo“, reikalavimus;</w:t>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trPr>
                          <w:trHeight w:val="276"/>
                        </w:trPr>
                        <w:tc>
                          <w:tcPr>
                            <w:tcW w:w="1418" w:type="dxa"/>
                            <w:tcBorders>
                              <w:top w:val="nil"/>
                              <w:left w:val="nil"/>
                              <w:bottom w:val="nil"/>
                              <w:right w:val="nil"/>
                            </w:tcBorders>
                            <w:shd w:val="clear" w:color="auto" w:fill="auto"/>
                            <w:noWrap/>
                            <w:vAlign w:val="bottom"/>
                            <w:hideMark/>
                          </w:tcPr>
                          <w:p>
                            <w:pPr>
                              <w:rPr>
                                <w:color w:val="000000"/>
                                <w:sz w:val="22"/>
                                <w:szCs w:val="22"/>
                              </w:rPr>
                            </w:pPr>
                          </w:p>
                        </w:tc>
                        <w:tc>
                          <w:tcPr>
                            <w:tcW w:w="893" w:type="dxa"/>
                            <w:tcBorders>
                              <w:top w:val="nil"/>
                              <w:left w:val="nil"/>
                              <w:bottom w:val="nil"/>
                              <w:right w:val="nil"/>
                            </w:tcBorders>
                            <w:shd w:val="clear" w:color="auto" w:fill="auto"/>
                            <w:noWrap/>
                            <w:hideMark/>
                          </w:tcPr>
                          <w:p>
                            <w:pPr>
                              <w:rPr>
                                <w:sz w:val="20"/>
                              </w:rPr>
                            </w:pPr>
                          </w:p>
                        </w:tc>
                        <w:tc>
                          <w:tcPr>
                            <w:tcW w:w="1274" w:type="dxa"/>
                            <w:tcBorders>
                              <w:top w:val="nil"/>
                              <w:left w:val="nil"/>
                              <w:bottom w:val="nil"/>
                              <w:right w:val="nil"/>
                            </w:tcBorders>
                            <w:shd w:val="clear" w:color="auto" w:fill="auto"/>
                            <w:noWrap/>
                            <w:hideMark/>
                          </w:tcPr>
                          <w:p>
                            <w:pPr>
                              <w:rPr>
                                <w:sz w:val="20"/>
                              </w:rPr>
                            </w:pPr>
                          </w:p>
                        </w:tc>
                        <w:tc>
                          <w:tcPr>
                            <w:tcW w:w="1436" w:type="dxa"/>
                            <w:tcBorders>
                              <w:top w:val="nil"/>
                              <w:left w:val="nil"/>
                              <w:bottom w:val="nil"/>
                              <w:right w:val="nil"/>
                            </w:tcBorders>
                            <w:shd w:val="clear" w:color="auto" w:fill="auto"/>
                            <w:noWrap/>
                            <w:hideMark/>
                          </w:tcPr>
                          <w:p>
                            <w:pPr>
                              <w:rPr>
                                <w:sz w:val="20"/>
                              </w:rPr>
                            </w:pPr>
                          </w:p>
                        </w:tc>
                        <w:tc>
                          <w:tcPr>
                            <w:tcW w:w="1075" w:type="dxa"/>
                            <w:tcBorders>
                              <w:top w:val="nil"/>
                              <w:left w:val="nil"/>
                              <w:bottom w:val="nil"/>
                              <w:right w:val="nil"/>
                            </w:tcBorders>
                            <w:shd w:val="clear" w:color="auto" w:fill="auto"/>
                            <w:noWrap/>
                            <w:hideMark/>
                          </w:tcPr>
                          <w:p>
                            <w:pPr>
                              <w:rPr>
                                <w:sz w:val="20"/>
                              </w:rPr>
                            </w:pPr>
                          </w:p>
                        </w:tc>
                        <w:tc>
                          <w:tcPr>
                            <w:tcW w:w="1070" w:type="dxa"/>
                            <w:tcBorders>
                              <w:top w:val="nil"/>
                              <w:left w:val="nil"/>
                              <w:bottom w:val="nil"/>
                              <w:right w:val="nil"/>
                            </w:tcBorders>
                            <w:shd w:val="clear" w:color="auto" w:fill="auto"/>
                            <w:noWrap/>
                            <w:hideMark/>
                          </w:tcPr>
                          <w:p>
                            <w:pPr>
                              <w:rPr>
                                <w:sz w:val="20"/>
                              </w:rPr>
                            </w:pPr>
                          </w:p>
                        </w:tc>
                        <w:tc>
                          <w:tcPr>
                            <w:tcW w:w="1057" w:type="dxa"/>
                            <w:tcBorders>
                              <w:top w:val="nil"/>
                              <w:left w:val="nil"/>
                              <w:bottom w:val="nil"/>
                              <w:right w:val="nil"/>
                            </w:tcBorders>
                            <w:shd w:val="clear" w:color="auto" w:fill="auto"/>
                            <w:noWrap/>
                            <w:hideMark/>
                          </w:tcPr>
                          <w:p>
                            <w:pPr>
                              <w:rPr>
                                <w:sz w:val="20"/>
                              </w:rPr>
                            </w:pPr>
                          </w:p>
                        </w:tc>
                        <w:tc>
                          <w:tcPr>
                            <w:tcW w:w="1134" w:type="dxa"/>
                            <w:tcBorders>
                              <w:top w:val="nil"/>
                              <w:left w:val="nil"/>
                              <w:bottom w:val="nil"/>
                              <w:right w:val="nil"/>
                            </w:tcBorders>
                            <w:shd w:val="clear" w:color="auto" w:fill="auto"/>
                            <w:hideMark/>
                          </w:tcPr>
                          <w:p>
                            <w:pPr>
                              <w:rPr>
                                <w:sz w:val="20"/>
                              </w:rPr>
                            </w:pPr>
                          </w:p>
                        </w:tc>
                        <w:tc>
                          <w:tcPr>
                            <w:tcW w:w="1417" w:type="dxa"/>
                            <w:tcBorders>
                              <w:top w:val="nil"/>
                              <w:left w:val="nil"/>
                              <w:bottom w:val="nil"/>
                              <w:right w:val="nil"/>
                            </w:tcBorders>
                            <w:shd w:val="clear" w:color="auto" w:fill="auto"/>
                            <w:hideMark/>
                          </w:tcPr>
                          <w:p>
                            <w:pPr>
                              <w:rPr>
                                <w:sz w:val="20"/>
                              </w:rPr>
                            </w:pPr>
                          </w:p>
                        </w:tc>
                        <w:tc>
                          <w:tcPr>
                            <w:tcW w:w="1418" w:type="dxa"/>
                            <w:tcBorders>
                              <w:top w:val="nil"/>
                              <w:left w:val="nil"/>
                              <w:bottom w:val="nil"/>
                              <w:right w:val="nil"/>
                            </w:tcBorders>
                            <w:shd w:val="clear" w:color="auto" w:fill="auto"/>
                            <w:hideMark/>
                          </w:tcPr>
                          <w:p>
                            <w:pPr>
                              <w:rPr>
                                <w:sz w:val="20"/>
                              </w:rPr>
                            </w:pPr>
                          </w:p>
                        </w:tc>
                        <w:tc>
                          <w:tcPr>
                            <w:tcW w:w="1701" w:type="dxa"/>
                            <w:tcBorders>
                              <w:top w:val="nil"/>
                              <w:left w:val="nil"/>
                              <w:bottom w:val="nil"/>
                              <w:right w:val="nil"/>
                            </w:tcBorders>
                            <w:shd w:val="clear" w:color="auto" w:fill="auto"/>
                            <w:hideMark/>
                          </w:tcPr>
                          <w:p>
                            <w:pPr>
                              <w:rPr>
                                <w:sz w:val="20"/>
                              </w:rPr>
                            </w:pPr>
                          </w:p>
                        </w:tc>
                        <w:tc>
                          <w:tcPr>
                            <w:tcW w:w="1276" w:type="dxa"/>
                            <w:tcBorders>
                              <w:top w:val="nil"/>
                              <w:left w:val="nil"/>
                              <w:bottom w:val="nil"/>
                              <w:right w:val="nil"/>
                            </w:tcBorders>
                            <w:shd w:val="clear" w:color="auto" w:fill="auto"/>
                            <w:hideMark/>
                          </w:tcPr>
                          <w:p>
                            <w:pPr>
                              <w:rPr>
                                <w:sz w:val="20"/>
                              </w:rPr>
                            </w:pPr>
                          </w:p>
                        </w:tc>
                        <w:tc>
                          <w:tcPr>
                            <w:tcW w:w="3118" w:type="dxa"/>
                            <w:tcBorders>
                              <w:top w:val="nil"/>
                              <w:left w:val="nil"/>
                              <w:bottom w:val="nil"/>
                              <w:right w:val="nil"/>
                            </w:tcBorders>
                            <w:shd w:val="clear" w:color="auto" w:fill="auto"/>
                            <w:hideMark/>
                          </w:tcPr>
                          <w:p>
                            <w:pPr>
                              <w:rPr>
                                <w:sz w:val="20"/>
                              </w:rPr>
                            </w:pPr>
                          </w:p>
                        </w:tc>
                        <w:tc>
                          <w:tcPr>
                            <w:tcW w:w="1276" w:type="dxa"/>
                            <w:tcBorders>
                              <w:top w:val="nil"/>
                              <w:left w:val="nil"/>
                              <w:bottom w:val="nil"/>
                              <w:right w:val="nil"/>
                            </w:tcBorders>
                            <w:shd w:val="clear" w:color="auto" w:fill="auto"/>
                            <w:hideMark/>
                          </w:tcPr>
                          <w:p>
                            <w:pPr>
                              <w:rPr>
                                <w:sz w:val="20"/>
                              </w:rPr>
                            </w:pPr>
                          </w:p>
                        </w:tc>
                        <w:tc>
                          <w:tcPr>
                            <w:tcW w:w="1159" w:type="dxa"/>
                            <w:tcBorders>
                              <w:top w:val="nil"/>
                              <w:left w:val="nil"/>
                              <w:bottom w:val="nil"/>
                              <w:right w:val="nil"/>
                            </w:tcBorders>
                            <w:shd w:val="clear" w:color="auto" w:fill="auto"/>
                            <w:hideMark/>
                          </w:tcPr>
                          <w:p>
                            <w:pPr>
                              <w:rPr>
                                <w:sz w:val="20"/>
                              </w:rPr>
                            </w:pPr>
                          </w:p>
                        </w:tc>
                        <w:tc>
                          <w:tcPr>
                            <w:tcW w:w="1252" w:type="dxa"/>
                            <w:tcBorders>
                              <w:top w:val="nil"/>
                              <w:left w:val="nil"/>
                              <w:bottom w:val="nil"/>
                              <w:right w:val="nil"/>
                            </w:tcBorders>
                            <w:shd w:val="clear" w:color="auto" w:fill="auto"/>
                            <w:hideMark/>
                          </w:tcPr>
                          <w:p>
                            <w:pPr>
                              <w:rPr>
                                <w:sz w:val="20"/>
                              </w:rPr>
                            </w:pPr>
                          </w:p>
                        </w:tc>
                      </w:tr>
                      <w:tr>
                        <w:trPr>
                          <w:trHeight w:val="288"/>
                        </w:trPr>
                        <w:tc>
                          <w:tcPr>
                            <w:tcW w:w="1418" w:type="dxa"/>
                            <w:tcBorders>
                              <w:top w:val="nil"/>
                              <w:left w:val="nil"/>
                              <w:bottom w:val="nil"/>
                              <w:right w:val="nil"/>
                            </w:tcBorders>
                            <w:shd w:val="clear" w:color="auto" w:fill="auto"/>
                            <w:noWrap/>
                            <w:vAlign w:val="bottom"/>
                            <w:hideMark/>
                          </w:tcPr>
                          <w:p>
                            <w:pPr>
                              <w:rPr>
                                <w:sz w:val="20"/>
                              </w:rPr>
                            </w:pPr>
                          </w:p>
                        </w:tc>
                        <w:tc>
                          <w:tcPr>
                            <w:tcW w:w="893" w:type="dxa"/>
                            <w:tcBorders>
                              <w:top w:val="nil"/>
                              <w:left w:val="nil"/>
                              <w:bottom w:val="nil"/>
                              <w:right w:val="nil"/>
                            </w:tcBorders>
                            <w:shd w:val="clear" w:color="auto" w:fill="auto"/>
                            <w:noWrap/>
                            <w:vAlign w:val="bottom"/>
                            <w:hideMark/>
                          </w:tcPr>
                          <w:p>
                            <w:pPr>
                              <w:rPr>
                                <w:sz w:val="20"/>
                              </w:rPr>
                            </w:pPr>
                          </w:p>
                        </w:tc>
                        <w:tc>
                          <w:tcPr>
                            <w:tcW w:w="1274" w:type="dxa"/>
                            <w:tcBorders>
                              <w:top w:val="nil"/>
                              <w:left w:val="nil"/>
                              <w:bottom w:val="nil"/>
                              <w:right w:val="nil"/>
                            </w:tcBorders>
                            <w:shd w:val="clear" w:color="auto" w:fill="auto"/>
                            <w:noWrap/>
                            <w:vAlign w:val="bottom"/>
                            <w:hideMark/>
                          </w:tcPr>
                          <w:p>
                            <w:pPr>
                              <w:rPr>
                                <w:sz w:val="20"/>
                              </w:rPr>
                            </w:pPr>
                          </w:p>
                        </w:tc>
                        <w:tc>
                          <w:tcPr>
                            <w:tcW w:w="1436" w:type="dxa"/>
                            <w:tcBorders>
                              <w:top w:val="nil"/>
                              <w:left w:val="nil"/>
                              <w:bottom w:val="nil"/>
                              <w:right w:val="nil"/>
                            </w:tcBorders>
                            <w:shd w:val="clear" w:color="auto" w:fill="auto"/>
                            <w:noWrap/>
                            <w:vAlign w:val="bottom"/>
                            <w:hideMark/>
                          </w:tcPr>
                          <w:p>
                            <w:pPr>
                              <w:rPr>
                                <w:sz w:val="20"/>
                              </w:rPr>
                            </w:pPr>
                          </w:p>
                        </w:tc>
                        <w:tc>
                          <w:tcPr>
                            <w:tcW w:w="1075" w:type="dxa"/>
                            <w:tcBorders>
                              <w:top w:val="nil"/>
                              <w:left w:val="nil"/>
                              <w:bottom w:val="nil"/>
                              <w:right w:val="nil"/>
                            </w:tcBorders>
                            <w:shd w:val="clear" w:color="auto" w:fill="auto"/>
                            <w:noWrap/>
                            <w:vAlign w:val="bottom"/>
                            <w:hideMark/>
                          </w:tcPr>
                          <w:p>
                            <w:pPr>
                              <w:rPr>
                                <w:sz w:val="20"/>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5021" w:type="dxa"/>
                            <w:gridSpan w:val="4"/>
                            <w:tcBorders>
                              <w:top w:val="nil"/>
                              <w:left w:val="nil"/>
                              <w:bottom w:val="nil"/>
                              <w:right w:val="nil"/>
                            </w:tcBorders>
                            <w:shd w:val="clear" w:color="auto" w:fill="auto"/>
                            <w:noWrap/>
                            <w:vAlign w:val="bottom"/>
                            <w:hideMark/>
                          </w:tcPr>
                          <w:p>
                            <w:pPr>
                              <w:rPr>
                                <w:b/>
                                <w:bCs/>
                                <w:color w:val="000000"/>
                                <w:sz w:val="22"/>
                                <w:szCs w:val="22"/>
                              </w:rPr>
                            </w:pPr>
                            <w:r>
                              <w:rPr>
                                <w:b/>
                                <w:bCs/>
                                <w:color w:val="000000"/>
                                <w:sz w:val="22"/>
                                <w:szCs w:val="22"/>
                              </w:rPr>
                              <w:t>10 lentelė. Kiti reikalavimai dėl pažangos priemonės įgyvendinimo</w:t>
                            </w:r>
                          </w:p>
                        </w:tc>
                        <w:tc>
                          <w:tcPr>
                            <w:tcW w:w="1075" w:type="dxa"/>
                            <w:tcBorders>
                              <w:top w:val="nil"/>
                              <w:left w:val="nil"/>
                              <w:bottom w:val="nil"/>
                              <w:right w:val="nil"/>
                            </w:tcBorders>
                            <w:shd w:val="clear" w:color="auto" w:fill="auto"/>
                            <w:noWrap/>
                            <w:vAlign w:val="bottom"/>
                            <w:hideMark/>
                          </w:tcPr>
                          <w:p>
                            <w:pPr>
                              <w:rPr>
                                <w:b/>
                                <w:bCs/>
                                <w:color w:val="000000"/>
                                <w:sz w:val="22"/>
                                <w:szCs w:val="22"/>
                              </w:rPr>
                            </w:pPr>
                          </w:p>
                        </w:tc>
                        <w:tc>
                          <w:tcPr>
                            <w:tcW w:w="1070" w:type="dxa"/>
                            <w:tcBorders>
                              <w:top w:val="nil"/>
                              <w:left w:val="nil"/>
                              <w:bottom w:val="nil"/>
                              <w:right w:val="nil"/>
                            </w:tcBorders>
                            <w:shd w:val="clear" w:color="auto" w:fill="auto"/>
                            <w:noWrap/>
                            <w:vAlign w:val="bottom"/>
                            <w:hideMark/>
                          </w:tcPr>
                          <w:p>
                            <w:pPr>
                              <w:rPr>
                                <w:sz w:val="20"/>
                              </w:rPr>
                            </w:pPr>
                          </w:p>
                        </w:tc>
                        <w:tc>
                          <w:tcPr>
                            <w:tcW w:w="1057" w:type="dxa"/>
                            <w:tcBorders>
                              <w:top w:val="nil"/>
                              <w:left w:val="nil"/>
                              <w:bottom w:val="nil"/>
                              <w:right w:val="nil"/>
                            </w:tcBorders>
                            <w:shd w:val="clear" w:color="auto" w:fill="auto"/>
                            <w:noWrap/>
                            <w:vAlign w:val="bottom"/>
                            <w:hideMark/>
                          </w:tcPr>
                          <w:p>
                            <w:pPr>
                              <w:rPr>
                                <w:sz w:val="20"/>
                              </w:rPr>
                            </w:pPr>
                          </w:p>
                        </w:tc>
                        <w:tc>
                          <w:tcPr>
                            <w:tcW w:w="1134" w:type="dxa"/>
                            <w:tcBorders>
                              <w:top w:val="nil"/>
                              <w:left w:val="nil"/>
                              <w:bottom w:val="nil"/>
                              <w:right w:val="nil"/>
                            </w:tcBorders>
                            <w:shd w:val="clear" w:color="auto" w:fill="auto"/>
                            <w:noWrap/>
                            <w:vAlign w:val="bottom"/>
                            <w:hideMark/>
                          </w:tcPr>
                          <w:p>
                            <w:pPr>
                              <w:rPr>
                                <w:sz w:val="20"/>
                              </w:rPr>
                            </w:pPr>
                          </w:p>
                        </w:tc>
                        <w:tc>
                          <w:tcPr>
                            <w:tcW w:w="1417" w:type="dxa"/>
                            <w:tcBorders>
                              <w:top w:val="nil"/>
                              <w:left w:val="nil"/>
                              <w:bottom w:val="nil"/>
                              <w:right w:val="nil"/>
                            </w:tcBorders>
                            <w:shd w:val="clear" w:color="auto" w:fill="auto"/>
                            <w:noWrap/>
                            <w:vAlign w:val="bottom"/>
                            <w:hideMark/>
                          </w:tcPr>
                          <w:p>
                            <w:pPr>
                              <w:jc w:val="right"/>
                              <w:rPr>
                                <w:sz w:val="20"/>
                              </w:rPr>
                            </w:pPr>
                          </w:p>
                        </w:tc>
                        <w:tc>
                          <w:tcPr>
                            <w:tcW w:w="1418" w:type="dxa"/>
                            <w:tcBorders>
                              <w:top w:val="nil"/>
                              <w:left w:val="nil"/>
                              <w:bottom w:val="nil"/>
                              <w:right w:val="nil"/>
                            </w:tcBorders>
                            <w:shd w:val="clear" w:color="auto" w:fill="auto"/>
                            <w:noWrap/>
                            <w:vAlign w:val="bottom"/>
                            <w:hideMark/>
                          </w:tcPr>
                          <w:p>
                            <w:pPr>
                              <w:jc w:val="right"/>
                              <w:rPr>
                                <w:sz w:val="20"/>
                              </w:rPr>
                            </w:pPr>
                          </w:p>
                        </w:tc>
                        <w:tc>
                          <w:tcPr>
                            <w:tcW w:w="1701"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jc w:val="right"/>
                              <w:rPr>
                                <w:sz w:val="20"/>
                              </w:rPr>
                            </w:pPr>
                          </w:p>
                        </w:tc>
                        <w:tc>
                          <w:tcPr>
                            <w:tcW w:w="3118" w:type="dxa"/>
                            <w:tcBorders>
                              <w:top w:val="nil"/>
                              <w:left w:val="nil"/>
                              <w:bottom w:val="nil"/>
                              <w:right w:val="nil"/>
                            </w:tcBorders>
                            <w:shd w:val="clear" w:color="auto" w:fill="auto"/>
                            <w:noWrap/>
                            <w:vAlign w:val="bottom"/>
                            <w:hideMark/>
                          </w:tcPr>
                          <w:p>
                            <w:pPr>
                              <w:jc w:val="right"/>
                              <w:rPr>
                                <w:sz w:val="20"/>
                              </w:rPr>
                            </w:pPr>
                          </w:p>
                        </w:tc>
                        <w:tc>
                          <w:tcPr>
                            <w:tcW w:w="1276" w:type="dxa"/>
                            <w:tcBorders>
                              <w:top w:val="nil"/>
                              <w:left w:val="nil"/>
                              <w:bottom w:val="nil"/>
                              <w:right w:val="nil"/>
                            </w:tcBorders>
                            <w:shd w:val="clear" w:color="auto" w:fill="auto"/>
                            <w:noWrap/>
                            <w:vAlign w:val="bottom"/>
                            <w:hideMark/>
                          </w:tcPr>
                          <w:p>
                            <w:pPr>
                              <w:rPr>
                                <w:sz w:val="20"/>
                              </w:rPr>
                            </w:pPr>
                          </w:p>
                        </w:tc>
                        <w:tc>
                          <w:tcPr>
                            <w:tcW w:w="1159" w:type="dxa"/>
                            <w:tcBorders>
                              <w:top w:val="nil"/>
                              <w:left w:val="nil"/>
                              <w:bottom w:val="nil"/>
                              <w:right w:val="nil"/>
                            </w:tcBorders>
                            <w:shd w:val="clear" w:color="auto" w:fill="auto"/>
                            <w:noWrap/>
                            <w:vAlign w:val="bottom"/>
                            <w:hideMark/>
                          </w:tcPr>
                          <w:p>
                            <w:pPr>
                              <w:jc w:val="center"/>
                              <w:rPr>
                                <w:sz w:val="20"/>
                              </w:rPr>
                            </w:pPr>
                          </w:p>
                        </w:tc>
                        <w:tc>
                          <w:tcPr>
                            <w:tcW w:w="1252" w:type="dxa"/>
                            <w:tcBorders>
                              <w:top w:val="nil"/>
                              <w:left w:val="nil"/>
                              <w:bottom w:val="nil"/>
                              <w:right w:val="nil"/>
                            </w:tcBorders>
                            <w:shd w:val="clear" w:color="auto" w:fill="auto"/>
                            <w:noWrap/>
                            <w:vAlign w:val="bottom"/>
                            <w:hideMark/>
                          </w:tcPr>
                          <w:p>
                            <w:pPr>
                              <w:rPr>
                                <w:sz w:val="20"/>
                              </w:rPr>
                            </w:pPr>
                          </w:p>
                        </w:tc>
                      </w:tr>
                      <w:tr>
                        <w:trPr>
                          <w:trHeight w:val="288"/>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Eil. Nr.</w:t>
                            </w:r>
                          </w:p>
                        </w:tc>
                        <w:tc>
                          <w:tcPr>
                            <w:tcW w:w="20556" w:type="dxa"/>
                            <w:gridSpan w:val="1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22"/>
                                <w:szCs w:val="22"/>
                              </w:rPr>
                            </w:pPr>
                            <w:r>
                              <w:rPr>
                                <w:b/>
                                <w:bCs/>
                                <w:color w:val="000000"/>
                                <w:sz w:val="22"/>
                                <w:szCs w:val="22"/>
                              </w:rPr>
                              <w:t>Reikalavimai</w:t>
                            </w:r>
                          </w:p>
                        </w:tc>
                      </w:tr>
                      <w:tr>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1</w:t>
                            </w:r>
                          </w:p>
                        </w:tc>
                        <w:tc>
                          <w:tcPr>
                            <w:tcW w:w="20556" w:type="dxa"/>
                            <w:gridSpan w:val="15"/>
                            <w:tcBorders>
                              <w:top w:val="single" w:sz="4" w:space="0" w:color="auto"/>
                              <w:left w:val="nil"/>
                              <w:bottom w:val="single" w:sz="4" w:space="0" w:color="auto"/>
                              <w:right w:val="single" w:sz="4" w:space="0" w:color="auto"/>
                            </w:tcBorders>
                            <w:shd w:val="clear" w:color="000000" w:fill="DBE5F1"/>
                            <w:noWrap/>
                            <w:vAlign w:val="bottom"/>
                            <w:hideMark/>
                          </w:tcPr>
                          <w:p>
                            <w:pPr>
                              <w:jc w:val="center"/>
                              <w:rPr>
                                <w:b/>
                                <w:bCs/>
                                <w:color w:val="000000"/>
                                <w:sz w:val="18"/>
                                <w:szCs w:val="18"/>
                              </w:rPr>
                            </w:pPr>
                            <w:r>
                              <w:rPr>
                                <w:b/>
                                <w:bCs/>
                                <w:color w:val="000000"/>
                                <w:sz w:val="18"/>
                                <w:szCs w:val="18"/>
                              </w:rPr>
                              <w:t>2</w:t>
                            </w:r>
                          </w:p>
                        </w:tc>
                      </w:tr>
                      <w:tr>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rPr>
                            </w:pPr>
                          </w:p>
                        </w:tc>
                        <w:tc>
                          <w:tcPr>
                            <w:tcW w:w="20556" w:type="dxa"/>
                            <w:gridSpan w:val="15"/>
                            <w:tcBorders>
                              <w:top w:val="single" w:sz="4" w:space="0" w:color="auto"/>
                              <w:left w:val="nil"/>
                              <w:bottom w:val="single" w:sz="4" w:space="0" w:color="auto"/>
                              <w:right w:val="single" w:sz="4" w:space="0" w:color="auto"/>
                            </w:tcBorders>
                            <w:shd w:val="clear" w:color="auto" w:fill="auto"/>
                            <w:noWrap/>
                            <w:hideMark/>
                          </w:tcPr>
                          <w:p>
                            <w:pPr>
                              <w:rPr>
                                <w:i/>
                                <w:iCs/>
                                <w:color w:val="000000"/>
                                <w:sz w:val="22"/>
                                <w:szCs w:val="22"/>
                              </w:rPr>
                            </w:pPr>
                            <w:r>
                              <w:rPr>
                                <w:i/>
                                <w:iCs/>
                                <w:color w:val="000000"/>
                                <w:sz w:val="22"/>
                                <w:szCs w:val="22"/>
                              </w:rPr>
                              <w:t>Nenustatomi</w:t>
                            </w:r>
                          </w:p>
                        </w:tc>
                      </w:tr>
                    </w:tbl>
                    <w:p>
                      <w:pPr>
                        <w:spacing w:line="276" w:lineRule="auto"/>
                        <w:rPr>
                          <w:szCs w:val="24"/>
                        </w:rPr>
                      </w:pPr>
                    </w:p>
                  </w:sdtContent>
                </w:sdt>
              </w:sdtContent>
            </w:sdt>
          </w:sdtContent>
        </w:sdt>
      </w:sdtContent>
    </w:sdt>
    <w:sectPr>
      <w:pgSz w:w="23811" w:h="16838" w:orient="landscape" w:code="8"/>
      <w:pgMar w:top="539" w:right="850" w:bottom="709" w:left="1276"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 w:id="2">
    <w:p>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color w:val="0563C1"/>
          <w:sz w:val="20"/>
          <w:u w:val="single"/>
        </w:rPr>
        <w:t>;</w:t>
      </w:r>
      <w:r>
        <w:rPr>
          <w:sz w:val="20"/>
        </w:rPr>
        <w:t xml:space="preserve"> </w:t>
      </w:r>
    </w:p>
  </w:footnote>
  <w:footnote w:id="3">
    <w:p>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pPr>
        <w:rPr>
          <w:sz w:val="20"/>
        </w:rPr>
      </w:pPr>
      <w:r>
        <w:rPr>
          <w:rFonts w:eastAsia="Calibri"/>
          <w:sz w:val="20"/>
          <w:vertAlign w:val="superscript"/>
        </w:rPr>
        <w:footnoteRef/>
      </w:r>
      <w:r>
        <w:rPr>
          <w:sz w:val="20"/>
        </w:rPr>
        <w:t xml:space="preserve"> Bendrojo plano tekstinės dalies 142 p.;</w:t>
      </w:r>
    </w:p>
  </w:footnote>
  <w:footnote w:id="6">
    <w:p>
      <w:pPr>
        <w:rPr>
          <w:sz w:val="20"/>
        </w:rPr>
      </w:pPr>
      <w:r>
        <w:rPr>
          <w:rFonts w:eastAsia="Calibri"/>
          <w:sz w:val="20"/>
          <w:vertAlign w:val="superscript"/>
        </w:rPr>
        <w:footnoteRef/>
      </w:r>
      <w:r>
        <w:rPr>
          <w:sz w:val="20"/>
        </w:rPr>
        <w:t xml:space="preserve"> Bendrojo plano tekstinės dalies 200 p.;</w:t>
      </w:r>
    </w:p>
  </w:footnote>
  <w:footnote w:id="7">
    <w:p>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pPr>
        <w:rPr>
          <w:sz w:val="20"/>
        </w:rPr>
      </w:pPr>
      <w:r>
        <w:rPr>
          <w:rFonts w:eastAsia="Calibri"/>
          <w:sz w:val="20"/>
          <w:vertAlign w:val="superscript"/>
        </w:rPr>
        <w:footnoteRef/>
      </w:r>
      <w:r>
        <w:rPr>
          <w:sz w:val="20"/>
        </w:rPr>
        <w:t xml:space="preserve"> Bendrojo plano tekstinės dalies 244-245 p.;</w:t>
      </w:r>
    </w:p>
  </w:footnote>
  <w:footnote w:id="10">
    <w:p>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pPr>
        <w:rPr>
          <w:sz w:val="20"/>
        </w:rPr>
      </w:pPr>
      <w:r>
        <w:rPr>
          <w:rFonts w:eastAsia="Calibri"/>
          <w:sz w:val="20"/>
          <w:vertAlign w:val="superscript"/>
        </w:rPr>
        <w:footnoteRef/>
      </w:r>
      <w:r>
        <w:rPr>
          <w:sz w:val="20"/>
        </w:rPr>
        <w:t xml:space="preserve"> Bendrojo plano tekstinės dalies 118 p.;</w:t>
      </w:r>
    </w:p>
  </w:footnote>
  <w:footnote w:id="12">
    <w:p>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pPr>
        <w:jc w:val="both"/>
        <w:rPr>
          <w:sz w:val="20"/>
        </w:rPr>
      </w:pPr>
      <w:r>
        <w:rPr>
          <w:rFonts w:eastAsia="Calibri"/>
          <w:sz w:val="20"/>
          <w:vertAlign w:val="superscript"/>
        </w:rPr>
        <w:footnoteRef/>
      </w:r>
      <w:r>
        <w:rPr>
          <w:sz w:val="20"/>
        </w:rPr>
        <w:t xml:space="preserve"> Bendrojo plano tekstinės dalies 141 p.;</w:t>
      </w:r>
    </w:p>
  </w:footnote>
  <w:footnote w:id="16">
    <w:p>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pPr>
        <w:rPr>
          <w:sz w:val="20"/>
        </w:rPr>
      </w:pPr>
      <w:r>
        <w:rPr>
          <w:rFonts w:eastAsia="Calibri"/>
          <w:sz w:val="20"/>
          <w:vertAlign w:val="superscript"/>
        </w:rPr>
        <w:footnoteRef/>
      </w:r>
      <w:r>
        <w:rPr>
          <w:sz w:val="20"/>
        </w:rPr>
        <w:t xml:space="preserve"> Bendrojo plano tekstinės dalies 538 p.;</w:t>
      </w:r>
    </w:p>
  </w:footnote>
  <w:footnote w:id="19">
    <w:p>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pPr>
        <w:rPr>
          <w:sz w:val="20"/>
        </w:rPr>
      </w:pPr>
      <w:r>
        <w:rPr>
          <w:sz w:val="20"/>
          <w:vertAlign w:val="superscript"/>
        </w:rPr>
        <w:footnoteRef/>
      </w:r>
      <w:r>
        <w:rPr>
          <w:sz w:val="20"/>
        </w:rPr>
        <w:t xml:space="preserve"> Šaltinis: Europos aplinkos agentūra, Air Quality Health Risk Assessments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pPr>
        <w:rPr>
          <w:sz w:val="20"/>
        </w:rPr>
      </w:pPr>
      <w:r>
        <w:rPr>
          <w:rFonts w:eastAsia="Calibri"/>
          <w:sz w:val="20"/>
          <w:vertAlign w:val="superscript"/>
        </w:rPr>
        <w:footnoteRef/>
      </w:r>
      <w:r>
        <w:rPr>
          <w:sz w:val="20"/>
        </w:rPr>
        <w:t xml:space="preserve"> Bendrojo plano tekstinės dalies 66.3 p.;</w:t>
      </w:r>
    </w:p>
  </w:footnote>
  <w:footnote w:id="24">
    <w:p>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color w:val="0563C1"/>
          <w:sz w:val="20"/>
          <w:u w:val="single"/>
        </w:rPr>
        <w:t>;</w:t>
      </w:r>
      <w:r>
        <w:rPr>
          <w:sz w:val="20"/>
        </w:rPr>
        <w:t xml:space="preserve"> </w:t>
      </w:r>
    </w:p>
  </w:footnote>
  <w:footnote w:id="27">
    <w:p>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r>
        <w:rPr>
          <w:color w:val="0563C1"/>
          <w:sz w:val="20"/>
          <w:u w:val="single"/>
        </w:rPr>
        <w:t>;</w:t>
      </w:r>
    </w:p>
  </w:footnote>
  <w:footnote w:id="28">
    <w:p>
      <w:pPr>
        <w:rPr>
          <w:sz w:val="20"/>
        </w:rPr>
      </w:pPr>
      <w:r>
        <w:rPr>
          <w:rFonts w:eastAsia="Calibri"/>
          <w:sz w:val="20"/>
          <w:vertAlign w:val="superscript"/>
        </w:rPr>
        <w:footnoteRef/>
      </w:r>
      <w:r>
        <w:rPr>
          <w:sz w:val="20"/>
        </w:rPr>
        <w:t xml:space="preserve"> Bendrojo plano tekstinės dalies 66.7 p.;</w:t>
      </w:r>
    </w:p>
  </w:footnote>
  <w:footnote w:id="29">
    <w:p>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pPr>
        <w:rPr>
          <w:sz w:val="20"/>
        </w:rPr>
      </w:pPr>
      <w:r>
        <w:rPr>
          <w:rFonts w:eastAsia="Calibri"/>
          <w:sz w:val="20"/>
          <w:vertAlign w:val="superscript"/>
        </w:rPr>
        <w:footnoteRef/>
      </w:r>
      <w:r>
        <w:rPr>
          <w:sz w:val="20"/>
        </w:rPr>
        <w:t xml:space="preserve"> Bendrojo plano tekstinės dalies 90 p.;</w:t>
      </w:r>
    </w:p>
  </w:footnote>
  <w:footnote w:id="32">
    <w:p>
      <w:pPr>
        <w:rPr>
          <w:sz w:val="20"/>
        </w:rPr>
      </w:pPr>
      <w:r>
        <w:rPr>
          <w:rFonts w:eastAsia="Calibri"/>
          <w:sz w:val="20"/>
          <w:vertAlign w:val="superscript"/>
        </w:rPr>
        <w:footnoteRef/>
      </w:r>
      <w:r>
        <w:rPr>
          <w:sz w:val="20"/>
        </w:rPr>
        <w:t xml:space="preserve"> Bendrojo plano tekstinės dalies 113 p.;</w:t>
      </w:r>
    </w:p>
  </w:footnote>
  <w:footnote w:id="33">
    <w:p>
      <w:pPr>
        <w:rPr>
          <w:sz w:val="20"/>
        </w:rPr>
      </w:pPr>
      <w:r>
        <w:rPr>
          <w:rFonts w:eastAsia="Calibri"/>
          <w:sz w:val="20"/>
          <w:vertAlign w:val="superscript"/>
        </w:rPr>
        <w:footnoteRef/>
      </w:r>
      <w:r>
        <w:rPr>
          <w:sz w:val="20"/>
        </w:rPr>
        <w:t xml:space="preserve"> Bendrojo plano tekstinės dalies 30.2 p.;</w:t>
      </w:r>
    </w:p>
  </w:footnote>
  <w:footnote w:id="34">
    <w:p>
      <w:pPr>
        <w:rPr>
          <w:sz w:val="20"/>
        </w:rPr>
      </w:pPr>
      <w:r>
        <w:rPr>
          <w:rFonts w:eastAsia="Calibri"/>
          <w:sz w:val="20"/>
          <w:vertAlign w:val="superscript"/>
        </w:rPr>
        <w:footnoteRef/>
      </w:r>
      <w:r>
        <w:rPr>
          <w:sz w:val="20"/>
        </w:rPr>
        <w:t xml:space="preserve"> Bendrojo plano tekstinės dalies 113 ir 118 p.;</w:t>
      </w:r>
    </w:p>
  </w:footnote>
  <w:footnote w:id="35">
    <w:p>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pPr>
        <w:rPr>
          <w:sz w:val="20"/>
        </w:rPr>
      </w:pPr>
      <w:r>
        <w:rPr>
          <w:rFonts w:eastAsia="Calibri"/>
          <w:sz w:val="20"/>
          <w:vertAlign w:val="superscript"/>
        </w:rPr>
        <w:footnoteRef/>
      </w:r>
      <w:r>
        <w:rPr>
          <w:sz w:val="20"/>
        </w:rPr>
        <w:t xml:space="preserve"> Bendrojo plano tekstinės dalies 56 p.;</w:t>
      </w:r>
    </w:p>
  </w:footnote>
  <w:footnote w:id="37">
    <w:p>
      <w:pPr>
        <w:rPr>
          <w:sz w:val="20"/>
        </w:rPr>
      </w:pPr>
      <w:r>
        <w:rPr>
          <w:rFonts w:eastAsia="Calibri"/>
          <w:sz w:val="20"/>
          <w:vertAlign w:val="superscript"/>
        </w:rPr>
        <w:footnoteRef/>
      </w:r>
      <w:r>
        <w:rPr>
          <w:sz w:val="20"/>
        </w:rPr>
        <w:t xml:space="preserve"> Bendrojo plano tekstinės dalies 547 p.;</w:t>
      </w:r>
    </w:p>
  </w:footnote>
  <w:footnote w:id="38">
    <w:p>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val="x-none" w:eastAsia="x-none"/>
      </w:rPr>
      <w:t>2</w:t>
    </w:r>
    <w:r>
      <w:rPr>
        <w:szCs w:val="24"/>
        <w:lang w:val="x-none" w:eastAsia="x-none"/>
      </w:rPr>
      <w:fldChar w:fldCharType="end"/>
    </w:r>
  </w:p>
  <w:p>
    <w:pPr>
      <w:tabs>
        <w:tab w:val="center" w:pos="4153"/>
        <w:tab w:val="right" w:pos="8306"/>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FBC6D8-4DD2-4604-883C-045AFF8D83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png"/>
  <Relationship Id="rId12" Type="http://schemas.openxmlformats.org/officeDocument/2006/relationships/image" Target="media/image3.png"/>
  <Relationship Id="rId13" Type="http://schemas.openxmlformats.org/officeDocument/2006/relationships/image" Target="media/image4.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40" Type="http://schemas.openxmlformats.org/officeDocument/2006/relationships/fontTable" Target="fontTable.xml"/>
  <Relationship Id="rId41" Type="http://schemas.openxmlformats.org/officeDocument/2006/relationships/theme" Target="theme/theme1.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6" ma:contentTypeDescription="Kurkite naują dokumentą." ma:contentTypeScope="" ma:versionID="5c48099608cde235bd94f39cdbecd569">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7ebfb1aba2c40e3673695e079a1ed8ff"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7df5bcb3fc7b4f27a6ff8ceac395225d" PartId="91ced035bf6e40b4a3ffab4d5189fb22"/>
  <Part Type="patvirtinta" Title="2022–2030 M. MARIJAMPOLĖS REGIONO PLĖTROS PLANAS" DocPartId="24cb73083d17404790716edac61b0f90" PartId="9ca664525a0b48138007d74b3c81805f">
    <Part Type="skyrius" Nr="1" Title="REGIONO PLĖTROS PLANO TERITORINĖ APRĖPTIS IR REGIONO ESAMOS SITUACIJOS ANALIZĖ" DocPartId="e63c7dce7a9a4ac7b07dbe6f835701f7" PartId="aa065c9490eb446dbb23ff1621c558a4">
      <Part Type="poskyris" Title="INFORMACIJOS ŠALTINIŲ, KURIAIS REMTASI ATLIEKANT ESAMOS SITUACIJOS ANALIZĘ, SĄRAŠAS" DocPartId="fb234a897e004fc0be67725e8ff7423b" PartId="c60fa14ccb1546b7b0c4cab77ea0736c">
        <Part Type="punktas" Nr="1" Abbr="1 p." DocPartId="1d0801feaa824c03b6adfeb236f50adc" PartId="357f91618e5047b783a263961731f89e"/>
        <Part Type="punktas" Nr="2" Abbr="2 p." DocPartId="f5d1426c838c43c7ab3dbaf576000890" PartId="552a934f3dbf4082978e0137b12ed7f5"/>
        <Part Type="punktas" Nr="3" Abbr="3 p." DocPartId="5a2c92012ac34e54b5df103c20be913d" PartId="d6716d110f454edba9200316526bddf9"/>
        <Part Type="punktas" Nr="4" Abbr="4 p." DocPartId="c50d0625fef04101b807dcd393e6ed84" PartId="b626a547c6054f0b9e4bbc562a234767"/>
        <Part Type="punktas" Nr="5" Abbr="5 p." DocPartId="37f3618349aa465f9956e3084fbfb56f" PartId="778c1c9aa1e947228a0e00f56a766b14"/>
        <Part Type="punktas" Nr="6" Abbr="6 p." DocPartId="85a583c7906a46c2addc478f0ee3f3f5" PartId="5e595c5e9e594fc6ab4d4d1e2fbd1569"/>
        <Part Type="punktas" Nr="7" Abbr="7 p." DocPartId="c0cad249e82c441a860f6201d27cfd50" PartId="7ca070d4bc084b9d820a65688c588cd0"/>
        <Part Type="punktas" Nr="8" Abbr="8 p." DocPartId="0b4be099471a4a3aa7d9785a2a3e9912" PartId="fdc3fe69f4fb4f4c8a5e8055f3c36b3f"/>
        <Part Type="punktas" Nr="9" Abbr="9 p." DocPartId="45212d66d50f4b6da512ec586e542c06" PartId="2e971987ed5a4cd7a85a866617d9bffc"/>
        <Part Type="punktas" Nr="10" Abbr="10 p." DocPartId="f87ea999bbe34e75a14b957d041f44d9" PartId="bbcea2b5c5714444a4623874367ef945"/>
        <Part Type="punktas" Nr="11" Abbr="11 p." DocPartId="031e26e4b6b34cdfb784501b72d3ff79" PartId="7e8add056b8744a4a61eb86d768d7d14"/>
        <Part Type="punktas" Nr="12" Abbr="12 p." DocPartId="ce39d69a2d8342de8934e1ed2650e80b" PartId="2e7b15ce923e4ac4a102b55606df28c4"/>
        <Part Type="punktas" Nr="13" Abbr="13 p." DocPartId="4d217d0430dc41db8d599df928ae8d5d" PartId="97eeb3f415214e2e8f57ec74ccabfd87"/>
        <Part Type="punktas" Nr="14" Abbr="14 p." DocPartId="46197b0630044607986785d5da23edd4" PartId="ee4b2a0406124f9eaee5a2834ea8eed9"/>
        <Part Type="punktas" Nr="15" Abbr="15 p." DocPartId="b30e760e60ae4fa0977329216e63cfc5" PartId="64f0e2cec8ba478f982c958890bb500e"/>
        <Part Type="punktas" Nr="16" Abbr="16 p." DocPartId="65eb713a0c2849cda8426e853c77e957" PartId="3df3d69cb40c4534a9a2e1e34bb349db"/>
        <Part Type="punktas" Nr="17" Abbr="17 p." DocPartId="f5d955804e3b44d6bf761cff8bc0b355" PartId="ac30d6c48a854b628cebd40f860c7942"/>
        <Part Type="punktas" Nr="18" Abbr="18 p." DocPartId="90c065c2af1c4790ac081c54ba4ea8e8" PartId="fb322198bc34464597000600d510aa8b"/>
        <Part Type="punktas" Nr="19" Abbr="19 p." DocPartId="992edafffbca40eaa7337c212a9967c9" PartId="a945e9f791334ce6bf63666a736c5dfd"/>
        <Part Type="punktas" Nr="20" Abbr="20 p." DocPartId="02da32351d014e1693d74b1afe33915a" PartId="e9b708208e8d4f3592ec17d9daaa6f2a"/>
      </Part>
    </Part>
  </Part>
</Parts>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5404BE45-C77D-48C9-B817-4920AD4F9C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8DCC89-45C8-4859-83BB-8087B2F5ABFE}">
  <ds:schemaRefs>
    <ds:schemaRef ds:uri="http://schemas.openxmlformats.org/officeDocument/2006/bibliography"/>
  </ds:schemaRefs>
</ds:datastoreItem>
</file>

<file path=customXml/itemProps5.xml><?xml version="1.0" encoding="utf-8"?>
<ds:datastoreItem xmlns:ds="http://schemas.openxmlformats.org/officeDocument/2006/customXml" ds:itemID="{2519931F-DA67-41DD-9963-B37F657CB3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16353</Words>
  <Characters>115783</Characters>
  <Application>Microsoft Office Word</Application>
  <DocSecurity>4</DocSecurity>
  <Lines>5034</Lines>
  <Paragraphs>1716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130420</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2023-06-26T06:56:00Z</dcterms:created>
  <dc:creator>Darbuotojas</dc:creator>
  <lastModifiedBy>adlibuser</lastModifiedBy>
  <lastPrinted>2023-06-09T22:06:00Z</lastPrinted>
  <dcterms:modified xsi:type="dcterms:W3CDTF">2023-06-26T06:56:00Z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