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6C10" w14:textId="4F24317C" w:rsidR="004613D4" w:rsidRDefault="00EC2F66" w:rsidP="004613D4">
      <w:pPr>
        <w:pStyle w:val="Betarp"/>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t xml:space="preserve">          </w:t>
      </w:r>
      <w:r w:rsidR="004613D4">
        <w:rPr>
          <w:rFonts w:ascii="Times New Roman" w:hAnsi="Times New Roman"/>
          <w:sz w:val="24"/>
          <w:szCs w:val="24"/>
        </w:rPr>
        <w:t xml:space="preserve">PATVIRTINTA </w:t>
      </w:r>
    </w:p>
    <w:p w14:paraId="68527BE0" w14:textId="38D8CBD7" w:rsidR="004613D4" w:rsidRDefault="004613D4" w:rsidP="004613D4">
      <w:pPr>
        <w:pStyle w:val="Betarp"/>
        <w:jc w:val="center"/>
        <w:rPr>
          <w:rFonts w:ascii="Times New Roman" w:hAnsi="Times New Roman"/>
          <w:sz w:val="24"/>
          <w:szCs w:val="24"/>
        </w:rPr>
      </w:pPr>
      <w:r>
        <w:rPr>
          <w:rFonts w:ascii="Times New Roman" w:hAnsi="Times New Roman"/>
          <w:sz w:val="24"/>
          <w:szCs w:val="24"/>
        </w:rPr>
        <w:t xml:space="preserve">                                                        </w:t>
      </w:r>
      <w:r w:rsidR="00EC2F66">
        <w:rPr>
          <w:rFonts w:ascii="Times New Roman" w:hAnsi="Times New Roman"/>
          <w:sz w:val="24"/>
          <w:szCs w:val="24"/>
        </w:rPr>
        <w:t xml:space="preserve">           </w:t>
      </w:r>
      <w:r>
        <w:rPr>
          <w:rFonts w:ascii="Times New Roman" w:hAnsi="Times New Roman"/>
          <w:sz w:val="24"/>
          <w:szCs w:val="24"/>
        </w:rPr>
        <w:t>Kelmės rajono savivaldybės tarybos</w:t>
      </w:r>
    </w:p>
    <w:p w14:paraId="2932E898" w14:textId="1DA346D8" w:rsidR="004613D4" w:rsidRDefault="004613D4" w:rsidP="00255A6B">
      <w:pPr>
        <w:pStyle w:val="Betarp"/>
        <w:jc w:val="center"/>
        <w:rPr>
          <w:rFonts w:ascii="Times New Roman" w:hAnsi="Times New Roman"/>
          <w:sz w:val="24"/>
          <w:szCs w:val="24"/>
        </w:rPr>
      </w:pPr>
      <w:r>
        <w:rPr>
          <w:rFonts w:ascii="Times New Roman" w:hAnsi="Times New Roman"/>
          <w:sz w:val="24"/>
          <w:szCs w:val="24"/>
        </w:rPr>
        <w:t xml:space="preserve">                                                            </w:t>
      </w:r>
      <w:r w:rsidR="00EC2F66">
        <w:rPr>
          <w:rFonts w:ascii="Times New Roman" w:hAnsi="Times New Roman"/>
          <w:sz w:val="24"/>
          <w:szCs w:val="24"/>
        </w:rPr>
        <w:t xml:space="preserve">                      </w:t>
      </w:r>
      <w:r>
        <w:rPr>
          <w:rFonts w:ascii="Times New Roman" w:hAnsi="Times New Roman"/>
          <w:sz w:val="24"/>
          <w:szCs w:val="24"/>
        </w:rPr>
        <w:t xml:space="preserve">2022 m. balandžio </w:t>
      </w:r>
      <w:r w:rsidR="00EC2F66">
        <w:rPr>
          <w:rFonts w:ascii="Times New Roman" w:hAnsi="Times New Roman"/>
          <w:sz w:val="24"/>
          <w:szCs w:val="24"/>
        </w:rPr>
        <w:t>28</w:t>
      </w:r>
      <w:r>
        <w:rPr>
          <w:rFonts w:ascii="Times New Roman" w:hAnsi="Times New Roman"/>
          <w:sz w:val="24"/>
          <w:szCs w:val="24"/>
        </w:rPr>
        <w:t xml:space="preserve"> d. sprendimu Nr. T-</w:t>
      </w:r>
      <w:r w:rsidR="00EC2F66">
        <w:rPr>
          <w:rFonts w:ascii="Times New Roman" w:hAnsi="Times New Roman"/>
          <w:sz w:val="24"/>
          <w:szCs w:val="24"/>
        </w:rPr>
        <w:t>122</w:t>
      </w:r>
    </w:p>
    <w:p w14:paraId="0C84B201" w14:textId="77777777" w:rsidR="00255A6B" w:rsidRPr="00255A6B" w:rsidRDefault="00255A6B" w:rsidP="00255A6B">
      <w:pPr>
        <w:pStyle w:val="Betarp"/>
        <w:jc w:val="center"/>
        <w:rPr>
          <w:rFonts w:ascii="Times New Roman" w:hAnsi="Times New Roman"/>
          <w:sz w:val="24"/>
          <w:szCs w:val="24"/>
        </w:rPr>
      </w:pPr>
    </w:p>
    <w:p w14:paraId="069B5FCE" w14:textId="1FA6BAC0" w:rsidR="00255A6B" w:rsidRPr="00255A6B" w:rsidRDefault="00255A6B" w:rsidP="00255A6B">
      <w:pPr>
        <w:widowControl w:val="0"/>
        <w:shd w:val="clear" w:color="auto" w:fill="FFFFFF"/>
        <w:tabs>
          <w:tab w:val="left" w:pos="1134"/>
        </w:tabs>
        <w:spacing w:after="0"/>
        <w:ind w:right="6" w:firstLine="709"/>
        <w:jc w:val="both"/>
        <w:rPr>
          <w:rFonts w:ascii="Times New Roman" w:hAnsi="Times New Roman"/>
          <w:b/>
          <w:bCs/>
          <w:sz w:val="24"/>
          <w:szCs w:val="24"/>
          <w:lang w:val="lt-LT"/>
        </w:rPr>
      </w:pPr>
      <w:r w:rsidRPr="00255A6B">
        <w:rPr>
          <w:rFonts w:ascii="Times New Roman" w:hAnsi="Times New Roman"/>
          <w:b/>
          <w:bCs/>
          <w:sz w:val="24"/>
          <w:szCs w:val="24"/>
          <w:lang w:val="lt-LT"/>
        </w:rPr>
        <w:t>VIEŠOSIOS ĮSTAIGOS KELMĖS RAJONO BENDROSIOS PRAKTIKOS GYDYTOJŲ CENTRO 2022 METŲ SIEKTINŲ VEIKLOS RODIKLIŲ PROJEKT</w:t>
      </w:r>
      <w:r>
        <w:rPr>
          <w:rFonts w:ascii="Times New Roman" w:hAnsi="Times New Roman"/>
          <w:b/>
          <w:bCs/>
          <w:sz w:val="24"/>
          <w:szCs w:val="24"/>
          <w:lang w:val="lt-LT"/>
        </w:rPr>
        <w:t>AS</w:t>
      </w:r>
    </w:p>
    <w:p w14:paraId="3A55BF5F" w14:textId="77777777" w:rsidR="00255A6B" w:rsidRPr="004613D4" w:rsidRDefault="00255A6B" w:rsidP="00FE0470">
      <w:pPr>
        <w:jc w:val="center"/>
        <w:rPr>
          <w:rFonts w:ascii="Times New Roman" w:hAnsi="Times New Roman"/>
          <w:b/>
          <w:bCs/>
          <w:sz w:val="24"/>
          <w:szCs w:val="24"/>
        </w:rPr>
      </w:pPr>
    </w:p>
    <w:tbl>
      <w:tblPr>
        <w:tblW w:w="9639" w:type="dxa"/>
        <w:tblInd w:w="-5" w:type="dxa"/>
        <w:tblLook w:val="04A0" w:firstRow="1" w:lastRow="0" w:firstColumn="1" w:lastColumn="0" w:noHBand="0" w:noVBand="1"/>
      </w:tblPr>
      <w:tblGrid>
        <w:gridCol w:w="570"/>
        <w:gridCol w:w="4398"/>
        <w:gridCol w:w="4671"/>
      </w:tblGrid>
      <w:tr w:rsidR="00CB639B" w14:paraId="2B2DCDF4" w14:textId="77777777" w:rsidTr="00CB639B">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0EBE11CD"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Eil. Nr.</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CBDA3E4" w14:textId="3DDC4E19"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Veiklos rezultatų vertinimo rodikliai </w:t>
            </w:r>
          </w:p>
        </w:tc>
        <w:tc>
          <w:tcPr>
            <w:tcW w:w="4673" w:type="dxa"/>
            <w:tcBorders>
              <w:top w:val="single" w:sz="4" w:space="0" w:color="auto"/>
              <w:left w:val="single" w:sz="4" w:space="0" w:color="auto"/>
              <w:bottom w:val="single" w:sz="4" w:space="0" w:color="auto"/>
              <w:right w:val="single" w:sz="4" w:space="0" w:color="auto"/>
            </w:tcBorders>
            <w:vAlign w:val="center"/>
            <w:hideMark/>
          </w:tcPr>
          <w:p w14:paraId="02452112"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Siektina reikšmė</w:t>
            </w:r>
          </w:p>
        </w:tc>
      </w:tr>
      <w:tr w:rsidR="00854638" w14:paraId="02172F18" w14:textId="77777777" w:rsidTr="00CB639B">
        <w:trPr>
          <w:trHeight w:val="581"/>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34A3D1B" w14:textId="23D9C712" w:rsidR="00854638" w:rsidRPr="0027357B" w:rsidRDefault="00854638" w:rsidP="00854638">
            <w:pPr>
              <w:pStyle w:val="Sraopastraipa"/>
              <w:suppressAutoHyphens w:val="0"/>
              <w:spacing w:after="0" w:line="240" w:lineRule="auto"/>
              <w:ind w:left="-75"/>
              <w:rPr>
                <w:rFonts w:ascii="Times New Roman" w:hAnsi="Times New Roman"/>
                <w:sz w:val="24"/>
                <w:szCs w:val="24"/>
                <w:lang w:val="lt-LT"/>
              </w:rPr>
            </w:pPr>
            <w:r w:rsidRPr="0027357B">
              <w:rPr>
                <w:rFonts w:ascii="Times New Roman" w:hAnsi="Times New Roman"/>
                <w:b/>
                <w:sz w:val="24"/>
                <w:szCs w:val="24"/>
                <w:lang w:val="lt-LT"/>
              </w:rPr>
              <w:t>I. Veiklos finansinių rezultatų vertinimo rodikliai:</w:t>
            </w:r>
          </w:p>
        </w:tc>
      </w:tr>
      <w:tr w:rsidR="00CB639B" w14:paraId="7BB311C0" w14:textId="77777777" w:rsidTr="00CB639B">
        <w:trPr>
          <w:trHeight w:val="63"/>
        </w:trPr>
        <w:tc>
          <w:tcPr>
            <w:tcW w:w="567" w:type="dxa"/>
            <w:tcBorders>
              <w:top w:val="single" w:sz="4" w:space="0" w:color="auto"/>
              <w:left w:val="single" w:sz="4" w:space="0" w:color="auto"/>
              <w:bottom w:val="single" w:sz="4" w:space="0" w:color="auto"/>
              <w:right w:val="single" w:sz="4" w:space="0" w:color="auto"/>
            </w:tcBorders>
            <w:vAlign w:val="center"/>
            <w:hideMark/>
          </w:tcPr>
          <w:p w14:paraId="1742DCF7"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1.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7B23A29A" w14:textId="0E24CEF3"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praėjusių metų veiklos rezultatų ataskaitoje nurodytas pajamų ir sąnaudų skirtumas (grynasis perviršis ar deficitas)</w:t>
            </w:r>
          </w:p>
        </w:tc>
        <w:tc>
          <w:tcPr>
            <w:tcW w:w="4673" w:type="dxa"/>
            <w:tcBorders>
              <w:top w:val="single" w:sz="4" w:space="0" w:color="auto"/>
              <w:left w:val="single" w:sz="4" w:space="0" w:color="auto"/>
              <w:bottom w:val="single" w:sz="4" w:space="0" w:color="auto"/>
              <w:right w:val="single" w:sz="4" w:space="0" w:color="auto"/>
            </w:tcBorders>
            <w:vAlign w:val="center"/>
          </w:tcPr>
          <w:p w14:paraId="2121FAF6" w14:textId="41A61507" w:rsidR="00CB639B" w:rsidRPr="0027357B" w:rsidRDefault="00CB639B" w:rsidP="002D1E4D">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rPr>
              <w:t>Būti nenuostolingai</w:t>
            </w:r>
          </w:p>
        </w:tc>
      </w:tr>
      <w:tr w:rsidR="00CB639B" w14:paraId="5024C2E2" w14:textId="77777777" w:rsidTr="00CB639B">
        <w:trPr>
          <w:trHeight w:val="112"/>
        </w:trPr>
        <w:tc>
          <w:tcPr>
            <w:tcW w:w="567" w:type="dxa"/>
            <w:tcBorders>
              <w:top w:val="single" w:sz="4" w:space="0" w:color="auto"/>
              <w:left w:val="single" w:sz="4" w:space="0" w:color="auto"/>
              <w:bottom w:val="single" w:sz="4" w:space="0" w:color="auto"/>
              <w:right w:val="single" w:sz="4" w:space="0" w:color="auto"/>
            </w:tcBorders>
            <w:vAlign w:val="center"/>
            <w:hideMark/>
          </w:tcPr>
          <w:p w14:paraId="1FBCF8CD"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2.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FA1824D" w14:textId="77777777"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darbo užmokesčiui dalis</w:t>
            </w:r>
          </w:p>
        </w:tc>
        <w:tc>
          <w:tcPr>
            <w:tcW w:w="4673" w:type="dxa"/>
            <w:tcBorders>
              <w:top w:val="single" w:sz="4" w:space="0" w:color="auto"/>
              <w:left w:val="single" w:sz="4" w:space="0" w:color="auto"/>
              <w:bottom w:val="single" w:sz="4" w:space="0" w:color="auto"/>
              <w:right w:val="single" w:sz="4" w:space="0" w:color="auto"/>
            </w:tcBorders>
            <w:vAlign w:val="center"/>
          </w:tcPr>
          <w:p w14:paraId="621095CB" w14:textId="313BDD2F" w:rsidR="00CB639B" w:rsidRPr="0027357B" w:rsidRDefault="00CB639B" w:rsidP="002D1E4D">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lang w:val="lt-LT"/>
              </w:rPr>
              <w:t>Ne mažiau kaip 80 proc. papildomų PSDF biudžeto lėšų paslaugoms apmokėti panaudojamos darbo užmokesčiui didinti.</w:t>
            </w:r>
          </w:p>
        </w:tc>
      </w:tr>
      <w:tr w:rsidR="00CB639B" w14:paraId="5E7308B2"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2D554AF8" w14:textId="77777777"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 xml:space="preserve">3.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3C29D107" w14:textId="77777777"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valdymo išlaidoms dalis</w:t>
            </w:r>
          </w:p>
        </w:tc>
        <w:tc>
          <w:tcPr>
            <w:tcW w:w="4673" w:type="dxa"/>
            <w:tcBorders>
              <w:top w:val="single" w:sz="4" w:space="0" w:color="auto"/>
              <w:left w:val="single" w:sz="4" w:space="0" w:color="auto"/>
              <w:bottom w:val="single" w:sz="4" w:space="0" w:color="auto"/>
              <w:right w:val="single" w:sz="4" w:space="0" w:color="auto"/>
            </w:tcBorders>
            <w:vAlign w:val="center"/>
          </w:tcPr>
          <w:p w14:paraId="2B44D794" w14:textId="483B3E5F"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daugiau kai 7,00 proc.</w:t>
            </w:r>
          </w:p>
        </w:tc>
      </w:tr>
      <w:tr w:rsidR="00CB639B" w14:paraId="60850007"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7E2177DE" w14:textId="77777777"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5006C5E" w14:textId="5DCFB752" w:rsidR="00CB639B" w:rsidRPr="0027357B" w:rsidRDefault="00CB639B" w:rsidP="00BA1E1D">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Įstaigos finansinių įsipareigojimų dalis nuo metinio įstaigos biudžeto</w:t>
            </w:r>
          </w:p>
        </w:tc>
        <w:tc>
          <w:tcPr>
            <w:tcW w:w="4673" w:type="dxa"/>
            <w:tcBorders>
              <w:top w:val="single" w:sz="4" w:space="0" w:color="auto"/>
              <w:left w:val="single" w:sz="4" w:space="0" w:color="auto"/>
              <w:bottom w:val="single" w:sz="4" w:space="0" w:color="auto"/>
              <w:right w:val="single" w:sz="4" w:space="0" w:color="auto"/>
            </w:tcBorders>
            <w:vAlign w:val="center"/>
          </w:tcPr>
          <w:p w14:paraId="5C4A4191" w14:textId="16D68B81"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Įsipareigojimų koeficientas ne didesnis kaip 0,1</w:t>
            </w:r>
          </w:p>
        </w:tc>
      </w:tr>
      <w:tr w:rsidR="00CB639B" w14:paraId="7BFC7747"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6A8E56B1" w14:textId="765EF060"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5.</w:t>
            </w:r>
          </w:p>
        </w:tc>
        <w:tc>
          <w:tcPr>
            <w:tcW w:w="4399" w:type="dxa"/>
            <w:tcBorders>
              <w:top w:val="single" w:sz="4" w:space="0" w:color="auto"/>
              <w:left w:val="single" w:sz="4" w:space="0" w:color="auto"/>
              <w:bottom w:val="single" w:sz="4" w:space="0" w:color="auto"/>
              <w:right w:val="single" w:sz="4" w:space="0" w:color="auto"/>
            </w:tcBorders>
            <w:vAlign w:val="center"/>
          </w:tcPr>
          <w:p w14:paraId="71A0C374" w14:textId="3FC138D5" w:rsidR="00CB639B" w:rsidRPr="0027357B" w:rsidRDefault="00CB639B" w:rsidP="00BA1E1D">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Papildomų finansavimo šaltinių pritraukimas</w:t>
            </w:r>
          </w:p>
        </w:tc>
        <w:tc>
          <w:tcPr>
            <w:tcW w:w="4673" w:type="dxa"/>
            <w:tcBorders>
              <w:top w:val="single" w:sz="4" w:space="0" w:color="auto"/>
              <w:left w:val="single" w:sz="4" w:space="0" w:color="auto"/>
              <w:bottom w:val="single" w:sz="4" w:space="0" w:color="auto"/>
              <w:right w:val="single" w:sz="4" w:space="0" w:color="auto"/>
            </w:tcBorders>
            <w:vAlign w:val="center"/>
          </w:tcPr>
          <w:p w14:paraId="3F771C59" w14:textId="6BA981BF" w:rsidR="00CB639B" w:rsidRPr="0027357B" w:rsidRDefault="00CB639B" w:rsidP="00346315">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ASPĮ per pastaruosius 3 m. yra pasirašiusi bent vieną sutartį dėl dalyvavimo projekte, iš kurio gauna papildomą finansavimą</w:t>
            </w:r>
          </w:p>
        </w:tc>
      </w:tr>
      <w:tr w:rsidR="00CB639B" w14:paraId="7BA74D84" w14:textId="77777777" w:rsidTr="00CB639B">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695EF9F0" w14:textId="4C7A23F5"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II. Veiklos rezultatų vertinimo rodikliai:</w:t>
            </w:r>
          </w:p>
        </w:tc>
      </w:tr>
      <w:tr w:rsidR="00CB639B" w14:paraId="5CF1B089"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5C55BF48" w14:textId="4BD93690" w:rsidR="00CB639B" w:rsidRPr="0027357B" w:rsidRDefault="00CB639B" w:rsidP="00BA1E1D">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0981096" w14:textId="1B4E1A4C"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 xml:space="preserve">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 </w:t>
            </w:r>
          </w:p>
        </w:tc>
        <w:tc>
          <w:tcPr>
            <w:tcW w:w="4673" w:type="dxa"/>
            <w:tcBorders>
              <w:top w:val="single" w:sz="4" w:space="0" w:color="auto"/>
              <w:left w:val="single" w:sz="4" w:space="0" w:color="auto"/>
              <w:bottom w:val="single" w:sz="4" w:space="0" w:color="auto"/>
              <w:right w:val="single" w:sz="4" w:space="0" w:color="auto"/>
            </w:tcBorders>
            <w:vAlign w:val="center"/>
          </w:tcPr>
          <w:p w14:paraId="44C125C1" w14:textId="6E2DC3E0"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Pacientų pasitenkinimo ASPĮ teikiamomis asmens sveikatos priežiūros paslaugomis lygis ne mažiau kaip 0,8 balo</w:t>
            </w:r>
          </w:p>
        </w:tc>
      </w:tr>
      <w:tr w:rsidR="00CB639B" w14:paraId="71A838EA"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3F0E4D1D" w14:textId="5B146699"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2.</w:t>
            </w:r>
          </w:p>
        </w:tc>
        <w:tc>
          <w:tcPr>
            <w:tcW w:w="4399" w:type="dxa"/>
            <w:tcBorders>
              <w:top w:val="single" w:sz="4" w:space="0" w:color="auto"/>
              <w:left w:val="single" w:sz="4" w:space="0" w:color="auto"/>
              <w:bottom w:val="single" w:sz="4" w:space="0" w:color="auto"/>
              <w:right w:val="single" w:sz="4" w:space="0" w:color="auto"/>
            </w:tcBorders>
            <w:vAlign w:val="center"/>
          </w:tcPr>
          <w:p w14:paraId="22B1271B" w14:textId="5A7A65B5"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pacientų skundų dėl įstaigoje suteiktų asmens sveikatos priežiūros paslaugų skaičius per metus ir pagrįstų skundų dalis.</w:t>
            </w:r>
          </w:p>
        </w:tc>
        <w:tc>
          <w:tcPr>
            <w:tcW w:w="4673" w:type="dxa"/>
            <w:tcBorders>
              <w:top w:val="single" w:sz="4" w:space="0" w:color="auto"/>
              <w:left w:val="single" w:sz="4" w:space="0" w:color="auto"/>
              <w:bottom w:val="single" w:sz="4" w:space="0" w:color="auto"/>
              <w:right w:val="single" w:sz="4" w:space="0" w:color="auto"/>
            </w:tcBorders>
            <w:vAlign w:val="center"/>
          </w:tcPr>
          <w:p w14:paraId="0135FAEC" w14:textId="75F7DF60"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CB639B" w14:paraId="3ED82C91"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5D9C6F8A" w14:textId="03350485"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3.</w:t>
            </w:r>
          </w:p>
        </w:tc>
        <w:tc>
          <w:tcPr>
            <w:tcW w:w="4399" w:type="dxa"/>
            <w:tcBorders>
              <w:top w:val="single" w:sz="4" w:space="0" w:color="auto"/>
              <w:left w:val="single" w:sz="4" w:space="0" w:color="auto"/>
              <w:bottom w:val="single" w:sz="4" w:space="0" w:color="auto"/>
              <w:right w:val="single" w:sz="4" w:space="0" w:color="auto"/>
            </w:tcBorders>
            <w:vAlign w:val="center"/>
          </w:tcPr>
          <w:p w14:paraId="556FF366" w14:textId="23FB078F"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pagrįstų skundų dalis nuo visų įstaigoje suteiktų asmens sveikatos priežiūros paslaugų skaičiaus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42D969F8" w14:textId="02455828"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 -</w:t>
            </w:r>
          </w:p>
        </w:tc>
      </w:tr>
      <w:tr w:rsidR="00CB639B" w14:paraId="6637B43E"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69B3CA39" w14:textId="696EA5D5"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tcPr>
          <w:p w14:paraId="343B98FC" w14:textId="77777777"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 xml:space="preserve">Įstaigoje taikomos kovos su korupcija priemonės, numatytos sveikatos apsaugos ministro tvirtinamoje </w:t>
            </w:r>
            <w:r w:rsidRPr="0027357B">
              <w:rPr>
                <w:rFonts w:ascii="Times New Roman" w:hAnsi="Times New Roman"/>
                <w:b/>
                <w:bCs/>
                <w:iCs/>
                <w:sz w:val="24"/>
                <w:szCs w:val="24"/>
                <w:lang w:val="lt-LT"/>
              </w:rPr>
              <w:lastRenderedPageBreak/>
              <w:t>Sveikatos priežiūros srities korupcijos prevencijos programoje.</w:t>
            </w:r>
          </w:p>
          <w:p w14:paraId="3161C978" w14:textId="5B50578D" w:rsidR="00CB639B" w:rsidRPr="0027357B" w:rsidRDefault="00CB639B" w:rsidP="00BA1E1D">
            <w:pPr>
              <w:suppressAutoHyphens w:val="0"/>
              <w:spacing w:after="0" w:line="240" w:lineRule="auto"/>
              <w:jc w:val="both"/>
              <w:rPr>
                <w:rFonts w:ascii="Times New Roman" w:hAnsi="Times New Roman"/>
                <w:b/>
                <w:bCs/>
                <w:iCs/>
                <w:sz w:val="24"/>
                <w:szCs w:val="24"/>
                <w:lang w:val="lt-LT"/>
              </w:rPr>
            </w:pPr>
          </w:p>
        </w:tc>
        <w:tc>
          <w:tcPr>
            <w:tcW w:w="4673" w:type="dxa"/>
            <w:tcBorders>
              <w:top w:val="single" w:sz="4" w:space="0" w:color="auto"/>
              <w:left w:val="single" w:sz="4" w:space="0" w:color="auto"/>
              <w:bottom w:val="single" w:sz="4" w:space="0" w:color="auto"/>
              <w:right w:val="single" w:sz="4" w:space="0" w:color="auto"/>
            </w:tcBorders>
            <w:vAlign w:val="center"/>
          </w:tcPr>
          <w:p w14:paraId="0F7AD57E" w14:textId="513E368C"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lastRenderedPageBreak/>
              <w:t>Įstaiga įtraukta į Skaidrių asmens sveikatos priežiūros įstaigų sąrašą</w:t>
            </w:r>
          </w:p>
        </w:tc>
      </w:tr>
      <w:tr w:rsidR="00CB639B" w14:paraId="3347FEB3" w14:textId="77777777" w:rsidTr="00CB639B">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568B3F81" w14:textId="53892183"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 xml:space="preserve">5. </w:t>
            </w:r>
          </w:p>
        </w:tc>
        <w:tc>
          <w:tcPr>
            <w:tcW w:w="4399" w:type="dxa"/>
            <w:tcBorders>
              <w:top w:val="single" w:sz="4" w:space="0" w:color="auto"/>
              <w:left w:val="single" w:sz="4" w:space="0" w:color="auto"/>
              <w:bottom w:val="single" w:sz="4" w:space="0" w:color="auto"/>
              <w:right w:val="single" w:sz="4" w:space="0" w:color="auto"/>
            </w:tcBorders>
            <w:vAlign w:val="center"/>
          </w:tcPr>
          <w:p w14:paraId="37102170" w14:textId="790F029E"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4673" w:type="dxa"/>
            <w:tcBorders>
              <w:top w:val="single" w:sz="4" w:space="0" w:color="auto"/>
              <w:left w:val="single" w:sz="4" w:space="0" w:color="auto"/>
              <w:bottom w:val="single" w:sz="4" w:space="0" w:color="auto"/>
              <w:right w:val="single" w:sz="4" w:space="0" w:color="auto"/>
            </w:tcBorders>
            <w:vAlign w:val="bottom"/>
          </w:tcPr>
          <w:p w14:paraId="345F513A" w14:textId="6777CB88"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1. ASPĮ, išrašant e. receptus, vaistų sąveikų tikrinimo funkcionalumas naudoja pilna apimtimi</w:t>
            </w:r>
          </w:p>
          <w:p w14:paraId="66C3F6D1" w14:textId="0FD02AD8"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2 .ASPĮ yra IPR IS dalyvis.</w:t>
            </w:r>
          </w:p>
          <w:p w14:paraId="5738F9BD" w14:textId="77777777"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 xml:space="preserve">3. Ne mažiau kaip 98 proc. visų E063 išrašoma elektroninių būdu. </w:t>
            </w:r>
          </w:p>
          <w:p w14:paraId="00DF9CE9" w14:textId="364DFA6B"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4. Patvirtinta ASPĮ naudojamos informacinės sistemos infrastruktūros saugumo dokumentacija.</w:t>
            </w:r>
          </w:p>
        </w:tc>
      </w:tr>
      <w:tr w:rsidR="00CB639B" w14:paraId="5803351D"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06328548" w14:textId="4A6E1962" w:rsidR="00CB639B" w:rsidRPr="0027357B" w:rsidRDefault="00CB639B" w:rsidP="00BA1E1D">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 xml:space="preserve">6. </w:t>
            </w:r>
          </w:p>
        </w:tc>
        <w:tc>
          <w:tcPr>
            <w:tcW w:w="4399" w:type="dxa"/>
            <w:tcBorders>
              <w:top w:val="single" w:sz="4" w:space="0" w:color="auto"/>
              <w:left w:val="single" w:sz="4" w:space="0" w:color="auto"/>
              <w:bottom w:val="single" w:sz="4" w:space="0" w:color="auto"/>
              <w:right w:val="single" w:sz="4" w:space="0" w:color="auto"/>
            </w:tcBorders>
            <w:vAlign w:val="center"/>
          </w:tcPr>
          <w:p w14:paraId="5B2FBD06" w14:textId="0A402FB1"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Įstaigoje suteiktų asmens sveikatos priežiūros paslaugų skaičius per ketvirtį ir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51736CEA" w14:textId="4AEDF674"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CB639B" w14:paraId="347F8CD2"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0E197B3F" w14:textId="4D767A3F"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7.</w:t>
            </w:r>
          </w:p>
        </w:tc>
        <w:tc>
          <w:tcPr>
            <w:tcW w:w="4399" w:type="dxa"/>
            <w:tcBorders>
              <w:top w:val="single" w:sz="4" w:space="0" w:color="auto"/>
              <w:left w:val="single" w:sz="4" w:space="0" w:color="auto"/>
              <w:bottom w:val="single" w:sz="4" w:space="0" w:color="auto"/>
              <w:right w:val="single" w:sz="4" w:space="0" w:color="auto"/>
            </w:tcBorders>
            <w:vAlign w:val="center"/>
          </w:tcPr>
          <w:p w14:paraId="0299CDF9" w14:textId="46DC221C"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Vidutinis laikas nuo paciento kreipimosi į įstaigą dėl asmens sveikatos priežiūros paslaugos suteikimo momento iki paskirto paslaugos gavimo laiko pagal sveikatos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617F71C4" w14:textId="67A01141" w:rsidR="00CB639B" w:rsidRPr="0027357B" w:rsidRDefault="00CB639B" w:rsidP="002D1E4D">
            <w:pPr>
              <w:suppressAutoHyphens w:val="0"/>
              <w:spacing w:after="0" w:line="240" w:lineRule="auto"/>
              <w:jc w:val="center"/>
              <w:rPr>
                <w:rFonts w:ascii="Times New Roman" w:hAnsi="Times New Roman"/>
                <w:color w:val="FF0000"/>
                <w:sz w:val="24"/>
                <w:szCs w:val="24"/>
                <w:lang w:val="lt-LT"/>
              </w:rPr>
            </w:pPr>
            <w:r w:rsidRPr="0027357B">
              <w:rPr>
                <w:rFonts w:ascii="Times New Roman" w:hAnsi="Times New Roman"/>
                <w:sz w:val="24"/>
                <w:szCs w:val="24"/>
                <w:lang w:val="lt-LT"/>
              </w:rPr>
              <w:t>Nenustatoma</w:t>
            </w:r>
          </w:p>
        </w:tc>
      </w:tr>
      <w:tr w:rsidR="00CB639B" w14:paraId="18969C1E"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1C4A2E6E" w14:textId="6FEECA2D"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8.</w:t>
            </w:r>
          </w:p>
        </w:tc>
        <w:tc>
          <w:tcPr>
            <w:tcW w:w="4399" w:type="dxa"/>
            <w:tcBorders>
              <w:top w:val="single" w:sz="4" w:space="0" w:color="auto"/>
              <w:left w:val="single" w:sz="4" w:space="0" w:color="auto"/>
              <w:bottom w:val="single" w:sz="4" w:space="0" w:color="auto"/>
              <w:right w:val="single" w:sz="4" w:space="0" w:color="auto"/>
            </w:tcBorders>
            <w:vAlign w:val="center"/>
          </w:tcPr>
          <w:p w14:paraId="64E3F924" w14:textId="27F9CB98"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dirbančių darbuotojų ir etatų skaičius ir įstaigoje suteiktų asmens sveikatos priežiūros paslaugų skaičius per metus.</w:t>
            </w:r>
          </w:p>
        </w:tc>
        <w:tc>
          <w:tcPr>
            <w:tcW w:w="4673" w:type="dxa"/>
            <w:tcBorders>
              <w:top w:val="single" w:sz="4" w:space="0" w:color="auto"/>
              <w:left w:val="single" w:sz="4" w:space="0" w:color="auto"/>
              <w:bottom w:val="single" w:sz="4" w:space="0" w:color="auto"/>
              <w:right w:val="single" w:sz="4" w:space="0" w:color="auto"/>
            </w:tcBorders>
            <w:vAlign w:val="center"/>
          </w:tcPr>
          <w:p w14:paraId="18D9C959" w14:textId="7F5B643D" w:rsidR="00CB639B" w:rsidRPr="0027357B" w:rsidRDefault="00CB639B" w:rsidP="002D1E4D">
            <w:pPr>
              <w:suppressAutoHyphens w:val="0"/>
              <w:spacing w:after="0" w:line="240" w:lineRule="auto"/>
              <w:jc w:val="center"/>
              <w:rPr>
                <w:rFonts w:ascii="Times New Roman" w:hAnsi="Times New Roman"/>
                <w:b/>
                <w:bCs/>
                <w:color w:val="FF0000"/>
                <w:sz w:val="24"/>
                <w:szCs w:val="24"/>
                <w:lang w:val="lt-LT"/>
              </w:rPr>
            </w:pPr>
            <w:r w:rsidRPr="0027357B">
              <w:rPr>
                <w:rFonts w:ascii="Times New Roman" w:hAnsi="Times New Roman"/>
                <w:sz w:val="24"/>
                <w:szCs w:val="24"/>
                <w:lang w:val="lt-LT"/>
              </w:rPr>
              <w:t>Nenustatoma</w:t>
            </w:r>
          </w:p>
        </w:tc>
      </w:tr>
      <w:tr w:rsidR="00CB639B" w14:paraId="0CF57C10" w14:textId="77777777" w:rsidTr="00CB639B">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3CD68693" w14:textId="2ABB5E48" w:rsidR="00CB639B" w:rsidRPr="0027357B" w:rsidRDefault="00CB639B" w:rsidP="00B20330">
            <w:pPr>
              <w:suppressAutoHyphens w:val="0"/>
              <w:spacing w:after="0" w:line="240" w:lineRule="auto"/>
              <w:rPr>
                <w:rFonts w:ascii="Times New Roman" w:hAnsi="Times New Roman"/>
                <w:b/>
                <w:bCs/>
                <w:sz w:val="24"/>
                <w:szCs w:val="24"/>
                <w:lang w:val="lt-LT"/>
              </w:rPr>
            </w:pPr>
            <w:r w:rsidRPr="0027357B">
              <w:rPr>
                <w:rFonts w:ascii="Times New Roman" w:hAnsi="Times New Roman"/>
                <w:b/>
                <w:bCs/>
                <w:sz w:val="24"/>
                <w:szCs w:val="24"/>
                <w:lang w:val="lt-LT"/>
              </w:rPr>
              <w:t>III. Papildomi veiklos rezultatų vertinimo rodikliai:</w:t>
            </w:r>
          </w:p>
        </w:tc>
      </w:tr>
      <w:tr w:rsidR="00CB639B" w14:paraId="65C4315A"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40A5304E" w14:textId="735C6868"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tcPr>
          <w:p w14:paraId="1C3AE68C" w14:textId="33F599D9"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Kritinis likvidumo rodiklis</w:t>
            </w:r>
          </w:p>
        </w:tc>
        <w:tc>
          <w:tcPr>
            <w:tcW w:w="4673" w:type="dxa"/>
            <w:tcBorders>
              <w:top w:val="single" w:sz="4" w:space="0" w:color="auto"/>
              <w:left w:val="single" w:sz="4" w:space="0" w:color="auto"/>
              <w:bottom w:val="single" w:sz="4" w:space="0" w:color="auto"/>
              <w:right w:val="single" w:sz="4" w:space="0" w:color="auto"/>
            </w:tcBorders>
            <w:vAlign w:val="center"/>
          </w:tcPr>
          <w:p w14:paraId="1AAB43E8" w14:textId="2C892F50"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0,8</w:t>
            </w:r>
          </w:p>
        </w:tc>
      </w:tr>
      <w:tr w:rsidR="00CB639B" w14:paraId="6FC9E3B1"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32A63DC3" w14:textId="42F22CF2"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 xml:space="preserve">2. </w:t>
            </w:r>
          </w:p>
        </w:tc>
        <w:tc>
          <w:tcPr>
            <w:tcW w:w="4399" w:type="dxa"/>
            <w:tcBorders>
              <w:top w:val="single" w:sz="4" w:space="0" w:color="auto"/>
              <w:left w:val="single" w:sz="4" w:space="0" w:color="auto"/>
              <w:bottom w:val="single" w:sz="4" w:space="0" w:color="auto"/>
              <w:right w:val="single" w:sz="4" w:space="0" w:color="auto"/>
            </w:tcBorders>
            <w:vAlign w:val="center"/>
          </w:tcPr>
          <w:p w14:paraId="2E9C232E" w14:textId="0CF21ECB"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Konsoliduotų viešųjų pirkimų skaičius</w:t>
            </w:r>
          </w:p>
        </w:tc>
        <w:tc>
          <w:tcPr>
            <w:tcW w:w="4673" w:type="dxa"/>
            <w:tcBorders>
              <w:top w:val="single" w:sz="4" w:space="0" w:color="auto"/>
              <w:left w:val="single" w:sz="4" w:space="0" w:color="auto"/>
              <w:bottom w:val="single" w:sz="4" w:space="0" w:color="auto"/>
              <w:right w:val="single" w:sz="4" w:space="0" w:color="auto"/>
            </w:tcBorders>
            <w:vAlign w:val="center"/>
          </w:tcPr>
          <w:p w14:paraId="36FE5E2C" w14:textId="254A5A20"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1</w:t>
            </w:r>
          </w:p>
        </w:tc>
      </w:tr>
    </w:tbl>
    <w:p w14:paraId="05E35DEB" w14:textId="32E76E8D" w:rsidR="004753AC" w:rsidRDefault="00CB639B" w:rsidP="00CB639B">
      <w:pPr>
        <w:spacing w:after="0" w:line="360" w:lineRule="auto"/>
        <w:jc w:val="center"/>
        <w:rPr>
          <w:rFonts w:ascii="Times New Roman" w:hAnsi="Times New Roman"/>
          <w:sz w:val="24"/>
          <w:szCs w:val="24"/>
        </w:rPr>
      </w:pPr>
      <w:bookmarkStart w:id="1" w:name="_Hlk510772396"/>
      <w:r>
        <w:rPr>
          <w:rFonts w:ascii="Times New Roman" w:hAnsi="Times New Roman"/>
          <w:sz w:val="24"/>
          <w:szCs w:val="24"/>
        </w:rPr>
        <w:t>___________________________</w:t>
      </w:r>
    </w:p>
    <w:p w14:paraId="75CC2585" w14:textId="77777777" w:rsidR="004753AC" w:rsidRDefault="004753AC" w:rsidP="00F923B0">
      <w:pPr>
        <w:spacing w:after="0" w:line="360" w:lineRule="auto"/>
        <w:jc w:val="both"/>
        <w:rPr>
          <w:rFonts w:ascii="Times New Roman" w:hAnsi="Times New Roman"/>
          <w:sz w:val="24"/>
          <w:szCs w:val="24"/>
        </w:rPr>
      </w:pPr>
    </w:p>
    <w:p w14:paraId="7F081E22" w14:textId="77777777" w:rsidR="004753AC" w:rsidRDefault="004753AC" w:rsidP="00F923B0">
      <w:pPr>
        <w:spacing w:after="0" w:line="360" w:lineRule="auto"/>
        <w:jc w:val="both"/>
        <w:rPr>
          <w:rFonts w:ascii="Times New Roman" w:hAnsi="Times New Roman"/>
          <w:sz w:val="24"/>
          <w:szCs w:val="24"/>
        </w:rPr>
      </w:pPr>
    </w:p>
    <w:p w14:paraId="11EACA74" w14:textId="7B297AA4" w:rsidR="00874670" w:rsidRDefault="00874670" w:rsidP="00F923B0">
      <w:pPr>
        <w:spacing w:after="0" w:line="360" w:lineRule="auto"/>
        <w:jc w:val="both"/>
        <w:rPr>
          <w:rFonts w:ascii="Times New Roman" w:hAnsi="Times New Roman"/>
          <w:sz w:val="24"/>
          <w:szCs w:val="24"/>
        </w:rPr>
      </w:pPr>
    </w:p>
    <w:bookmarkEnd w:id="1"/>
    <w:p w14:paraId="0F9432F2" w14:textId="597E3B45" w:rsidR="00874670" w:rsidRDefault="00874670" w:rsidP="00F923B0">
      <w:pPr>
        <w:spacing w:after="0" w:line="360" w:lineRule="auto"/>
        <w:jc w:val="both"/>
        <w:rPr>
          <w:rFonts w:ascii="Times New Roman" w:hAnsi="Times New Roman"/>
          <w:sz w:val="24"/>
          <w:szCs w:val="24"/>
        </w:rPr>
      </w:pPr>
    </w:p>
    <w:sectPr w:rsidR="00874670" w:rsidSect="00F923B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2DD3" w14:textId="77777777" w:rsidR="00C10DF6" w:rsidRDefault="00C10DF6" w:rsidP="00F923B0">
      <w:pPr>
        <w:spacing w:after="0" w:line="240" w:lineRule="auto"/>
      </w:pPr>
      <w:r>
        <w:separator/>
      </w:r>
    </w:p>
  </w:endnote>
  <w:endnote w:type="continuationSeparator" w:id="0">
    <w:p w14:paraId="20BA3DFE" w14:textId="77777777" w:rsidR="00C10DF6" w:rsidRDefault="00C10DF6" w:rsidP="00F9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2779" w14:textId="77777777" w:rsidR="00C10DF6" w:rsidRDefault="00C10DF6" w:rsidP="00F923B0">
      <w:pPr>
        <w:spacing w:after="0" w:line="240" w:lineRule="auto"/>
      </w:pPr>
      <w:r>
        <w:separator/>
      </w:r>
    </w:p>
  </w:footnote>
  <w:footnote w:type="continuationSeparator" w:id="0">
    <w:p w14:paraId="63673D37" w14:textId="77777777" w:rsidR="00C10DF6" w:rsidRDefault="00C10DF6" w:rsidP="00F9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2C2C"/>
    <w:multiLevelType w:val="hybridMultilevel"/>
    <w:tmpl w:val="A97A28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A2F98"/>
    <w:multiLevelType w:val="hybridMultilevel"/>
    <w:tmpl w:val="382431C4"/>
    <w:lvl w:ilvl="0" w:tplc="66064A1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E454E8"/>
    <w:multiLevelType w:val="hybridMultilevel"/>
    <w:tmpl w:val="DDACAB84"/>
    <w:lvl w:ilvl="0" w:tplc="B1AA79F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04D5A6D"/>
    <w:multiLevelType w:val="hybridMultilevel"/>
    <w:tmpl w:val="123E1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9A2705"/>
    <w:multiLevelType w:val="hybridMultilevel"/>
    <w:tmpl w:val="89BA335A"/>
    <w:lvl w:ilvl="0" w:tplc="A472370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70"/>
    <w:rsid w:val="00032A3E"/>
    <w:rsid w:val="00042BCF"/>
    <w:rsid w:val="00095EA0"/>
    <w:rsid w:val="000A02EA"/>
    <w:rsid w:val="000B7652"/>
    <w:rsid w:val="000C079B"/>
    <w:rsid w:val="000E5FDE"/>
    <w:rsid w:val="000F1B51"/>
    <w:rsid w:val="0013061F"/>
    <w:rsid w:val="00131CBE"/>
    <w:rsid w:val="00137FED"/>
    <w:rsid w:val="00144B2A"/>
    <w:rsid w:val="00163D7C"/>
    <w:rsid w:val="0017066E"/>
    <w:rsid w:val="00187FE5"/>
    <w:rsid w:val="001A0C65"/>
    <w:rsid w:val="001C2A12"/>
    <w:rsid w:val="001E074E"/>
    <w:rsid w:val="001E58E6"/>
    <w:rsid w:val="001F143B"/>
    <w:rsid w:val="001F422A"/>
    <w:rsid w:val="001F608E"/>
    <w:rsid w:val="001F6E61"/>
    <w:rsid w:val="00207AD6"/>
    <w:rsid w:val="00225C92"/>
    <w:rsid w:val="002264CD"/>
    <w:rsid w:val="00255A6B"/>
    <w:rsid w:val="002601FB"/>
    <w:rsid w:val="00264488"/>
    <w:rsid w:val="0027357B"/>
    <w:rsid w:val="00292D35"/>
    <w:rsid w:val="002A566D"/>
    <w:rsid w:val="002C0054"/>
    <w:rsid w:val="002D06BF"/>
    <w:rsid w:val="002D1E4D"/>
    <w:rsid w:val="002D3FA3"/>
    <w:rsid w:val="002F147B"/>
    <w:rsid w:val="003148E4"/>
    <w:rsid w:val="00346315"/>
    <w:rsid w:val="003A2770"/>
    <w:rsid w:val="003A3B81"/>
    <w:rsid w:val="003A65B0"/>
    <w:rsid w:val="003B1BF1"/>
    <w:rsid w:val="003B38F5"/>
    <w:rsid w:val="003B4DB6"/>
    <w:rsid w:val="003C3275"/>
    <w:rsid w:val="003F421C"/>
    <w:rsid w:val="00415CB9"/>
    <w:rsid w:val="00421F2E"/>
    <w:rsid w:val="00424A31"/>
    <w:rsid w:val="00424ABF"/>
    <w:rsid w:val="004371E1"/>
    <w:rsid w:val="0045199C"/>
    <w:rsid w:val="0045292A"/>
    <w:rsid w:val="00454488"/>
    <w:rsid w:val="00456397"/>
    <w:rsid w:val="004571D4"/>
    <w:rsid w:val="004613D4"/>
    <w:rsid w:val="00475037"/>
    <w:rsid w:val="004753AC"/>
    <w:rsid w:val="004D042A"/>
    <w:rsid w:val="004F14AD"/>
    <w:rsid w:val="00501D1C"/>
    <w:rsid w:val="00553127"/>
    <w:rsid w:val="00553AF0"/>
    <w:rsid w:val="0058222E"/>
    <w:rsid w:val="005A0BB0"/>
    <w:rsid w:val="005A7346"/>
    <w:rsid w:val="005C38FE"/>
    <w:rsid w:val="005D7365"/>
    <w:rsid w:val="005D7F35"/>
    <w:rsid w:val="005E44EA"/>
    <w:rsid w:val="00635E6F"/>
    <w:rsid w:val="006466FD"/>
    <w:rsid w:val="00646EB4"/>
    <w:rsid w:val="0069656B"/>
    <w:rsid w:val="006B5452"/>
    <w:rsid w:val="006C65F4"/>
    <w:rsid w:val="006F138C"/>
    <w:rsid w:val="00703BD5"/>
    <w:rsid w:val="00710E08"/>
    <w:rsid w:val="0071273E"/>
    <w:rsid w:val="00717848"/>
    <w:rsid w:val="00740734"/>
    <w:rsid w:val="00750883"/>
    <w:rsid w:val="00755F18"/>
    <w:rsid w:val="00762717"/>
    <w:rsid w:val="00784E35"/>
    <w:rsid w:val="00787927"/>
    <w:rsid w:val="00793B41"/>
    <w:rsid w:val="007D59DB"/>
    <w:rsid w:val="007F42CB"/>
    <w:rsid w:val="00800FE0"/>
    <w:rsid w:val="008049F7"/>
    <w:rsid w:val="008122F7"/>
    <w:rsid w:val="00817D3C"/>
    <w:rsid w:val="00823E81"/>
    <w:rsid w:val="00851F19"/>
    <w:rsid w:val="008529B7"/>
    <w:rsid w:val="00854638"/>
    <w:rsid w:val="00857FB5"/>
    <w:rsid w:val="00874670"/>
    <w:rsid w:val="0088599B"/>
    <w:rsid w:val="008922F6"/>
    <w:rsid w:val="008B7F8C"/>
    <w:rsid w:val="008E6E05"/>
    <w:rsid w:val="008E6E24"/>
    <w:rsid w:val="00903051"/>
    <w:rsid w:val="009104A5"/>
    <w:rsid w:val="0091546C"/>
    <w:rsid w:val="009203CD"/>
    <w:rsid w:val="00922062"/>
    <w:rsid w:val="00943316"/>
    <w:rsid w:val="00954175"/>
    <w:rsid w:val="00955FD0"/>
    <w:rsid w:val="00970945"/>
    <w:rsid w:val="009859DC"/>
    <w:rsid w:val="009D53F9"/>
    <w:rsid w:val="00A313CF"/>
    <w:rsid w:val="00A411E8"/>
    <w:rsid w:val="00A4227D"/>
    <w:rsid w:val="00A87082"/>
    <w:rsid w:val="00A95F49"/>
    <w:rsid w:val="00AC5F34"/>
    <w:rsid w:val="00AD20AD"/>
    <w:rsid w:val="00AD4421"/>
    <w:rsid w:val="00B00DCE"/>
    <w:rsid w:val="00B07459"/>
    <w:rsid w:val="00B15814"/>
    <w:rsid w:val="00B20330"/>
    <w:rsid w:val="00B46199"/>
    <w:rsid w:val="00B524B9"/>
    <w:rsid w:val="00B670FF"/>
    <w:rsid w:val="00B70150"/>
    <w:rsid w:val="00B83166"/>
    <w:rsid w:val="00BA004A"/>
    <w:rsid w:val="00BE1831"/>
    <w:rsid w:val="00BF3F47"/>
    <w:rsid w:val="00BF5D44"/>
    <w:rsid w:val="00C051E5"/>
    <w:rsid w:val="00C10DF6"/>
    <w:rsid w:val="00C26FE3"/>
    <w:rsid w:val="00C3119B"/>
    <w:rsid w:val="00C4239F"/>
    <w:rsid w:val="00C45FBD"/>
    <w:rsid w:val="00C568AA"/>
    <w:rsid w:val="00C6551D"/>
    <w:rsid w:val="00C65791"/>
    <w:rsid w:val="00C80DD8"/>
    <w:rsid w:val="00C83652"/>
    <w:rsid w:val="00C9171D"/>
    <w:rsid w:val="00C95934"/>
    <w:rsid w:val="00CB639B"/>
    <w:rsid w:val="00CC6BBD"/>
    <w:rsid w:val="00CD01EE"/>
    <w:rsid w:val="00CD4D97"/>
    <w:rsid w:val="00CD6D6E"/>
    <w:rsid w:val="00CE0845"/>
    <w:rsid w:val="00CF553C"/>
    <w:rsid w:val="00D16EFE"/>
    <w:rsid w:val="00D230EE"/>
    <w:rsid w:val="00D34DE9"/>
    <w:rsid w:val="00D60F1F"/>
    <w:rsid w:val="00D85A98"/>
    <w:rsid w:val="00D92C71"/>
    <w:rsid w:val="00DA18A1"/>
    <w:rsid w:val="00DA3CAA"/>
    <w:rsid w:val="00DC3509"/>
    <w:rsid w:val="00DD14AD"/>
    <w:rsid w:val="00DF3DF6"/>
    <w:rsid w:val="00E14527"/>
    <w:rsid w:val="00E16773"/>
    <w:rsid w:val="00E17D36"/>
    <w:rsid w:val="00E26DF5"/>
    <w:rsid w:val="00E33082"/>
    <w:rsid w:val="00E46598"/>
    <w:rsid w:val="00E745A9"/>
    <w:rsid w:val="00E75592"/>
    <w:rsid w:val="00E86655"/>
    <w:rsid w:val="00E949B2"/>
    <w:rsid w:val="00EA11CF"/>
    <w:rsid w:val="00EC2F66"/>
    <w:rsid w:val="00F157D3"/>
    <w:rsid w:val="00F434A6"/>
    <w:rsid w:val="00F50CAD"/>
    <w:rsid w:val="00F61183"/>
    <w:rsid w:val="00F767E0"/>
    <w:rsid w:val="00F81969"/>
    <w:rsid w:val="00F85232"/>
    <w:rsid w:val="00F923B0"/>
    <w:rsid w:val="00F92EC9"/>
    <w:rsid w:val="00FB24B0"/>
    <w:rsid w:val="00FB2B01"/>
    <w:rsid w:val="00FB47BC"/>
    <w:rsid w:val="00FD21A2"/>
    <w:rsid w:val="00FD3726"/>
    <w:rsid w:val="00FD586F"/>
    <w:rsid w:val="00FE0470"/>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8FED"/>
  <w15:chartTrackingRefBased/>
  <w15:docId w15:val="{74B87232-2ECA-4973-9A8B-B40AFDCA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470"/>
    <w:pPr>
      <w:suppressAutoHyphens/>
      <w:autoSpaceDN w:val="0"/>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86655"/>
    <w:rPr>
      <w:sz w:val="16"/>
      <w:szCs w:val="16"/>
    </w:rPr>
  </w:style>
  <w:style w:type="paragraph" w:styleId="Komentarotekstas">
    <w:name w:val="annotation text"/>
    <w:basedOn w:val="prastasis"/>
    <w:link w:val="KomentarotekstasDiagrama"/>
    <w:uiPriority w:val="99"/>
    <w:semiHidden/>
    <w:unhideWhenUsed/>
    <w:rsid w:val="00E8665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655"/>
    <w:rPr>
      <w:rFonts w:ascii="Calibri" w:eastAsia="Times New Roman"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86655"/>
    <w:rPr>
      <w:b/>
      <w:bCs/>
    </w:rPr>
  </w:style>
  <w:style w:type="character" w:customStyle="1" w:styleId="KomentarotemaDiagrama">
    <w:name w:val="Komentaro tema Diagrama"/>
    <w:basedOn w:val="KomentarotekstasDiagrama"/>
    <w:link w:val="Komentarotema"/>
    <w:uiPriority w:val="99"/>
    <w:semiHidden/>
    <w:rsid w:val="00E86655"/>
    <w:rPr>
      <w:rFonts w:ascii="Calibri" w:eastAsia="Times New Roman" w:hAnsi="Calibri" w:cs="Times New Roman"/>
      <w:b/>
      <w:bCs/>
      <w:sz w:val="20"/>
      <w:szCs w:val="20"/>
    </w:rPr>
  </w:style>
  <w:style w:type="paragraph" w:styleId="Debesliotekstas">
    <w:name w:val="Balloon Text"/>
    <w:basedOn w:val="prastasis"/>
    <w:link w:val="DebesliotekstasDiagrama"/>
    <w:uiPriority w:val="99"/>
    <w:semiHidden/>
    <w:unhideWhenUsed/>
    <w:rsid w:val="00E866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6655"/>
    <w:rPr>
      <w:rFonts w:ascii="Segoe UI" w:eastAsia="Times New Roman" w:hAnsi="Segoe UI" w:cs="Segoe UI"/>
      <w:sz w:val="18"/>
      <w:szCs w:val="18"/>
    </w:rPr>
  </w:style>
  <w:style w:type="paragraph" w:styleId="Antrats">
    <w:name w:val="header"/>
    <w:basedOn w:val="prastasis"/>
    <w:link w:val="AntratsDiagrama"/>
    <w:uiPriority w:val="99"/>
    <w:unhideWhenUsed/>
    <w:rsid w:val="00F923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3B0"/>
    <w:rPr>
      <w:rFonts w:ascii="Calibri" w:eastAsia="Times New Roman" w:hAnsi="Calibri" w:cs="Times New Roman"/>
    </w:rPr>
  </w:style>
  <w:style w:type="paragraph" w:styleId="Porat">
    <w:name w:val="footer"/>
    <w:basedOn w:val="prastasis"/>
    <w:link w:val="PoratDiagrama"/>
    <w:uiPriority w:val="99"/>
    <w:unhideWhenUsed/>
    <w:rsid w:val="00F923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3B0"/>
    <w:rPr>
      <w:rFonts w:ascii="Calibri" w:eastAsia="Times New Roman" w:hAnsi="Calibri" w:cs="Times New Roman"/>
    </w:rPr>
  </w:style>
  <w:style w:type="paragraph" w:styleId="Sraopastraipa">
    <w:name w:val="List Paragraph"/>
    <w:basedOn w:val="prastasis"/>
    <w:uiPriority w:val="34"/>
    <w:qFormat/>
    <w:rsid w:val="00854638"/>
    <w:pPr>
      <w:ind w:left="720"/>
      <w:contextualSpacing/>
    </w:pPr>
  </w:style>
  <w:style w:type="paragraph" w:styleId="Betarp">
    <w:name w:val="No Spacing"/>
    <w:qFormat/>
    <w:rsid w:val="004613D4"/>
    <w:pPr>
      <w:suppressAutoHyphens/>
      <w:autoSpaceDN w:val="0"/>
      <w:spacing w:after="0" w:line="240" w:lineRule="auto"/>
      <w:textAlignment w:val="baseline"/>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3B6D-E7CD-4087-B2C8-22A6AFAC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2229</Words>
  <Characters>1272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Jurgita Janušauskienė</cp:lastModifiedBy>
  <cp:revision>3</cp:revision>
  <cp:lastPrinted>2020-04-06T06:56:00Z</cp:lastPrinted>
  <dcterms:created xsi:type="dcterms:W3CDTF">2022-03-31T18:56:00Z</dcterms:created>
  <dcterms:modified xsi:type="dcterms:W3CDTF">2022-04-27T11:21:00Z</dcterms:modified>
</cp:coreProperties>
</file>