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88f169dfdd92413589f731da8588e752"/>
        <w:lock w:val="sdtLocked"/>
        <w:richText/>
      </w:sdtPr>
      <w:sdtContent>
        <w:p w14:paraId="53337ADB" w14:textId="77777777">
          <w:pPr>
            <w:tabs>
              <w:tab w:val="center" w:pos="4819"/>
              <w:tab w:val="right" w:pos="9638"/>
            </w:tabs>
            <w:rPr>
              <w:sz w:val="22"/>
              <w:szCs w:val="22"/>
            </w:rPr>
          </w:pPr>
        </w:p>
        <w:p w14:paraId="6889E6B9" w14:textId="436995F1">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02E4DE65">
          <w:pPr>
            <w:ind w:left="10328" w:firstLine="729"/>
            <w:jc w:val="both"/>
            <w:rPr>
              <w:szCs w:val="24"/>
            </w:rPr>
          </w:pPr>
          <w:sdt>
            <w:sdtPr>
              <w:alias w:val="Numeris"/>
              <w:tag w:val="nr_88f169dfdd92413589f731da8588e752"/>
              <w:lock w:val="sdtLocked"/>
              <w:richText/>
            </w:sdtPr>
            <w:sdtContent>
              <w:r>
                <w:rPr>
                  <w:szCs w:val="24"/>
                </w:rPr>
                <w:t>8</w:t>
              </w:r>
            </w:sdtContent>
          </w:sdt>
          <w:r>
            <w:rPr>
              <w:szCs w:val="24"/>
            </w:rPr>
            <w:t xml:space="preserve"> priedas</w:t>
          </w:r>
        </w:p>
        <w:p w14:paraId="338EBB84" w14:textId="77777777">
          <w:pPr>
            <w:jc w:val="center"/>
            <w:rPr>
              <w:iCs/>
              <w:szCs w:val="24"/>
            </w:rPr>
          </w:pPr>
        </w:p>
        <w:p w14:paraId="05BC8003" w14:textId="60E2ED13">
          <w:pPr>
            <w:jc w:val="center"/>
            <w:rPr>
              <w:iCs/>
              <w:szCs w:val="24"/>
            </w:rPr>
          </w:pPr>
          <w:sdt>
            <w:sdtPr>
              <w:alias w:val="Pavadinimas"/>
              <w:tag w:val="title_88f169dfdd92413589f731da8588e752"/>
              <w:lock w:val="sdtLocked"/>
              <w:richText/>
            </w:sdt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8 </w:t>
              </w:r>
              <w:r>
                <w:rPr>
                  <w:b/>
                  <w:bCs/>
                  <w:color w:val="FF0000"/>
                  <w:szCs w:val="24"/>
                </w:rPr>
                <w:t xml:space="preserve">  </w:t>
              </w:r>
            </w:sdtContent>
          </w:sdt>
        </w:p>
        <w:p w14:paraId="2B87AA63" w14:textId="77777777">
          <w:pPr>
            <w:jc w:val="center"/>
            <w:rPr>
              <w:i/>
              <w:szCs w:val="24"/>
            </w:rPr>
          </w:pPr>
        </w:p>
        <w:p w14:paraId="42C289E5" w14:textId="60B21768">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1285"/>
            <w:gridCol w:w="1691"/>
            <w:gridCol w:w="1344"/>
            <w:gridCol w:w="1080"/>
            <w:gridCol w:w="1344"/>
            <w:gridCol w:w="1328"/>
            <w:gridCol w:w="1132"/>
            <w:gridCol w:w="1152"/>
          </w:tblGrid>
          <w:tr w14:paraId="410DEAB9" w14:textId="77777777">
            <w:tc>
              <w:tcPr>
                <w:tcW w:w="15020" w:type="dxa"/>
                <w:gridSpan w:val="12"/>
                <w:vAlign w:val="center"/>
              </w:tcPr>
              <w:p w14:paraId="3FA1E654" w14:textId="77777777">
                <w:pPr>
                  <w:jc w:val="center"/>
                  <w:rPr>
                    <w:b/>
                    <w:sz w:val="22"/>
                    <w:szCs w:val="22"/>
                  </w:rPr>
                </w:pPr>
                <w:r>
                  <w:rPr>
                    <w:b/>
                    <w:sz w:val="22"/>
                    <w:szCs w:val="22"/>
                  </w:rPr>
                  <w:t>VEIKLOS AR POVEIKLĖS, KURIOMS NUSTATOMOS PROJEKTŲ FINANSAVIMO SĄLYGOS</w:t>
                </w:r>
              </w:p>
            </w:tc>
          </w:tr>
          <w:tr w14:paraId="14A1599F" w14:textId="77777777">
            <w:tc>
              <w:tcPr>
                <w:tcW w:w="1271" w:type="dxa"/>
                <w:vAlign w:val="center"/>
              </w:tcPr>
              <w:p w14:paraId="4DF29C9D" w14:textId="77C8BB4F">
                <w:pPr>
                  <w:jc w:val="center"/>
                  <w:rPr>
                    <w:b/>
                    <w:sz w:val="20"/>
                    <w:szCs w:val="22"/>
                  </w:rPr>
                </w:pPr>
                <w:r>
                  <w:rPr>
                    <w:b/>
                    <w:sz w:val="20"/>
                    <w:szCs w:val="22"/>
                  </w:rPr>
                  <w:t>Veiklos ar poveiklės pavadini-mas</w:t>
                </w:r>
              </w:p>
            </w:tc>
            <w:tc>
              <w:tcPr>
                <w:tcW w:w="1023" w:type="dxa"/>
                <w:vAlign w:val="center"/>
              </w:tcPr>
              <w:p w14:paraId="6F6F11F7" w14:textId="77777777">
                <w:pPr>
                  <w:jc w:val="center"/>
                  <w:rPr>
                    <w:b/>
                    <w:sz w:val="20"/>
                    <w:szCs w:val="22"/>
                  </w:rPr>
                </w:pPr>
                <w:r>
                  <w:rPr>
                    <w:b/>
                    <w:sz w:val="20"/>
                    <w:szCs w:val="22"/>
                  </w:rPr>
                  <w:t>Finansa-vimo šaltinis</w:t>
                </w:r>
              </w:p>
            </w:tc>
            <w:tc>
              <w:tcPr>
                <w:tcW w:w="1236" w:type="dxa"/>
                <w:vAlign w:val="center"/>
              </w:tcPr>
              <w:p w14:paraId="13113641" w14:textId="77777777">
                <w:pPr>
                  <w:jc w:val="center"/>
                  <w:rPr>
                    <w:b/>
                    <w:sz w:val="20"/>
                    <w:szCs w:val="22"/>
                  </w:rPr>
                </w:pPr>
                <w:r>
                  <w:rPr>
                    <w:b/>
                    <w:bCs/>
                    <w:sz w:val="20"/>
                    <w:szCs w:val="22"/>
                  </w:rPr>
                  <w:t>Prioritetas ar komponen-tas</w:t>
                </w:r>
              </w:p>
            </w:tc>
            <w:tc>
              <w:tcPr>
                <w:tcW w:w="1134" w:type="dxa"/>
                <w:vAlign w:val="center"/>
              </w:tcPr>
              <w:p w14:paraId="165B2977" w14:textId="778759E5">
                <w:pPr>
                  <w:jc w:val="center"/>
                  <w:rPr>
                    <w:b/>
                    <w:sz w:val="20"/>
                    <w:szCs w:val="22"/>
                  </w:rPr>
                </w:pPr>
                <w:r>
                  <w:rPr>
                    <w:b/>
                    <w:bCs/>
                    <w:sz w:val="20"/>
                    <w:szCs w:val="22"/>
                  </w:rPr>
                  <w:t>Uždavi-nys ar priemonė</w:t>
                </w:r>
              </w:p>
            </w:tc>
            <w:tc>
              <w:tcPr>
                <w:tcW w:w="1285" w:type="dxa"/>
                <w:vAlign w:val="center"/>
              </w:tcPr>
              <w:p w14:paraId="42528981" w14:textId="77777777">
                <w:pPr>
                  <w:jc w:val="center"/>
                  <w:rPr>
                    <w:b/>
                    <w:sz w:val="20"/>
                    <w:szCs w:val="22"/>
                  </w:rPr>
                </w:pPr>
                <w:r>
                  <w:rPr>
                    <w:b/>
                    <w:bCs/>
                    <w:sz w:val="20"/>
                    <w:szCs w:val="22"/>
                  </w:rPr>
                  <w:t>Veikla ar poveiklė</w:t>
                </w:r>
              </w:p>
            </w:tc>
            <w:tc>
              <w:tcPr>
                <w:tcW w:w="1691" w:type="dxa"/>
                <w:vAlign w:val="center"/>
              </w:tcPr>
              <w:p w14:paraId="7371FA71" w14:textId="77777777">
                <w:pPr>
                  <w:jc w:val="center"/>
                  <w:rPr>
                    <w:b/>
                    <w:sz w:val="20"/>
                    <w:szCs w:val="22"/>
                  </w:rPr>
                </w:pPr>
                <w:r>
                  <w:rPr>
                    <w:b/>
                    <w:sz w:val="20"/>
                    <w:szCs w:val="22"/>
                  </w:rPr>
                  <w:t>Intervencinės priemonės kodas</w:t>
                </w:r>
              </w:p>
            </w:tc>
            <w:tc>
              <w:tcPr>
                <w:tcW w:w="1344" w:type="dxa"/>
                <w:vAlign w:val="center"/>
              </w:tcPr>
              <w:p w14:paraId="76A1C66C" w14:textId="77777777">
                <w:pPr>
                  <w:jc w:val="center"/>
                  <w:rPr>
                    <w:b/>
                    <w:bCs/>
                    <w:sz w:val="20"/>
                    <w:szCs w:val="22"/>
                  </w:rPr>
                </w:pPr>
                <w:r>
                  <w:rPr>
                    <w:b/>
                    <w:sz w:val="20"/>
                  </w:rPr>
                  <w:t>Regionas, kuriam priskiriama veikla ar poveiklė</w:t>
                </w:r>
              </w:p>
            </w:tc>
            <w:tc>
              <w:tcPr>
                <w:tcW w:w="1080" w:type="dxa"/>
                <w:vAlign w:val="center"/>
              </w:tcPr>
              <w:p w14:paraId="3746035D" w14:textId="77777777">
                <w:pPr>
                  <w:jc w:val="center"/>
                  <w:rPr>
                    <w:b/>
                    <w:sz w:val="20"/>
                    <w:szCs w:val="22"/>
                  </w:rPr>
                </w:pPr>
                <w:r>
                  <w:rPr>
                    <w:b/>
                    <w:bCs/>
                    <w:sz w:val="20"/>
                    <w:szCs w:val="22"/>
                  </w:rPr>
                  <w:t>Paramos formos kodas</w:t>
                </w:r>
              </w:p>
            </w:tc>
            <w:tc>
              <w:tcPr>
                <w:tcW w:w="1344" w:type="dxa"/>
                <w:vAlign w:val="center"/>
              </w:tcPr>
              <w:p w14:paraId="13FBD071" w14:textId="77777777">
                <w:pPr>
                  <w:jc w:val="center"/>
                  <w:rPr>
                    <w:b/>
                    <w:sz w:val="20"/>
                    <w:szCs w:val="22"/>
                  </w:rPr>
                </w:pPr>
                <w:r>
                  <w:rPr>
                    <w:b/>
                    <w:bCs/>
                    <w:sz w:val="20"/>
                    <w:szCs w:val="22"/>
                  </w:rPr>
                  <w:t>Pagrindinės teritorinės srities kodas (-ai)</w:t>
                </w:r>
              </w:p>
            </w:tc>
            <w:tc>
              <w:tcPr>
                <w:tcW w:w="1328" w:type="dxa"/>
                <w:vAlign w:val="center"/>
              </w:tcPr>
              <w:p w14:paraId="3E7847BB" w14:textId="77777777">
                <w:pPr>
                  <w:jc w:val="center"/>
                  <w:rPr>
                    <w:b/>
                    <w:sz w:val="20"/>
                    <w:szCs w:val="22"/>
                  </w:rPr>
                </w:pPr>
                <w:r>
                  <w:rPr>
                    <w:b/>
                    <w:bCs/>
                    <w:sz w:val="20"/>
                    <w:szCs w:val="22"/>
                  </w:rPr>
                  <w:t>Ekonominės veiklos kodas (-ai)</w:t>
                </w:r>
              </w:p>
            </w:tc>
            <w:tc>
              <w:tcPr>
                <w:tcW w:w="1132" w:type="dxa"/>
                <w:vAlign w:val="center"/>
              </w:tcPr>
              <w:p w14:paraId="2764B21E" w14:textId="77777777">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pPr>
                  <w:jc w:val="center"/>
                  <w:rPr>
                    <w:b/>
                    <w:bCs/>
                    <w:sz w:val="20"/>
                    <w:szCs w:val="22"/>
                  </w:rPr>
                </w:pPr>
                <w:r>
                  <w:rPr>
                    <w:b/>
                    <w:bCs/>
                    <w:sz w:val="20"/>
                    <w:szCs w:val="22"/>
                  </w:rPr>
                  <w:t>Lyčių lygybės matmens kodas</w:t>
                </w:r>
              </w:p>
            </w:tc>
          </w:tr>
          <w:tr w14:paraId="1E90D9DA" w14:textId="77777777">
            <w:trPr>
              <w:trHeight w:val="278"/>
            </w:trPr>
            <w:tc>
              <w:tcPr>
                <w:tcW w:w="1271" w:type="dxa"/>
                <w:tcMar>
                  <w:left w:w="28" w:type="dxa"/>
                  <w:right w:w="28" w:type="dxa"/>
                </w:tcMar>
              </w:tcPr>
              <w:p w14:paraId="0CF7F558" w14:textId="6350F226">
                <w:pPr>
                  <w:rPr>
                    <w:b/>
                    <w:i/>
                    <w:sz w:val="22"/>
                    <w:szCs w:val="22"/>
                  </w:rPr>
                </w:pPr>
                <w:r>
                  <w:rPr>
                    <w:b/>
                    <w:bCs/>
                    <w:i/>
                    <w:sz w:val="22"/>
                    <w:szCs w:val="22"/>
                  </w:rPr>
                  <w:t>Bandomojo pavėžėjimo paslaugų teikimo projekto įgyvendini-mas</w:t>
                </w:r>
              </w:p>
            </w:tc>
            <w:tc>
              <w:tcPr>
                <w:tcW w:w="1023" w:type="dxa"/>
                <w:tcMar>
                  <w:left w:w="28" w:type="dxa"/>
                  <w:right w:w="28" w:type="dxa"/>
                </w:tcMar>
              </w:tcPr>
              <w:p w14:paraId="7847C82B" w14:textId="3B1CCD35">
                <w:pPr>
                  <w:jc w:val="center"/>
                  <w:rPr>
                    <w:b/>
                    <w:i/>
                    <w:iCs/>
                    <w:sz w:val="22"/>
                    <w:szCs w:val="22"/>
                  </w:rPr>
                </w:pPr>
                <w:r>
                  <w:rPr>
                    <w:b/>
                    <w:i/>
                    <w:iCs/>
                    <w:sz w:val="22"/>
                    <w:szCs w:val="22"/>
                  </w:rPr>
                  <w:t>Lietuvos Respubli-kos valstybės biudžeto lėšos</w:t>
                </w:r>
              </w:p>
              <w:p w14:paraId="1F8BD683" w14:textId="43ED0E3B">
                <w:pPr>
                  <w:ind w:firstLine="57"/>
                  <w:jc w:val="center"/>
                  <w:rPr>
                    <w:b/>
                    <w:sz w:val="22"/>
                    <w:szCs w:val="22"/>
                  </w:rPr>
                </w:pPr>
              </w:p>
            </w:tc>
            <w:tc>
              <w:tcPr>
                <w:tcW w:w="1236" w:type="dxa"/>
                <w:tcMar>
                  <w:left w:w="28" w:type="dxa"/>
                  <w:right w:w="28" w:type="dxa"/>
                </w:tcMar>
              </w:tcPr>
              <w:p w14:paraId="52B11324" w14:textId="5316010C">
                <w:pPr>
                  <w:rPr>
                    <w:b/>
                    <w:bCs/>
                    <w:i/>
                    <w:sz w:val="22"/>
                    <w:szCs w:val="22"/>
                  </w:rPr>
                </w:pPr>
                <w:r>
                  <w:rPr>
                    <w:b/>
                    <w:bCs/>
                    <w:i/>
                    <w:iCs/>
                    <w:color w:val="000000"/>
                    <w:sz w:val="22"/>
                    <w:szCs w:val="22"/>
                  </w:rPr>
                  <w:t>Netaikoma</w:t>
                </w:r>
              </w:p>
            </w:tc>
            <w:tc>
              <w:tcPr>
                <w:tcW w:w="1134" w:type="dxa"/>
                <w:shd w:val="clear" w:color="auto" w:fill="auto"/>
                <w:tcMar>
                  <w:left w:w="28" w:type="dxa"/>
                  <w:right w:w="28" w:type="dxa"/>
                </w:tcMar>
              </w:tcPr>
              <w:p w14:paraId="6E3824B7" w14:textId="1D2EE336">
                <w:pPr>
                  <w:jc w:val="center"/>
                  <w:rPr>
                    <w:b/>
                    <w:bCs/>
                    <w:iCs/>
                    <w:color w:val="000000"/>
                    <w:sz w:val="22"/>
                    <w:szCs w:val="22"/>
                  </w:rPr>
                </w:pPr>
                <w:r>
                  <w:rPr>
                    <w:b/>
                    <w:bCs/>
                    <w:i/>
                    <w:color w:val="000000"/>
                    <w:sz w:val="22"/>
                    <w:szCs w:val="22"/>
                  </w:rPr>
                  <w:t>Netaikoma</w:t>
                </w:r>
              </w:p>
            </w:tc>
            <w:tc>
              <w:tcPr>
                <w:tcW w:w="1285" w:type="dxa"/>
                <w:shd w:val="clear" w:color="auto" w:fill="auto"/>
                <w:tcMar>
                  <w:left w:w="28" w:type="dxa"/>
                  <w:right w:w="28" w:type="dxa"/>
                </w:tcMar>
              </w:tcPr>
              <w:p w14:paraId="7AE57C1C" w14:textId="6BBD092C">
                <w:pPr>
                  <w:jc w:val="center"/>
                  <w:rPr>
                    <w:i/>
                    <w:color w:val="000000"/>
                    <w:sz w:val="22"/>
                    <w:szCs w:val="22"/>
                    <w:lang w:val="en-US"/>
                  </w:rPr>
                </w:pPr>
                <w:r>
                  <w:rPr>
                    <w:b/>
                    <w:bCs/>
                    <w:i/>
                    <w:color w:val="000000"/>
                    <w:sz w:val="22"/>
                    <w:szCs w:val="22"/>
                  </w:rPr>
                  <w:t>Netaikoma</w:t>
                </w:r>
              </w:p>
            </w:tc>
            <w:tc>
              <w:tcPr>
                <w:tcW w:w="1691" w:type="dxa"/>
                <w:tcMar>
                  <w:left w:w="28" w:type="dxa"/>
                  <w:right w:w="28" w:type="dxa"/>
                </w:tcMar>
              </w:tcPr>
              <w:p w14:paraId="50D73349" w14:textId="10E1CBA4">
                <w:pPr>
                  <w:jc w:val="center"/>
                  <w:rPr>
                    <w:bCs/>
                    <w:i/>
                    <w:sz w:val="22"/>
                    <w:szCs w:val="22"/>
                  </w:rPr>
                </w:pPr>
                <w:r>
                  <w:rPr>
                    <w:b/>
                    <w:bCs/>
                    <w:i/>
                    <w:color w:val="000000"/>
                    <w:sz w:val="22"/>
                    <w:szCs w:val="22"/>
                  </w:rPr>
                  <w:t>Netaikoma</w:t>
                </w:r>
                <w:r>
                  <w:rPr>
                    <w:b/>
                    <w:bCs/>
                    <w:i/>
                    <w:iCs/>
                    <w:sz w:val="22"/>
                    <w:szCs w:val="22"/>
                  </w:rPr>
                  <w:t xml:space="preserve"> </w:t>
                </w:r>
              </w:p>
            </w:tc>
            <w:tc>
              <w:tcPr>
                <w:tcW w:w="1344" w:type="dxa"/>
                <w:tcMar>
                  <w:left w:w="28" w:type="dxa"/>
                  <w:right w:w="28" w:type="dxa"/>
                </w:tcMar>
              </w:tcPr>
              <w:p w14:paraId="6AD74DC2" w14:textId="1F0FDAF8">
                <w:pPr>
                  <w:jc w:val="center"/>
                  <w:rPr>
                    <w:b/>
                    <w:bCs/>
                    <w:i/>
                    <w:sz w:val="22"/>
                    <w:szCs w:val="22"/>
                  </w:rPr>
                </w:pPr>
                <w:r>
                  <w:rPr>
                    <w:b/>
                    <w:bCs/>
                    <w:i/>
                    <w:sz w:val="22"/>
                    <w:szCs w:val="22"/>
                  </w:rPr>
                  <w:t>Netaikoma</w:t>
                </w:r>
              </w:p>
            </w:tc>
            <w:tc>
              <w:tcPr>
                <w:tcW w:w="1080" w:type="dxa"/>
                <w:tcMar>
                  <w:left w:w="28" w:type="dxa"/>
                  <w:right w:w="28" w:type="dxa"/>
                </w:tcMar>
              </w:tcPr>
              <w:p w14:paraId="60CF0E4D" w14:textId="414E19AF">
                <w:pPr>
                  <w:jc w:val="center"/>
                  <w:rPr>
                    <w:b/>
                    <w:i/>
                    <w:sz w:val="22"/>
                    <w:szCs w:val="22"/>
                  </w:rPr>
                </w:pPr>
                <w:r>
                  <w:rPr>
                    <w:b/>
                    <w:bCs/>
                    <w:i/>
                    <w:sz w:val="22"/>
                    <w:szCs w:val="22"/>
                  </w:rPr>
                  <w:t>Netaikoma</w:t>
                </w:r>
                <w:r>
                  <w:rPr>
                    <w:b/>
                    <w:bCs/>
                    <w:i/>
                    <w:strike/>
                    <w:sz w:val="22"/>
                    <w:szCs w:val="22"/>
                  </w:rPr>
                  <w:t xml:space="preserve"> </w:t>
                </w:r>
              </w:p>
            </w:tc>
            <w:tc>
              <w:tcPr>
                <w:tcW w:w="1344" w:type="dxa"/>
                <w:tcMar>
                  <w:left w:w="28" w:type="dxa"/>
                  <w:right w:w="28" w:type="dxa"/>
                </w:tcMar>
              </w:tcPr>
              <w:p w14:paraId="02647F83" w14:textId="57F41CA6">
                <w:pPr>
                  <w:jc w:val="center"/>
                  <w:rPr>
                    <w:b/>
                    <w:bCs/>
                    <w:sz w:val="22"/>
                    <w:szCs w:val="22"/>
                  </w:rPr>
                </w:pPr>
                <w:r>
                  <w:rPr>
                    <w:b/>
                    <w:bCs/>
                    <w:i/>
                    <w:sz w:val="22"/>
                    <w:szCs w:val="22"/>
                  </w:rPr>
                  <w:t>Netaikoma</w:t>
                </w:r>
              </w:p>
            </w:tc>
            <w:tc>
              <w:tcPr>
                <w:tcW w:w="1328" w:type="dxa"/>
                <w:tcMar>
                  <w:left w:w="28" w:type="dxa"/>
                  <w:right w:w="28" w:type="dxa"/>
                </w:tcMar>
              </w:tcPr>
              <w:p w14:paraId="647C6867" w14:textId="38BE37DE">
                <w:pPr>
                  <w:jc w:val="center"/>
                  <w:rPr>
                    <w:b/>
                    <w:bCs/>
                    <w:sz w:val="22"/>
                    <w:szCs w:val="22"/>
                  </w:rPr>
                </w:pPr>
                <w:r>
                  <w:rPr>
                    <w:b/>
                    <w:bCs/>
                    <w:i/>
                    <w:sz w:val="22"/>
                    <w:szCs w:val="22"/>
                  </w:rPr>
                  <w:t>Netaikoma</w:t>
                </w:r>
              </w:p>
            </w:tc>
            <w:tc>
              <w:tcPr>
                <w:tcW w:w="1132" w:type="dxa"/>
                <w:tcMar>
                  <w:left w:w="28" w:type="dxa"/>
                  <w:right w:w="28" w:type="dxa"/>
                </w:tcMar>
              </w:tcPr>
              <w:p w14:paraId="13BE30E2" w14:textId="019A0BC8">
                <w:pPr>
                  <w:jc w:val="center"/>
                  <w:rPr>
                    <w:i/>
                    <w:iCs/>
                    <w:sz w:val="22"/>
                    <w:szCs w:val="22"/>
                  </w:rPr>
                </w:pPr>
                <w:r>
                  <w:rPr>
                    <w:b/>
                    <w:bCs/>
                    <w:i/>
                    <w:sz w:val="22"/>
                    <w:szCs w:val="22"/>
                  </w:rPr>
                  <w:t>Netaikoma</w:t>
                </w:r>
              </w:p>
            </w:tc>
            <w:tc>
              <w:tcPr>
                <w:tcW w:w="1152" w:type="dxa"/>
                <w:tcMar>
                  <w:left w:w="28" w:type="dxa"/>
                  <w:right w:w="28" w:type="dxa"/>
                </w:tcMar>
              </w:tcPr>
              <w:p w14:paraId="02660314" w14:textId="66DFF3F0">
                <w:pPr>
                  <w:jc w:val="center"/>
                  <w:rPr>
                    <w:i/>
                    <w:iCs/>
                    <w:sz w:val="22"/>
                    <w:szCs w:val="22"/>
                  </w:rPr>
                </w:pPr>
                <w:r>
                  <w:rPr>
                    <w:b/>
                    <w:bCs/>
                    <w:i/>
                    <w:sz w:val="22"/>
                    <w:szCs w:val="22"/>
                  </w:rPr>
                  <w:t>Netaikoma</w:t>
                </w:r>
              </w:p>
            </w:tc>
          </w:tr>
        </w:tbl>
        <w:p w14:paraId="75A5427A" w14:textId="67F4BE0C">
          <w:pPr>
            <w:ind w:firstLine="567"/>
            <w:jc w:val="both"/>
            <w:rPr>
              <w:i/>
              <w:iCs/>
              <w:sz w:val="22"/>
              <w:szCs w:val="22"/>
            </w:rPr>
          </w:pPr>
        </w:p>
        <w:p w14:paraId="332BAF59" w14:textId="2DF2ACC5">
          <w:pPr>
            <w:ind w:firstLine="567"/>
            <w:jc w:val="both"/>
            <w:rPr>
              <w:i/>
              <w:iCs/>
              <w:sz w:val="22"/>
              <w:szCs w:val="22"/>
            </w:rPr>
          </w:pPr>
        </w:p>
        <w:p w14:paraId="51DAC753" w14:textId="511D991D">
          <w:pPr>
            <w:ind w:firstLine="567"/>
            <w:jc w:val="both"/>
            <w:rPr>
              <w:i/>
              <w:iCs/>
              <w:sz w:val="22"/>
              <w:szCs w:val="22"/>
            </w:rPr>
          </w:pPr>
        </w:p>
        <w:p w14:paraId="7787BED4" w14:textId="109B7A20">
          <w:pPr>
            <w:ind w:firstLine="567"/>
            <w:jc w:val="both"/>
            <w:rPr>
              <w:sz w:val="22"/>
              <w:szCs w:val="22"/>
            </w:rPr>
          </w:pPr>
        </w:p>
        <w:p w14:paraId="37A8E508" w14:textId="77777777">
          <w:pPr>
            <w:ind w:firstLine="567"/>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0CB8F97F" w14:textId="77777777">
            <w:trPr>
              <w:trHeight w:val="405"/>
            </w:trPr>
            <w:tc>
              <w:tcPr>
                <w:tcW w:w="3688" w:type="dxa"/>
                <w:shd w:val="clear" w:color="auto" w:fill="auto"/>
                <w:vAlign w:val="center"/>
              </w:tcPr>
              <w:p w14:paraId="161761D4" w14:textId="77777777">
                <w:pPr>
                  <w:jc w:val="center"/>
                  <w:rPr>
                    <w:szCs w:val="24"/>
                  </w:rPr>
                </w:pPr>
                <w:r>
                  <w:rPr>
                    <w:szCs w:val="24"/>
                  </w:rPr>
                  <w:t>Rodiklio pavadinimas</w:t>
                </w:r>
              </w:p>
            </w:tc>
            <w:tc>
              <w:tcPr>
                <w:tcW w:w="3688" w:type="dxa"/>
                <w:shd w:val="clear" w:color="auto" w:fill="auto"/>
                <w:vAlign w:val="center"/>
              </w:tcPr>
              <w:p w14:paraId="1A10B665" w14:textId="77777777">
                <w:pPr>
                  <w:jc w:val="center"/>
                  <w:rPr>
                    <w:szCs w:val="24"/>
                  </w:rPr>
                </w:pPr>
                <w:r>
                  <w:rPr>
                    <w:szCs w:val="24"/>
                  </w:rPr>
                  <w:t>Rodiklio kodas</w:t>
                </w:r>
              </w:p>
            </w:tc>
            <w:tc>
              <w:tcPr>
                <w:tcW w:w="3688" w:type="dxa"/>
                <w:shd w:val="clear" w:color="auto" w:fill="auto"/>
                <w:vAlign w:val="center"/>
              </w:tcPr>
              <w:p w14:paraId="0E31F2E6" w14:textId="77777777">
                <w:pPr>
                  <w:jc w:val="center"/>
                  <w:rPr>
                    <w:szCs w:val="24"/>
                  </w:rPr>
                </w:pPr>
                <w:r>
                  <w:rPr>
                    <w:szCs w:val="24"/>
                  </w:rPr>
                  <w:t>Matavimo vienetai</w:t>
                </w:r>
              </w:p>
            </w:tc>
            <w:tc>
              <w:tcPr>
                <w:tcW w:w="3688" w:type="dxa"/>
                <w:shd w:val="clear" w:color="auto" w:fill="auto"/>
                <w:vAlign w:val="center"/>
              </w:tcPr>
              <w:p w14:paraId="2D40097E" w14:textId="77777777">
                <w:pPr>
                  <w:jc w:val="center"/>
                  <w:rPr>
                    <w:szCs w:val="24"/>
                  </w:rPr>
                </w:pPr>
                <w:r>
                  <w:rPr>
                    <w:szCs w:val="24"/>
                  </w:rPr>
                  <w:t>Siektina reikšmė</w:t>
                </w:r>
              </w:p>
            </w:tc>
          </w:tr>
          <w:tr w14:paraId="2A8B6691" w14:textId="77777777">
            <w:trPr>
              <w:trHeight w:val="725"/>
            </w:trPr>
            <w:tc>
              <w:tcPr>
                <w:tcW w:w="3688" w:type="dxa"/>
              </w:tcPr>
              <w:p w14:paraId="028BA589" w14:textId="60A69122">
                <w:pPr>
                  <w:jc w:val="center"/>
                  <w:rPr>
                    <w:i/>
                    <w:iCs/>
                    <w:szCs w:val="24"/>
                  </w:rPr>
                </w:pPr>
                <w:r>
                  <w:rPr>
                    <w:i/>
                    <w:iCs/>
                    <w:szCs w:val="24"/>
                  </w:rPr>
                  <w:t>Suteiktų pavėžėjimo paslaugų skaičius pagal bandomąjį pavėžėjimo paslaugų teikimo modelį</w:t>
                  <w:tab/>
                </w:r>
              </w:p>
            </w:tc>
            <w:tc>
              <w:tcPr>
                <w:tcW w:w="3688" w:type="dxa"/>
              </w:tcPr>
              <w:p w14:paraId="46E37251" w14:textId="77777777">
                <w:pPr>
                  <w:jc w:val="center"/>
                  <w:rPr>
                    <w:szCs w:val="24"/>
                  </w:rPr>
                </w:pPr>
                <w:r>
                  <w:rPr>
                    <w:szCs w:val="24"/>
                  </w:rPr>
                  <w:t>R-11-002-02-11-01-62</w:t>
                </w:r>
              </w:p>
              <w:p w14:paraId="6AD8153E" w14:textId="77777777">
                <w:pPr>
                  <w:jc w:val="center"/>
                  <w:rPr>
                    <w:i/>
                    <w:iCs/>
                    <w:szCs w:val="24"/>
                  </w:rPr>
                </w:pPr>
              </w:p>
            </w:tc>
            <w:tc>
              <w:tcPr>
                <w:tcW w:w="3688" w:type="dxa"/>
              </w:tcPr>
              <w:p w14:paraId="7EB3D133" w14:textId="0EEA69D8">
                <w:pPr>
                  <w:jc w:val="center"/>
                  <w:rPr>
                    <w:i/>
                    <w:iCs/>
                    <w:szCs w:val="24"/>
                  </w:rPr>
                </w:pPr>
                <w:r>
                  <w:rPr>
                    <w:i/>
                    <w:iCs/>
                    <w:szCs w:val="24"/>
                    <w:lang w:eastAsia="lt-LT"/>
                  </w:rPr>
                  <w:t>Skaičius</w:t>
                </w:r>
              </w:p>
            </w:tc>
            <w:tc>
              <w:tcPr>
                <w:tcW w:w="3688" w:type="dxa"/>
              </w:tcPr>
              <w:p w14:paraId="2C4E980C" w14:textId="54247D0E">
                <w:pPr>
                  <w:jc w:val="center"/>
                  <w:rPr>
                    <w:szCs w:val="24"/>
                  </w:rPr>
                </w:pPr>
                <w:r>
                  <w:rPr>
                    <w:szCs w:val="24"/>
                  </w:rPr>
                  <w:t>40 000</w:t>
                </w:r>
              </w:p>
              <w:p w14:paraId="4653C218" w14:textId="0BEE2581">
                <w:pPr>
                  <w:jc w:val="center"/>
                  <w:rPr>
                    <w:color w:val="000000"/>
                    <w:szCs w:val="24"/>
                  </w:rPr>
                </w:pPr>
                <w:r>
                  <w:rPr>
                    <w:color w:val="000000"/>
                    <w:szCs w:val="24"/>
                  </w:rPr>
                  <w:t>(2024 m.)</w:t>
                </w:r>
              </w:p>
              <w:p w14:paraId="536D7E19" w14:textId="50CB8F8B">
                <w:pPr>
                  <w:jc w:val="center"/>
                  <w:rPr>
                    <w:szCs w:val="24"/>
                  </w:rPr>
                </w:pPr>
              </w:p>
            </w:tc>
          </w:tr>
        </w:tbl>
        <w:p w14:paraId="1C038051" w14:textId="00788106">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4B1BAD49" w14:textId="77777777">
            <w:trPr>
              <w:trHeight w:val="405"/>
            </w:trPr>
            <w:tc>
              <w:tcPr>
                <w:tcW w:w="3688" w:type="dxa"/>
                <w:shd w:val="clear" w:color="auto" w:fill="auto"/>
                <w:vAlign w:val="center"/>
              </w:tcPr>
              <w:p w14:paraId="06E39103" w14:textId="77777777">
                <w:pPr>
                  <w:jc w:val="center"/>
                  <w:rPr>
                    <w:szCs w:val="24"/>
                  </w:rPr>
                </w:pPr>
                <w:r>
                  <w:rPr>
                    <w:szCs w:val="24"/>
                  </w:rPr>
                  <w:t>Rodiklio pavadinimas</w:t>
                </w:r>
              </w:p>
            </w:tc>
            <w:tc>
              <w:tcPr>
                <w:tcW w:w="3688" w:type="dxa"/>
                <w:shd w:val="clear" w:color="auto" w:fill="auto"/>
                <w:vAlign w:val="center"/>
              </w:tcPr>
              <w:p w14:paraId="633ED972" w14:textId="77777777">
                <w:pPr>
                  <w:jc w:val="center"/>
                  <w:rPr>
                    <w:szCs w:val="24"/>
                  </w:rPr>
                </w:pPr>
                <w:r>
                  <w:rPr>
                    <w:szCs w:val="24"/>
                  </w:rPr>
                  <w:t>Rodiklio kodas</w:t>
                </w:r>
              </w:p>
            </w:tc>
            <w:tc>
              <w:tcPr>
                <w:tcW w:w="3688" w:type="dxa"/>
                <w:shd w:val="clear" w:color="auto" w:fill="auto"/>
                <w:vAlign w:val="center"/>
              </w:tcPr>
              <w:p w14:paraId="7D28D931" w14:textId="77777777">
                <w:pPr>
                  <w:jc w:val="center"/>
                  <w:rPr>
                    <w:szCs w:val="24"/>
                  </w:rPr>
                </w:pPr>
                <w:r>
                  <w:rPr>
                    <w:szCs w:val="24"/>
                  </w:rPr>
                  <w:t>Matavimo vienetai</w:t>
                </w:r>
              </w:p>
            </w:tc>
            <w:tc>
              <w:tcPr>
                <w:tcW w:w="3688" w:type="dxa"/>
                <w:shd w:val="clear" w:color="auto" w:fill="auto"/>
                <w:vAlign w:val="center"/>
              </w:tcPr>
              <w:p w14:paraId="23212F2E" w14:textId="77777777">
                <w:pPr>
                  <w:jc w:val="center"/>
                  <w:rPr>
                    <w:szCs w:val="24"/>
                  </w:rPr>
                </w:pPr>
                <w:r>
                  <w:rPr>
                    <w:szCs w:val="24"/>
                  </w:rPr>
                  <w:t>Siektina reikšmė</w:t>
                </w:r>
              </w:p>
            </w:tc>
          </w:tr>
          <w:tr w14:paraId="4FC22A3A" w14:textId="77777777">
            <w:trPr>
              <w:trHeight w:val="725"/>
            </w:trPr>
            <w:tc>
              <w:tcPr>
                <w:tcW w:w="3688" w:type="dxa"/>
              </w:tcPr>
              <w:p w14:paraId="7473FA7F" w14:textId="17D5FAC2">
                <w:pPr>
                  <w:jc w:val="center"/>
                  <w:rPr>
                    <w:i/>
                    <w:iCs/>
                    <w:szCs w:val="24"/>
                  </w:rPr>
                </w:pPr>
                <w:r>
                  <w:rPr>
                    <w:i/>
                    <w:iCs/>
                    <w:szCs w:val="24"/>
                  </w:rPr>
                  <w:t>Sukurtas ir išbandytas pacientų pavėžėjimo paslaugų teikimo modelis</w:t>
                  <w:tab/>
                </w:r>
              </w:p>
            </w:tc>
            <w:tc>
              <w:tcPr>
                <w:tcW w:w="3688" w:type="dxa"/>
              </w:tcPr>
              <w:p w14:paraId="398F5D56" w14:textId="77777777">
                <w:pPr>
                  <w:jc w:val="center"/>
                  <w:rPr>
                    <w:szCs w:val="24"/>
                  </w:rPr>
                </w:pPr>
                <w:r>
                  <w:rPr>
                    <w:szCs w:val="24"/>
                  </w:rPr>
                  <w:t>P-11-002-02-11-01-61</w:t>
                </w:r>
              </w:p>
              <w:p w14:paraId="1BC94B96" w14:textId="77777777">
                <w:pPr>
                  <w:jc w:val="center"/>
                  <w:rPr>
                    <w:i/>
                    <w:iCs/>
                    <w:szCs w:val="24"/>
                  </w:rPr>
                </w:pPr>
              </w:p>
            </w:tc>
            <w:tc>
              <w:tcPr>
                <w:tcW w:w="3688" w:type="dxa"/>
              </w:tcPr>
              <w:p w14:paraId="14657E5B" w14:textId="03AD65B0">
                <w:pPr>
                  <w:jc w:val="center"/>
                  <w:rPr>
                    <w:i/>
                    <w:iCs/>
                    <w:szCs w:val="24"/>
                  </w:rPr>
                </w:pPr>
                <w:r>
                  <w:rPr>
                    <w:i/>
                    <w:iCs/>
                    <w:szCs w:val="24"/>
                    <w:lang w:eastAsia="lt-LT"/>
                  </w:rPr>
                  <w:t>Skaičius</w:t>
                </w:r>
              </w:p>
            </w:tc>
            <w:tc>
              <w:tcPr>
                <w:tcW w:w="3688" w:type="dxa"/>
              </w:tcPr>
              <w:p w14:paraId="68332B7D" w14:textId="0E184CC1">
                <w:pPr>
                  <w:jc w:val="center"/>
                  <w:rPr>
                    <w:szCs w:val="24"/>
                  </w:rPr>
                </w:pPr>
                <w:r>
                  <w:rPr>
                    <w:szCs w:val="24"/>
                  </w:rPr>
                  <w:t>1</w:t>
                </w:r>
              </w:p>
              <w:p w14:paraId="14AD19C4" w14:textId="4A217152">
                <w:pPr>
                  <w:jc w:val="center"/>
                  <w:rPr>
                    <w:szCs w:val="24"/>
                  </w:rPr>
                </w:pPr>
                <w:r>
                  <w:rPr>
                    <w:color w:val="000000"/>
                    <w:szCs w:val="24"/>
                    <w:lang w:eastAsia="lt-LT"/>
                  </w:rPr>
                  <w:t>(2024 m.)</w:t>
                </w:r>
              </w:p>
            </w:tc>
          </w:tr>
        </w:tbl>
        <w:p w14:paraId="3F13B6A3" w14:textId="77777777">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5BF63309" w14:textId="77777777">
            <w:tc>
              <w:tcPr>
                <w:tcW w:w="14709" w:type="dxa"/>
              </w:tcPr>
              <w:p w14:paraId="72525790" w14:textId="77777777">
                <w:pPr>
                  <w:rPr>
                    <w:b/>
                    <w:szCs w:val="24"/>
                  </w:rPr>
                </w:pPr>
                <w:r>
                  <w:rPr>
                    <w:b/>
                    <w:szCs w:val="24"/>
                  </w:rPr>
                  <w:t>SPECIALIEJI FINANSAVIMO REIKALAVIMAI</w:t>
                </w:r>
              </w:p>
            </w:tc>
          </w:tr>
          <w:tr w14:paraId="11A3801F" w14:textId="77777777">
            <w:tc>
              <w:tcPr>
                <w:tcW w:w="14709" w:type="dxa"/>
              </w:tcPr>
              <w:p w14:paraId="0F10C6B3" w14:textId="77777777">
                <w:pPr>
                  <w:rPr>
                    <w:b/>
                    <w:bCs/>
                    <w:szCs w:val="24"/>
                  </w:rPr>
                </w:pPr>
                <w:r>
                  <w:rPr>
                    <w:b/>
                    <w:bCs/>
                    <w:szCs w:val="24"/>
                  </w:rPr>
                  <w:t>1. Taikomi teisės aktai</w:t>
                </w:r>
              </w:p>
            </w:tc>
          </w:tr>
          <w:tr w14:paraId="120F6037" w14:textId="77777777">
            <w:tc>
              <w:tcPr>
                <w:tcW w:w="14709" w:type="dxa"/>
              </w:tcPr>
              <w:p w14:paraId="486E96B1" w14:textId="6BC105C6">
                <w:pPr>
                  <w:tabs>
                    <w:tab w:val="left" w:pos="306"/>
                  </w:tabs>
                  <w:ind w:left="22"/>
                  <w:jc w:val="both"/>
                  <w:rPr>
                    <w:szCs w:val="24"/>
                    <w:lang w:eastAsia="lt-LT"/>
                  </w:rPr>
                </w:pPr>
                <w:r>
                  <w:rPr>
                    <w:szCs w:val="24"/>
                    <w:lang w:eastAsia="lt-LT"/>
                  </w:rPr>
                  <w:t>1.</w:t>
                  <w:tab/>
                  <w:t xml:space="preserve">Teisės aktai, kuriais vadovaujamasi rengiant, teikiant ir vertinant projekto įgyvendinimo planą (toliau – PĮP), priimant sprendimą dėl projekto finansavimo, sudarant projekto sutartį ir įgyvendinant projektą, finansuojamą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Nr. 8 (toliau – Aprašas):</w:t>
                </w:r>
              </w:p>
              <w:p w14:paraId="794D55C5" w14:textId="7E61EC7C">
                <w:pPr>
                  <w:tabs>
                    <w:tab w:val="left" w:pos="600"/>
                  </w:tabs>
                  <w:jc w:val="both"/>
                  <w:rPr>
                    <w:color w:val="000000"/>
                    <w:szCs w:val="24"/>
                  </w:rPr>
                </w:pPr>
                <w:r>
                  <w:rPr>
                    <w:color w:val="000000"/>
                    <w:szCs w:val="24"/>
                  </w:rPr>
                  <w:t>1.1. specialieji teisės aktai:</w:t>
                </w:r>
              </w:p>
              <w:p w14:paraId="5CBD498F" w14:textId="3D5092A7">
                <w:pPr>
                  <w:jc w:val="both"/>
                  <w:rPr>
                    <w:szCs w:val="24"/>
                  </w:rPr>
                </w:pPr>
                <w:r>
                  <w:rPr>
                    <w:szCs w:val="24"/>
                  </w:rPr>
                  <w:t xml:space="preserve">1.1.1. 2021–2030 metų nacionalinis pažangos planas, patvirtintas Lietuvos Respublikos Vyriausybės  2020 m. rugsėjo 9 d. nutarimu Nr. 998 „Dėl 2021–2030 metų nacionalinio pažangos plano patvirtinimo“;</w:t>
                </w:r>
              </w:p>
              <w:p w14:paraId="64BBE909" w14:textId="25B668D2">
                <w:pPr>
                  <w:jc w:val="both"/>
                  <w:rPr>
                    <w:szCs w:val="24"/>
                  </w:rPr>
                </w:pPr>
                <w:r>
                  <w:rPr>
                    <w:szCs w:val="24"/>
                  </w:rPr>
                  <w:t>1.1.2.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509A8972" w14:textId="6CFE19AB">
                <w:pPr>
                  <w:jc w:val="both"/>
                  <w:rPr>
                    <w:szCs w:val="24"/>
                  </w:rPr>
                </w:pPr>
                <w:r>
                  <w:rPr>
                    <w:color w:val="000000"/>
                    <w:szCs w:val="24"/>
                  </w:rPr>
                  <w:t xml:space="preserve">1.1.3. </w:t>
                </w:r>
                <w:r>
                  <w:rPr>
                    <w:szCs w:val="24"/>
                  </w:rPr>
                  <w:t>Lietuvos Respublikos sveikatos sistemos įstatymas;</w:t>
                </w:r>
              </w:p>
              <w:p w14:paraId="09F1A99F" w14:textId="02ECD01D">
                <w:pPr>
                  <w:tabs>
                    <w:tab w:val="left" w:pos="600"/>
                  </w:tabs>
                  <w:jc w:val="both"/>
                  <w:rPr>
                    <w:szCs w:val="24"/>
                  </w:rPr>
                </w:pPr>
                <w:r>
                  <w:rPr>
                    <w:color w:val="000000"/>
                    <w:szCs w:val="24"/>
                  </w:rPr>
                  <w:t xml:space="preserve">1.1.4. </w:t>
                </w:r>
                <w:r>
                  <w:rPr>
                    <w:szCs w:val="24"/>
                  </w:rPr>
                  <w:t>Lietuvos Respublikos sveikatos sistemos įstatymo Nr. I-552 2 straipsnio pakeitimo ir įstatymo papildymo 12-1 ir 51-1 straipsniais įstatymas, patvirtintas Lietuvos Respublikos Seimo 2022 m. birželio 30 d. sprendimu Nr. XIV-1279;</w:t>
                </w:r>
              </w:p>
              <w:p w14:paraId="1EAD9E33" w14:textId="489FFB1C">
                <w:pPr>
                  <w:tabs>
                    <w:tab w:val="left" w:pos="600"/>
                  </w:tabs>
                  <w:jc w:val="both"/>
                  <w:rPr>
                    <w:szCs w:val="24"/>
                  </w:rPr>
                </w:pPr>
                <w:r>
                  <w:rPr>
                    <w:szCs w:val="24"/>
                  </w:rPr>
                  <w:t>1.1.5. Lietuvos Respublikos biudžeto sandaros įstatymas;</w:t>
                </w:r>
              </w:p>
              <w:p w14:paraId="2DD2A80A" w14:textId="5FFD07BC">
                <w:pPr>
                  <w:tabs>
                    <w:tab w:val="left" w:pos="600"/>
                  </w:tabs>
                  <w:jc w:val="both"/>
                  <w:rPr>
                    <w:szCs w:val="24"/>
                  </w:rPr>
                </w:pPr>
                <w:r>
                  <w:rPr>
                    <w:szCs w:val="24"/>
                  </w:rPr>
                  <w:t xml:space="preserve">1.1.6. Lietuvos Respublikos Vyriausybės </w:t>
                </w:r>
                <w:r>
                  <w:rPr>
                    <w:color w:val="000000"/>
                  </w:rPr>
                  <w:t>2001 m. gegužės 14 d.</w:t>
                </w:r>
                <w:r>
                  <w:rPr>
                    <w:szCs w:val="24"/>
                  </w:rPr>
                  <w:t xml:space="preserve"> nutarimas</w:t>
                </w:r>
                <w:r>
                  <w:rPr>
                    <w:color w:val="000000"/>
                  </w:rPr>
                  <w:t xml:space="preserve"> Nr.</w:t>
                </w:r>
                <w:r>
                  <w:rPr>
                    <w:szCs w:val="24"/>
                  </w:rPr>
                  <w:t xml:space="preserve"> 543 </w:t>
                </w:r>
                <w:r>
                  <w:rPr>
                    <w:color w:val="000000"/>
                  </w:rPr>
                  <w:t>„Dėl Lietuvos Respublikos valstybės biudžeto ir savivaldybių biudžetų sudarymo ir vykdymo taisyklių patvirtinimo“ (toliau – Biudžeto ir savivaldybių biudžetų sudarymo ir vykdymo taisyklės)</w:t>
                </w:r>
                <w:r>
                  <w:rPr>
                    <w:szCs w:val="24"/>
                  </w:rPr>
                  <w:t>;</w:t>
                </w:r>
              </w:p>
              <w:p w14:paraId="10CCE28A" w14:textId="74AFDD83">
                <w:pPr>
                  <w:tabs>
                    <w:tab w:val="left" w:pos="600"/>
                  </w:tabs>
                  <w:jc w:val="both"/>
                  <w:rPr>
                    <w:szCs w:val="24"/>
                  </w:rPr>
                </w:pPr>
                <w:r>
                  <w:rPr>
                    <w:szCs w:val="24"/>
                  </w:rPr>
                  <w:t xml:space="preserve">1.1.7. Lietuvos Respublikos Vyriausybės 2021 m. balandžio 28 d.  nutarimas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straipsnio 3 dalies įgyvendinimo“;</w:t>
                </w:r>
              </w:p>
              <w:p w14:paraId="67AF1DBB" w14:textId="25B61915">
                <w:pPr>
                  <w:tabs>
                    <w:tab w:val="left" w:pos="600"/>
                  </w:tabs>
                  <w:jc w:val="both"/>
                  <w:rPr>
                    <w:szCs w:val="24"/>
                  </w:rPr>
                </w:pPr>
                <w:r>
                  <w:rPr>
                    <w:szCs w:val="24"/>
                  </w:rPr>
                  <w:t xml:space="preserve">1.1.8. Lietuvos Respublikos Vyriausybės 2022 m. lapkričio 30 d. nutarimas Nr. 1196 „Dėl Pacientų pavėžėjimo paslaugų organizavimo ir teikimo tvarkos aprašo patvirtinimo“ (toliau – Pacientų pavėžėjimo paslaugų organizavimo ir teikimo tvarkos aprašas) ir jį papildantys Lietuvos Respublikos sveikatos apsaugos ministro įsakymai: </w:t>
                </w:r>
              </w:p>
              <w:p w14:paraId="2FE1B327" w14:textId="01A1C381">
                <w:pPr>
                  <w:tabs>
                    <w:tab w:val="left" w:pos="600"/>
                  </w:tabs>
                  <w:jc w:val="both"/>
                  <w:rPr>
                    <w:szCs w:val="24"/>
                  </w:rPr>
                </w:pPr>
                <w:r>
                  <w:rPr>
                    <w:szCs w:val="24"/>
                  </w:rPr>
                  <w:t>1.1.</w:t>
                </w:r>
                <w:r>
                  <w:rPr>
                    <w:szCs w:val="24"/>
                    <w:lang w:val="en-US"/>
                  </w:rPr>
                  <w:t>8.1</w:t>
                </w:r>
                <w:r>
                  <w:rPr>
                    <w:szCs w:val="24"/>
                  </w:rPr>
                  <w:t>. Lietuvos Respublikos sveikatos apsaugos ministro 2023 m. sausio 11 d. įsakymas Nr. V-34 „Dėl Specializuoto pacientų pavėžėjimo paslaugų teikimo tvarkos aprašo patvirtinimo“;</w:t>
                </w:r>
              </w:p>
              <w:p w14:paraId="613D24A5" w14:textId="2FC82BF5">
                <w:pPr>
                  <w:tabs>
                    <w:tab w:val="left" w:pos="600"/>
                  </w:tabs>
                  <w:jc w:val="both"/>
                  <w:rPr>
                    <w:szCs w:val="24"/>
                  </w:rPr>
                </w:pPr>
                <w:r>
                  <w:rPr>
                    <w:szCs w:val="24"/>
                    <w:lang w:val="en-US"/>
                  </w:rPr>
                  <w:t xml:space="preserve">1.1.8.2. </w:t>
                </w:r>
                <w:r>
                  <w:rPr>
                    <w:szCs w:val="24"/>
                  </w:rPr>
                  <w:t>Lietuvos Respublikos sveikatos apsaugos ministro 2023 m. sausio 11 d. įsakymas Nr. V-33 „Dėl Pacientų pavėžėjimo paslaugų teikimo stebėsenos tvarkos aprašo patvirtinimo“;</w:t>
                </w:r>
              </w:p>
              <w:p w14:paraId="2489928C" w14:textId="5B92F4DA">
                <w:pPr>
                  <w:tabs>
                    <w:tab w:val="left" w:pos="600"/>
                  </w:tabs>
                  <w:jc w:val="both"/>
                  <w:rPr>
                    <w:szCs w:val="24"/>
                  </w:rPr>
                </w:pPr>
                <w:r>
                  <w:rPr>
                    <w:szCs w:val="24"/>
                    <w:lang w:val="en-US"/>
                  </w:rPr>
                  <w:t xml:space="preserve">1.1.8.3. </w:t>
                </w:r>
                <w:r>
                  <w:rPr>
                    <w:szCs w:val="24"/>
                  </w:rPr>
                  <w:t>Lietuvos Respublikos sveikatos apsaugos ministro 2023 m. sausio 11 d. įsakymas Nr. V-32 „Dėl Minimalaus savivaldybėse užtikrinamų asmens sveikatos priežiūros paslaugų, dėl kurių gavimo ir / ar grįžimui gavus jas vykdomas savivaldybės lygmens pacientų pavėžėjimo paslaugų teikimas, sąrašo patvirtinimo“;</w:t>
                </w:r>
              </w:p>
              <w:p w14:paraId="13DEADD6" w14:textId="0CE7CA74">
                <w:pPr>
                  <w:tabs>
                    <w:tab w:val="left" w:pos="600"/>
                  </w:tabs>
                  <w:jc w:val="both"/>
                  <w:rPr>
                    <w:szCs w:val="24"/>
                  </w:rPr>
                </w:pPr>
                <w:r>
                  <w:rPr>
                    <w:szCs w:val="24"/>
                  </w:rPr>
                  <w:t>1.1.8.4. Lietuvos Respublikos sveikatos apsaugos ministro 2023 m. sausio 18 d. įsakymas Nr. V-58 „Dėl Standartizuoto pacientų pavėžėjimo paslaugų užsakymo algoritmo patvirtinimo“;</w:t>
                </w:r>
              </w:p>
              <w:p w14:paraId="6C2E7C13" w14:textId="1FAED0C4">
                <w:pPr>
                  <w:tabs>
                    <w:tab w:val="left" w:pos="600"/>
                  </w:tabs>
                  <w:jc w:val="both"/>
                  <w:rPr>
                    <w:szCs w:val="24"/>
                  </w:rPr>
                </w:pPr>
                <w:r>
                  <w:rPr>
                    <w:szCs w:val="24"/>
                  </w:rPr>
                  <w:t>1.1.8.5. Lietuvos Respublikos sveikatos apsaugos ministro 2023 m. sausio 23 d. įsakymas Nr. V-90 „Dėl Pacientų pavėžėjimo paslaugos teikimo taisyklių patvirtinimo“;</w:t>
                </w:r>
              </w:p>
              <w:p w14:paraId="2CEE10FC" w14:textId="73C18031">
                <w:pPr>
                  <w:jc w:val="both"/>
                </w:pPr>
                <w:r>
                  <w:rPr>
                    <w:szCs w:val="24"/>
                  </w:rPr>
                  <w:t xml:space="preserve">1.1.9. Nespecializuoto ir specializuoto pavėžėjimo paslaugų fiksuotieji vieneto įkainiai, nustatyti Nespecializuoto ir specializuoto pavėžėjimo paslaugų fiksuotųjų vieneto įkainių nustatymo tyrimu (skelbiama </w:t>
                </w:r>
                <w:r>
                  <w:rPr>
                    <w:color w:val="0563C1"/>
                    <w:u w:val="single"/>
                  </w:rPr>
                  <w:t>https://www.esf.lt/veiklos-sritys/metodines-pagalbos-centras/1073</w:t>
                </w:r>
                <w:r>
                  <w:rPr>
                    <w:szCs w:val="24"/>
                  </w:rPr>
                  <w:t>);</w:t>
                </w:r>
              </w:p>
              <w:p w14:paraId="3D4C3808" w14:textId="491FA4DA">
                <w:pPr>
                  <w:jc w:val="both"/>
                </w:pPr>
                <w:r>
                  <w:rPr>
                    <w:szCs w:val="24"/>
                  </w:rPr>
                  <w:t xml:space="preserve">1.1.10. Lydinčio asmens, teikiant nespecializuoto pavėžėjimo paslaugas, darbo užmokesčio fiksuotuoju vieneto įkainiu, nustatytu Lydinčio asmens teikiant nespecializuoto pavėžėjimo paslaugas, darbo užmokesčio fiksuotojo vieneto įkainio nustatymo tyrimu (skelbiama </w:t>
                </w:r>
                <w:r>
                  <w:rPr>
                    <w:color w:val="0563C1"/>
                    <w:u w:val="single"/>
                  </w:rPr>
                  <w:t>https://www.esf.lt/veiklos-sritys/metodines-pagalbos-centras/1073</w:t>
                </w:r>
                <w:r>
                  <w:rPr>
                    <w:szCs w:val="24"/>
                  </w:rPr>
                  <w:t>).</w:t>
                </w:r>
              </w:p>
              <w:p w14:paraId="4876D67D" w14:textId="78C1AD09">
                <w:pPr>
                  <w:jc w:val="both"/>
                </w:pPr>
                <w:r>
                  <w:t>Apraše vartojamos sąvokos suprantamos taip, kaip jos apibrėžtos Aprašo 1 punkte nurodytuose teisės aktuose.</w:t>
                </w:r>
              </w:p>
            </w:tc>
          </w:tr>
          <w:tr w14:paraId="36A8B936" w14:textId="77777777">
            <w:tc>
              <w:tcPr>
                <w:tcW w:w="14709" w:type="dxa"/>
              </w:tcPr>
              <w:p w14:paraId="72EAD98C" w14:textId="77777777">
                <w:pPr>
                  <w:rPr>
                    <w:b/>
                    <w:szCs w:val="24"/>
                  </w:rPr>
                </w:pPr>
                <w:r>
                  <w:rPr>
                    <w:b/>
                    <w:szCs w:val="24"/>
                  </w:rPr>
                  <w:t>2. Reikalavimai projektams</w:t>
                </w:r>
              </w:p>
            </w:tc>
          </w:tr>
          <w:tr w14:paraId="77814FE2" w14:textId="77777777">
            <w:tc>
              <w:tcPr>
                <w:tcW w:w="14709" w:type="dxa"/>
              </w:tcPr>
              <w:p w14:paraId="7E9CF09E" w14:textId="1F2F369D">
                <w:pPr>
                  <w:tabs>
                    <w:tab w:val="left" w:pos="454"/>
                  </w:tabs>
                  <w:jc w:val="both"/>
                  <w:rPr>
                    <w:bCs/>
                    <w:iCs/>
                    <w:szCs w:val="24"/>
                  </w:rPr>
                </w:pPr>
                <w:r>
                  <w:rPr>
                    <w:bCs/>
                    <w:iCs/>
                    <w:szCs w:val="24"/>
                  </w:rPr>
                  <w:t xml:space="preserve">2.1. Galimas pareiškėjas – VšĮ Kauno miesto greitosios medicinos pagalbos stotis, kaip Ekstremalių situacijų valdymo informacinės sistemos  pagrindinė tvarkytoja.</w:t>
                </w:r>
              </w:p>
              <w:p w14:paraId="617DB14A" w14:textId="33E8788E">
                <w:pPr>
                  <w:jc w:val="both"/>
                  <w:rPr>
                    <w:bCs/>
                    <w:iCs/>
                    <w:szCs w:val="24"/>
                  </w:rPr>
                </w:pPr>
                <w:r>
                  <w:rPr>
                    <w:bCs/>
                    <w:iCs/>
                    <w:szCs w:val="24"/>
                  </w:rPr>
                  <w:t>2.2. Galimi partneriai: Lietuvos Respublikos sveikatos apsaugos ministerijos Ekstremalių sveikatai situacijų centras; bandomojo pacientų pavėžėjimo modelio taikymo projekto įgyvendinimui pasirinktos Lietuvos teritorijos (toliau – pasirinkta Lietuvos teritorija) savivaldybių įgaliotos įstaigos; pasirinktos Lietuvos Respublikos teritorijos asmens sveikatos priežiūros įstaigos (toliau – ASPĮ), atitinkančios nustatytus specializuoto pavėžėjimo paslaugų teikimo reikalavimus; nevyriausybinės organizacijos, vykdančios veiklą pasirinktoje Lietuvos teritorijoje.</w:t>
                </w:r>
              </w:p>
              <w:p w14:paraId="69479840" w14:textId="34BE0E59">
                <w:pPr>
                  <w:tabs>
                    <w:tab w:val="left" w:pos="426"/>
                  </w:tabs>
                  <w:jc w:val="both"/>
                  <w:rPr>
                    <w:bCs/>
                    <w:iCs/>
                    <w:szCs w:val="24"/>
                  </w:rPr>
                </w:pPr>
                <w:r>
                  <w:rPr>
                    <w:bCs/>
                    <w:iCs/>
                    <w:szCs w:val="24"/>
                  </w:rPr>
                  <w:t xml:space="preserve">2.3. Projektui pagal šio Aprašo veiklą įgyvendinti skiriama iki 6 712 000,00 Eur (šešių milijonų septynių šimtų dvylikos tūkstančių eurų) Lietuvos Respublikos valstybės biudžeto lėšų. </w:t>
                </w:r>
              </w:p>
              <w:p w14:paraId="3E159D7F" w14:textId="52C74D98">
                <w:pPr>
                  <w:ind w:left="454" w:hanging="425"/>
                  <w:rPr>
                    <w:bCs/>
                    <w:iCs/>
                    <w:szCs w:val="24"/>
                  </w:rPr>
                </w:pPr>
                <w:r>
                  <w:rPr>
                    <w:bCs/>
                    <w:iCs/>
                    <w:szCs w:val="24"/>
                  </w:rPr>
                  <w:t>2.4. Finansuojamos projekto veiklos turi būti baigtos įgyvendinti iki 2024 m. birželio 30 d.</w:t>
                </w:r>
              </w:p>
              <w:p w14:paraId="46651721" w14:textId="77777777">
                <w:pPr>
                  <w:tabs>
                    <w:tab w:val="left" w:pos="594"/>
                  </w:tabs>
                  <w:spacing w:line="276" w:lineRule="auto"/>
                  <w:jc w:val="both"/>
                  <w:rPr>
                    <w:iCs/>
                    <w:szCs w:val="24"/>
                  </w:rPr>
                </w:pPr>
                <w:r>
                  <w:rPr>
                    <w:bCs/>
                    <w:iCs/>
                    <w:szCs w:val="24"/>
                  </w:rPr>
                  <w:t xml:space="preserve">2.5. Pagal Aprašą finansuojama </w:t>
                </w:r>
                <w:r>
                  <w:rPr>
                    <w:color w:val="000000"/>
                    <w:szCs w:val="24"/>
                  </w:rPr>
                  <w:t>pažangos priemonės Nr. 11-002-02-11-01 „Gerinti sveikatos priežiūros paslaugų kokybę ir prieinamumą“ veiklos „</w:t>
                </w:r>
                <w:r>
                  <w:rPr>
                    <w:iCs/>
                    <w:szCs w:val="24"/>
                  </w:rPr>
                  <w:t>Pacientų pavėžėjimo paslaugos modelio sukūrimas ir išbandymas“ poveiklė – Bandomojo pavėžėjimo paslaugų teikimo projekto įgyvendinimas:</w:t>
                </w:r>
              </w:p>
              <w:p w14:paraId="023F35EE" w14:textId="495E6C14">
                <w:pPr>
                  <w:tabs>
                    <w:tab w:val="left" w:pos="594"/>
                  </w:tabs>
                  <w:spacing w:line="276" w:lineRule="auto"/>
                  <w:jc w:val="both"/>
                  <w:rPr>
                    <w:bCs/>
                    <w:iCs/>
                    <w:szCs w:val="24"/>
                  </w:rPr>
                </w:pPr>
                <w:r>
                  <w:rPr>
                    <w:bCs/>
                    <w:iCs/>
                    <w:szCs w:val="24"/>
                  </w:rPr>
                  <w:t xml:space="preserve">2.5.1. Finansuojamos Bandomojo pacientų pavėžėjimo modelio taikymo projekto įgyvendinimo pasirinktoje Lietuvos teritorijoje išlaidos: </w:t>
                </w:r>
              </w:p>
              <w:p w14:paraId="6D6A5D1D" w14:textId="37FFE4AD">
                <w:pPr>
                  <w:tabs>
                    <w:tab w:val="left" w:pos="459"/>
                  </w:tabs>
                  <w:jc w:val="both"/>
                  <w:rPr>
                    <w:bCs/>
                    <w:iCs/>
                    <w:color w:val="FF0000"/>
                    <w:szCs w:val="24"/>
                  </w:rPr>
                </w:pPr>
                <w:r>
                  <w:rPr>
                    <w:bCs/>
                    <w:iCs/>
                    <w:szCs w:val="24"/>
                  </w:rPr>
                  <w:t xml:space="preserve">2.5.1.1. įranga, įrenginiai ir kt. turtas, reikalingas pacientų pavėžėjimui organizuoti ir vykdyti  savivaldybės ir valstybės lygmeniu (pvz.: laiptų kopikliai,   kompiuterinė ir programinė įranga, ryšio įranga bei kita tiesiogiai su pavėžėjimo paslaugų organizavimu ir teikimu susijusi įranga);</w:t>
                </w:r>
              </w:p>
              <w:p w14:paraId="23C2B171" w14:textId="76F99492">
                <w:pPr>
                  <w:tabs>
                    <w:tab w:val="left" w:pos="459"/>
                  </w:tabs>
                  <w:jc w:val="both"/>
                  <w:rPr>
                    <w:bCs/>
                    <w:iCs/>
                    <w:szCs w:val="24"/>
                  </w:rPr>
                </w:pPr>
                <w:r>
                  <w:rPr>
                    <w:bCs/>
                    <w:iCs/>
                    <w:szCs w:val="24"/>
                  </w:rPr>
                  <w:t xml:space="preserve">2.5.1.2. bandomojo pacientų pavėžėjimo modelio taikymo vykdymas savivaldybės ir valstybės lygmeniu: </w:t>
                </w:r>
              </w:p>
              <w:p w14:paraId="0EF94DC2" w14:textId="35DEDEB5">
                <w:pPr>
                  <w:tabs>
                    <w:tab w:val="left" w:pos="459"/>
                  </w:tabs>
                  <w:jc w:val="both"/>
                  <w:rPr>
                    <w:bCs/>
                    <w:iCs/>
                    <w:szCs w:val="24"/>
                  </w:rPr>
                </w:pPr>
                <w:r>
                  <w:rPr>
                    <w:bCs/>
                    <w:iCs/>
                    <w:szCs w:val="24"/>
                  </w:rPr>
                  <w:t>2.5.1.2.1. pacientų pavėžėjimo paslaugų teikimo (transporto) išlaidos;</w:t>
                </w:r>
              </w:p>
              <w:p w14:paraId="1AB42328" w14:textId="6287464D">
                <w:pPr>
                  <w:tabs>
                    <w:tab w:val="left" w:pos="459"/>
                  </w:tabs>
                  <w:jc w:val="both"/>
                  <w:rPr>
                    <w:bCs/>
                    <w:iCs/>
                    <w:szCs w:val="24"/>
                  </w:rPr>
                </w:pPr>
                <w:r>
                  <w:rPr>
                    <w:bCs/>
                    <w:iCs/>
                    <w:szCs w:val="24"/>
                  </w:rPr>
                  <w:t xml:space="preserve">2.5.1.2.2. projektą vykdančių darbuotojų darbo užmokesčio išlaidos; </w:t>
                </w:r>
              </w:p>
              <w:p w14:paraId="6DE95DAF" w14:textId="59B18CEF">
                <w:pPr>
                  <w:tabs>
                    <w:tab w:val="left" w:pos="459"/>
                  </w:tabs>
                  <w:jc w:val="both"/>
                  <w:rPr>
                    <w:bCs/>
                    <w:iCs/>
                    <w:szCs w:val="24"/>
                  </w:rPr>
                </w:pPr>
                <w:r>
                  <w:rPr>
                    <w:bCs/>
                    <w:iCs/>
                    <w:szCs w:val="24"/>
                  </w:rPr>
                  <w:t xml:space="preserve">2.5.1.2.3. ryšio paslaugų išlaidos, tiesiogiai susijusios su pavėžėjimo paslaugos organizavimu;  </w:t>
                </w:r>
              </w:p>
              <w:p w14:paraId="16E1FC6D" w14:textId="0B7895A7">
                <w:pPr>
                  <w:tabs>
                    <w:tab w:val="left" w:pos="459"/>
                  </w:tabs>
                  <w:jc w:val="both"/>
                  <w:rPr>
                    <w:bCs/>
                    <w:iCs/>
                    <w:szCs w:val="24"/>
                  </w:rPr>
                </w:pPr>
                <w:r>
                  <w:rPr>
                    <w:iCs/>
                    <w:szCs w:val="24"/>
                  </w:rPr>
                  <w:t>2.5.1.2.4.</w:t>
                </w:r>
                <w:r>
                  <w:rPr>
                    <w:b/>
                    <w:bCs/>
                    <w:iCs/>
                    <w:szCs w:val="24"/>
                  </w:rPr>
                  <w:t xml:space="preserve"> </w:t>
                </w:r>
                <w:r>
                  <w:rPr>
                    <w:bCs/>
                    <w:iCs/>
                    <w:szCs w:val="24"/>
                  </w:rPr>
                  <w:t>mokymų organizavimo išlaidos (tikslinės grupės: asmens sveikatos priežiūros įstaigų darbuotojai, užsakantys pavėžėjimo paslaugas, projektą vykdantys darbuotojai, sveikatos priežiūros specialistai, rašantys siuntimus);</w:t>
                </w:r>
              </w:p>
              <w:p w14:paraId="2DDE06CD" w14:textId="2C11DF91">
                <w:pPr>
                  <w:tabs>
                    <w:tab w:val="left" w:pos="459"/>
                  </w:tabs>
                  <w:jc w:val="both"/>
                  <w:rPr>
                    <w:bCs/>
                    <w:iCs/>
                    <w:szCs w:val="24"/>
                  </w:rPr>
                </w:pPr>
                <w:r>
                  <w:rPr>
                    <w:bCs/>
                    <w:iCs/>
                    <w:szCs w:val="24"/>
                  </w:rPr>
                  <w:t>2.5.1.2.5. pagalbinių (paciento</w:t>
                </w:r>
                <w:r>
                  <w:rPr>
                    <w:bCs/>
                    <w:iCs/>
                    <w:color w:val="FF0000"/>
                    <w:szCs w:val="24"/>
                  </w:rPr>
                  <w:t xml:space="preserve"> </w:t>
                </w:r>
                <w:r>
                  <w:rPr>
                    <w:bCs/>
                    <w:iCs/>
                    <w:szCs w:val="24"/>
                  </w:rPr>
                  <w:t>lydėjimo, nešimo, kėlimo ir pan.) paslaugų išlaidos;</w:t>
                </w:r>
              </w:p>
              <w:p w14:paraId="1A8F2AE1" w14:textId="44BA847C">
                <w:pPr>
                  <w:tabs>
                    <w:tab w:val="left" w:pos="459"/>
                  </w:tabs>
                  <w:jc w:val="both"/>
                  <w:rPr>
                    <w:bCs/>
                    <w:iCs/>
                    <w:szCs w:val="24"/>
                  </w:rPr>
                </w:pPr>
                <w:r>
                  <w:rPr>
                    <w:iCs/>
                    <w:szCs w:val="24"/>
                  </w:rPr>
                  <w:t>2.5.1.2.6.</w:t>
                </w:r>
                <w:r>
                  <w:rPr>
                    <w:bCs/>
                    <w:iCs/>
                    <w:szCs w:val="24"/>
                  </w:rPr>
                  <w:t xml:space="preserve"> transporto priemonių trumpalaikės nuomos išlaidos;</w:t>
                </w:r>
              </w:p>
              <w:p w14:paraId="5CCF34F2" w14:textId="42795579">
                <w:pPr>
                  <w:tabs>
                    <w:tab w:val="left" w:pos="459"/>
                  </w:tabs>
                  <w:jc w:val="both"/>
                  <w:rPr>
                    <w:bCs/>
                    <w:iCs/>
                    <w:szCs w:val="24"/>
                  </w:rPr>
                </w:pPr>
                <w:r>
                  <w:rPr>
                    <w:iCs/>
                    <w:szCs w:val="24"/>
                  </w:rPr>
                  <w:t>2.5.1.2.7.</w:t>
                </w:r>
                <w:r>
                  <w:rPr>
                    <w:bCs/>
                    <w:iCs/>
                    <w:szCs w:val="24"/>
                  </w:rPr>
                  <w:t xml:space="preserve"> valstybės lygmens pavėžėjimo skambučių centro patalpų nuomos išlaidos;</w:t>
                </w:r>
              </w:p>
              <w:p w14:paraId="23499537" w14:textId="43D0E749">
                <w:pPr>
                  <w:tabs>
                    <w:tab w:val="left" w:pos="459"/>
                  </w:tabs>
                  <w:jc w:val="both"/>
                  <w:rPr>
                    <w:bCs/>
                    <w:iCs/>
                    <w:szCs w:val="24"/>
                  </w:rPr>
                </w:pPr>
                <w:r>
                  <w:rPr>
                    <w:bCs/>
                    <w:iCs/>
                    <w:szCs w:val="24"/>
                  </w:rPr>
                  <w:t>2.5.1.2.8. programinės įrangos nuomos išlaidos;</w:t>
                </w:r>
              </w:p>
              <w:p w14:paraId="4CB15B1B" w14:textId="7FC2418B">
                <w:pPr>
                  <w:tabs>
                    <w:tab w:val="left" w:pos="459"/>
                  </w:tabs>
                  <w:jc w:val="both"/>
                  <w:rPr>
                    <w:bCs/>
                    <w:iCs/>
                    <w:szCs w:val="24"/>
                  </w:rPr>
                </w:pPr>
                <w:r>
                  <w:rPr>
                    <w:bCs/>
                    <w:iCs/>
                    <w:szCs w:val="24"/>
                  </w:rPr>
                  <w:t>2.5.1.3. informacijos sklaidos ir rezultatų įvertinimo išlaidos:</w:t>
                </w:r>
              </w:p>
              <w:p w14:paraId="77CBD880" w14:textId="1FDBD992">
                <w:pPr>
                  <w:tabs>
                    <w:tab w:val="left" w:pos="459"/>
                  </w:tabs>
                  <w:jc w:val="both"/>
                  <w:rPr>
                    <w:bCs/>
                    <w:iCs/>
                    <w:szCs w:val="24"/>
                  </w:rPr>
                </w:pPr>
                <w:r>
                  <w:rPr>
                    <w:bCs/>
                    <w:iCs/>
                    <w:szCs w:val="24"/>
                  </w:rPr>
                  <w:t xml:space="preserve">2.5.1.3.1. renginių (pvz., apvaliojo stalo diskusijos rezultatams aptarti ir  modelio tobulinimo rekomendacijoms pateikti) organizavimo išlaidos;</w:t>
                </w:r>
              </w:p>
              <w:p w14:paraId="50367068" w14:textId="6406336B">
                <w:pPr>
                  <w:tabs>
                    <w:tab w:val="left" w:pos="459"/>
                  </w:tabs>
                  <w:jc w:val="both"/>
                  <w:rPr>
                    <w:bCs/>
                    <w:iCs/>
                    <w:szCs w:val="24"/>
                  </w:rPr>
                </w:pPr>
                <w:r>
                  <w:rPr>
                    <w:bCs/>
                    <w:iCs/>
                    <w:szCs w:val="24"/>
                  </w:rPr>
                  <w:t xml:space="preserve">2.5.1.3.2.  pavėžėjimo paslaugos vizualinio identiteto sukūrimo ir pritaikymo išlaidos;</w:t>
                </w:r>
              </w:p>
              <w:p w14:paraId="5CEF8415" w14:textId="1384CF27">
                <w:pPr>
                  <w:tabs>
                    <w:tab w:val="left" w:pos="459"/>
                  </w:tabs>
                  <w:jc w:val="both"/>
                  <w:rPr>
                    <w:bCs/>
                    <w:iCs/>
                    <w:szCs w:val="24"/>
                  </w:rPr>
                </w:pPr>
                <w:r>
                  <w:rPr>
                    <w:bCs/>
                    <w:iCs/>
                    <w:szCs w:val="24"/>
                  </w:rPr>
                  <w:t xml:space="preserve">2.5.1.3.3.  pavėžėjimo paslaugų teikimo veiklos (pvz., faktinio paslaugų suteikimo, galimų piktnaudžiavimo atvejų) įvertinimo paslaugų išlaidos;</w:t>
                </w:r>
              </w:p>
              <w:p w14:paraId="67FE179C" w14:textId="4045BDAD">
                <w:pPr>
                  <w:tabs>
                    <w:tab w:val="left" w:pos="459"/>
                  </w:tabs>
                  <w:jc w:val="both"/>
                  <w:rPr>
                    <w:bCs/>
                    <w:iCs/>
                    <w:szCs w:val="24"/>
                  </w:rPr>
                </w:pPr>
                <w:r>
                  <w:rPr>
                    <w:bCs/>
                    <w:iCs/>
                    <w:szCs w:val="24"/>
                  </w:rPr>
                  <w:t>2.5.1.3.4. visuomenės informavimo apie pavėžėjimo paslaugas išlaidos;</w:t>
                </w:r>
              </w:p>
              <w:p w14:paraId="2F698707" w14:textId="6837EB45">
                <w:pPr>
                  <w:tabs>
                    <w:tab w:val="left" w:pos="459"/>
                  </w:tabs>
                  <w:jc w:val="both"/>
                  <w:rPr>
                    <w:bCs/>
                    <w:iCs/>
                    <w:strike/>
                    <w:szCs w:val="24"/>
                  </w:rPr>
                </w:pPr>
                <w:r>
                  <w:rPr>
                    <w:bCs/>
                    <w:iCs/>
                    <w:szCs w:val="24"/>
                  </w:rPr>
                  <w:t>2.5.1.4. projekto administravimo (projektą administruojančių darbuotojų darbo užmokesčio, projekto administravimui reikalingų prekių ir (ar) paslaugų įsigijimo), taip pat ilgalaikio turto, įsigyto pagal Aprašo 2.5.1.1 papunktį, įgyvendinant projektą draudimo išlaidos. Šios išlaidos išmokamos supaprastintai kaip projekto netiesioginės išlaidos, taikant fiksuotąją normą.</w:t>
                </w:r>
              </w:p>
              <w:p w14:paraId="52F6EC19" w14:textId="1C5C6C5C">
                <w:pPr>
                  <w:rPr>
                    <w:bCs/>
                    <w:iCs/>
                    <w:szCs w:val="24"/>
                  </w:rPr>
                </w:pPr>
                <w:r>
                  <w:rPr>
                    <w:bCs/>
                    <w:iCs/>
                    <w:szCs w:val="24"/>
                  </w:rPr>
                  <w:t>2.5.2. Bandomojo pacientų pavėžėjimo modelio taikymo projekto įgyvendinimo etapai:</w:t>
                </w:r>
              </w:p>
              <w:p w14:paraId="25E48E8E" w14:textId="11C5EC30">
                <w:pPr>
                  <w:rPr>
                    <w:bCs/>
                    <w:iCs/>
                    <w:color w:val="000000"/>
                    <w:szCs w:val="24"/>
                  </w:rPr>
                </w:pPr>
                <w:r>
                  <w:rPr>
                    <w:bCs/>
                    <w:iCs/>
                    <w:color w:val="000000"/>
                    <w:szCs w:val="24"/>
                  </w:rPr>
                  <w:t>2.5.2.1. I etapas – pasirengimo (nuo projekto finansavimo sutarties pasirašymo iki 2023-07-30);</w:t>
                </w:r>
              </w:p>
              <w:p w14:paraId="4C3DADAF" w14:textId="0CC7D6FF">
                <w:pPr>
                  <w:rPr>
                    <w:bCs/>
                    <w:iCs/>
                    <w:color w:val="000000"/>
                    <w:szCs w:val="24"/>
                  </w:rPr>
                </w:pPr>
                <w:r>
                  <w:rPr>
                    <w:bCs/>
                    <w:iCs/>
                    <w:color w:val="000000"/>
                    <w:szCs w:val="24"/>
                  </w:rPr>
                  <w:t>2.5.2.2. II etapas – bandomojo pavėžėjimo vykdymo (nuo 2023-08-01 iki 2024-02-28);</w:t>
                </w:r>
              </w:p>
              <w:p w14:paraId="753CF314" w14:textId="18A38739">
                <w:pPr>
                  <w:rPr>
                    <w:bCs/>
                    <w:iCs/>
                    <w:color w:val="000000"/>
                    <w:szCs w:val="24"/>
                  </w:rPr>
                </w:pPr>
                <w:r>
                  <w:rPr>
                    <w:bCs/>
                    <w:iCs/>
                    <w:color w:val="000000"/>
                    <w:szCs w:val="24"/>
                  </w:rPr>
                  <w:t>2.5.2.3. III etapas – rezultatų įvertinimo ir pavėžėjimo modelio tobulinimo (nuo 2024-02-10 iki 2024-06-30);</w:t>
                </w:r>
              </w:p>
              <w:p w14:paraId="0C1092BD" w14:textId="069F29ED">
                <w:pPr>
                  <w:rPr>
                    <w:bCs/>
                    <w:iCs/>
                    <w:color w:val="000000"/>
                    <w:szCs w:val="24"/>
                  </w:rPr>
                </w:pPr>
                <w:r>
                  <w:rPr>
                    <w:bCs/>
                    <w:iCs/>
                    <w:color w:val="000000"/>
                    <w:szCs w:val="24"/>
                  </w:rPr>
                  <w:t>2.5.2.4. IV etapas – pavėžėjimo paslaugų tęstinumo užtikrinimo (nuo 2024-03-01 iki 2024-06-30).</w:t>
                </w:r>
              </w:p>
              <w:p w14:paraId="7D350888" w14:textId="77777777">
                <w:pPr>
                  <w:jc w:val="both"/>
                  <w:rPr>
                    <w:bCs/>
                    <w:iCs/>
                    <w:szCs w:val="24"/>
                  </w:rPr>
                </w:pPr>
                <w:r>
                  <w:rPr>
                    <w:bCs/>
                    <w:iCs/>
                    <w:szCs w:val="24"/>
                  </w:rPr>
                  <w:t>2.6. Tikslinė grupė – pasirinktos Lietuvos Respublikos teritorijos gyventojai, atitinkantys tinkamumo gauti pacientų pavėžėjimo paslaugas kriterijus, sveikatos priežiūros specialistai ir kiti specialistai, dirbantys pavėžėjimo paslaugų organizavimo ir teikimo srityje.</w:t>
                </w:r>
              </w:p>
              <w:p w14:paraId="38B19AA1" w14:textId="50491F13">
                <w:pPr>
                  <w:jc w:val="both"/>
                  <w:rPr>
                    <w:bCs/>
                    <w:iCs/>
                    <w:strike/>
                    <w:szCs w:val="24"/>
                  </w:rPr>
                </w:pPr>
                <w:r>
                  <w:rPr>
                    <w:bCs/>
                    <w:iCs/>
                    <w:szCs w:val="24"/>
                  </w:rPr>
                  <w:t xml:space="preserve">2.7. Projektas įgyvendinamas pasirinktoje Lietuvos Respublikos teritorijoje (toliau – pasirinkta modelio įgyvendinimo teritorija). Savivaldybės į pasirinktą modelio įgyvendinimo teritoriją įtraukiamos prioriteto tvarka: </w:t>
                </w:r>
              </w:p>
              <w:p w14:paraId="264FBADF" w14:textId="6952F7F4">
                <w:pPr>
                  <w:jc w:val="both"/>
                  <w:rPr>
                    <w:bCs/>
                    <w:iCs/>
                    <w:szCs w:val="24"/>
                  </w:rPr>
                </w:pPr>
                <w:r>
                  <w:rPr>
                    <w:bCs/>
                    <w:iCs/>
                    <w:szCs w:val="24"/>
                  </w:rPr>
                  <w:t>2.7.1. I prioritetas – Kauno funkcinio-regioninio sveikatos priežiūros regiono* savivaldybės, išskyrus Kauno m., Jonavos r., Marijampolės, Kazlų Rūdos ir Kalvarijos savivaldybes, kurios nesutinka dalyvauti projekte. Šioje pasirinktoje modelio įgyvendinimo teritorijoje turi būti išbandomas modelis visa apimtimi, t. y. teikiamos valstybės lygmens ir savivaldybės lygmens pavėžėjimo paslaugos šioje teritorijoje gyvenantiems asmenims dėl šioje teritorijoje esančių ASPĮ teikiamų asmens sveikatos priežiūros paslaugų gavimo ar jas gavus (išimtys taikomos, kaip nustatyta Aprašo 2.9 ir 2.10 papunkčiuose). Šioje teritorijoje pavėžėjimo paslaugos taikant modelį visa apimtimi turi būti teikiamos ne trumpiau kaip 6 mėn. (įgyvendinamas visas Aprašo 2.5.2.2 papunktyje nurodytas II etapas);</w:t>
                </w:r>
              </w:p>
              <w:p w14:paraId="58B44B19" w14:textId="047F8DC9">
                <w:pPr>
                  <w:jc w:val="both"/>
                  <w:rPr>
                    <w:bCs/>
                    <w:iCs/>
                    <w:szCs w:val="24"/>
                  </w:rPr>
                </w:pPr>
                <w:r>
                  <w:rPr>
                    <w:bCs/>
                    <w:iCs/>
                    <w:szCs w:val="24"/>
                  </w:rPr>
                  <w:t xml:space="preserve">2.7.2. </w:t>
                </w:r>
                <w:r>
                  <w:rPr>
                    <w:szCs w:val="24"/>
                  </w:rPr>
                  <w:t>II prioritetas – Pagėgių sav., Tauragės r. sav. ir Šilalės r. sav. Šioje teritorijoje išbandomas tik savivaldybės lygmens pavėžėjimas šioje teritorijoje gyvenantiems asmenims dėl šioje teritorijoje esančių ASPĮ teikiamų asmens sveikatos priežiūros paslaugų gavimo ar jas gavus</w:t>
                </w:r>
                <w:r>
                  <w:rPr>
                    <w:color w:val="FF0000"/>
                    <w:szCs w:val="24"/>
                  </w:rPr>
                  <w:t xml:space="preserve"> </w:t>
                </w:r>
                <w:r>
                  <w:rPr>
                    <w:szCs w:val="24"/>
                  </w:rPr>
                  <w:t>(išimtis taikoma, kaip nustatyta Aprašo 2.10 papunktyje), kuris gali būti išbandomas ne visa apimtimi (pvz., pasirenkant teikti pavėžėjimo paslaugas tik dėl hemodializės paslaugų ir grįžimo iš skubiosios medicinos pagalbos skyrių). Taip pat pavėžėjimo paslaugų teikimas šioje teritorijoje gali būti išbandomos trumpiau nei 6 mėn., t. y. įgyvendinamas ne visas Aprašo 2.5.2.2 papunktyje nurodytas II etapas);</w:t>
                </w:r>
              </w:p>
              <w:p w14:paraId="48EBDEFA" w14:textId="03C4E79F">
                <w:pPr>
                  <w:jc w:val="both"/>
                  <w:rPr>
                    <w:bCs/>
                    <w:iCs/>
                    <w:szCs w:val="24"/>
                  </w:rPr>
                </w:pPr>
                <w:r>
                  <w:rPr>
                    <w:bCs/>
                    <w:iCs/>
                    <w:szCs w:val="24"/>
                  </w:rPr>
                  <w:t xml:space="preserve">2.7.3. III prioritetas – Panevėžio funkcinio-regioninio sveikatos priežiūros regiono** savivaldybės, išskyrus Pasvalio r. sav., nes ji nesutinka dalyvauti projekte. Šioje pasirinktoje modelio įgyvendinimo teritorijoje gali būti išbandomas modelis ne visa apimtimi (taip pat pavėžėjimo paslaugų teikimas gali būti vykdomas trumpiau nei 6 mėn., t. y. įgyvendinamas ne visas Aprašo 2.5.2.2 papunktyje nurodytas II etapas). Šios teritorijos gyventojams valstybės lygmens pavėžėjimas teikiamas tik dėl Kauno funkciniame-regioniniame sveikatos priežiūros regione ir Panevėžio  funkciniame-regioniniame sveikatos priežiūros regione esančių ASPĮ teikiamų asmens sveikatos priežiūros paslaugų gavimo ir (ar)  gavus jas (išimtys taikomos, kaip nustatyta Aprašo 2.9 ir 2.10 papunkčiuose). </w:t>
                </w:r>
              </w:p>
              <w:p w14:paraId="7D3CBF8C" w14:textId="3B81D6B3">
                <w:pPr>
                  <w:tabs>
                    <w:tab w:val="center" w:pos="4819"/>
                    <w:tab w:val="right" w:pos="9638"/>
                  </w:tabs>
                  <w:jc w:val="both"/>
                  <w:rPr>
                    <w:sz w:val="22"/>
                    <w:szCs w:val="22"/>
                  </w:rPr>
                </w:pPr>
                <w:r>
                  <w:rPr>
                    <w:sz w:val="22"/>
                    <w:szCs w:val="22"/>
                  </w:rPr>
                  <w:t>*</w:t>
                </w:r>
                <w:r>
                  <w:rPr>
                    <w:color w:val="000000"/>
                    <w:lang w:eastAsia="lt-LT"/>
                  </w:rPr>
                  <w:t>Kauno m., Kauno r., Kaišiadorių r., Prienų r., Birštono, Raseinių r., Kėdainių r., Jonavos r., Jurbarko r., Alytaus m., Alytaus r., Lazdijų r., Šakių r., Kalvarijos, Kazlų Rūdos, Vilkaviškio r., Marijampolės.</w:t>
                </w:r>
              </w:p>
              <w:p w14:paraId="1E8D57D8" w14:textId="03385BD7">
                <w:pPr>
                  <w:tabs>
                    <w:tab w:val="center" w:pos="4819"/>
                    <w:tab w:val="right" w:pos="9638"/>
                  </w:tabs>
                  <w:jc w:val="both"/>
                  <w:rPr>
                    <w:sz w:val="22"/>
                    <w:szCs w:val="22"/>
                  </w:rPr>
                </w:pPr>
                <w:r>
                  <w:rPr>
                    <w:sz w:val="22"/>
                    <w:szCs w:val="22"/>
                  </w:rPr>
                  <w:t>**</w:t>
                </w:r>
                <w:r>
                  <w:rPr>
                    <w:color w:val="000000"/>
                    <w:lang w:eastAsia="lt-LT"/>
                  </w:rPr>
                  <w:t>Panevėžio m., Panevėžio r., Anykščių r., Kupiškio r., Rokiškio r., Pasvalio r., Biržų r.</w:t>
                </w:r>
              </w:p>
              <w:p w14:paraId="4A5D6D73" w14:textId="77777777">
                <w:pPr>
                  <w:jc w:val="both"/>
                  <w:rPr>
                    <w:bCs/>
                    <w:iCs/>
                    <w:szCs w:val="24"/>
                  </w:rPr>
                </w:pPr>
              </w:p>
              <w:p w14:paraId="3B183660" w14:textId="31529A07">
                <w:pPr>
                  <w:jc w:val="both"/>
                  <w:rPr>
                    <w:bCs/>
                    <w:iCs/>
                    <w:szCs w:val="24"/>
                  </w:rPr>
                </w:pPr>
                <w:r>
                  <w:rPr>
                    <w:bCs/>
                    <w:iCs/>
                    <w:szCs w:val="24"/>
                  </w:rPr>
                  <w:t>Bandomojo projekto įgyvendinimo teritorija pasirenkama atsižvelgiant į projekto įgyvendinimui skiriamą lėšų sumą, užtikrinant visų projekto etapų įgyvendinimą ir rezultatų pasiekimą.</w:t>
                </w:r>
              </w:p>
              <w:p w14:paraId="2E650322" w14:textId="413B5D5D">
                <w:pPr>
                  <w:tabs>
                    <w:tab w:val="left" w:pos="459"/>
                  </w:tabs>
                  <w:jc w:val="both"/>
                  <w:rPr>
                    <w:bCs/>
                    <w:szCs w:val="24"/>
                  </w:rPr>
                </w:pPr>
                <w:r>
                  <w:rPr>
                    <w:bCs/>
                    <w:iCs/>
                    <w:szCs w:val="24"/>
                  </w:rPr>
                  <w:t xml:space="preserve">2.8. </w:t>
                </w:r>
                <w:r>
                  <w:rPr>
                    <w:color w:val="000000"/>
                  </w:rPr>
                  <w:t xml:space="preserve">Pavėžėjimo paslaugos teikiamos pasirinktoje modelio įgyvendinimo  teritorijoje gyvenantiems asmenims ir Pacientų pavėžėjimo paslaugų organizavimo ir teikimo tvarkos apraše nustatytais kitais atvejais, kai asmeniui reikalingas pavėžėjimas iš pasirinktoje modelio įgyvendinimo teritorijoje </w:t>
                </w:r>
                <w:r>
                  <w:rPr>
                    <w:color w:val="000000"/>
                    <w:bdr w:val="none" w:sz="0" w:space="0" w:color="auto" w:frame="1"/>
                  </w:rPr>
                  <w:t>esančios ASPĮ toje pačioje savivaldybėje nurodytu gyvenamosios vietos adresu.  </w:t>
                </w:r>
              </w:p>
              <w:p w14:paraId="44CC09F4" w14:textId="2FD54EB6">
                <w:pPr>
                  <w:tabs>
                    <w:tab w:val="left" w:pos="459"/>
                  </w:tabs>
                  <w:jc w:val="both"/>
                  <w:rPr>
                    <w:bCs/>
                    <w:iCs/>
                    <w:szCs w:val="24"/>
                  </w:rPr>
                </w:pPr>
                <w:r>
                  <w:rPr>
                    <w:bCs/>
                    <w:iCs/>
                    <w:szCs w:val="24"/>
                  </w:rPr>
                  <w:t>2.9. Valstybės lygmens pacientų pavėžėjimo paslaugos teikiamos tik dėl pasirinktoje modelio įgyvendinimo teritorijoje esančių ASPĮ teikiamų asmens sveikatos priežiūros paslaugų gavimo ir (ar) gavus jas, išskyrus pavėžėjimo paslaugas dėl organo (organų) transplantacijos.</w:t>
                </w:r>
              </w:p>
              <w:p w14:paraId="7A4A8EBE" w14:textId="26724091">
                <w:pPr>
                  <w:tabs>
                    <w:tab w:val="left" w:pos="459"/>
                  </w:tabs>
                  <w:jc w:val="both"/>
                  <w:rPr>
                    <w:bCs/>
                    <w:iCs/>
                    <w:szCs w:val="24"/>
                  </w:rPr>
                </w:pPr>
                <w:r>
                  <w:rPr>
                    <w:bCs/>
                    <w:iCs/>
                    <w:szCs w:val="24"/>
                  </w:rPr>
                  <w:t>2.10. Savivaldybių lygmens pacientų pavėžėjimo paslaugos teikiamos dėl pasirinktoje modelio įgyvendinimo teritorijoje esančių ASPĮ teikiamų asmens sveikatos priežiūros paslaugų gavimo ir (ar) gavus jas, taip pat dėl su pasirinkta modelio įgyvendinimo teritorija besiribojančiose artimiausiose savivaldybėse esančių ASPĮ teikiamų asmens sveikatos priežiūros paslaugų gavimo ir (ar) gavus jas.</w:t>
                </w:r>
              </w:p>
              <w:p w14:paraId="469F31BB" w14:textId="458FAA12">
                <w:pPr>
                  <w:tabs>
                    <w:tab w:val="left" w:pos="459"/>
                  </w:tabs>
                  <w:jc w:val="both"/>
                  <w:rPr>
                    <w:bCs/>
                    <w:iCs/>
                    <w:szCs w:val="24"/>
                  </w:rPr>
                </w:pPr>
                <w:r>
                  <w:rPr>
                    <w:bCs/>
                    <w:iCs/>
                    <w:szCs w:val="24"/>
                  </w:rPr>
                  <w:t xml:space="preserve">2.11. Kai projektas įgyvendinamas kartu su partneriu (-iais), Pareiškėjas (projekto vykdytojas) atstovauja visiems partneriams projekto sutarties vykdymo ir projekto įgyvendinimo klausimais ir privalo užtikrinti, kad partneris (-iai) būtų tinkamai informuotas (-i) apie jo (jų) pareigas, susijusias su projekto sutarties vykdymu ir projekto įgyvendinimu, taip pat laikytųsi visų su projekto įgyvendinimu susijusių įsipareigojimų, nustatytų projekto sutartyje. Pareiškėjas (projekto vykdytojas) ir projekto partneris (-iai) turi būti sudarę jungtinės veiklos sutartį (-is). Jungtinės veiklos sutartyje rekomenduojama nustatyti planuojamas vykdyti projekto veiklas ir funkcijas bei tikslinę grupę, su kuria planuojama dirbti; projekto lėšų paskirstymą pareiškėjui ir partneriui (-iams), avanso išmokėjimo tvarką, atsiskaitymo už patirtas projekto išlaidas tvarką; </w:t>
                </w:r>
                <w:r>
                  <w:rPr>
                    <w:bCs/>
                    <w:iCs/>
                    <w:color w:val="000000"/>
                    <w:szCs w:val="24"/>
                  </w:rPr>
                  <w:t xml:space="preserve">tarpusavio įsipareigojimus, kas ir kokiais atvejais nuosavomis lėšomis padengs netinkamas projekto lėšomis finansuoti išlaidas bei tinkamų finansuoti išlaidų dalį, </w:t>
                </w:r>
                <w:r>
                  <w:rPr>
                    <w:bCs/>
                    <w:iCs/>
                    <w:szCs w:val="24"/>
                  </w:rPr>
                  <w:t>kurios nepadengia projektui skiriamos finansavimo lėšos; įsipareigojimus dėl priemonės įgyvendinimo stebėsenos rodiklių pasiekimo, atsiskaitymo už pasiektus projekto rodiklius tvarką. </w:t>
                </w:r>
              </w:p>
              <w:p w14:paraId="292A79B8" w14:textId="296D1DFC">
                <w:pPr>
                  <w:tabs>
                    <w:tab w:val="left" w:pos="851"/>
                    <w:tab w:val="left" w:pos="1276"/>
                    <w:tab w:val="left" w:pos="1418"/>
                    <w:tab w:val="left" w:pos="1701"/>
                  </w:tabs>
                  <w:jc w:val="both"/>
                  <w:rPr>
                    <w:color w:val="000000"/>
                    <w:szCs w:val="24"/>
                  </w:rPr>
                </w:pPr>
                <w:r>
                  <w:rPr>
                    <w:bCs/>
                    <w:iCs/>
                    <w:szCs w:val="24"/>
                  </w:rPr>
                  <w:t xml:space="preserve">2.12. Projektui taikomos matomumo ir informavimo priemonės nurodytos Projektų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 VIII skyriaus „Kiti projektų reikalavimai“ pirmojo skirsnio „Informavimas apie projektą ir komunikacija“ 341.1 papunktyje. </w:t>
                </w:r>
                <w:r>
                  <w:rPr>
                    <w:szCs w:val="24"/>
                  </w:rPr>
                  <w:t>Komunikacija neturi būti naudojama politinei reklamai, t. y. už užmokestį žiniasklaidos priemonėse (televizijoje, radijuje, internete, spaudoje ar kt.) neturi būti skleidžiama informacija apie valstybės politiko, politinės partijos, politinės partijos nario ar politinės kampanijos dalyvio veiklą arba jų vardu</w:t>
                </w:r>
                <w:r>
                  <w:rPr>
                    <w:color w:val="000000"/>
                    <w:szCs w:val="24"/>
                  </w:rPr>
                  <w:t xml:space="preserve">. </w:t>
                </w:r>
                <w:r>
                  <w:rPr>
                    <w:bCs/>
                    <w:iCs/>
                    <w:szCs w:val="24"/>
                  </w:rPr>
                  <w:t>Papildomi matomumo reikalavimai nenustatomi.</w:t>
                </w:r>
              </w:p>
              <w:p w14:paraId="0F2FC8D1" w14:textId="0245ABF6">
                <w:pPr>
                  <w:tabs>
                    <w:tab w:val="left" w:pos="589"/>
                  </w:tabs>
                  <w:jc w:val="both"/>
                  <w:rPr>
                    <w:bCs/>
                    <w:iCs/>
                    <w:szCs w:val="24"/>
                  </w:rPr>
                </w:pPr>
                <w:r>
                  <w:rPr>
                    <w:bCs/>
                    <w:iCs/>
                    <w:szCs w:val="24"/>
                  </w:rPr>
                  <w:t>2.13. Kartu su PĮP administruojančiajai institucijai turi būti pateikti šie priedai:</w:t>
                </w:r>
              </w:p>
              <w:p w14:paraId="3737BC03" w14:textId="24AEC113">
                <w:pPr>
                  <w:tabs>
                    <w:tab w:val="left" w:pos="731"/>
                  </w:tabs>
                  <w:ind w:left="29" w:hanging="29"/>
                  <w:jc w:val="both"/>
                  <w:rPr>
                    <w:bCs/>
                    <w:iCs/>
                    <w:szCs w:val="24"/>
                  </w:rPr>
                </w:pPr>
                <w:r>
                  <w:rPr>
                    <w:bCs/>
                    <w:iCs/>
                    <w:szCs w:val="24"/>
                  </w:rPr>
                  <w:t>2.13.1. įgaliojimas pasirašyti PĮP, jei jį pasirašo ne pareiškėjo įstaigos vadovas;</w:t>
                </w:r>
              </w:p>
              <w:p w14:paraId="7034A0DE" w14:textId="143AE65D">
                <w:pPr>
                  <w:tabs>
                    <w:tab w:val="decimal" w:pos="458"/>
                    <w:tab w:val="left" w:pos="660"/>
                  </w:tabs>
                  <w:ind w:left="29" w:hanging="29"/>
                  <w:jc w:val="both"/>
                  <w:rPr>
                    <w:bCs/>
                    <w:iCs/>
                    <w:szCs w:val="24"/>
                  </w:rPr>
                </w:pPr>
                <w:r>
                  <w:rPr>
                    <w:bCs/>
                    <w:iCs/>
                    <w:szCs w:val="24"/>
                  </w:rPr>
                  <w:t>2.13.2. partnerio (-ių) deklaracija (-os) (Projektų administravimo ir finansavimo taisyklių 1 priedo „Projekto įgyvendinimo planas“ 1 priedas „Partnerio deklaracija“);</w:t>
                </w:r>
              </w:p>
              <w:p w14:paraId="2E0C666D" w14:textId="17CFBFE9">
                <w:pPr>
                  <w:tabs>
                    <w:tab w:val="decimal" w:pos="458"/>
                    <w:tab w:val="left" w:pos="660"/>
                  </w:tabs>
                  <w:ind w:left="29" w:hanging="29"/>
                  <w:jc w:val="both"/>
                  <w:rPr>
                    <w:bCs/>
                    <w:iCs/>
                    <w:szCs w:val="24"/>
                  </w:rPr>
                </w:pPr>
                <w:r>
                  <w:rPr>
                    <w:bCs/>
                    <w:iCs/>
                    <w:szCs w:val="24"/>
                  </w:rPr>
                  <w:t>2.13.3. informacija apie projekto biudžeto pasiskirstymą (Projektų administravimo ir finansavimo taisyklių 1 priedo „Projekto įgyvendinimo plano forma“ 2 priedas „Informacija apie projekto biudžeto paskirstymą“);</w:t>
                </w:r>
              </w:p>
              <w:p w14:paraId="159E14E0" w14:textId="0823D498">
                <w:pPr>
                  <w:tabs>
                    <w:tab w:val="left" w:pos="731"/>
                  </w:tabs>
                  <w:jc w:val="both"/>
                  <w:rPr>
                    <w:bCs/>
                    <w:iCs/>
                    <w:szCs w:val="24"/>
                  </w:rPr>
                </w:pPr>
                <w:r>
                  <w:rPr>
                    <w:bCs/>
                    <w:iCs/>
                    <w:szCs w:val="24"/>
                  </w:rPr>
                  <w:t>2.13.4.</w:t>
                  <w:tab/>
                  <w:t xml:space="preserve">dokumentai, pagrindžiantys projekto išlaidų pagrįstumą (sudarytos sutartys, komerciniai pasiūlymai, nuorodos į rinkoje esančias kainas (pvz., Centrinėje viešųjų pirkimų informacinėje sistemoje), jeigu išlaidos grindžiamos tiekėjų pasiūlymais, paklausimai tiekėjams, projektą vykdančių darbuotojų poreikis (veiklų sąrašas, kuriame būtų nurodytos projektą vykdančių asmenų darbo valandos projekte, valandinis įkainis, jo pagrindimas); projektą vykdančių darbuotojų darbo užmokesčio išlaidų pagrįstumą (veiklų sąrašą, kuriame būtų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Statistikos departamento skelbiamu vidutiniu analogiškos kategorijos specialistų  darbo užmokesčiu </w:t>
                </w:r>
                <w:r>
                  <w:t>ir (ar) įstaigos pastarųjų 6 mėn. analogiškos pareigybės darbo užmokesčiu</w:t>
                </w:r>
                <w:r>
                  <w:rPr>
                    <w:bCs/>
                    <w:iCs/>
                    <w:szCs w:val="24"/>
                  </w:rPr>
                  <w:t>.</w:t>
                </w:r>
              </w:p>
              <w:p w14:paraId="30715DBE" w14:textId="0C6E3DA5">
                <w:pPr>
                  <w:tabs>
                    <w:tab w:val="left" w:pos="731"/>
                  </w:tabs>
                  <w:jc w:val="both"/>
                  <w:rPr>
                    <w:bCs/>
                    <w:iCs/>
                    <w:szCs w:val="24"/>
                  </w:rPr>
                </w:pPr>
                <w:r>
                  <w:rPr>
                    <w:bCs/>
                    <w:iCs/>
                    <w:szCs w:val="24"/>
                  </w:rPr>
                  <w:t>Dėl numatomų įsigyti paslaugų turi būti pateikti ne mažiau kaip du komerciniai pasiūlymai, užpildyta rinkos tyrimo suvestinė (Aprašo priedas Nr. 8.1) atskirai kiekvienai paslaugai ir įrangai, įsigyjamai projekto lėšomis;</w:t>
                </w:r>
              </w:p>
              <w:p w14:paraId="59306F52" w14:textId="6254A6DA">
                <w:pPr>
                  <w:tabs>
                    <w:tab w:val="left" w:pos="731"/>
                  </w:tabs>
                  <w:jc w:val="both"/>
                  <w:rPr>
                    <w:bCs/>
                    <w:iCs/>
                    <w:szCs w:val="24"/>
                  </w:rPr>
                </w:pPr>
                <w:r>
                  <w:rPr>
                    <w:bCs/>
                    <w:iCs/>
                    <w:szCs w:val="24"/>
                  </w:rPr>
                  <w:t>2.13.5.</w:t>
                  <w:tab/>
                  <w:t xml:space="preserve">pareiškėjo ir partnerio (-ių)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savivaldybės tarybos sprendimas, banko sąskaitos išrašas ar kt. dokumentai). </w:t>
                </w:r>
              </w:p>
              <w:p w14:paraId="2169EBA1" w14:textId="69F39F82">
                <w:pPr>
                  <w:tabs>
                    <w:tab w:val="left" w:pos="731"/>
                  </w:tabs>
                  <w:jc w:val="both"/>
                  <w:rPr>
                    <w:bCs/>
                    <w:iCs/>
                    <w:szCs w:val="24"/>
                  </w:rPr>
                </w:pPr>
                <w:r>
                  <w:rPr>
                    <w:bCs/>
                    <w:iCs/>
                    <w:szCs w:val="24"/>
                  </w:rPr>
                  <w:t xml:space="preserve">Teikiant PĮP turi būti pateiktas  pareiškėjo ir partnerio (-ių) įstaigos vadovo pasirašytas dokumentas dėl minėtų įsipareigojimų. Savivaldybės tarybos sprendimas (jei būtinas) turi būti pateiktas iki projekto sutarties pasirašymo.</w:t>
                </w:r>
              </w:p>
            </w:tc>
          </w:tr>
          <w:tr w14:paraId="2C5A959B" w14:textId="77777777">
            <w:tc>
              <w:tcPr>
                <w:tcW w:w="14709" w:type="dxa"/>
              </w:tcPr>
              <w:p w14:paraId="36E28D7C" w14:textId="77777777">
                <w:pPr>
                  <w:jc w:val="both"/>
                  <w:rPr>
                    <w:iCs/>
                    <w:szCs w:val="24"/>
                  </w:rPr>
                </w:pPr>
                <w:r>
                  <w:rPr>
                    <w:b/>
                    <w:szCs w:val="24"/>
                  </w:rPr>
                  <w:t>2.1. Reikalavimai jungtinio projekto projektams</w:t>
                </w:r>
              </w:p>
            </w:tc>
          </w:tr>
          <w:tr w14:paraId="38BE2ECA" w14:textId="77777777">
            <w:trPr>
              <w:trHeight w:val="215"/>
            </w:trPr>
            <w:tc>
              <w:tcPr>
                <w:tcW w:w="14709" w:type="dxa"/>
              </w:tcPr>
              <w:p w14:paraId="763DB7B9" w14:textId="5257739F">
                <w:pPr>
                  <w:jc w:val="both"/>
                  <w:rPr>
                    <w:i/>
                    <w:iCs/>
                    <w:szCs w:val="24"/>
                  </w:rPr>
                </w:pPr>
                <w:r>
                  <w:rPr>
                    <w:i/>
                    <w:iCs/>
                    <w:szCs w:val="24"/>
                  </w:rPr>
                  <w:t>Netaikoma.</w:t>
                </w:r>
              </w:p>
            </w:tc>
          </w:tr>
          <w:tr w14:paraId="28933284" w14:textId="77777777">
            <w:trPr>
              <w:trHeight w:val="285"/>
            </w:trPr>
            <w:tc>
              <w:tcPr>
                <w:tcW w:w="14709" w:type="dxa"/>
              </w:tcPr>
              <w:p w14:paraId="7315DB83" w14:textId="77777777">
                <w:pPr>
                  <w:rPr>
                    <w:sz w:val="22"/>
                    <w:szCs w:val="22"/>
                  </w:rPr>
                </w:pPr>
                <w:r>
                  <w:rPr>
                    <w:b/>
                    <w:szCs w:val="24"/>
                  </w:rPr>
                  <w:t>3. Horizontaliųjų principų (toliau – HP) reikalavimai</w:t>
                </w:r>
              </w:p>
            </w:tc>
          </w:tr>
          <w:tr w14:paraId="02E4D004" w14:textId="77777777">
            <w:tc>
              <w:tcPr>
                <w:tcW w:w="14709" w:type="dxa"/>
              </w:tcPr>
              <w:p w14:paraId="42951E0E" w14:textId="4E98F22D">
                <w:pPr>
                  <w:jc w:val="both"/>
                  <w:rPr>
                    <w:szCs w:val="24"/>
                  </w:rPr>
                </w:pPr>
                <w:r>
                  <w:rPr>
                    <w:szCs w:val="24"/>
                  </w:rPr>
                  <w:t>3.1. Projekte negali būti numatyta:</w:t>
                </w:r>
              </w:p>
              <w:p w14:paraId="6DAED88C" w14:textId="590DCF93">
                <w:pPr>
                  <w:jc w:val="both"/>
                  <w:rPr>
                    <w:szCs w:val="24"/>
                  </w:rPr>
                </w:pPr>
                <w:r>
                  <w:rPr>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principo įgyvendinimui; </w:t>
                </w:r>
              </w:p>
              <w:p w14:paraId="2339FE7D" w14:textId="36CBF26A">
                <w:pPr>
                  <w:jc w:val="both"/>
                  <w:rPr>
                    <w:szCs w:val="24"/>
                  </w:rPr>
                </w:pPr>
                <w:r>
                  <w:rPr>
                    <w:szCs w:val="24"/>
                  </w:rPr>
                  <w:t>3.1.2. veiksmų, kurie turėtų neigiamą poveikį darnaus vystymosi principo įgyvendinimui.</w:t>
                </w:r>
              </w:p>
            </w:tc>
          </w:tr>
          <w:tr w14:paraId="48E0E687" w14:textId="77777777">
            <w:tc>
              <w:tcPr>
                <w:tcW w:w="14709" w:type="dxa"/>
              </w:tcPr>
              <w:p w14:paraId="1F0CCB53" w14:textId="45F77D74">
                <w:pPr>
                  <w:spacing w:line="259" w:lineRule="auto"/>
                  <w:jc w:val="both"/>
                  <w:rPr>
                    <w:b/>
                    <w:iCs/>
                    <w:szCs w:val="24"/>
                  </w:rPr>
                </w:pPr>
                <w:r>
                  <w:rPr>
                    <w:b/>
                    <w:iCs/>
                    <w:szCs w:val="24"/>
                  </w:rPr>
                  <w:t>3.1. Europos Sąjungos pagrindinių teisių chartijos (toliau – Chartija) reikalavimai</w:t>
                </w:r>
              </w:p>
            </w:tc>
          </w:tr>
          <w:tr w14:paraId="3A9654E5" w14:textId="77777777">
            <w:tc>
              <w:tcPr>
                <w:tcW w:w="14709" w:type="dxa"/>
              </w:tcPr>
              <w:p w14:paraId="76F89C6F" w14:textId="4FE06E22">
                <w:pPr>
                  <w:spacing w:line="276" w:lineRule="auto"/>
                  <w:jc w:val="both"/>
                  <w:rPr>
                    <w:szCs w:val="24"/>
                  </w:rPr>
                </w:pPr>
                <w:r>
                  <w:rPr>
                    <w:szCs w:val="24"/>
                  </w:rPr>
                  <w:t>Projekto įgyvendinimo metu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14:paraId="24EC0894" w14:textId="77777777">
            <w:tc>
              <w:tcPr>
                <w:tcW w:w="14709" w:type="dxa"/>
              </w:tcPr>
              <w:p w14:paraId="3443B7B9" w14:textId="77777777">
                <w:pPr>
                  <w:rPr>
                    <w:b/>
                    <w:szCs w:val="24"/>
                  </w:rPr>
                </w:pPr>
                <w:r>
                  <w:rPr>
                    <w:b/>
                    <w:szCs w:val="24"/>
                  </w:rPr>
                  <w:t>4. Apskritis, kurioje gali būti įgyvendinami projektai</w:t>
                </w:r>
              </w:p>
            </w:tc>
          </w:tr>
          <w:tr w14:paraId="5E6A3E47" w14:textId="77777777">
            <w:tc>
              <w:tcPr>
                <w:tcW w:w="14709" w:type="dxa"/>
              </w:tcPr>
              <w:p w14:paraId="0E11DD7A" w14:textId="5C7FF11D">
                <w:pPr>
                  <w:rPr>
                    <w:szCs w:val="24"/>
                  </w:rPr>
                </w:pPr>
                <w:r>
                  <w:rPr>
                    <w:rFonts w:eastAsia="Calibri"/>
                    <w:szCs w:val="24"/>
                  </w:rPr>
                  <w:t xml:space="preserve">Pasirinkta modelio įgyvendinimo teritorija pagal </w:t>
                </w:r>
                <w:r>
                  <w:rPr>
                    <w:szCs w:val="24"/>
                  </w:rPr>
                  <w:t>Aprašo 2.7 papunkčio reikalavimus.</w:t>
                </w:r>
              </w:p>
            </w:tc>
          </w:tr>
          <w:tr w14:paraId="4255308F" w14:textId="77777777">
            <w:tc>
              <w:tcPr>
                <w:tcW w:w="14709" w:type="dxa"/>
              </w:tcPr>
              <w:p w14:paraId="2CE40309" w14:textId="77777777">
                <w:pPr>
                  <w:jc w:val="both"/>
                  <w:rPr>
                    <w:b/>
                    <w:szCs w:val="24"/>
                  </w:rPr>
                </w:pPr>
                <w:r>
                  <w:rPr>
                    <w:b/>
                    <w:szCs w:val="24"/>
                  </w:rPr>
                  <w:t xml:space="preserve">5. Reikalavimai valstybės pagalbai </w:t>
                </w:r>
              </w:p>
            </w:tc>
          </w:tr>
          <w:tr w14:paraId="5033E6F9" w14:textId="77777777">
            <w:tc>
              <w:tcPr>
                <w:tcW w:w="14709" w:type="dxa"/>
              </w:tcPr>
              <w:p w14:paraId="2AEC8EED" w14:textId="7A9DE7AF">
                <w:pPr>
                  <w:jc w:val="both"/>
                  <w:rPr>
                    <w:i/>
                    <w:iCs/>
                    <w:strike/>
                    <w:szCs w:val="24"/>
                  </w:rPr>
                </w:pPr>
                <w:r>
                  <w:rPr>
                    <w:i/>
                    <w:iCs/>
                    <w:szCs w:val="24"/>
                  </w:rPr>
                  <w:t>Neaktualu.</w:t>
                </w:r>
              </w:p>
            </w:tc>
          </w:tr>
          <w:tr w14:paraId="5431B53A" w14:textId="77777777">
            <w:tc>
              <w:tcPr>
                <w:tcW w:w="14709" w:type="dxa"/>
              </w:tcPr>
              <w:p w14:paraId="7230C63B" w14:textId="77777777">
                <w:pPr>
                  <w:ind w:left="426" w:hanging="426"/>
                  <w:jc w:val="both"/>
                  <w:rPr>
                    <w:i/>
                    <w:szCs w:val="24"/>
                  </w:rPr>
                </w:pPr>
                <w:r>
                  <w:rPr>
                    <w:b/>
                    <w:szCs w:val="24"/>
                  </w:rPr>
                  <w:t>6. Projektų atrankos kriterijai</w:t>
                </w:r>
              </w:p>
            </w:tc>
          </w:tr>
          <w:tr w14:paraId="6EC0F0C5" w14:textId="77777777">
            <w:trPr>
              <w:trHeight w:val="416"/>
            </w:trPr>
            <w:tc>
              <w:tcPr>
                <w:tcW w:w="14709" w:type="dxa"/>
              </w:tcPr>
              <w:p w14:paraId="5B2B990B" w14:textId="77777777">
                <w:pPr>
                  <w:tabs>
                    <w:tab w:val="left" w:pos="1418"/>
                  </w:tabs>
                  <w:jc w:val="both"/>
                  <w:rPr>
                    <w:szCs w:val="24"/>
                  </w:rPr>
                </w:pPr>
                <w:r>
                  <w:rPr>
                    <w:color w:val="000000"/>
                    <w:szCs w:val="24"/>
                  </w:rPr>
                  <w:t>Projektas turi atitikti šiuos bendruosius projektų atrankos kriterijus</w:t>
                </w:r>
                <w:r>
                  <w:rPr>
                    <w:szCs w:val="24"/>
                  </w:rPr>
                  <w:t>:</w:t>
                </w:r>
              </w:p>
              <w:p w14:paraId="329B1D01" w14:textId="606DE590">
                <w:pPr>
                  <w:tabs>
                    <w:tab w:val="left" w:pos="851"/>
                    <w:tab w:val="left" w:pos="993"/>
                    <w:tab w:val="left" w:pos="1134"/>
                    <w:tab w:val="left" w:pos="1418"/>
                  </w:tabs>
                  <w:jc w:val="both"/>
                  <w:rPr>
                    <w:rFonts w:eastAsia="Calibri"/>
                    <w:szCs w:val="24"/>
                  </w:rPr>
                </w:pPr>
                <w:r>
                  <w:rPr>
                    <w:rFonts w:eastAsia="Calibri"/>
                    <w:szCs w:val="24"/>
                  </w:rPr>
                  <w:t xml:space="preserve">1. projektu prisidedama prie 2022–2030 m. Lietuvos Respublikos sveikatos apsaugos ministerijos Sveikatos priežiūros kokybės ir efektyvumo didinimo plėtros programoje nurodytų 2021–2030 metų nacionalinio pažangos plano, patvirtinto Lietuvos Respublikos Vyriausybės 2020 m. rugsėjo 9 d. nutarimu Nr. 998 „Dėl 2021–2030 metų nacionalinio pažangos plano patvirtinimo“ (toliau – Nacionalinis pažangos planas), pažangos uždavinių ir pažangos priemonės </w:t>
                </w:r>
                <w:r>
                  <w:rPr>
                    <w:color w:val="000000"/>
                    <w:szCs w:val="24"/>
                  </w:rPr>
                  <w:t xml:space="preserve">Nr. 11-002-02-11-01 „Gerinti sveikatos priežiūros paslaugų kokybę ir prieinamumą“ </w:t>
                </w:r>
                <w:r>
                  <w:rPr>
                    <w:rFonts w:eastAsia="Calibri"/>
                    <w:szCs w:val="24"/>
                  </w:rPr>
                  <w:t>šiame Apraše nurodytų rodiklių;</w:t>
                </w:r>
              </w:p>
              <w:p w14:paraId="03B47952" w14:textId="77777777">
                <w:pPr>
                  <w:tabs>
                    <w:tab w:val="left" w:pos="851"/>
                    <w:tab w:val="left" w:pos="993"/>
                    <w:tab w:val="left" w:pos="1134"/>
                    <w:tab w:val="left" w:pos="1418"/>
                  </w:tabs>
                  <w:jc w:val="both"/>
                  <w:rPr>
                    <w:rFonts w:eastAsia="Calibri"/>
                    <w:szCs w:val="24"/>
                  </w:rPr>
                </w:pPr>
                <w:r>
                  <w:rPr>
                    <w:szCs w:val="24"/>
                  </w:rPr>
                  <w:t xml:space="preserve">2. </w:t>
                </w:r>
                <w:r>
                  <w:rPr>
                    <w:rFonts w:eastAsia="Calibri"/>
                    <w:szCs w:val="24"/>
                  </w:rPr>
                  <w:t>projektas neturi neigiamo poveikio Nacionalinio pažangos plano horizontaliesiems principams;</w:t>
                </w:r>
              </w:p>
              <w:p w14:paraId="3D9EFCFB" w14:textId="77777777">
                <w:pPr>
                  <w:tabs>
                    <w:tab w:val="left" w:pos="851"/>
                    <w:tab w:val="left" w:pos="993"/>
                    <w:tab w:val="left" w:pos="1134"/>
                    <w:tab w:val="left" w:pos="1418"/>
                  </w:tabs>
                  <w:jc w:val="both"/>
                  <w:rPr>
                    <w:rFonts w:eastAsia="Calibri"/>
                    <w:szCs w:val="24"/>
                  </w:rPr>
                </w:pPr>
                <w:r>
                  <w:rPr>
                    <w:szCs w:val="24"/>
                  </w:rPr>
                  <w:t xml:space="preserve">3. </w:t>
                </w:r>
                <w:r>
                  <w:rPr>
                    <w:rFonts w:eastAsia="Calibri"/>
                    <w:szCs w:val="24"/>
                  </w:rPr>
                  <w:t>projektas dera su Europos Sąjungos konkurencijos politikos nuostatomis;</w:t>
                </w:r>
              </w:p>
              <w:p w14:paraId="175BF9E2" w14:textId="77777777">
                <w:pPr>
                  <w:tabs>
                    <w:tab w:val="left" w:pos="851"/>
                    <w:tab w:val="left" w:pos="993"/>
                    <w:tab w:val="left" w:pos="1134"/>
                    <w:tab w:val="left" w:pos="1418"/>
                  </w:tabs>
                  <w:jc w:val="both"/>
                  <w:rPr>
                    <w:rFonts w:eastAsia="Calibri"/>
                    <w:szCs w:val="24"/>
                  </w:rPr>
                </w:pPr>
                <w:r>
                  <w:rPr>
                    <w:szCs w:val="24"/>
                  </w:rPr>
                  <w:t xml:space="preserve">4. </w:t>
                </w:r>
                <w:r>
                  <w:rPr>
                    <w:rFonts w:eastAsia="Calibri"/>
                    <w:szCs w:val="24"/>
                  </w:rPr>
                  <w:t>projektu siekiama aiškių, realių ir pamatuojamų rezultatų;</w:t>
                </w:r>
              </w:p>
              <w:p w14:paraId="3E8E1EA1" w14:textId="77777777">
                <w:pPr>
                  <w:tabs>
                    <w:tab w:val="left" w:pos="851"/>
                    <w:tab w:val="left" w:pos="993"/>
                    <w:tab w:val="left" w:pos="1134"/>
                    <w:tab w:val="left" w:pos="1418"/>
                  </w:tabs>
                  <w:jc w:val="both"/>
                  <w:rPr>
                    <w:rFonts w:eastAsia="Calibri"/>
                    <w:szCs w:val="24"/>
                  </w:rPr>
                </w:pPr>
                <w:r>
                  <w:rPr>
                    <w:rFonts w:eastAsia="Calibri"/>
                    <w:szCs w:val="24"/>
                  </w:rPr>
                  <w:t>5. užtikrintas efektyvus projektui įgyvendinti reikalingų lėšų panaudojimas;</w:t>
                </w:r>
              </w:p>
              <w:p w14:paraId="4D5C7352" w14:textId="6D39E3EC">
                <w:pPr>
                  <w:tabs>
                    <w:tab w:val="left" w:pos="851"/>
                    <w:tab w:val="left" w:pos="993"/>
                    <w:tab w:val="left" w:pos="1134"/>
                    <w:tab w:val="left" w:pos="1418"/>
                  </w:tabs>
                  <w:jc w:val="both"/>
                  <w:rPr>
                    <w:szCs w:val="24"/>
                  </w:rPr>
                </w:pPr>
                <w:r>
                  <w:rPr>
                    <w:szCs w:val="24"/>
                  </w:rPr>
                  <w:t xml:space="preserve">6. </w:t>
                </w:r>
                <w:r>
                  <w:rPr>
                    <w:rFonts w:eastAsia="Calibri"/>
                    <w:szCs w:val="24"/>
                  </w:rPr>
                  <w:t>projekto vykdytojas</w:t>
                </w:r>
                <w:r>
                  <w:rPr>
                    <w:szCs w:val="24"/>
                  </w:rPr>
                  <w:t xml:space="preserve"> organizaciniu ir finansiniu požiūriu yra pajėgus tinkamai ir laiku įgyvendinti projektą ir užtikrinti projekto rezultatų tęstinumą.</w:t>
                </w:r>
              </w:p>
            </w:tc>
          </w:tr>
          <w:tr w14:paraId="3E328D52" w14:textId="77777777">
            <w:trPr>
              <w:trHeight w:val="309"/>
            </w:trPr>
            <w:tc>
              <w:tcPr>
                <w:tcW w:w="14709" w:type="dxa"/>
              </w:tcPr>
              <w:p w14:paraId="7AE1A98D"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044A739F" w14:textId="77777777">
            <w:trPr>
              <w:trHeight w:val="371"/>
            </w:trPr>
            <w:tc>
              <w:tcPr>
                <w:tcW w:w="14709" w:type="dxa"/>
              </w:tcPr>
              <w:p w14:paraId="060B8DC5" w14:textId="069298CB">
                <w:pPr>
                  <w:jc w:val="both"/>
                  <w:rPr>
                    <w:i/>
                    <w:szCs w:val="24"/>
                  </w:rPr>
                </w:pPr>
                <w:r>
                  <w:rPr>
                    <w:i/>
                    <w:szCs w:val="24"/>
                  </w:rPr>
                  <w:t>Netaikoma.</w:t>
                </w:r>
              </w:p>
            </w:tc>
          </w:tr>
          <w:tr w14:paraId="0375E638" w14:textId="77777777">
            <w:tc>
              <w:tcPr>
                <w:tcW w:w="14709" w:type="dxa"/>
              </w:tcPr>
              <w:p w14:paraId="37423EF4" w14:textId="77777777">
                <w:pPr>
                  <w:rPr>
                    <w:b/>
                    <w:szCs w:val="24"/>
                  </w:rPr>
                </w:pPr>
                <w:r>
                  <w:rPr>
                    <w:b/>
                    <w:szCs w:val="24"/>
                  </w:rPr>
                  <w:t xml:space="preserve">7. Reikalavimai įgyvendinus projektų veiklas </w:t>
                </w:r>
              </w:p>
            </w:tc>
          </w:tr>
          <w:tr w14:paraId="6F0F816D" w14:textId="77777777">
            <w:tc>
              <w:tcPr>
                <w:tcW w:w="14709" w:type="dxa"/>
              </w:tcPr>
              <w:p w14:paraId="74F39249" w14:textId="77777777">
                <w:pPr>
                  <w:jc w:val="both"/>
                  <w:rPr>
                    <w:bCs/>
                    <w:szCs w:val="24"/>
                  </w:rPr>
                </w:pPr>
                <w:r>
                  <w:t>Pavėžėjimo paslaugų tęstinumo užtikrinimas.</w:t>
                </w:r>
                <w:r>
                  <w:rPr>
                    <w:bCs/>
                    <w:szCs w:val="24"/>
                  </w:rPr>
                  <w:t xml:space="preserve"> </w:t>
                </w:r>
              </w:p>
              <w:p w14:paraId="197636F6" w14:textId="7C3FA4F3">
                <w:pPr>
                  <w:jc w:val="both"/>
                  <w:rPr>
                    <w:iCs/>
                    <w:szCs w:val="24"/>
                  </w:rPr>
                </w:pPr>
                <w:r>
                  <w:rPr>
                    <w:bCs/>
                    <w:szCs w:val="24"/>
                  </w:rPr>
                  <w:t>Projekto vykdytojas</w:t>
                </w:r>
                <w:r>
                  <w:rPr>
                    <w:iCs/>
                    <w:szCs w:val="24"/>
                  </w:rPr>
                  <w:t xml:space="preserve"> ir partneriai turi įsipareigoti teikti tos pačios apimties pacientų pavėžėjimo paslaugas po Aprašo 2.5.2.2 papunktyje nurodyto II etapo įgyvendinimo, t. y. užtikrinti Aprašo 2.5.2.4 papunktyje nurodyto IV etapo įgyvendinimą.  Valstybės lygmens pavėžėjimo paslaugų  organizavimas ir teikimas IV etape </w:t>
                </w:r>
                <w:r>
                  <w:t xml:space="preserve">finansuojamas šio projekto lėšomis, savivaldybių lygmens </w:t>
                </w:r>
                <w:r>
                  <w:rPr>
                    <w:iCs/>
                    <w:szCs w:val="24"/>
                  </w:rPr>
                  <w:t xml:space="preserve"> pavėžėjimo paslaugų organizavimas ir teikimas </w:t>
                </w:r>
                <w:r>
                  <w:t>užtikrinamas iš nuosavų lėšų – privalomas savivaldybių, dalyvaujančių projekte, nuosavas finansinis prisidėjimas prie projekto.</w:t>
                </w:r>
              </w:p>
              <w:p w14:paraId="3E412188" w14:textId="5068BCFC">
                <w:pPr>
                  <w:jc w:val="both"/>
                  <w:rPr>
                    <w:iCs/>
                    <w:szCs w:val="24"/>
                  </w:rPr>
                </w:pPr>
                <w:r>
                  <w:rPr>
                    <w:iCs/>
                    <w:szCs w:val="24"/>
                  </w:rPr>
                  <w:t>Įsigyto turto ir kitų išteklių panaudojimo tęstinumo užtikrinimas.</w:t>
                </w:r>
              </w:p>
              <w:p w14:paraId="5D0DA212" w14:textId="36E9FDC1">
                <w:pPr>
                  <w:jc w:val="both"/>
                  <w:rPr>
                    <w:iCs/>
                    <w:szCs w:val="24"/>
                  </w:rPr>
                </w:pPr>
                <w:r>
                  <w:rPr>
                    <w:bCs/>
                    <w:szCs w:val="24"/>
                  </w:rPr>
                  <w:t>Projekto vykdytojas</w:t>
                </w:r>
                <w:r>
                  <w:rPr>
                    <w:iCs/>
                    <w:szCs w:val="24"/>
                  </w:rPr>
                  <w:t xml:space="preserve"> ir partneriai turi įsipareigoti projekto įgyvendinimo metu įsigytą turtą, kitus išteklius (pvz., apmokytus darbuotojus, įgytą patirtį) toliau siekti naudoti  pacientų pavėžėjimo paslaugoms organizuoti ir šias paslaugas teikti ne trumpiau kaip 3 metus nuo projekto įgyvendinimo pabaigos.</w:t>
                </w:r>
              </w:p>
            </w:tc>
          </w:tr>
          <w:tr w14:paraId="302BDEA4" w14:textId="77777777">
            <w:tc>
              <w:tcPr>
                <w:tcW w:w="14709" w:type="dxa"/>
              </w:tcPr>
              <w:p w14:paraId="40E51A39" w14:textId="77777777">
                <w:pPr>
                  <w:rPr>
                    <w:szCs w:val="24"/>
                  </w:rPr>
                </w:pPr>
                <w:r>
                  <w:rPr>
                    <w:b/>
                    <w:szCs w:val="24"/>
                  </w:rPr>
                  <w:t>8. Kiti reikalavimai</w:t>
                </w:r>
              </w:p>
            </w:tc>
          </w:tr>
          <w:tr w14:paraId="11CC9E83" w14:textId="77777777">
            <w:tc>
              <w:tcPr>
                <w:tcW w:w="14709" w:type="dxa"/>
              </w:tcPr>
              <w:p w14:paraId="1ACBA6D9" w14:textId="6FCC1ADC">
                <w:pPr>
                  <w:tabs>
                    <w:tab w:val="left" w:pos="449"/>
                  </w:tabs>
                  <w:jc w:val="both"/>
                  <w:rPr>
                    <w:iCs/>
                    <w:szCs w:val="24"/>
                  </w:rPr>
                </w:pPr>
                <w:r>
                  <w:rPr>
                    <w:iCs/>
                    <w:szCs w:val="24"/>
                  </w:rPr>
                  <w:t xml:space="preserve">Projekto stebėsenai vykdyti bus sudarytas Priežiūros komitetas. Projekto įgyvendinimas tiesiogiai susijęs su Ekstremalių situacijų valdymo informacinės sistemos tobulinimo projektu. </w:t>
                </w:r>
                <w:r>
                  <w:t xml:space="preserve">Projekto administravimo ir finansavimo procedūroms taikomos </w:t>
                </w:r>
                <w:r>
                  <w:rPr>
                    <w:i/>
                    <w:iCs/>
                  </w:rPr>
                  <w:t>mutatis mutandis</w:t>
                </w:r>
                <w:r>
                  <w:t xml:space="preserve"> Projektų administravimo ir finansavimo taisyklių, išskyrus II skyriaus trečio skirsnio – informacijos skelbimas svetainėje esinvesticijos.lt, III skyriaus penktojo skirsnio – projekto naudos ir kokybės vertinimas; IV skyriaus šeštojo skirsnio – informacija apie ESF+ arba EGADP projektų dalyvius, septintojo skirsnio – patikra vietoje, aštuntojo skirsnio – pažeidimų tyrimas; dešimtojo skirsnio – investicijų tęstinumas, V skyrius – JP projektų atranka, administravimas ir įgyvendinimas; VIII skyriaus trečiojo skirsnio – konkurencijos politika, nuostatos. Projekto administravimą vykdanti viešoji įstaiga Centrinė projektų valdymo agentūra vykdo dvigubo tos pačios veiklos tų pačių išlaidų finansavimo prevenciją.</w:t>
                </w:r>
              </w:p>
            </w:tc>
          </w:tr>
          <w:tr w14:paraId="315AEE96" w14:textId="77777777">
            <w:tc>
              <w:tcPr>
                <w:tcW w:w="14709" w:type="dxa"/>
              </w:tcPr>
              <w:p w14:paraId="71E9CC99" w14:textId="77777777">
                <w:pPr>
                  <w:rPr>
                    <w:b/>
                    <w:szCs w:val="24"/>
                  </w:rPr>
                </w:pPr>
                <w:r>
                  <w:rPr>
                    <w:b/>
                    <w:szCs w:val="24"/>
                  </w:rPr>
                  <w:t>IŠLAIDŲ TINKAMUMO FINANSUOTI REIKALAVIMAI</w:t>
                </w:r>
              </w:p>
            </w:tc>
          </w:tr>
          <w:tr w14:paraId="28A77A62" w14:textId="77777777">
            <w:tc>
              <w:tcPr>
                <w:tcW w:w="14709" w:type="dxa"/>
              </w:tcPr>
              <w:p w14:paraId="087FC4A4" w14:textId="77777777">
                <w:pPr>
                  <w:jc w:val="both"/>
                  <w:rPr>
                    <w:b/>
                    <w:szCs w:val="24"/>
                  </w:rPr>
                </w:pPr>
                <w:r>
                  <w:rPr>
                    <w:b/>
                    <w:szCs w:val="24"/>
                  </w:rPr>
                  <w:t>9. Išlaidų tinkamumo finansuoti reikalavimai</w:t>
                </w:r>
              </w:p>
            </w:tc>
          </w:tr>
          <w:tr w14:paraId="73643E95" w14:textId="77777777">
            <w:tc>
              <w:tcPr>
                <w:tcW w:w="14709" w:type="dxa"/>
              </w:tcPr>
              <w:p w14:paraId="59696426" w14:textId="0FFD005D">
                <w:pPr>
                  <w:tabs>
                    <w:tab w:val="left" w:pos="458"/>
                  </w:tabs>
                  <w:jc w:val="both"/>
                  <w:rPr>
                    <w:bCs/>
                    <w:szCs w:val="24"/>
                  </w:rPr>
                </w:pPr>
                <w:r>
                  <w:rPr>
                    <w:bCs/>
                    <w:szCs w:val="24"/>
                  </w:rPr>
                  <w:t>9.1.</w:t>
                </w:r>
                <w:r>
                  <w:rPr>
                    <w:b/>
                    <w:szCs w:val="24"/>
                  </w:rPr>
                  <w:tab/>
                </w:r>
                <w:r>
                  <w:rPr>
                    <w:bCs/>
                    <w:szCs w:val="24"/>
                  </w:rPr>
                  <w:t xml:space="preserve">Išlaidų tinkamumo finansuoti reikalavimai nustatyti Biudžeto ir savivaldybių biudžetų sudarymo ir vykdymo taisyklėse bei </w:t>
                </w:r>
                <w:r>
                  <w:rPr>
                    <w:rFonts w:eastAsia="Calibri"/>
                    <w:szCs w:val="24"/>
                  </w:rPr>
                  <w:t>Projektų administravimo ir finansavimo taisyklių VII skyriuje „Projektų išlaidų reikalavimai“</w:t>
                </w:r>
                <w:r>
                  <w:rPr>
                    <w:bCs/>
                    <w:szCs w:val="24"/>
                  </w:rPr>
                  <w:t>.</w:t>
                </w:r>
              </w:p>
              <w:p w14:paraId="32CB64CD" w14:textId="2389FDEA">
                <w:pPr>
                  <w:tabs>
                    <w:tab w:val="left" w:pos="449"/>
                  </w:tabs>
                  <w:jc w:val="both"/>
                  <w:rPr>
                    <w:bCs/>
                    <w:szCs w:val="24"/>
                  </w:rPr>
                </w:pPr>
                <w:r>
                  <w:rPr>
                    <w:bCs/>
                    <w:szCs w:val="24"/>
                  </w:rPr>
                  <w:t>9.2.</w:t>
                  <w:tab/>
                  <w:t xml:space="preserve">Didžiausia galima projektų finansuojamoji dalis sudaro 100 proc. visų tinkamų finansuoti projekto išlaidų, reikalingų I, II ir III etapams įgyvendinti, taip pat IV etapui įgyvendinti, kiek tai susiję su valstybės lygmens pavėžėjimu. Projekto partneriai – savivaldybių įgaliotos įstaigos, atsakingos už savivaldybės lygmens pacientų pavėžėjimo paslaugų organizavimą ir teikimą, savo ir (arba) kitų šaltinių lėšomis privalo prisidėti prie projekto įgyvendinimo, užtikrindami IV etapo įgyvendinimą. </w:t>
                </w:r>
              </w:p>
              <w:p w14:paraId="755FA2F7" w14:textId="7FDECDA0">
                <w:pPr>
                  <w:tabs>
                    <w:tab w:val="left" w:pos="449"/>
                  </w:tabs>
                  <w:jc w:val="both"/>
                  <w:rPr>
                    <w:bCs/>
                    <w:szCs w:val="24"/>
                  </w:rPr>
                </w:pPr>
                <w:r>
                  <w:rPr>
                    <w:bCs/>
                    <w:szCs w:val="24"/>
                  </w:rPr>
                  <w:t xml:space="preserve">Projekto vykdytojas ir (arba) partneris </w:t>
                </w:r>
                <w:r>
                  <w:rPr>
                    <w:color w:val="000000"/>
                  </w:rPr>
                  <w:t xml:space="preserve"> </w:t>
                </w:r>
                <w:r>
                  <w:rPr>
                    <w:bCs/>
                    <w:szCs w:val="24"/>
                  </w:rPr>
                  <w:t>(-</w:t>
                </w:r>
                <w:r>
                  <w:rPr>
                    <w:bCs/>
                    <w:color w:val="000000"/>
                    <w:szCs w:val="24"/>
                  </w:rPr>
                  <w:t>iai</w:t>
                </w:r>
                <w:r>
                  <w:rPr>
                    <w:bCs/>
                    <w:szCs w:val="24"/>
                  </w:rPr>
                  <w:t xml:space="preserve">) savo iniciatyva ir savo ir (arba) kitų šaltinių lėšomis gali prisidėti prie projekto I, II, III etapų įgyvendinimo, taip pat projekto vykdytojas savo iniciatyva ir savo ir (arba) kitų šaltinių lėšomis gali prisidėti prie projekto IV etapo įgyvendinimo. </w:t>
                </w:r>
              </w:p>
              <w:p w14:paraId="5869B18F" w14:textId="297E5114">
                <w:pPr>
                  <w:tabs>
                    <w:tab w:val="left" w:pos="449"/>
                  </w:tabs>
                  <w:jc w:val="both"/>
                  <w:rPr>
                    <w:bCs/>
                    <w:szCs w:val="24"/>
                  </w:rPr>
                </w:pPr>
                <w:r>
                  <w:rPr>
                    <w:bCs/>
                    <w:szCs w:val="24"/>
                  </w:rPr>
                  <w:t>9.3.</w:t>
                  <w:tab/>
                  <w:t>Projekto tinkamų finansuoti išlaidų dalis, kurios nepadengia projektui skiriamo finansavimo lėšos, turi būti finansuojama iš pareiškėjo ir (arba) partnerio lėšų.</w:t>
                </w:r>
              </w:p>
              <w:p w14:paraId="6DF941C2" w14:textId="51D4DFD9">
                <w:pPr>
                  <w:tabs>
                    <w:tab w:val="left" w:pos="449"/>
                  </w:tabs>
                  <w:jc w:val="both"/>
                  <w:rPr>
                    <w:bCs/>
                    <w:szCs w:val="24"/>
                  </w:rPr>
                </w:pPr>
                <w:r>
                  <w:rPr>
                    <w:bCs/>
                    <w:szCs w:val="24"/>
                  </w:rPr>
                  <w:t>9.4. Projektą vykdančių darbuotojų darbo užmokesčio išlaidos gali sudaryti ne daugiau kaip 20 proc. nuo bendros projekto vertės. Įgyvendinant projektą ir dėl sutaupymų sumažėjus bendrai projekto vertei, projektą vykdančių darbuotojų darbo užmokesčiui numatytos lėšų sumos procentas gali keistis, tačiau suma nedidinama.</w:t>
                </w:r>
              </w:p>
              <w:p w14:paraId="2230C690" w14:textId="264E4C74">
                <w:pPr>
                  <w:jc w:val="both"/>
                  <w:rPr>
                    <w:szCs w:val="24"/>
                  </w:rPr>
                </w:pPr>
                <w:r>
                  <w:rPr>
                    <w:bCs/>
                    <w:szCs w:val="24"/>
                  </w:rPr>
                  <w:t xml:space="preserve">9.5. </w:t>
                </w:r>
                <w:r>
                  <w:rPr>
                    <w:szCs w:val="24"/>
                  </w:rPr>
                  <w:t xml:space="preserve">Valstybės lygmens pacientų pavėžėjimo organizavimui ir teikimui reikalingų darbuotojų, </w:t>
                </w:r>
                <w:r>
                  <w:t>kurie vykdo skambučių centro funkciją,</w:t>
                </w:r>
                <w:r>
                  <w:rPr>
                    <w:szCs w:val="24"/>
                  </w:rPr>
                  <w:t xml:space="preserve"> skaičius bei etatiniai krūviai turi būti prognozuojami naudojantis </w:t>
                </w:r>
                <w:r>
                  <w:rPr>
                    <w:i/>
                    <w:iCs/>
                    <w:szCs w:val="24"/>
                  </w:rPr>
                  <w:t>Erlang</w:t>
                </w:r>
                <w:r>
                  <w:rPr>
                    <w:szCs w:val="24"/>
                  </w:rPr>
                  <w:t xml:space="preserve"> skaičiuokle (</w:t>
                </w:r>
                <w:r>
                  <w:rPr>
                    <w:color w:val="0563C1"/>
                    <w:szCs w:val="24"/>
                    <w:u w:val="single"/>
                  </w:rPr>
                  <w:t>https://www.callcentretools.com/tools/erlang-calculator/</w:t>
                </w:r>
                <w:r>
                  <w:rPr>
                    <w:szCs w:val="24"/>
                    <w:u w:val="single"/>
                  </w:rPr>
                  <w:t>)</w:t>
                </w:r>
                <w:r>
                  <w:rPr>
                    <w:szCs w:val="24"/>
                  </w:rPr>
                  <w:t xml:space="preserve">. </w:t>
                </w:r>
                <w:r>
                  <w:rPr>
                    <w:i/>
                    <w:iCs/>
                    <w:szCs w:val="24"/>
                  </w:rPr>
                  <w:t>Erlang</w:t>
                </w:r>
                <w:r>
                  <w:rPr>
                    <w:szCs w:val="24"/>
                  </w:rPr>
                  <w:t xml:space="preserve"> skaičiuoklė netaikoma papildomiems reikalingiems darbuotojams ir jų etatiniam krūviui pagrįsti.</w:t>
                </w:r>
              </w:p>
              <w:p w14:paraId="6111B685" w14:textId="3A8F47B5">
                <w:pPr>
                  <w:jc w:val="both"/>
                  <w:rPr>
                    <w:bCs/>
                    <w:color w:val="000000"/>
                    <w:szCs w:val="24"/>
                  </w:rPr>
                </w:pPr>
                <w:r>
                  <w:rPr>
                    <w:bCs/>
                    <w:szCs w:val="24"/>
                  </w:rPr>
                  <w:t xml:space="preserve">9.6. </w:t>
                </w:r>
                <w:r>
                  <w:rPr>
                    <w:bCs/>
                    <w:color w:val="000000"/>
                    <w:szCs w:val="24"/>
                  </w:rPr>
                  <w:t xml:space="preserve">Projekto vykdytojui, vadovaujantis </w:t>
                </w:r>
                <w:r>
                  <w:rPr>
                    <w:bCs/>
                    <w:szCs w:val="24"/>
                  </w:rPr>
                  <w:t xml:space="preserve">Biudžeto ir savivaldybių biudžetų sudarymo ir vykdymo taisyklių </w:t>
                </w:r>
                <w:r>
                  <w:rPr>
                    <w:bCs/>
                    <w:color w:val="000000"/>
                    <w:szCs w:val="24"/>
                  </w:rPr>
                  <w:t>ir Projektų administravimo ir finansavimo taisyklių numatytomis sąlygomis, gali būti mokamas avansas.</w:t>
                </w:r>
              </w:p>
              <w:p w14:paraId="1BBA9C7A" w14:textId="15C7461F">
                <w:pPr>
                  <w:jc w:val="both"/>
                  <w:rPr>
                    <w:bCs/>
                    <w:color w:val="000000"/>
                    <w:szCs w:val="24"/>
                  </w:rPr>
                </w:pPr>
                <w:r>
                  <w:rPr>
                    <w:bCs/>
                    <w:color w:val="000000"/>
                    <w:szCs w:val="24"/>
                  </w:rPr>
                  <w:t>9.7. Projekto išlaidos apmokamos sąskaitų apmokėjimo būdu ir (ar) išlaidų kompensavimo būdu projekto vykdytojui deklaruojant patirtas ir apmokėtas išlaidas, supaprastintai apmokamas išlaidas arba kartu derinant šias abi apmokėjimo formas.</w:t>
                </w:r>
                <w:r>
                  <w:rPr>
                    <w:rFonts w:ascii="Segoe UI" w:hAnsi="Segoe UI" w:cs="Segoe UI"/>
                    <w:sz w:val="18"/>
                    <w:szCs w:val="18"/>
                  </w:rPr>
                  <w:t xml:space="preserve"> </w:t>
                </w:r>
              </w:p>
              <w:p w14:paraId="77EA2A75" w14:textId="2EB4284A">
                <w:pPr>
                  <w:jc w:val="both"/>
                  <w:rPr>
                    <w:bCs/>
                    <w:color w:val="000000"/>
                    <w:szCs w:val="24"/>
                  </w:rPr>
                </w:pPr>
                <w:r>
                  <w:rPr>
                    <w:bCs/>
                    <w:color w:val="000000"/>
                    <w:szCs w:val="24"/>
                  </w:rPr>
                  <w:t>9.8. Projekto vykdytojas</w:t>
                </w:r>
                <w:r>
                  <w:rPr>
                    <w:bCs/>
                    <w:szCs w:val="24"/>
                  </w:rPr>
                  <w:t xml:space="preserve"> </w:t>
                </w:r>
                <w:r>
                  <w:rPr>
                    <w:bCs/>
                    <w:color w:val="000000"/>
                    <w:szCs w:val="24"/>
                  </w:rPr>
                  <w:t>ir (arba) partneris (-iai) turi apdrausti projektui įgyvendinti Aprašo 2.5.1.1 papunktyje nurodytą skirtą ilgalaikį materialųjį turtą, kuris įsigytas ar sukurtas iš projektui skirto finansavimo lėšų, maksimaliu turto atkuriamosios vertės draudimu nuo visų galimų rizikos atvejų. Turtas turi būti apdraustas projekto įgyvendinimo laikotarpiui nuo tada, kai yra sukuriamas ar įsigyjamas, draudimo ir draudimo tarpininkavimo veiklą reguliuojančių teisės aktų nustatyta tvarka. Draudžiamojo įvykio atveju projekto vykdytojas turi atkurti prarastą turtą.</w:t>
                </w:r>
              </w:p>
              <w:p w14:paraId="66439C65" w14:textId="1A6C510A">
                <w:pPr>
                  <w:jc w:val="both"/>
                  <w:rPr>
                    <w:rFonts w:eastAsia="Calibri"/>
                    <w:szCs w:val="24"/>
                  </w:rPr>
                </w:pPr>
                <w:r>
                  <w:rPr>
                    <w:bCs/>
                    <w:color w:val="000000"/>
                    <w:szCs w:val="24"/>
                  </w:rPr>
                  <w:t xml:space="preserve">9.9. </w:t>
                </w:r>
                <w:r>
                  <w:rPr>
                    <w:rFonts w:eastAsia="Calibri"/>
                    <w:szCs w:val="24"/>
                  </w:rPr>
                  <w:t xml:space="preserve">Pacientų pavėžėjimo paslaugų, kurias teikia valstybės ir savivaldybių institucijos ar įstaigos, taip pat įmonės, </w:t>
                </w:r>
                <w:r>
                  <w:rPr>
                    <w:szCs w:val="24"/>
                  </w:rPr>
                  <w:t xml:space="preserve">supaprastintai apmokamų išlaidų dydžiai </w:t>
                </w:r>
                <w:r>
                  <w:rPr>
                    <w:rFonts w:eastAsia="Calibri"/>
                    <w:szCs w:val="24"/>
                  </w:rPr>
                  <w:t xml:space="preserve"> nustatomi pagal pacientų pavėžėjimo paslaugos rūšis bandomojo pacientų pavėžėjimo modelio taikymo projekto įgyvendinimo laikotarpiu, kai pacientų pavėžėjimo paslaugos teikiamos jas įsigyjant viešųjų pirkimų būdu, apmokama už faktiškai suteiktas paslaugas pagal viešųjų pirkimų sutartis. </w:t>
                </w:r>
              </w:p>
              <w:p w14:paraId="697C2887" w14:textId="486D9CBD">
                <w:pPr>
                  <w:tabs>
                    <w:tab w:val="left" w:pos="449"/>
                  </w:tabs>
                  <w:jc w:val="both"/>
                  <w:rPr>
                    <w:bCs/>
                    <w:strike/>
                    <w:color w:val="000000"/>
                    <w:szCs w:val="24"/>
                  </w:rPr>
                </w:pPr>
                <w:r>
                  <w:rPr>
                    <w:bCs/>
                    <w:szCs w:val="24"/>
                  </w:rPr>
                  <w:t>9.10</w:t>
                </w:r>
                <w:r>
                  <w:rPr>
                    <w:bCs/>
                    <w:color w:val="000000"/>
                    <w:szCs w:val="24"/>
                  </w:rPr>
                  <w:t xml:space="preserve">. Pagal Aprašą netinkamos finansuoti projekto išlaidos: </w:t>
                </w:r>
              </w:p>
              <w:p w14:paraId="62CA8D48" w14:textId="0F73BBE0">
                <w:pPr>
                  <w:tabs>
                    <w:tab w:val="left" w:pos="458"/>
                    <w:tab w:val="left" w:pos="613"/>
                    <w:tab w:val="left" w:pos="776"/>
                  </w:tabs>
                  <w:jc w:val="both"/>
                  <w:rPr>
                    <w:sz w:val="22"/>
                    <w:szCs w:val="22"/>
                  </w:rPr>
                </w:pPr>
                <w:r>
                  <w:rPr>
                    <w:bCs/>
                    <w:szCs w:val="24"/>
                  </w:rPr>
                  <w:t>9.10.1.</w:t>
                  <w:tab/>
                  <w:t xml:space="preserve">PĮP ir kitų  su PĮP privalomų teikti dokumentų rengimo išlaidos;</w:t>
                </w:r>
              </w:p>
              <w:p w14:paraId="2D6C54D8" w14:textId="15391D2A">
                <w:pPr>
                  <w:tabs>
                    <w:tab w:val="left" w:pos="458"/>
                    <w:tab w:val="left" w:pos="613"/>
                    <w:tab w:val="left" w:pos="776"/>
                  </w:tabs>
                  <w:jc w:val="both"/>
                  <w:rPr>
                    <w:bCs/>
                    <w:szCs w:val="24"/>
                  </w:rPr>
                </w:pPr>
                <w:r>
                  <w:rPr>
                    <w:bCs/>
                    <w:szCs w:val="24"/>
                  </w:rPr>
                  <w:t xml:space="preserve">9.10.2. statybos, rekonstrukcijos, remonto darbai, žemės, nekilnojamojo turto, </w:t>
                </w:r>
                <w:r>
                  <w:rPr>
                    <w:bCs/>
                    <w:color w:val="000000"/>
                    <w:szCs w:val="24"/>
                    <w:shd w:val="clear" w:color="auto" w:fill="FFFFFF"/>
                  </w:rPr>
                  <w:t>transporto priemonių įsigijimo ir (ar) išperkamosios nuomos</w:t>
                </w:r>
                <w:r>
                  <w:rPr>
                    <w:bCs/>
                    <w:szCs w:val="24"/>
                  </w:rPr>
                  <w:t xml:space="preserve"> išlaidos;</w:t>
                </w:r>
              </w:p>
              <w:p w14:paraId="2FFFBBEF" w14:textId="04E6B222">
                <w:pPr>
                  <w:tabs>
                    <w:tab w:val="left" w:pos="458"/>
                    <w:tab w:val="left" w:pos="613"/>
                    <w:tab w:val="left" w:pos="776"/>
                  </w:tabs>
                  <w:jc w:val="both"/>
                  <w:rPr>
                    <w:bCs/>
                    <w:szCs w:val="24"/>
                  </w:rPr>
                </w:pPr>
                <w:r>
                  <w:rPr>
                    <w:bCs/>
                    <w:szCs w:val="24"/>
                  </w:rPr>
                  <w:t>9.10.3.</w:t>
                  <w:tab/>
                  <w:t>naudojamo ilgalaikio turto nusidėvėjimo (amortizacijos) sąnaudos;</w:t>
                </w:r>
              </w:p>
              <w:p w14:paraId="265595FB" w14:textId="5E597B4E">
                <w:pPr>
                  <w:jc w:val="both"/>
                  <w:rPr>
                    <w:bCs/>
                    <w:color w:val="000000"/>
                    <w:szCs w:val="24"/>
                    <w:shd w:val="clear" w:color="auto" w:fill="FFFFFF"/>
                  </w:rPr>
                </w:pPr>
                <w:r>
                  <w:rPr>
                    <w:bCs/>
                    <w:color w:val="000000"/>
                    <w:szCs w:val="24"/>
                    <w:shd w:val="clear" w:color="auto" w:fill="FFFFFF"/>
                  </w:rPr>
                  <w:t>9.10.4. nepiniginis projekto vykdytojo / partnerio įnašas;</w:t>
                </w:r>
              </w:p>
              <w:p w14:paraId="077A2182" w14:textId="390C5FF8">
                <w:pPr>
                  <w:tabs>
                    <w:tab w:val="left" w:pos="449"/>
                    <w:tab w:val="left" w:pos="613"/>
                    <w:tab w:val="left" w:pos="776"/>
                  </w:tabs>
                  <w:jc w:val="both"/>
                  <w:rPr>
                    <w:bCs/>
                    <w:color w:val="000000"/>
                    <w:szCs w:val="24"/>
                    <w:shd w:val="clear" w:color="auto" w:fill="FFFFFF"/>
                  </w:rPr>
                </w:pPr>
                <w:r>
                  <w:rPr>
                    <w:bCs/>
                    <w:szCs w:val="24"/>
                  </w:rPr>
                  <w:t xml:space="preserve">9.10.5. </w:t>
                </w:r>
                <w:r>
                  <w:rPr>
                    <w:bCs/>
                    <w:color w:val="000000"/>
                    <w:szCs w:val="24"/>
                    <w:shd w:val="clear" w:color="auto" w:fill="FFFFFF"/>
                  </w:rPr>
                  <w:t>baldai.</w:t>
                </w:r>
              </w:p>
            </w:tc>
          </w:tr>
          <w:tr w14:paraId="07177E98" w14:textId="77777777">
            <w:trPr>
              <w:trHeight w:val="349"/>
            </w:trPr>
            <w:tc>
              <w:tcPr>
                <w:tcW w:w="14709" w:type="dxa"/>
              </w:tcPr>
              <w:p w14:paraId="13CBA8CD" w14:textId="7C0315D9">
                <w:pPr>
                  <w:jc w:val="both"/>
                  <w:rPr>
                    <w:szCs w:val="24"/>
                  </w:rPr>
                </w:pPr>
                <w:r>
                  <w:rPr>
                    <w:b/>
                    <w:szCs w:val="24"/>
                  </w:rPr>
                  <w:t>10. Projektų veiklų ir jungtinio projekto projektų įgyvendinimui taikomi supaprastintai apmokamų išlaidų dydžiai</w:t>
                </w:r>
              </w:p>
            </w:tc>
          </w:tr>
          <w:tr w14:paraId="525AA0E0"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15D5D424" w14:textId="77777777">
                  <w:tc>
                    <w:tcPr>
                      <w:tcW w:w="14449" w:type="dxa"/>
                      <w:gridSpan w:val="5"/>
                      <w:tcBorders>
                        <w:top w:val="single" w:sz="8" w:space="0" w:color="auto"/>
                        <w:left w:val="single" w:sz="8" w:space="0" w:color="auto"/>
                        <w:bottom w:val="single" w:sz="8" w:space="0" w:color="auto"/>
                        <w:right w:val="single" w:sz="8" w:space="0" w:color="auto"/>
                      </w:tcBorders>
                    </w:tcPr>
                    <w:p w14:paraId="2434BA25" w14:textId="4EAD9003">
                      <w:pPr>
                        <w:jc w:val="both"/>
                        <w:rPr>
                          <w:b/>
                          <w:bCs/>
                          <w:szCs w:val="24"/>
                          <w:lang w:val="en-US"/>
                        </w:rPr>
                      </w:pPr>
                      <w:r>
                        <w:rPr>
                          <w:rFonts w:eastAsia="MS Gothic"/>
                          <w:b/>
                          <w:bCs/>
                          <w:szCs w:val="24"/>
                        </w:rPr>
                        <w:t>X</w:t>
                      </w:r>
                      <w:r>
                        <w:rPr>
                          <w:b/>
                          <w:bCs/>
                          <w:szCs w:val="24"/>
                        </w:rPr>
                        <w:t xml:space="preserve"> Neindeksuojama </w:t>
                      </w:r>
                    </w:p>
                  </w:tc>
                </w:tr>
                <w:tr w14:paraId="0206A5D7" w14:textId="77777777">
                  <w:tc>
                    <w:tcPr>
                      <w:tcW w:w="2889" w:type="dxa"/>
                      <w:tcBorders>
                        <w:top w:val="single" w:sz="8" w:space="0" w:color="auto"/>
                        <w:left w:val="single" w:sz="8" w:space="0" w:color="auto"/>
                        <w:bottom w:val="single" w:sz="8" w:space="0" w:color="auto"/>
                        <w:right w:val="single" w:sz="8" w:space="0" w:color="auto"/>
                      </w:tcBorders>
                      <w:vAlign w:val="center"/>
                    </w:tcPr>
                    <w:p w14:paraId="4738337B" w14:textId="77777777">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21BDDAF" w14:textId="77777777">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121460E9" w14:textId="77777777">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D6986C" w14:textId="77777777">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DA22F8A" w14:textId="77777777">
                      <w:pPr>
                        <w:jc w:val="center"/>
                        <w:rPr>
                          <w:b/>
                          <w:bCs/>
                          <w:szCs w:val="24"/>
                        </w:rPr>
                      </w:pPr>
                      <w:r>
                        <w:rPr>
                          <w:b/>
                          <w:bCs/>
                          <w:szCs w:val="24"/>
                        </w:rPr>
                        <w:t>Papildoma informacija</w:t>
                      </w:r>
                    </w:p>
                  </w:tc>
                </w:tr>
                <w:tr w14:paraId="797AB74B" w14:textId="77777777">
                  <w:tc>
                    <w:tcPr>
                      <w:tcW w:w="2889" w:type="dxa"/>
                      <w:tcBorders>
                        <w:top w:val="single" w:sz="8" w:space="0" w:color="auto"/>
                        <w:left w:val="single" w:sz="8" w:space="0" w:color="auto"/>
                        <w:bottom w:val="single" w:sz="8" w:space="0" w:color="auto"/>
                        <w:right w:val="single" w:sz="8" w:space="0" w:color="auto"/>
                      </w:tcBorders>
                    </w:tcPr>
                    <w:p w14:paraId="10DB193D" w14:textId="67E6D367">
                      <w:pPr>
                        <w:jc w:val="center"/>
                        <w:rPr>
                          <w:color w:val="FF0000"/>
                          <w:szCs w:val="24"/>
                        </w:rPr>
                      </w:pPr>
                      <w:r>
                        <w:rPr>
                          <w:szCs w:val="24"/>
                          <w:lang w:eastAsia="lt-LT"/>
                        </w:rPr>
                        <w:t>Nespecializuota 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4063EC56"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F6BCCF7" w14:textId="77777777">
                      <w:pPr>
                        <w:jc w:val="center"/>
                        <w:rPr>
                          <w:szCs w:val="24"/>
                        </w:rPr>
                      </w:pPr>
                    </w:p>
                    <w:p w14:paraId="072AD4C7" w14:textId="77777777">
                      <w:pPr>
                        <w:jc w:val="center"/>
                        <w:rPr>
                          <w:szCs w:val="24"/>
                        </w:rPr>
                      </w:pPr>
                    </w:p>
                    <w:p w14:paraId="546E7B67" w14:textId="1A01A302">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D81084B" w14:textId="19F8F9B5">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nespecializuota 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7F8D34B9" w14:textId="77777777">
                      <w:pPr>
                        <w:jc w:val="center"/>
                        <w:rPr>
                          <w:szCs w:val="24"/>
                        </w:rPr>
                      </w:pPr>
                      <w:r>
                        <w:rPr>
                          <w:szCs w:val="24"/>
                        </w:rPr>
                        <w:t>ESFA nustatytas šiam projektui įkainis – 0,69 Eur su PVM</w:t>
                      </w:r>
                    </w:p>
                    <w:p w14:paraId="4A27F1F9" w14:textId="7ECB5B76">
                      <w:pPr>
                        <w:jc w:val="center"/>
                        <w:rPr>
                          <w:szCs w:val="24"/>
                        </w:rPr>
                      </w:pPr>
                      <w:r>
                        <w:rPr>
                          <w:szCs w:val="24"/>
                        </w:rPr>
                        <w:t>Taikoma Aprašo 2.5.1.2.1 papunktyje numatytoms išlaidoms, kaip numatyta Pacientų pavėžėjimo paslaugų organizavimo ir teikimo tvarkos aprašo 57 punkte</w:t>
                      </w:r>
                    </w:p>
                  </w:tc>
                </w:tr>
                <w:tr w14:paraId="1992A8F9" w14:textId="77777777">
                  <w:tc>
                    <w:tcPr>
                      <w:tcW w:w="2889" w:type="dxa"/>
                      <w:tcBorders>
                        <w:top w:val="single" w:sz="8" w:space="0" w:color="auto"/>
                        <w:left w:val="single" w:sz="8" w:space="0" w:color="auto"/>
                        <w:bottom w:val="single" w:sz="8" w:space="0" w:color="auto"/>
                        <w:right w:val="single" w:sz="8" w:space="0" w:color="auto"/>
                      </w:tcBorders>
                    </w:tcPr>
                    <w:p w14:paraId="669C7F69" w14:textId="14D59984">
                      <w:pPr>
                        <w:jc w:val="center"/>
                        <w:rPr>
                          <w:color w:val="FF0000"/>
                          <w:szCs w:val="24"/>
                        </w:rPr>
                      </w:pPr>
                      <w:r>
                        <w:rPr>
                          <w:szCs w:val="24"/>
                          <w:lang w:eastAsia="lt-LT"/>
                        </w:rPr>
                        <w:t xml:space="preserve">Specializuota vieno paciento pavėžėjimo paslauga, </w:t>
                      </w:r>
                      <w:r>
                        <w:rPr>
                          <w:szCs w:val="24"/>
                        </w:rPr>
                        <w:t xml:space="preserve">kai pakanka greitosios medicinos pagalbos automobilio, atitinkančio sveikatos apsaugos ministro tvirtinamuose specializuotų pacientų pavėžėjimo paslaugų teikimo reikalavimuose numatytus minimalius greitosios medicinos pagalbos automobiliams taikomus reikalavimus,  ir  vieno asmens sveikatos priežiūros specialisto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CD0C81F"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1A707770" w14:textId="77777777">
                      <w:pPr>
                        <w:jc w:val="center"/>
                        <w:rPr>
                          <w:szCs w:val="24"/>
                        </w:rPr>
                      </w:pPr>
                    </w:p>
                    <w:p w14:paraId="67AA3FD1" w14:textId="77777777">
                      <w:pPr>
                        <w:jc w:val="center"/>
                        <w:rPr>
                          <w:szCs w:val="24"/>
                        </w:rPr>
                      </w:pPr>
                    </w:p>
                    <w:p w14:paraId="21E2830E" w14:textId="77777777">
                      <w:pPr>
                        <w:jc w:val="center"/>
                        <w:rPr>
                          <w:szCs w:val="24"/>
                        </w:rPr>
                      </w:pPr>
                    </w:p>
                    <w:p w14:paraId="109A1319" w14:textId="095F2386">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1DB64A7" w14:textId="616F0EA1">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specializuota vieno paciento pavėžėjimo paslauga, kai pakanka greitosios medicinos pagalbos automobilio</w:t>
                      </w:r>
                      <w:r>
                        <w:rPr>
                          <w:szCs w:val="24"/>
                          <w:vertAlign w:val="superscript"/>
                        </w:rPr>
                        <w:footnoteReference w:id="2"/>
                      </w:r>
                      <w:r>
                        <w:rPr>
                          <w:szCs w:val="24"/>
                        </w:rPr>
                        <w:t xml:space="preserve"> ir vieno asmens sveikatos priežiūros specialisto</w:t>
                      </w:r>
                    </w:p>
                  </w:tc>
                  <w:tc>
                    <w:tcPr>
                      <w:tcW w:w="2890" w:type="dxa"/>
                      <w:tcBorders>
                        <w:top w:val="single" w:sz="8" w:space="0" w:color="auto"/>
                        <w:left w:val="single" w:sz="8" w:space="0" w:color="auto"/>
                        <w:bottom w:val="single" w:sz="8" w:space="0" w:color="auto"/>
                        <w:right w:val="single" w:sz="8" w:space="0" w:color="auto"/>
                      </w:tcBorders>
                    </w:tcPr>
                    <w:p w14:paraId="70F1D271" w14:textId="77777777">
                      <w:pPr>
                        <w:jc w:val="center"/>
                        <w:rPr>
                          <w:szCs w:val="24"/>
                        </w:rPr>
                      </w:pPr>
                      <w:r>
                        <w:rPr>
                          <w:szCs w:val="24"/>
                        </w:rPr>
                        <w:t>ESFA nustatytas šiam projektui įkainis – 0,95 Eur su PVM</w:t>
                      </w:r>
                    </w:p>
                    <w:p w14:paraId="58B1017B" w14:textId="3EA298C4">
                      <w:pPr>
                        <w:jc w:val="center"/>
                        <w:rPr>
                          <w:szCs w:val="24"/>
                        </w:rPr>
                      </w:pPr>
                      <w:r>
                        <w:rPr>
                          <w:szCs w:val="24"/>
                        </w:rPr>
                        <w:t>Taikoma Aprašo 2.5.1.2.1 papunktyje numatytoms išlaidoms, kaip numatyta Pacientų pavėžėjimo paslaugų organizavimo ir teikimo tvarkos aprašo 57 punkte</w:t>
                      </w:r>
                    </w:p>
                  </w:tc>
                </w:tr>
                <w:tr w14:paraId="172D2B5A" w14:textId="77777777">
                  <w:tc>
                    <w:tcPr>
                      <w:tcW w:w="2889" w:type="dxa"/>
                      <w:tcBorders>
                        <w:top w:val="single" w:sz="8" w:space="0" w:color="auto"/>
                        <w:left w:val="single" w:sz="8" w:space="0" w:color="auto"/>
                        <w:bottom w:val="single" w:sz="8" w:space="0" w:color="auto"/>
                        <w:right w:val="single" w:sz="8" w:space="0" w:color="auto"/>
                      </w:tcBorders>
                    </w:tcPr>
                    <w:p w14:paraId="089CD5B8" w14:textId="7C9120BC">
                      <w:pPr>
                        <w:jc w:val="center"/>
                        <w:rPr>
                          <w:color w:val="FF0000"/>
                          <w:szCs w:val="24"/>
                        </w:rPr>
                      </w:pPr>
                      <w:r>
                        <w:rPr>
                          <w:szCs w:val="24"/>
                        </w:rPr>
                        <w:t>Specializuota vieno paciento pavėžėjimo paslauga, kai reikalinga pažangaus gyvybės palaikymo brigada, kaip ji apibrėžta sveikatos apsaugos ministro tvirtinamame apraše, reglamentuojančiame pažangaus gyvybės palaikymo brigadų veiklą, fiksuotasis vieneto įkainis</w:t>
                      </w:r>
                    </w:p>
                  </w:tc>
                  <w:tc>
                    <w:tcPr>
                      <w:tcW w:w="2890" w:type="dxa"/>
                      <w:tcBorders>
                        <w:top w:val="single" w:sz="8" w:space="0" w:color="auto"/>
                        <w:left w:val="single" w:sz="8" w:space="0" w:color="auto"/>
                        <w:bottom w:val="single" w:sz="8" w:space="0" w:color="auto"/>
                        <w:right w:val="single" w:sz="8" w:space="0" w:color="auto"/>
                      </w:tcBorders>
                    </w:tcPr>
                    <w:p w14:paraId="03BF9D48"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B693A56" w14:textId="77777777">
                      <w:pPr>
                        <w:jc w:val="center"/>
                        <w:rPr>
                          <w:szCs w:val="24"/>
                        </w:rPr>
                      </w:pPr>
                    </w:p>
                    <w:p w14:paraId="6FE855CF" w14:textId="77777777">
                      <w:pPr>
                        <w:jc w:val="center"/>
                        <w:rPr>
                          <w:szCs w:val="24"/>
                        </w:rPr>
                      </w:pPr>
                    </w:p>
                    <w:p w14:paraId="1D32FA43" w14:textId="77777777">
                      <w:pPr>
                        <w:jc w:val="center"/>
                        <w:rPr>
                          <w:szCs w:val="24"/>
                        </w:rPr>
                      </w:pPr>
                    </w:p>
                    <w:p w14:paraId="6BD24B88" w14:textId="77777777">
                      <w:pPr>
                        <w:jc w:val="center"/>
                        <w:rPr>
                          <w:szCs w:val="24"/>
                        </w:rPr>
                      </w:pPr>
                    </w:p>
                    <w:p w14:paraId="44A5A65A" w14:textId="77777777">
                      <w:pPr>
                        <w:jc w:val="center"/>
                        <w:rPr>
                          <w:szCs w:val="24"/>
                        </w:rPr>
                      </w:pPr>
                    </w:p>
                    <w:p w14:paraId="690197CA" w14:textId="7DA8828F">
                      <w:pPr>
                        <w:jc w:val="center"/>
                        <w:rPr>
                          <w:szCs w:val="24"/>
                          <w:lang w:val="en-US"/>
                        </w:rPr>
                      </w:pPr>
                      <w:r>
                        <w:rPr>
                          <w:szCs w:val="24"/>
                          <w:lang w:val="en-US"/>
                        </w:rPr>
                        <w:t>01</w:t>
                      </w:r>
                    </w:p>
                  </w:tc>
                  <w:tc>
                    <w:tcPr>
                      <w:tcW w:w="2890" w:type="dxa"/>
                      <w:tcBorders>
                        <w:top w:val="single" w:sz="8" w:space="0" w:color="auto"/>
                        <w:left w:val="single" w:sz="8" w:space="0" w:color="auto"/>
                        <w:bottom w:val="single" w:sz="8" w:space="0" w:color="auto"/>
                        <w:right w:val="single" w:sz="8" w:space="0" w:color="auto"/>
                      </w:tcBorders>
                    </w:tcPr>
                    <w:p w14:paraId="789A7083" w14:textId="77777777">
                      <w:pPr>
                        <w:jc w:val="center"/>
                        <w:rPr>
                          <w:szCs w:val="24"/>
                        </w:rPr>
                      </w:pPr>
                    </w:p>
                    <w:p w14:paraId="1031B4B6" w14:textId="77777777">
                      <w:pPr>
                        <w:jc w:val="center"/>
                        <w:rPr>
                          <w:szCs w:val="24"/>
                        </w:rPr>
                      </w:pPr>
                    </w:p>
                    <w:p w14:paraId="7D2908E8" w14:textId="66A1BBDD">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specializuota vieno paciento pavėžėjimo paslauga, kai reikalinga pažangaus gyvybės palaikymo brigada</w:t>
                      </w:r>
                    </w:p>
                  </w:tc>
                  <w:tc>
                    <w:tcPr>
                      <w:tcW w:w="2890" w:type="dxa"/>
                      <w:tcBorders>
                        <w:top w:val="single" w:sz="8" w:space="0" w:color="auto"/>
                        <w:left w:val="single" w:sz="8" w:space="0" w:color="auto"/>
                        <w:bottom w:val="single" w:sz="8" w:space="0" w:color="auto"/>
                        <w:right w:val="single" w:sz="8" w:space="0" w:color="auto"/>
                      </w:tcBorders>
                    </w:tcPr>
                    <w:p w14:paraId="5E23D61B" w14:textId="77777777">
                      <w:pPr>
                        <w:jc w:val="center"/>
                        <w:rPr>
                          <w:szCs w:val="24"/>
                        </w:rPr>
                      </w:pPr>
                    </w:p>
                    <w:p w14:paraId="7C4DDEA1" w14:textId="77777777">
                      <w:pPr>
                        <w:jc w:val="center"/>
                        <w:rPr>
                          <w:szCs w:val="24"/>
                        </w:rPr>
                      </w:pPr>
                    </w:p>
                    <w:p w14:paraId="0CB6C717" w14:textId="77777777">
                      <w:pPr>
                        <w:jc w:val="center"/>
                        <w:rPr>
                          <w:szCs w:val="24"/>
                        </w:rPr>
                      </w:pPr>
                      <w:r>
                        <w:rPr>
                          <w:szCs w:val="24"/>
                        </w:rPr>
                        <w:t>ESFA nustatytas šiam projektui įkainis – 1,12 Eur su PVM</w:t>
                      </w:r>
                    </w:p>
                    <w:p w14:paraId="2A479508" w14:textId="37CFEC22">
                      <w:pPr>
                        <w:jc w:val="center"/>
                        <w:rPr>
                          <w:szCs w:val="24"/>
                        </w:rPr>
                      </w:pPr>
                      <w:r>
                        <w:rPr>
                          <w:szCs w:val="24"/>
                        </w:rPr>
                        <w:t xml:space="preserve">Taikoma Aprašo 2.5.1.2.1 papunktyje numatytoms išlaidoms, kaip numatyta Pacientų pavėžėjimo paslaugų organizavimo ir teikimo tvarkos aprašo 57 punkte </w:t>
                      </w:r>
                    </w:p>
                  </w:tc>
                </w:tr>
                <w:tr w14:paraId="337418A9" w14:textId="77777777">
                  <w:tc>
                    <w:tcPr>
                      <w:tcW w:w="2889" w:type="dxa"/>
                      <w:tcBorders>
                        <w:top w:val="single" w:sz="8" w:space="0" w:color="auto"/>
                        <w:left w:val="single" w:sz="8" w:space="0" w:color="auto"/>
                        <w:bottom w:val="single" w:sz="8" w:space="0" w:color="auto"/>
                        <w:right w:val="single" w:sz="8" w:space="0" w:color="auto"/>
                      </w:tcBorders>
                    </w:tcPr>
                    <w:p w14:paraId="41D14300" w14:textId="65B0F8F5">
                      <w:pPr>
                        <w:jc w:val="center"/>
                        <w:rPr>
                          <w:szCs w:val="24"/>
                        </w:rPr>
                      </w:pPr>
                      <w:r>
                        <w:rPr>
                          <w:szCs w:val="24"/>
                        </w:rPr>
                        <w:t>Lydinčio asmens, teikiant nespecializuotas pavėžėjimo paslaugas, darbo užmokesčio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4043A95"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7CD0AA6" w14:textId="77777777">
                      <w:pPr>
                        <w:jc w:val="center"/>
                        <w:rPr>
                          <w:szCs w:val="24"/>
                        </w:rPr>
                      </w:pPr>
                    </w:p>
                    <w:p w14:paraId="6A8C50FD" w14:textId="77777777">
                      <w:pPr>
                        <w:ind w:firstLine="1116"/>
                        <w:rPr>
                          <w:szCs w:val="24"/>
                        </w:rPr>
                      </w:pPr>
                    </w:p>
                    <w:p w14:paraId="014828F8" w14:textId="5F1A40AC">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310A70F" w14:textId="77777777">
                      <w:pPr>
                        <w:jc w:val="center"/>
                        <w:rPr>
                          <w:color w:val="000000"/>
                          <w:szCs w:val="24"/>
                          <w:lang w:eastAsia="lt-LT"/>
                        </w:rPr>
                      </w:pPr>
                    </w:p>
                    <w:p w14:paraId="48586678" w14:textId="0D2FEFD6">
                      <w:pPr>
                        <w:jc w:val="center"/>
                        <w:rPr>
                          <w:szCs w:val="24"/>
                        </w:rPr>
                      </w:pPr>
                      <w:r>
                        <w:rPr>
                          <w:color w:val="000000"/>
                          <w:szCs w:val="24"/>
                          <w:lang w:eastAsia="lt-LT"/>
                        </w:rPr>
                        <w:t>Lydinčio asmens vienos valandos darbo užmokesčio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2EF22E24" w14:textId="77777777">
                      <w:pPr>
                        <w:jc w:val="center"/>
                        <w:rPr>
                          <w:szCs w:val="24"/>
                        </w:rPr>
                      </w:pPr>
                    </w:p>
                    <w:p w14:paraId="7BA87625" w14:textId="77777777">
                      <w:pPr>
                        <w:jc w:val="center"/>
                        <w:rPr>
                          <w:szCs w:val="24"/>
                        </w:rPr>
                      </w:pPr>
                      <w:r>
                        <w:rPr>
                          <w:szCs w:val="24"/>
                        </w:rPr>
                        <w:t>ESFA nustatytas šiam projektui įkainis – 13,15 Eur</w:t>
                      </w:r>
                    </w:p>
                    <w:p w14:paraId="025FE22A" w14:textId="79ABA8C2">
                      <w:pPr>
                        <w:jc w:val="center"/>
                        <w:rPr>
                          <w:szCs w:val="24"/>
                        </w:rPr>
                      </w:pPr>
                      <w:r>
                        <w:rPr>
                          <w:szCs w:val="24"/>
                        </w:rPr>
                        <w:t>Taikoma Aprašo 2.5.1.2.5 papunktyje numatytoms išlaidoms</w:t>
                      </w:r>
                    </w:p>
                  </w:tc>
                </w:tr>
                <w:tr w14:paraId="460B75E5" w14:textId="77777777">
                  <w:tc>
                    <w:tcPr>
                      <w:tcW w:w="2889" w:type="dxa"/>
                      <w:tcBorders>
                        <w:top w:val="single" w:sz="8" w:space="0" w:color="auto"/>
                        <w:left w:val="single" w:sz="8" w:space="0" w:color="auto"/>
                        <w:bottom w:val="single" w:sz="8" w:space="0" w:color="auto"/>
                        <w:right w:val="single" w:sz="8" w:space="0" w:color="auto"/>
                      </w:tcBorders>
                    </w:tcPr>
                    <w:p w14:paraId="1241419C" w14:textId="0D2F4102">
                      <w:pPr>
                        <w:jc w:val="center"/>
                        <w:rPr>
                          <w:szCs w:val="24"/>
                        </w:rPr>
                      </w:pPr>
                      <w:r>
                        <w:rPr>
                          <w:szCs w:val="24"/>
                        </w:rPr>
                        <w:t xml:space="preserve">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14:paraId="6C7EADEC" w14:textId="77777777">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2E33609" w14:textId="77777777">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19CE87C" w14:textId="242E5B49">
                      <w:pPr>
                        <w:jc w:val="center"/>
                        <w:rPr>
                          <w:szCs w:val="24"/>
                        </w:rPr>
                      </w:pPr>
                      <w:r>
                        <w:rPr>
                          <w:szCs w:val="24"/>
                        </w:rPr>
                        <w:t>3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B8FC87F" w14:textId="63FC39C2">
                      <w:pPr>
                        <w:jc w:val="center"/>
                        <w:rPr>
                          <w:szCs w:val="24"/>
                        </w:rPr>
                      </w:pPr>
                      <w:r>
                        <w:rPr>
                          <w:szCs w:val="24"/>
                        </w:rPr>
                        <w:t>Taikoma Aprašo 2.5.1.4 papunktyje numatytoms išlaidoms</w:t>
                      </w:r>
                    </w:p>
                  </w:tc>
                </w:tr>
                <w:tr w14:paraId="70377843"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325C8798" w14:textId="77777777">
                      <w:pPr>
                        <w:jc w:val="center"/>
                        <w:rPr>
                          <w:szCs w:val="24"/>
                        </w:rPr>
                      </w:pPr>
                    </w:p>
                    <w:p w14:paraId="40B6B027" w14:textId="3FFB9A55">
                      <w:pPr>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6CF7655" w14:textId="77777777">
                      <w:pPr>
                        <w:jc w:val="center"/>
                        <w:rPr>
                          <w:szCs w:val="24"/>
                        </w:rPr>
                      </w:pPr>
                    </w:p>
                    <w:p w14:paraId="3B909977" w14:textId="543094F6">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9A5A16F" w14:textId="77777777">
                      <w:pPr>
                        <w:jc w:val="center"/>
                        <w:rPr>
                          <w:szCs w:val="24"/>
                        </w:rPr>
                      </w:pPr>
                    </w:p>
                    <w:p w14:paraId="0BEAEE7D" w14:textId="77777777">
                      <w:pPr>
                        <w:rPr>
                          <w:szCs w:val="24"/>
                        </w:rPr>
                      </w:pPr>
                    </w:p>
                    <w:p w14:paraId="355C4724" w14:textId="163040BF">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02212E9" w14:textId="1564461C">
                      <w:pPr>
                        <w:jc w:val="center"/>
                        <w:rPr>
                          <w:szCs w:val="24"/>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63C3E87" w14:textId="7857E6C4">
                      <w:pPr>
                        <w:jc w:val="center"/>
                        <w:rPr>
                          <w:szCs w:val="24"/>
                        </w:rPr>
                      </w:pPr>
                      <w:r>
                        <w:rPr>
                          <w:szCs w:val="24"/>
                        </w:rPr>
                        <w:t>Taikoma Aprašo 2.5.1.2.2 papunktyje numatytoms išlaidoms</w:t>
                      </w:r>
                    </w:p>
                  </w:tc>
                </w:tr>
                <w:tr w14:paraId="1B9CD4BE"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1B0D9D86"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460E8D4" w14:textId="77777777">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437107E8" w14:textId="77777777">
                      <w:pPr>
                        <w:jc w:val="center"/>
                        <w:rPr>
                          <w:szCs w:val="24"/>
                        </w:rPr>
                      </w:pPr>
                    </w:p>
                    <w:p w14:paraId="2E0B814B" w14:textId="77777777">
                      <w:pPr>
                        <w:jc w:val="center"/>
                        <w:rPr>
                          <w:szCs w:val="24"/>
                        </w:rPr>
                      </w:pPr>
                    </w:p>
                    <w:p w14:paraId="69B0CAF9" w14:textId="77777777">
                      <w:pPr>
                        <w:jc w:val="center"/>
                        <w:rPr>
                          <w:szCs w:val="24"/>
                        </w:rPr>
                      </w:pPr>
                    </w:p>
                    <w:p w14:paraId="44D11456" w14:textId="0A6BEEB2">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40602E2" w14:textId="77777777">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5A95133" w14:textId="3C7B98AB">
                      <w:pPr>
                        <w:jc w:val="center"/>
                        <w:rPr>
                          <w:szCs w:val="24"/>
                        </w:rPr>
                      </w:pPr>
                      <w:r>
                        <w:rPr>
                          <w:szCs w:val="24"/>
                        </w:rPr>
                        <w:t>Taikoma Aprašo 2.5.1.2.2 papunktyje numatytoms išlaidoms</w:t>
                      </w:r>
                    </w:p>
                  </w:tc>
                </w:tr>
                <w:tr w14:paraId="5AC095A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A9A2DE0" w14:textId="77777777">
                      <w:pPr>
                        <w:jc w:val="center"/>
                        <w:rPr>
                          <w:szCs w:val="24"/>
                        </w:rPr>
                      </w:pPr>
                      <w:r>
                        <w:rPr>
                          <w:szCs w:val="24"/>
                        </w:rPr>
                        <w:t xml:space="preserve">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7DED4B3" w14:textId="77777777">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778E3F1D" w14:textId="77777777">
                      <w:pPr>
                        <w:jc w:val="center"/>
                        <w:rPr>
                          <w:szCs w:val="24"/>
                        </w:rPr>
                      </w:pPr>
                    </w:p>
                    <w:p w14:paraId="65A4CB68" w14:textId="77777777">
                      <w:pPr>
                        <w:jc w:val="center"/>
                        <w:rPr>
                          <w:szCs w:val="24"/>
                        </w:rPr>
                      </w:pPr>
                    </w:p>
                    <w:p w14:paraId="1B7FEC90" w14:textId="77777777">
                      <w:pPr>
                        <w:jc w:val="center"/>
                        <w:rPr>
                          <w:szCs w:val="24"/>
                        </w:rPr>
                      </w:pPr>
                    </w:p>
                    <w:p w14:paraId="7A92A733" w14:textId="7E1C373C">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7253700" w14:textId="77777777">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9BBF55C" w14:textId="542747BC">
                      <w:pPr>
                        <w:jc w:val="center"/>
                        <w:rPr>
                          <w:szCs w:val="24"/>
                        </w:rPr>
                      </w:pPr>
                      <w:r>
                        <w:rPr>
                          <w:szCs w:val="24"/>
                        </w:rPr>
                        <w:t>Taikoma Aprašo 2.5.1.2.2 papunktyje numatytoms išlaidoms</w:t>
                      </w:r>
                    </w:p>
                  </w:tc>
                </w:tr>
                <w:tr w14:paraId="081A24A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939E93B"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DB553CD" w14:textId="77777777">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2D7E43E5" w14:textId="77777777">
                      <w:pPr>
                        <w:jc w:val="center"/>
                        <w:rPr>
                          <w:szCs w:val="24"/>
                        </w:rPr>
                      </w:pPr>
                    </w:p>
                    <w:p w14:paraId="67FE40A5" w14:textId="77777777">
                      <w:pPr>
                        <w:jc w:val="center"/>
                        <w:rPr>
                          <w:szCs w:val="24"/>
                        </w:rPr>
                      </w:pPr>
                    </w:p>
                    <w:p w14:paraId="2B940284" w14:textId="77777777">
                      <w:pPr>
                        <w:jc w:val="center"/>
                        <w:rPr>
                          <w:szCs w:val="24"/>
                        </w:rPr>
                      </w:pPr>
                    </w:p>
                    <w:p w14:paraId="205CB15F" w14:textId="2002EEE8">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F0D5172" w14:textId="77777777">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CFA4446" w14:textId="2086115C">
                      <w:pPr>
                        <w:jc w:val="center"/>
                        <w:rPr>
                          <w:szCs w:val="24"/>
                        </w:rPr>
                      </w:pPr>
                      <w:r>
                        <w:rPr>
                          <w:szCs w:val="24"/>
                        </w:rPr>
                        <w:t xml:space="preserve">Taikoma Aprašo 2.5.1.2.2 papunktyje numatytoms išlaidoms </w:t>
                      </w:r>
                    </w:p>
                  </w:tc>
                </w:tr>
                <w:tr w14:paraId="72D9A658"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DFD9BE5"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5528FFC" w14:textId="77777777">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2F508664" w14:textId="77777777">
                      <w:pPr>
                        <w:jc w:val="center"/>
                        <w:rPr>
                          <w:szCs w:val="24"/>
                        </w:rPr>
                      </w:pPr>
                    </w:p>
                    <w:p w14:paraId="28E7799F" w14:textId="77777777">
                      <w:pPr>
                        <w:jc w:val="center"/>
                        <w:rPr>
                          <w:szCs w:val="24"/>
                        </w:rPr>
                      </w:pPr>
                    </w:p>
                    <w:p w14:paraId="3B6A90B0" w14:textId="3F4082D2">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023D7720" w14:textId="77777777">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B0FA92C" w14:textId="0E29FCDB">
                      <w:pPr>
                        <w:jc w:val="center"/>
                        <w:rPr>
                          <w:szCs w:val="24"/>
                        </w:rPr>
                      </w:pPr>
                      <w:r>
                        <w:rPr>
                          <w:szCs w:val="24"/>
                        </w:rPr>
                        <w:t xml:space="preserve">Taikoma Aprašo 2.5.1.2.2 papunktyje numatytoms išlaidoms </w:t>
                      </w:r>
                    </w:p>
                  </w:tc>
                </w:tr>
                <w:tr w14:paraId="242CA0C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81BB05B" w14:textId="77777777">
                      <w:pPr>
                        <w:jc w:val="center"/>
                        <w:rPr>
                          <w:szCs w:val="24"/>
                        </w:rPr>
                      </w:pPr>
                    </w:p>
                    <w:p w14:paraId="22CF78FE" w14:textId="333B619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2460504" w14:textId="77777777">
                      <w:pPr>
                        <w:jc w:val="center"/>
                        <w:rPr>
                          <w:szCs w:val="24"/>
                        </w:rPr>
                      </w:pPr>
                    </w:p>
                    <w:p w14:paraId="55E63278" w14:textId="77777777">
                      <w:pPr>
                        <w:jc w:val="center"/>
                        <w:rPr>
                          <w:szCs w:val="24"/>
                        </w:rPr>
                      </w:pPr>
                    </w:p>
                    <w:p w14:paraId="0C617CB9" w14:textId="170C820F">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31C4C4CB" w14:textId="77777777">
                      <w:pPr>
                        <w:jc w:val="center"/>
                        <w:rPr>
                          <w:szCs w:val="24"/>
                        </w:rPr>
                      </w:pPr>
                    </w:p>
                    <w:p w14:paraId="762F307F" w14:textId="77777777">
                      <w:pPr>
                        <w:jc w:val="center"/>
                        <w:rPr>
                          <w:szCs w:val="24"/>
                        </w:rPr>
                      </w:pPr>
                    </w:p>
                    <w:p w14:paraId="12FA6D86" w14:textId="64BE5E29">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2C485684" w14:textId="77777777">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E2BDF91" w14:textId="1F6182DA">
                      <w:pPr>
                        <w:jc w:val="center"/>
                        <w:rPr>
                          <w:szCs w:val="24"/>
                        </w:rPr>
                      </w:pPr>
                      <w:r>
                        <w:rPr>
                          <w:szCs w:val="24"/>
                        </w:rPr>
                        <w:t xml:space="preserve">Taikoma Aprašo 2.5.1.2.2 papunktyje numatytoms išlaidoms </w:t>
                      </w:r>
                    </w:p>
                  </w:tc>
                </w:tr>
                <w:tr w14:paraId="3D506A32"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5F21E4A9"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24E21D4" w14:textId="77777777">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246A2165" w14:textId="77777777">
                      <w:pPr>
                        <w:jc w:val="center"/>
                        <w:rPr>
                          <w:szCs w:val="24"/>
                        </w:rPr>
                      </w:pPr>
                    </w:p>
                    <w:p w14:paraId="29036F02" w14:textId="77777777">
                      <w:pPr>
                        <w:jc w:val="center"/>
                        <w:rPr>
                          <w:szCs w:val="24"/>
                        </w:rPr>
                      </w:pPr>
                    </w:p>
                    <w:p w14:paraId="7A749435" w14:textId="168FE2F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566BF6B" w14:textId="77777777">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1CA69FA" w14:textId="7E2DAEEC">
                      <w:pPr>
                        <w:jc w:val="center"/>
                        <w:rPr>
                          <w:szCs w:val="24"/>
                        </w:rPr>
                      </w:pPr>
                      <w:r>
                        <w:rPr>
                          <w:szCs w:val="24"/>
                        </w:rPr>
                        <w:t xml:space="preserve">Taikoma Aprašo 2.5.1.2.2 papunktyje numatytoms išlaidoms </w:t>
                      </w:r>
                    </w:p>
                  </w:tc>
                </w:tr>
              </w:tbl>
              <w:p w14:paraId="0EE06A4C" w14:textId="4884FF7C">
                <w:pPr>
                  <w:rPr>
                    <w:i/>
                    <w:iCs/>
                    <w:szCs w:val="24"/>
                  </w:rPr>
                </w:pPr>
              </w:p>
            </w:tc>
          </w:tr>
        </w:tbl>
        <w:p w14:paraId="5C63D553" w14:textId="668451B9">
          <w:pPr>
            <w:spacing w:line="276" w:lineRule="auto"/>
            <w:rPr>
              <w:rFonts w:eastAsia="Calibri"/>
              <w:sz w:val="22"/>
              <w:szCs w:val="22"/>
            </w:rPr>
          </w:pPr>
        </w:p>
        <w:p w14:paraId="7CFBBA93" w14:textId="77777777">
          <w:pPr>
            <w:rPr>
              <w:sz w:val="18"/>
              <w:szCs w:val="18"/>
            </w:rPr>
          </w:pPr>
        </w:p>
        <w:sdt>
          <w:sdtPr>
            <w:alias w:val="pabaiga"/>
            <w:tag w:val="part_c9f873cd91784a6d9345905d57982efd"/>
            <w:lock w:val="sdtLocked"/>
            <w:richText/>
          </w:sdtPr>
          <w:sdtContent>
            <w:p w14:paraId="6031890B" w14:textId="77777777">
              <w:pPr>
                <w:spacing w:line="276" w:lineRule="auto"/>
                <w:jc w:val="center"/>
                <w:rPr>
                  <w:szCs w:val="24"/>
                </w:rPr>
              </w:pPr>
              <w:r>
                <w:rPr>
                  <w:rFonts w:eastAsia="Calibri"/>
                  <w:szCs w:val="24"/>
                </w:rPr>
                <w:t>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418"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B4BBBE" w14:textId="77777777">
      <w:pPr>
        <w:rPr>
          <w:sz w:val="22"/>
          <w:szCs w:val="22"/>
        </w:rPr>
      </w:pPr>
      <w:r>
        <w:rPr>
          <w:sz w:val="22"/>
          <w:szCs w:val="22"/>
        </w:rPr>
        <w:separator/>
      </w:r>
    </w:p>
  </w:endnote>
  <w:endnote w:type="continuationSeparator" w:id="0">
    <w:p w14:paraId="02248F08" w14:textId="77777777">
      <w:pPr>
        <w:rPr>
          <w:sz w:val="22"/>
          <w:szCs w:val="22"/>
        </w:rPr>
      </w:pPr>
      <w:r>
        <w:rPr>
          <w:sz w:val="22"/>
          <w:szCs w:val="22"/>
        </w:rPr>
        <w:continuationSeparator/>
      </w:r>
    </w:p>
  </w:endnote>
  <w:endnote w:type="continuationNotice" w:id="1">
    <w:p w14:paraId="5AE429AC"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4631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A8065" w14:textId="77777777">
      <w:pPr>
        <w:rPr>
          <w:sz w:val="22"/>
          <w:szCs w:val="22"/>
        </w:rPr>
      </w:pPr>
      <w:r>
        <w:rPr>
          <w:sz w:val="22"/>
          <w:szCs w:val="22"/>
        </w:rPr>
        <w:separator/>
      </w:r>
    </w:p>
  </w:footnote>
  <w:footnote w:type="continuationSeparator" w:id="0">
    <w:p w14:paraId="3DEBF268" w14:textId="77777777">
      <w:pPr>
        <w:rPr>
          <w:sz w:val="22"/>
          <w:szCs w:val="22"/>
        </w:rPr>
      </w:pPr>
      <w:r>
        <w:rPr>
          <w:sz w:val="22"/>
          <w:szCs w:val="22"/>
        </w:rPr>
        <w:continuationSeparator/>
      </w:r>
    </w:p>
  </w:footnote>
  <w:footnote w:type="continuationNotice" w:id="1">
    <w:p w14:paraId="07C49E22" w14:textId="77777777">
      <w:pPr>
        <w:rPr>
          <w:sz w:val="22"/>
          <w:szCs w:val="22"/>
        </w:rPr>
      </w:pPr>
    </w:p>
  </w:footnote>
  <w:footnote w:id="2">
    <w:p w14:paraId="7A03E06C" w14:textId="4B351CF4">
      <w:pPr>
        <w:jc w:val="both"/>
        <w:rPr>
          <w:sz w:val="20"/>
        </w:rPr>
      </w:pPr>
      <w:r>
        <w:rPr>
          <w:sz w:val="20"/>
          <w:vertAlign w:val="superscript"/>
        </w:rPr>
        <w:footnoteRef/>
      </w:r>
      <w:r>
        <w:rPr>
          <w:sz w:val="20"/>
        </w:rPr>
        <w:t xml:space="preserve"> Greitosios pagalbos automobilis turi atitikti sveikatos apsaugos ministro tvirtinamuose specializuotų pacientų pavėžėjimo paslaugų teikimo reikalavimuose numatytus minimalius greitosios medicinos pagalbos automobiliams taikomus reikalavimus.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74C03B7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10</w:t>
    </w:r>
    <w:r>
      <w:rPr>
        <w:szCs w:val="22"/>
      </w:rPr>
      <w:fldChar w:fldCharType="end"/>
    </w:r>
  </w:p>
  <w:p w14:paraId="4507E6F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2433442">
      <w:bodyDiv w:val="1"/>
      <w:marLeft w:val="0"/>
      <w:marRight w:val="0"/>
      <w:marTop w:val="0"/>
      <w:marBottom w:val="0"/>
      <w:divBdr>
        <w:top w:val="none" w:sz="0" w:space="0" w:color="auto"/>
        <w:left w:val="none" w:sz="0" w:space="0" w:color="auto"/>
        <w:bottom w:val="none" w:sz="0" w:space="0" w:color="auto"/>
        <w:right w:val="none" w:sz="0" w:space="0" w:color="auto"/>
      </w:divBdr>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359211508">
      <w:bodyDiv w:val="1"/>
      <w:marLeft w:val="0"/>
      <w:marRight w:val="0"/>
      <w:marTop w:val="0"/>
      <w:marBottom w:val="0"/>
      <w:divBdr>
        <w:top w:val="none" w:sz="0" w:space="0" w:color="auto"/>
        <w:left w:val="none" w:sz="0" w:space="0" w:color="auto"/>
        <w:bottom w:val="none" w:sz="0" w:space="0" w:color="auto"/>
        <w:right w:val="none" w:sz="0" w:space="0" w:color="auto"/>
      </w:divBdr>
    </w:div>
    <w:div w:id="423573426">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36644381">
      <w:bodyDiv w:val="1"/>
      <w:marLeft w:val="0"/>
      <w:marRight w:val="0"/>
      <w:marTop w:val="0"/>
      <w:marBottom w:val="0"/>
      <w:divBdr>
        <w:top w:val="none" w:sz="0" w:space="0" w:color="auto"/>
        <w:left w:val="none" w:sz="0" w:space="0" w:color="auto"/>
        <w:bottom w:val="none" w:sz="0" w:space="0" w:color="auto"/>
        <w:right w:val="none" w:sz="0" w:space="0" w:color="auto"/>
      </w:divBdr>
    </w:div>
    <w:div w:id="780875122">
      <w:bodyDiv w:val="1"/>
      <w:marLeft w:val="0"/>
      <w:marRight w:val="0"/>
      <w:marTop w:val="0"/>
      <w:marBottom w:val="0"/>
      <w:divBdr>
        <w:top w:val="none" w:sz="0" w:space="0" w:color="auto"/>
        <w:left w:val="none" w:sz="0" w:space="0" w:color="auto"/>
        <w:bottom w:val="none" w:sz="0" w:space="0" w:color="auto"/>
        <w:right w:val="none" w:sz="0" w:space="0" w:color="auto"/>
      </w:divBdr>
    </w:div>
    <w:div w:id="87262091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2541227">
      <w:bodyDiv w:val="1"/>
      <w:marLeft w:val="0"/>
      <w:marRight w:val="0"/>
      <w:marTop w:val="0"/>
      <w:marBottom w:val="0"/>
      <w:divBdr>
        <w:top w:val="none" w:sz="0" w:space="0" w:color="auto"/>
        <w:left w:val="none" w:sz="0" w:space="0" w:color="auto"/>
        <w:bottom w:val="none" w:sz="0" w:space="0" w:color="auto"/>
        <w:right w:val="none" w:sz="0" w:space="0" w:color="auto"/>
      </w:divBdr>
    </w:div>
    <w:div w:id="938486984">
      <w:bodyDiv w:val="1"/>
      <w:marLeft w:val="0"/>
      <w:marRight w:val="0"/>
      <w:marTop w:val="0"/>
      <w:marBottom w:val="0"/>
      <w:divBdr>
        <w:top w:val="none" w:sz="0" w:space="0" w:color="auto"/>
        <w:left w:val="none" w:sz="0" w:space="0" w:color="auto"/>
        <w:bottom w:val="none" w:sz="0" w:space="0" w:color="auto"/>
        <w:right w:val="none" w:sz="0" w:space="0" w:color="auto"/>
      </w:divBdr>
    </w:div>
    <w:div w:id="940262554">
      <w:bodyDiv w:val="1"/>
      <w:marLeft w:val="0"/>
      <w:marRight w:val="0"/>
      <w:marTop w:val="0"/>
      <w:marBottom w:val="0"/>
      <w:divBdr>
        <w:top w:val="none" w:sz="0" w:space="0" w:color="auto"/>
        <w:left w:val="none" w:sz="0" w:space="0" w:color="auto"/>
        <w:bottom w:val="none" w:sz="0" w:space="0" w:color="auto"/>
        <w:right w:val="none" w:sz="0" w:space="0" w:color="auto"/>
      </w:divBdr>
    </w:div>
    <w:div w:id="1073233448">
      <w:bodyDiv w:val="1"/>
      <w:marLeft w:val="0"/>
      <w:marRight w:val="0"/>
      <w:marTop w:val="0"/>
      <w:marBottom w:val="0"/>
      <w:divBdr>
        <w:top w:val="none" w:sz="0" w:space="0" w:color="auto"/>
        <w:left w:val="none" w:sz="0" w:space="0" w:color="auto"/>
        <w:bottom w:val="none" w:sz="0" w:space="0" w:color="auto"/>
        <w:right w:val="none" w:sz="0" w:space="0" w:color="auto"/>
      </w:divBdr>
    </w:div>
    <w:div w:id="1147212581">
      <w:bodyDiv w:val="1"/>
      <w:marLeft w:val="0"/>
      <w:marRight w:val="0"/>
      <w:marTop w:val="0"/>
      <w:marBottom w:val="0"/>
      <w:divBdr>
        <w:top w:val="none" w:sz="0" w:space="0" w:color="auto"/>
        <w:left w:val="none" w:sz="0" w:space="0" w:color="auto"/>
        <w:bottom w:val="none" w:sz="0" w:space="0" w:color="auto"/>
        <w:right w:val="none" w:sz="0" w:space="0" w:color="auto"/>
      </w:divBdr>
    </w:div>
    <w:div w:id="1411660473">
      <w:bodyDiv w:val="1"/>
      <w:marLeft w:val="0"/>
      <w:marRight w:val="0"/>
      <w:marTop w:val="0"/>
      <w:marBottom w:val="0"/>
      <w:divBdr>
        <w:top w:val="none" w:sz="0" w:space="0" w:color="auto"/>
        <w:left w:val="none" w:sz="0" w:space="0" w:color="auto"/>
        <w:bottom w:val="none" w:sz="0" w:space="0" w:color="auto"/>
        <w:right w:val="none" w:sz="0" w:space="0" w:color="auto"/>
      </w:divBdr>
    </w:div>
    <w:div w:id="1433429635">
      <w:bodyDiv w:val="1"/>
      <w:marLeft w:val="0"/>
      <w:marRight w:val="0"/>
      <w:marTop w:val="0"/>
      <w:marBottom w:val="0"/>
      <w:divBdr>
        <w:top w:val="none" w:sz="0" w:space="0" w:color="auto"/>
        <w:left w:val="none" w:sz="0" w:space="0" w:color="auto"/>
        <w:bottom w:val="none" w:sz="0" w:space="0" w:color="auto"/>
        <w:right w:val="none" w:sz="0" w:space="0" w:color="auto"/>
      </w:divBdr>
    </w:div>
    <w:div w:id="1614479868">
      <w:bodyDiv w:val="1"/>
      <w:marLeft w:val="0"/>
      <w:marRight w:val="0"/>
      <w:marTop w:val="0"/>
      <w:marBottom w:val="0"/>
      <w:divBdr>
        <w:top w:val="none" w:sz="0" w:space="0" w:color="auto"/>
        <w:left w:val="none" w:sz="0" w:space="0" w:color="auto"/>
        <w:bottom w:val="none" w:sz="0" w:space="0" w:color="auto"/>
        <w:right w:val="none" w:sz="0" w:space="0" w:color="auto"/>
      </w:divBdr>
    </w:div>
    <w:div w:id="1703044562">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77871307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2025208674">
      <w:bodyDiv w:val="1"/>
      <w:marLeft w:val="0"/>
      <w:marRight w:val="0"/>
      <w:marTop w:val="0"/>
      <w:marBottom w:val="0"/>
      <w:divBdr>
        <w:top w:val="none" w:sz="0" w:space="0" w:color="auto"/>
        <w:left w:val="none" w:sz="0" w:space="0" w:color="auto"/>
        <w:bottom w:val="none" w:sz="0" w:space="0" w:color="auto"/>
        <w:right w:val="none" w:sz="0" w:space="0" w:color="auto"/>
      </w:divBdr>
    </w:div>
    <w:div w:id="2094472950">
      <w:bodyDiv w:val="1"/>
      <w:marLeft w:val="0"/>
      <w:marRight w:val="0"/>
      <w:marTop w:val="0"/>
      <w:marBottom w:val="0"/>
      <w:divBdr>
        <w:top w:val="none" w:sz="0" w:space="0" w:color="auto"/>
        <w:left w:val="none" w:sz="0" w:space="0" w:color="auto"/>
        <w:bottom w:val="none" w:sz="0" w:space="0" w:color="auto"/>
        <w:right w:val="none" w:sz="0" w:space="0" w:color="auto"/>
      </w:divBdr>
    </w:div>
    <w:div w:id="2143300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false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Gintaras Maželis</DisplayName>
        <AccountId>96</AccountId>
        <AccountType/>
      </UserInfo>
      <UserInfo>
        <DisplayName>Laura Neliupšytė</DisplayName>
        <AccountId>90</AccountId>
        <AccountType/>
      </UserInfo>
      <UserInfo>
        <DisplayName>Lina Šimkevičienė</DisplayName>
        <AccountId>165</AccountId>
        <AccountType/>
      </UserInfo>
      <UserInfo>
        <DisplayName>Margarita Kairienė</DisplayName>
        <AccountId>166</AccountId>
        <AccountType/>
      </UserInfo>
      <UserInfo>
        <DisplayName>Mantas Bernotas</DisplayName>
        <AccountId>1119</AccountId>
        <AccountType/>
      </UserInfo>
      <UserInfo>
        <DisplayName>Rasa Mockutė</DisplayName>
        <AccountId>1089</AccountId>
        <AccountType/>
      </UserInfo>
    </DmsPermissionsUsers>
    <DmsCommChanPerm xmlns="028236e2-f653-4d19-ab67-4d06a9145e0c" xsi:nil="true"/>
    <DmsDocPrepDocSendRegReal xmlns="028236e2-f653-4d19-ab67-4d06a9145e0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4c9bf40351b236492682a2d3473eac02">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69b6eb721e51d17af17b6113f417a729"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8" Abbr="8 pr." Title="2022–2030 METŲ SVEIKATOS PRIEŽIŪROS KOKYBĖS IR EFEKTYVUMO DIDINIMO PLĖTROS PROGRAMOS PAŽANGOS PRIEMONĖS NR. 11-002-02-11-01 „GERINTI SVEIKATOS PRIEŽIŪROS PASLAUGŲ KOKYBĘ IR PRIEINAMUMĄ“ PROJEKTŲ FINANSAVIMO SĄLYGŲ APRAŠAS NR. 8" DocPartId="56a1394b94654dd28935c7fbd54a03f2" PartId="88f169dfdd92413589f731da8588e752">
    <Part Type="pabaiga" DocPartId="84cd52d44868498d905b67aeb1e4cf7d" PartId="c9f873cd91784a6d9345905d57982efd"/>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8A87B2C0-8C86-45D6-AC8D-CAEF4F3E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6BB906-2486-4D38-BE4E-B73BD6E45004}">
  <ds:schemaRefs>
    <ds:schemaRef ds:uri="http://schemas.openxmlformats.org/officeDocument/2006/bibliography"/>
  </ds:schemaRefs>
</ds:datastoreItem>
</file>

<file path=customXml/itemProps5.xml><?xml version="1.0" encoding="utf-8"?>
<ds:datastoreItem xmlns:ds="http://schemas.openxmlformats.org/officeDocument/2006/customXml" ds:itemID="{BF26C6E3-1DDC-466B-9304-8CB96FCD4DE0}">
  <ds:schemaRefs>
    <ds:schemaRef ds:uri="http://schemas.openxmlformats.org/officeDocument/2006/bibliography"/>
  </ds:schemaRefs>
</ds:datastoreItem>
</file>

<file path=customXml/itemProps6.xml><?xml version="1.0" encoding="utf-8"?>
<ds:datastoreItem xmlns:ds="http://schemas.openxmlformats.org/officeDocument/2006/customXml" ds:itemID="{9A8FC35D-BF12-4B7B-A7A9-D13B25F6FB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3817</Words>
  <Characters>28134</Characters>
  <Application>Microsoft Office Word</Application>
  <DocSecurity>4</DocSecurity>
  <Lines>639</Lines>
  <Paragraphs>264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31687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2023-04-06T04:53:00Z</dcterms:created>
  <dc:creator>Virginija Levinskienė</dc:creator>
  <lastModifiedBy>adlibuser</lastModifiedBy>
  <lastPrinted>2022-08-08T10:12:00Z</lastPrinted>
  <dcterms:modified xsi:type="dcterms:W3CDTF">2023-04-06T04:53:00Z</dcterms:modified>
  <revision>2</revision>
  <dc:title>PFSA 2022-09-09 IT patobulinimas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