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7598bcd00c45ed857a7076a270adf6"/>
        <w:lock w:val="sdtLocked"/>
        <w:richText/>
      </w:sdtPr>
      <w:sdtContent>
        <w:p>
          <w:pPr>
            <w:rPr>
              <w:sz w:val="10"/>
              <w:szCs w:val="10"/>
            </w:rPr>
          </w:pPr>
        </w:p>
        <w:p>
          <w:pPr>
            <w:tabs>
              <w:tab w:val="center" w:pos="4819"/>
              <w:tab w:val="right" w:pos="9638"/>
            </w:tabs>
            <w:ind w:firstLine="567"/>
            <w:jc w:val="right"/>
            <w:rPr>
              <w:rFonts w:cs="Arial"/>
              <w:b/>
              <w:bCs/>
              <w:color w:val="135587"/>
              <w:sz w:val="22"/>
              <w:szCs w:val="22"/>
            </w:rPr>
          </w:pPr>
        </w:p>
        <w:p>
          <w:pPr>
            <w:rPr>
              <w:sz w:val="10"/>
              <w:szCs w:val="10"/>
            </w:rPr>
          </w:pPr>
        </w:p>
        <w:p>
          <w:pPr>
            <w:tabs>
              <w:tab w:val="center" w:pos="4819"/>
              <w:tab w:val="right" w:pos="9638"/>
            </w:tabs>
            <w:ind w:firstLine="567"/>
            <w:jc w:val="both"/>
            <w:rPr>
              <w:sz w:val="22"/>
              <w:szCs w:val="22"/>
            </w:rPr>
          </w:pPr>
        </w:p>
      </w:sdtContent>
    </w:sdt>
    <w:sdt>
      <w:sdtPr>
        <w:alias w:val="patvirtinta"/>
        <w:tag w:val="part_fcd14928b30f4c21805af6639487d1c2"/>
        <w:lock w:val="sdtLocked"/>
        <w:richText/>
      </w:sdtPr>
      <w:sdtContent>
        <w:p>
          <w:pPr>
            <w:ind w:firstLine="5670"/>
            <w:jc w:val="both"/>
            <w:rPr>
              <w:rFonts w:ascii="Arial" w:hAnsi="Arial" w:cs="Arial"/>
              <w:sz w:val="22"/>
              <w:szCs w:val="22"/>
            </w:rPr>
          </w:pPr>
          <w:r>
            <w:rPr>
              <w:sz w:val="22"/>
              <w:szCs w:val="22"/>
              <w:lang w:val="en-US"/>
            </w:rPr>
            <mc:AlternateContent>
              <mc:Choice Requires="wpg">
                <w:drawing>
                  <wp:anchor distT="0" distB="0" distL="114300" distR="114300" simplePos="0" relativeHeight="251659264" behindDoc="1" locked="0" layoutInCell="1" allowOverlap="1" wp14:anchorId="0DDCCAD5" wp14:editId="5106B408">
                    <wp:simplePos x="0" y="0"/>
                    <wp:positionH relativeFrom="page">
                      <wp:align>center</wp:align>
                    </wp:positionH>
                    <wp:positionV relativeFrom="margin">
                      <wp:align>center</wp:align>
                    </wp:positionV>
                    <wp:extent cx="6858000" cy="9436100"/>
                    <wp:effectExtent l="0" t="0" r="0" b="0"/>
                    <wp:wrapNone/>
                    <wp:docPr id="119" name="Group 119"/>
                    <wp:cNvGraphicFramePr/>
                    <a:graphic xmlns:a="http://schemas.openxmlformats.org/drawingml/2006/main">
                      <a:graphicData uri="http://schemas.microsoft.com/office/word/2010/wordprocessingGroup">
                        <wpg:wgp>
                          <wpg:cNvGrpSpPr/>
                          <wpg:grpSpPr>
                            <a:xfrm>
                              <a:off x="0" y="0"/>
                              <a:ext cx="6858000" cy="9436100"/>
                              <a:chOff x="0" y="0"/>
                              <a:chExt cx="6858000" cy="9271750"/>
                            </a:xfrm>
                          </wpg:grpSpPr>
                          <wps:wsp>
                            <wps:cNvPr id="120" name="Rectangle 120"/>
                            <wps:cNvSpPr/>
                            <wps:spPr>
                              <a:xfrm>
                                <a:off x="0" y="7213600"/>
                                <a:ext cx="6858000" cy="143182"/>
                              </a:xfrm>
                              <a:prstGeom prst="rect">
                                <a:avLst/>
                              </a:prstGeom>
                              <a:solidFill>
                                <a:srgbClr val="0D65AC"/>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0" y="7356688"/>
                                <a:ext cx="6858000" cy="1915062"/>
                              </a:xfrm>
                              <a:prstGeom prst="rect">
                                <a:avLst/>
                              </a:prstGeom>
                              <a:solidFill>
                                <a:sysClr val="window" lastClr="FFFFFF">
                                  <a:lumMod val="95000"/>
                                </a:sysClr>
                              </a:solidFill>
                              <a:ln w="12700" cap="flat" cmpd="sng" algn="ctr">
                                <a:noFill/>
                                <a:prstDash val="solid"/>
                                <a:miter lim="800000"/>
                              </a:ln>
                              <a:effectLst/>
                            </wps:spPr>
                            <wps:txbx>
                              <w:txbxContent>
                                <w:tbl>
                                  <w:tblPr>
                                    <w:tblW w:w="9461" w:type="dxa"/>
                                    <w:tblInd w:w="-5" w:type="dxa"/>
                                    <w:tblLook w:val="04A0" w:firstRow="1" w:lastRow="0" w:firstColumn="1" w:lastColumn="0" w:noHBand="0" w:noVBand="1"/>
                                  </w:tblPr>
                                  <w:tblGrid>
                                    <w:gridCol w:w="7076"/>
                                    <w:gridCol w:w="2385"/>
                                  </w:tblGrid>
                                  <w:tr>
                                    <w:trPr>
                                      <w:trHeight w:val="613"/>
                                    </w:trPr>
                                    <w:tc>
                                      <w:tcPr>
                                        <w:tcW w:w="7076" w:type="dxa"/>
                                      </w:tcPr>
                                      <w:p>
                                        <w:pPr>
                                          <w:rPr>
                                            <w:rFonts w:ascii="Arial" w:hAnsi="Arial" w:cs="Arial"/>
                                            <w:color w:val="000000"/>
                                            <w:sz w:val="32"/>
                                            <w:szCs w:val="32"/>
                                          </w:rPr>
                                        </w:pPr>
                                      </w:p>
                                      <w:p>
                                        <w:pPr>
                                          <w:rPr>
                                            <w:rFonts w:ascii="Arial" w:hAnsi="Arial" w:cs="Arial"/>
                                            <w:color w:val="000000"/>
                                            <w:sz w:val="28"/>
                                            <w:szCs w:val="28"/>
                                          </w:rPr>
                                        </w:pPr>
                                        <w:r>
                                          <w:rPr>
                                            <w:rFonts w:ascii="Arial" w:hAnsi="Arial" w:cs="Arial"/>
                                            <w:color w:val="000000"/>
                                            <w:sz w:val="28"/>
                                            <w:szCs w:val="28"/>
                                          </w:rPr>
                                          <w:t>Joniškio rajono savivaldybės administracija</w:t>
                                        </w:r>
                                      </w:p>
                                      <w:p>
                                        <w:pPr>
                                          <w:rPr>
                                            <w:rFonts w:ascii="Arial" w:hAnsi="Arial" w:cs="Arial"/>
                                            <w:caps/>
                                            <w:color w:val="000000"/>
                                            <w:sz w:val="22"/>
                                            <w:szCs w:val="22"/>
                                          </w:rPr>
                                        </w:pPr>
                                        <w:r>
                                          <w:rPr>
                                            <w:rFonts w:ascii="Arial" w:hAnsi="Arial" w:cs="Arial"/>
                                            <w:caps/>
                                            <w:color w:val="000000"/>
                                            <w:sz w:val="22"/>
                                            <w:szCs w:val="22"/>
                                          </w:rPr>
                                          <w:t>Joniškis, 2022</w:t>
                                        </w:r>
                                      </w:p>
                                      <w:p>
                                        <w:pPr>
                                          <w:rPr>
                                            <w:rFonts w:ascii="Arial" w:hAnsi="Arial" w:cs="Arial"/>
                                            <w:caps/>
                                            <w:color w:val="000000"/>
                                            <w:sz w:val="22"/>
                                            <w:szCs w:val="22"/>
                                          </w:rPr>
                                        </w:pPr>
                                      </w:p>
                                    </w:tc>
                                    <w:tc>
                                      <w:tcPr>
                                        <w:tcW w:w="2385" w:type="dxa"/>
                                      </w:tcPr>
                                      <w:p>
                                        <w:pPr>
                                          <w:ind w:firstLine="2852"/>
                                          <w:jc w:val="center"/>
                                          <w:rPr>
                                            <w:rFonts w:ascii="Arial" w:hAnsi="Arial" w:cs="Arial"/>
                                            <w:sz w:val="22"/>
                                            <w:szCs w:val="22"/>
                                          </w:rPr>
                                        </w:pPr>
                                      </w:p>
                                    </w:tc>
                                  </w:tr>
                                </w:tbl>
                                <w:p>
                                  <w:pPr>
                                    <w:rPr>
                                      <w:rFonts w:ascii="Arial" w:hAnsi="Arial" w:cs="Arial"/>
                                      <w:caps/>
                                      <w:color w:val="000000"/>
                                      <w:sz w:val="22"/>
                                      <w:szCs w:val="22"/>
                                      <w:lang w:val="en-US"/>
                                    </w:rPr>
                                  </w:pP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xt Box 122"/>
                            <wps:cNvSpPr txBox="1"/>
                            <wps:spPr>
                              <a:xfrm>
                                <a:off x="0" y="0"/>
                                <a:ext cx="6858000" cy="7315200"/>
                              </a:xfrm>
                              <a:prstGeom prst="rect">
                                <a:avLst/>
                              </a:prstGeom>
                              <a:noFill/>
                              <a:ln w="6350">
                                <a:noFill/>
                              </a:ln>
                              <a:effectLst/>
                            </wps:spPr>
                            <wps:txbx>
                              <w:txbxContent>
                                <w:p>
                                  <w:pPr>
                                    <w:rPr>
                                      <w:sz w:val="20"/>
                                    </w:rPr>
                                  </w:pPr>
                                </w:p>
                                <w:p>
                                  <w:pPr>
                                    <w:ind w:left="-284"/>
                                    <w:rPr>
                                      <w:rFonts w:ascii="Arial" w:hAnsi="Arial" w:cs="Arial"/>
                                      <w:caps/>
                                      <w:color w:val="455F51"/>
                                      <w:sz w:val="36"/>
                                      <w:szCs w:val="36"/>
                                    </w:rPr>
                                  </w:pPr>
                                  <w:r>
                                    <w:rPr>
                                      <w:sz w:val="22"/>
                                      <w:szCs w:val="22"/>
                                      <w:lang w:val="en-US"/>
                                    </w:rPr>
                                    <w:drawing>
                                      <wp:inline distT="0" distB="0" distL="0" distR="0" wp14:anchorId="63018FDD" wp14:editId="4DF8F2D7">
                                        <wp:extent cx="5937250" cy="2433320"/>
                                        <wp:effectExtent l="0" t="0" r="6350" b="5080"/>
                                        <wp:docPr id="41" name="Paveikslėlis 41" descr="Paveikslėlis, kuriame yra žinutė, laukas  Automatiškai sugeneruotas aprašymas"/>
                                        <wp:cNvGraphicFramePr>
                                          <a:graphicFrameLocks noChangeAspect="1"/>
                                        </wp:cNvGraphicFramePr>
                                        <a:graphic>
                                          <a:graphicData uri="http://schemas.openxmlformats.org/drawingml/2006/picture">
                                            <pic:pic xmlns:pic="http://schemas.openxmlformats.org/drawingml/2006/picture">
                                              <pic:nvPicPr>
                                                <pic:cNvPr id="24" name="Paveikslėlis 24" descr="Paveikslėlis, kuriame yra žinutė, laukas  Automatiškai sugeneruotas aprašymas"/>
                                                <pic:cNvPicPr/>
                                              </pic:nvPicPr>
                                              <pic:blipFill>
                                                <a:blip r:embed="rId7"/>
                                                <a:stretch>
                                                  <a:fillRect/>
                                                </a:stretch>
                                              </pic:blipFill>
                                              <pic:spPr>
                                                <a:xfrm>
                                                  <a:off x="0" y="0"/>
                                                  <a:ext cx="5937250" cy="2433320"/>
                                                </a:xfrm>
                                                <a:prstGeom prst="rect">
                                                  <a:avLst/>
                                                </a:prstGeom>
                                              </pic:spPr>
                                            </pic:pic>
                                          </a:graphicData>
                                        </a:graphic>
                                      </wp:inline>
                                    </w:drawing>
                                  </w:r>
                                  <w:r>
                                    <w:rPr>
                                      <w:rFonts w:ascii="Arial" w:hAnsi="Arial" w:cs="Arial"/>
                                      <w:caps/>
                                      <w:color w:val="455F51"/>
                                      <w:sz w:val="36"/>
                                      <w:szCs w:val="36"/>
                                    </w:rPr>
                                    <w:t>Joniškio rajono savivaldybės atsinaujinančių išteklių energijos naudojimo plėtros veiksmų planas iki 2030 m.</w:t>
                                  </w:r>
                                </w:p>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DDCCAD5" id="Group 119" o:spid="_x0000_s1026" style="position:absolute;left:0;text-align:left;margin-left:0;margin-top:0;width:540pt;height:743pt;z-index:-251657216;mso-position-horizontal:center;mso-position-horizontal-relative:page;mso-position-vertical:center;mso-position-vertical-relative:margin" coordsize="68580,92717"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GqG1mgMAAGgMAAAOAAAAZHJzL2Uyb0RvYy54bWzkV9tu2zgQfV9g/4HQ+0aWL7ItxCm8ySZY IG2DTYo+0xR1ASiSS9KR0q/vDCkp3sRdLNyiLbB5UHgfzplzZujzN10jyCM3tlZyEyVnk4hwyVRe y3ITfXi4/m0VEeuozKlQkm+iJ26jNxe//nLe6oxPVaVEzg2BQ6TNWr2JKud0FseWVbyh9kxpLmGy UKahDrqmjHNDWzi9EfF0MknjVplcG8W4tTB6FSajC39+UXDm3heF5Y6ITQR3c/5r/HeH3/jinGal obqqWX8NesItGlpLMDoedUUdJXtTvzqqqZlRVhXujKkmVkVRM+59AG+SyQtvbozaa+9LmbWlHmEC aF/gdPKx7N3jnSF1DrFL1hGRtIEgebsEBwCeVpcZrLox+l7fmX6gDD30uCtMg//BF9J5YJ9GYHnn CIPBdLVYTSaAP4O59XyWJtDx0LMK4vNqH6v+OLpzukyWC78zHgzHeL/xOq0GGtlnpOzXIXVfUc19 ACxiMCA1BU8CUn8BwagsBScJDHpw/MoRKptZQO2LOC2nySwdsDiKVjKfJaspHj26TDNtrLvhqiHY 2EQGbuHZRx9vrQtLhyVo2ipR59e1EL5jyt2lMOSRoiSu0sX2sj/9H8uEJC2QYrr0YaMgzUJQBxFs NJDFyjIiVJSgeeaMty0VWvBBRdtX1FbBhj82RLupHahd1M0mQj4Ex8EvIfFm3Ou19wAjGaDD1k7l T4C+UUHAVrPrGozcUuvuqAHFQkQgC7n38CmEgpurvhWRSplPx8ZxPdADZiPSQgYAr/7eU8MjIv6U QJx1Mp9jyvCd+WKJUTeHM7vDGblvLhUgmkC+08w3cb0TQ7MwqvkIyWqLVmGKSga2A35959KFzATp jvHt1i+DNKGpu5X3muHhiBPC+9B9pEb38XfAnHdqICvNXtAgrMWdUm33ThW158gzrsCtXjgo9++i IIDptYKSUxQ0W6TpahX4dVxB62QxSb+phJ7sqCCoRblqgTNARRjcRNf+zwdK7Ju3Kg8qWC+e6W79 fq9oL45Bmj+X5ly36/qM9iPk5xU36g9y4Go1CnCYO1AgzJ0swd2gxv+RAKeDAB9QNL+rDiqY1wgm AKh1WMGI62AC007Pg3+tZX1FP6rB5SxZwHMNzzm9jB1UmKCUdAaPgZDX+trzX2oJ8jq8eAa3fjy9 B0KH+jL0vhG9sUL/RBXGv9jgOeup0D+98b182If24Q+Ei88AAAD//wMAUEsDBBQABgAIAAAAIQCr lBUp3QAAAAcBAAAPAAAAZHJzL2Rvd25yZXYueG1sTI/NasMwEITvhb6D2EJvjeT+BONYDiG0PYVC k0LJTbE2tom1MpZiO2/fTS/tZdlhltlv8uXkWjFgHxpPGpKZAoFUettQpeFr9/aQggjRkDWtJ9Rw wQDL4vYmN5n1I33isI2V4BAKmdFQx9hlUoayRmfCzHdI7B1970xk2VfS9mbkcNfKR6Xm0pmG+ENt OlzXWJ62Z6fhfTTj6il5HTan4/qy3718fG8S1Pr+blotQESc4t8xXPEZHQpmOvgz2SBaDVwk/s6r p1LF+sDbczpXIItc/ucvfgAAAP//AwBQSwECLQAUAAYACAAAACEAtoM4kv4AAADhAQAAEwAAAAAA AAAAAAAAAAAAAAAAW0NvbnRlbnRfVHlwZXNdLnhtbFBLAQItABQABgAIAAAAIQA4/SH/1gAAAJQB AAALAAAAAAAAAAAAAAAAAC8BAABfcmVscy8ucmVsc1BLAQItABQABgAIAAAAIQC1GqG1mgMAAGgM AAAOAAAAAAAAAAAAAAAAAC4CAABkcnMvZTJvRG9jLnhtbFBLAQItABQABgAIAAAAIQCrlBUp3QAA AAcBAAAPAAAAAAAAAAAAAAAAAPQFAABkcnMvZG93bnJldi54bWxQSwUGAAAAAAQABADzAAAA/gYA AAAA ">
                    <v:rect id="Rectangle 120" o:spid="_x0000_s1027" style="position:absolute;top:72136;width:68580;height:143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0CYVGxAAAANwAAAAPAAAAZHJzL2Rvd25yZXYueG1sRI9Pa8JA EMXvBb/DMoK3umkEqamrBKHg1T8UvQ3ZMUmbnY3ZrUY/vXMQvM3w3rz3m/myd426UBdqzwY+xgko 4sLbmksD+933+yeoEJEtNp7JwI0CLBeDtzlm1l95Q5dtLJWEcMjQQBVjm2kdioochrFviUU7+c5h lLUrte3wKuGu0WmSTLXDmqWhwpZWFRV/239noN/MaDLxh+In/c1Dfrb2dLzPjBkN+/wLVKQ+vszP 67UV/FTw5RmZQC8eAAAA//8DAFBLAQItABQABgAIAAAAIQDb4fbL7gAAAIUBAAATAAAAAAAAAAAA AAAAAAAAAABbQ29udGVudF9UeXBlc10ueG1sUEsBAi0AFAAGAAgAAAAhAFr0LFu/AAAAFQEAAAsA AAAAAAAAAAAAAAAAHwEAAF9yZWxzLy5yZWxzUEsBAi0AFAAGAAgAAAAhADQJhUbEAAAA3AAAAA8A AAAAAAAAAAAAAAAABwIAAGRycy9kb3ducmV2LnhtbFBLBQYAAAAAAwADALcAAAD4AgAAAAA= " fillcolor="#0d65ac" stroked="f" strokeweight="1pt"/>
                    <v:rect id="Rectangle 121" o:spid="_x0000_s1028" style="position:absolute;top:73566;width:68580;height:19151;visibility:visible;mso-wrap-style:square;v-text-anchor:bottom"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tltuwwAAANwAAAAPAAAAZHJzL2Rvd25yZXYueG1sRE9La8JA EL4X+h+WEXqrGz0Uia4iFWmglxof8Thkx2xodjbNrpr6612h0Nt8fM+ZLXrbiAt1vnasYDRMQBCX TtdcKdht168TED4ga2wck4Jf8rCYPz/NMNXuyhu65KESMYR9igpMCG0qpS8NWfRD1xJH7uQ6iyHC rpK6w2sMt40cJ8mbtFhzbDDY0ruh8js/WwWH4y1b7b/W+U9RSJN9nosPzAulXgb9cgoiUB/+xX/u TMf54xE8nokXyPkdAAD//wMAUEsBAi0AFAAGAAgAAAAhANvh9svuAAAAhQEAABMAAAAAAAAAAAAA AAAAAAAAAFtDb250ZW50X1R5cGVzXS54bWxQSwECLQAUAAYACAAAACEAWvQsW78AAAAVAQAACwAA AAAAAAAAAAAAAAAfAQAAX3JlbHMvLnJlbHNQSwECLQAUAAYACAAAACEAF7ZbbsMAAADcAAAADwAA AAAAAAAAAAAAAAAHAgAAZHJzL2Rvd25yZXYueG1sUEsFBgAAAAADAAMAtwAAAPcCAAAAAA== " fillcolor="#f2f2f2" stroked="f" strokeweight="1pt">
                      <v:textbox inset="36pt,14.4pt,36pt,36pt">
                        <w:txbxContent>
                          <w:tbl>
                            <w:tblPr>
                              <w:tblW w:w="9461" w:type="dxa"/>
                              <w:tblInd w:w="-5" w:type="dxa"/>
                              <w:tblLook w:val="04A0" w:firstRow="1" w:lastRow="0" w:firstColumn="1" w:lastColumn="0" w:noHBand="0" w:noVBand="1"/>
                            </w:tblPr>
                            <w:tblGrid>
                              <w:gridCol w:w="7076"/>
                              <w:gridCol w:w="2385"/>
                            </w:tblGrid>
                            <w:tr>
                              <w:trPr>
                                <w:trHeight w:val="613"/>
                              </w:trPr>
                              <w:tc>
                                <w:tcPr>
                                  <w:tcW w:w="7076" w:type="dxa"/>
                                </w:tcPr>
                                <w:p>
                                  <w:pPr>
                                    <w:rPr>
                                      <w:rFonts w:ascii="Arial" w:hAnsi="Arial" w:cs="Arial"/>
                                      <w:color w:val="000000"/>
                                      <w:sz w:val="32"/>
                                      <w:szCs w:val="32"/>
                                    </w:rPr>
                                  </w:pPr>
                                </w:p>
                                <w:p>
                                  <w:pPr>
                                    <w:rPr>
                                      <w:rFonts w:ascii="Arial" w:hAnsi="Arial" w:cs="Arial"/>
                                      <w:color w:val="000000"/>
                                      <w:sz w:val="28"/>
                                      <w:szCs w:val="28"/>
                                    </w:rPr>
                                  </w:pPr>
                                  <w:r>
                                    <w:rPr>
                                      <w:rFonts w:ascii="Arial" w:hAnsi="Arial" w:cs="Arial"/>
                                      <w:color w:val="000000"/>
                                      <w:sz w:val="28"/>
                                      <w:szCs w:val="28"/>
                                    </w:rPr>
                                    <w:t>Joniškio rajono savivaldybės administracija</w:t>
                                  </w:r>
                                </w:p>
                                <w:p>
                                  <w:pPr>
                                    <w:rPr>
                                      <w:rFonts w:ascii="Arial" w:hAnsi="Arial" w:cs="Arial"/>
                                      <w:caps/>
                                      <w:color w:val="000000"/>
                                      <w:sz w:val="22"/>
                                      <w:szCs w:val="22"/>
                                    </w:rPr>
                                  </w:pPr>
                                  <w:r>
                                    <w:rPr>
                                      <w:rFonts w:ascii="Arial" w:hAnsi="Arial" w:cs="Arial"/>
                                      <w:caps/>
                                      <w:color w:val="000000"/>
                                      <w:sz w:val="22"/>
                                      <w:szCs w:val="22"/>
                                    </w:rPr>
                                    <w:t>Joniškis, 2022</w:t>
                                  </w:r>
                                </w:p>
                                <w:p>
                                  <w:pPr>
                                    <w:rPr>
                                      <w:rFonts w:ascii="Arial" w:hAnsi="Arial" w:cs="Arial"/>
                                      <w:caps/>
                                      <w:color w:val="000000"/>
                                      <w:sz w:val="22"/>
                                      <w:szCs w:val="22"/>
                                    </w:rPr>
                                  </w:pPr>
                                </w:p>
                              </w:tc>
                              <w:tc>
                                <w:tcPr>
                                  <w:tcW w:w="2385" w:type="dxa"/>
                                </w:tcPr>
                                <w:p>
                                  <w:pPr>
                                    <w:ind w:firstLine="2852"/>
                                    <w:jc w:val="center"/>
                                    <w:rPr>
                                      <w:rFonts w:ascii="Arial" w:hAnsi="Arial" w:cs="Arial"/>
                                      <w:sz w:val="22"/>
                                      <w:szCs w:val="22"/>
                                    </w:rPr>
                                  </w:pPr>
                                </w:p>
                              </w:tc>
                            </w:tr>
                          </w:tbl>
                          <w:p>
                            <w:pPr>
                              <w:rPr>
                                <w:rFonts w:ascii="Arial" w:hAnsi="Arial" w:cs="Arial"/>
                                <w:caps/>
                                <w:color w:val="000000"/>
                                <w:sz w:val="22"/>
                                <w:szCs w:val="22"/>
                                <w:lang w:val="en-US"/>
                              </w:rPr>
                            </w:pPr>
                          </w:p>
                        </w:txbxContent>
                      </v:textbox>
                    </v:rect>
                    <v:shapetype id="_x0000_t202" coordsize="21600,21600" o:spt="202" path="m,l,21600r21600,l21600,xe">
                      <v:stroke joinstyle="miter"/>
                      <v:path gradientshapeok="t" o:connecttype="rect"/>
                    </v:shapetype>
                    <v:shape id="Text Box 122" o:spid="_x0000_s1029" type="#_x0000_t202" style="position:absolute;width:68580;height:7315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m6hvlwgAAANwAAAAPAAAAZHJzL2Rvd25yZXYueG1sRE9Na8JA EL0X+h+WKXirm4YiJbqKiEKhXjSiHsfsmA1mZ0N2NWl/vSsUvM3jfc5k1tta3Kj1lWMFH8MEBHHh dMWlgl2+ev8C4QOyxtoxKfglD7Pp68sEM+063tBtG0oRQ9hnqMCE0GRS+sKQRT90DXHkzq61GCJs S6lb7GK4rWWaJCNpseLYYLChhaHisr1aBatDf+L872dnjsvlZ3c9FbzP10oN3vr5GESgPjzF/+5v HeenKTyeiRfI6R0AAP//AwBQSwECLQAUAAYACAAAACEA2+H2y+4AAACFAQAAEwAAAAAAAAAAAAAA AAAAAAAAW0NvbnRlbnRfVHlwZXNdLnhtbFBLAQItABQABgAIAAAAIQBa9CxbvwAAABUBAAALAAAA AAAAAAAAAAAAAB8BAABfcmVscy8ucmVsc1BLAQItABQABgAIAAAAIQDm6hvlwgAAANwAAAAPAAAA AAAAAAAAAAAAAAcCAABkcnMvZG93bnJldi54bWxQSwUGAAAAAAMAAwC3AAAA9gIAAAAA " filled="f" stroked="f" strokeweight=".5pt">
                      <v:textbox inset="36pt,36pt,36pt,36pt">
                        <w:txbxContent>
                          <w:p>
                            <w:pPr>
                              <w:rPr>
                                <w:sz w:val="20"/>
                              </w:rPr>
                            </w:pPr>
                          </w:p>
                          <w:p>
                            <w:pPr>
                              <w:ind w:left="-284"/>
                              <w:rPr>
                                <w:rFonts w:ascii="Arial" w:hAnsi="Arial" w:cs="Arial"/>
                                <w:caps/>
                                <w:color w:val="455F51"/>
                                <w:sz w:val="36"/>
                                <w:szCs w:val="36"/>
                              </w:rPr>
                            </w:pPr>
                            <w:r>
                              <w:rPr>
                                <w:sz w:val="22"/>
                                <w:szCs w:val="22"/>
                                <w:lang w:val="en-US"/>
                              </w:rPr>
                              <w:drawing>
                                <wp:inline distT="0" distB="0" distL="0" distR="0" wp14:anchorId="63018FDD" wp14:editId="4DF8F2D7">
                                  <wp:extent cx="5937250" cy="2433320"/>
                                  <wp:effectExtent l="0" t="0" r="6350" b="5080"/>
                                  <wp:docPr id="41" name="Paveikslėlis 41" descr="Paveikslėlis, kuriame yra žinutė, lauk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aveikslėlis 24" descr="Paveikslėlis, kuriame yra žinutė, laukas  Automatiškai sugeneruotas aprašymas"/>
                                          <pic:cNvPicPr/>
                                        </pic:nvPicPr>
                                        <pic:blipFill>
                                          <a:blip r:embed="rId7"/>
                                          <a:stretch>
                                            <a:fillRect/>
                                          </a:stretch>
                                        </pic:blipFill>
                                        <pic:spPr>
                                          <a:xfrm>
                                            <a:off x="0" y="0"/>
                                            <a:ext cx="5937250" cy="2433320"/>
                                          </a:xfrm>
                                          <a:prstGeom prst="rect">
                                            <a:avLst/>
                                          </a:prstGeom>
                                        </pic:spPr>
                                      </pic:pic>
                                    </a:graphicData>
                                  </a:graphic>
                                </wp:inline>
                              </w:drawing>
                            </w:r>
                            <w:r>
                              <w:rPr>
                                <w:rFonts w:ascii="Arial" w:hAnsi="Arial" w:cs="Arial"/>
                                <w:caps/>
                                <w:color w:val="455F51"/>
                                <w:sz w:val="36"/>
                                <w:szCs w:val="36"/>
                              </w:rPr>
                              <w:t>Joniškio rajono savivaldybės atsinaujinančių išteklių energijos naudojimo plėtros veiksmų planas iki 2030 m.</w:t>
                            </w:r>
                          </w:p>
                        </w:txbxContent>
                      </v:textbox>
                    </v:shape>
                    <w10:wrap anchorx="page" anchory="margin"/>
                  </v:group>
                </w:pict>
              </mc:Fallback>
            </mc:AlternateContent>
          </w:r>
          <w:r>
            <w:rPr>
              <w:rFonts w:ascii="Arial" w:hAnsi="Arial" w:cs="Arial"/>
              <w:sz w:val="22"/>
              <w:szCs w:val="22"/>
            </w:rPr>
            <w:t>PATVIRTINTA</w:t>
          </w:r>
        </w:p>
        <w:p>
          <w:pPr>
            <w:rPr>
              <w:sz w:val="10"/>
              <w:szCs w:val="10"/>
            </w:rPr>
          </w:pPr>
        </w:p>
        <w:p>
          <w:pPr>
            <w:ind w:firstLine="5670"/>
            <w:rPr>
              <w:rFonts w:ascii="Arial" w:hAnsi="Arial" w:cs="Arial"/>
              <w:sz w:val="22"/>
              <w:szCs w:val="22"/>
            </w:rPr>
          </w:pPr>
          <w:r>
            <w:rPr>
              <w:rFonts w:ascii="Arial" w:hAnsi="Arial" w:cs="Arial"/>
              <w:sz w:val="22"/>
              <w:szCs w:val="22"/>
            </w:rPr>
            <w:t>Joniškio rajono savivaldybės tarybos</w:t>
          </w:r>
        </w:p>
        <w:p>
          <w:pPr>
            <w:rPr>
              <w:sz w:val="10"/>
              <w:szCs w:val="10"/>
            </w:rPr>
          </w:pPr>
        </w:p>
        <w:p>
          <w:pPr>
            <w:ind w:firstLine="5670"/>
            <w:rPr>
              <w:rFonts w:ascii="Arial" w:hAnsi="Arial" w:cs="Arial"/>
              <w:sz w:val="22"/>
              <w:szCs w:val="22"/>
            </w:rPr>
          </w:pPr>
          <w:r>
            <w:rPr>
              <w:rFonts w:ascii="Arial" w:hAnsi="Arial" w:cs="Arial"/>
              <w:sz w:val="22"/>
              <w:szCs w:val="22"/>
            </w:rPr>
            <w:t>2023 m. kovo 30 d. sprendimo Nr. T-48</w:t>
          </w: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22"/>
              <w:szCs w:val="22"/>
            </w:rPr>
          </w:pPr>
        </w:p>
        <w:p>
          <w:pPr>
            <w:rPr>
              <w:sz w:val="10"/>
              <w:szCs w:val="10"/>
            </w:rPr>
          </w:pPr>
        </w:p>
        <w:p>
          <w:pPr>
            <w:ind w:firstLine="567"/>
            <w:jc w:val="center"/>
            <w:rPr>
              <w:rFonts w:ascii="Arial" w:hAnsi="Arial" w:cs="Arial"/>
              <w:sz w:val="44"/>
              <w:szCs w:val="44"/>
            </w:rPr>
          </w:pPr>
        </w:p>
        <w:p>
          <w:pPr>
            <w:rPr>
              <w:sz w:val="10"/>
              <w:szCs w:val="10"/>
            </w:rPr>
          </w:pPr>
        </w:p>
        <w:p>
          <w:pPr>
            <w:tabs>
              <w:tab w:val="left" w:pos="8592"/>
            </w:tabs>
            <w:ind w:right="991" w:firstLine="8592"/>
            <w:rPr>
              <w:rFonts w:ascii="Arial" w:hAnsi="Arial" w:cs="Arial"/>
              <w:b/>
              <w:color w:val="002060"/>
              <w:sz w:val="44"/>
              <w:szCs w:val="44"/>
            </w:rPr>
          </w:pPr>
        </w:p>
        <w:p>
          <w:pPr>
            <w:rPr>
              <w:sz w:val="10"/>
              <w:szCs w:val="10"/>
            </w:rPr>
          </w:pPr>
        </w:p>
        <w:p>
          <w:pPr>
            <w:ind w:firstLine="567"/>
            <w:jc w:val="both"/>
            <w:rPr>
              <w:rFonts w:ascii="Arial" w:hAnsi="Arial" w:cs="Arial"/>
              <w:b/>
              <w:color w:val="002060"/>
              <w:sz w:val="32"/>
              <w:szCs w:val="32"/>
            </w:rPr>
          </w:pPr>
        </w:p>
        <w:p>
          <w:pPr>
            <w:rPr>
              <w:sz w:val="10"/>
              <w:szCs w:val="10"/>
            </w:rPr>
          </w:pPr>
        </w:p>
        <w:p>
          <w:pPr>
            <w:ind w:firstLine="567"/>
            <w:jc w:val="both"/>
            <w:rPr>
              <w:rFonts w:ascii="Arial" w:hAnsi="Arial" w:cs="Arial"/>
              <w:b/>
              <w:color w:val="002060"/>
              <w:sz w:val="32"/>
              <w:szCs w:val="32"/>
            </w:rPr>
          </w:pPr>
        </w:p>
        <w:p>
          <w:pPr>
            <w:rPr>
              <w:sz w:val="10"/>
              <w:szCs w:val="10"/>
            </w:rPr>
          </w:pPr>
        </w:p>
        <w:p>
          <w:pPr>
            <w:ind w:firstLine="567"/>
            <w:jc w:val="both"/>
            <w:rPr>
              <w:rFonts w:ascii="Arial" w:hAnsi="Arial" w:cs="Arial"/>
              <w:b/>
              <w:color w:val="002060"/>
              <w:sz w:val="32"/>
              <w:szCs w:val="32"/>
            </w:rPr>
          </w:pPr>
        </w:p>
        <w:p>
          <w:pPr>
            <w:rPr>
              <w:sz w:val="10"/>
              <w:szCs w:val="10"/>
            </w:rPr>
          </w:pPr>
        </w:p>
        <w:p>
          <w:pPr>
            <w:tabs>
              <w:tab w:val="left" w:pos="7992"/>
            </w:tabs>
            <w:ind w:firstLine="7992"/>
            <w:jc w:val="both"/>
            <w:rPr>
              <w:rFonts w:ascii="Arial" w:hAnsi="Arial" w:cs="Arial"/>
              <w:b/>
              <w:color w:val="002060"/>
              <w:sz w:val="32"/>
              <w:szCs w:val="32"/>
            </w:rPr>
          </w:pPr>
        </w:p>
        <w:p>
          <w:pPr>
            <w:rPr>
              <w:sz w:val="10"/>
              <w:szCs w:val="10"/>
            </w:rPr>
          </w:pPr>
        </w:p>
        <w:p>
          <w:pPr>
            <w:ind w:firstLine="567"/>
            <w:jc w:val="both"/>
            <w:rPr>
              <w:rFonts w:ascii="Arial" w:hAnsi="Arial" w:cs="Arial"/>
              <w:b/>
              <w:color w:val="002060"/>
              <w:sz w:val="32"/>
              <w:szCs w:val="32"/>
            </w:rPr>
          </w:pPr>
        </w:p>
        <w:p>
          <w:pPr>
            <w:rPr>
              <w:sz w:val="10"/>
              <w:szCs w:val="10"/>
            </w:rPr>
          </w:pPr>
        </w:p>
        <w:p>
          <w:pPr>
            <w:ind w:left="567"/>
            <w:jc w:val="both"/>
            <w:rPr>
              <w:rFonts w:ascii="Reso" w:hAnsi="Reso"/>
              <w:sz w:val="48"/>
              <w:szCs w:val="48"/>
            </w:rPr>
          </w:pPr>
        </w:p>
        <w:p>
          <w:pPr>
            <w:rPr>
              <w:sz w:val="10"/>
              <w:szCs w:val="10"/>
            </w:rPr>
          </w:pPr>
        </w:p>
        <w:p>
          <w:pPr>
            <w:ind w:firstLine="567"/>
            <w:jc w:val="both"/>
            <w:rPr>
              <w:rFonts w:ascii="Arial" w:hAnsi="Arial" w:cs="Arial"/>
              <w:b/>
              <w:color w:val="002060"/>
              <w:sz w:val="22"/>
              <w:szCs w:val="22"/>
            </w:rPr>
          </w:pPr>
        </w:p>
        <w:p>
          <w:pPr>
            <w:rPr>
              <w:sz w:val="10"/>
              <w:szCs w:val="10"/>
            </w:rPr>
          </w:pPr>
        </w:p>
        <w:p>
          <w:pPr>
            <w:tabs>
              <w:tab w:val="left" w:pos="7836"/>
            </w:tabs>
            <w:ind w:firstLine="7836"/>
            <w:jc w:val="both"/>
            <w:rPr>
              <w:rFonts w:ascii="Arial" w:hAnsi="Arial" w:cs="Arial"/>
              <w:b/>
              <w:color w:val="002060"/>
              <w:sz w:val="22"/>
              <w:szCs w:val="22"/>
            </w:rPr>
          </w:pPr>
        </w:p>
        <w:p>
          <w:pPr>
            <w:rPr>
              <w:sz w:val="10"/>
              <w:szCs w:val="10"/>
            </w:rPr>
          </w:pPr>
        </w:p>
        <w:p>
          <w:pPr>
            <w:ind w:firstLine="567"/>
            <w:jc w:val="both"/>
            <w:rPr>
              <w:rFonts w:ascii="Arial" w:hAnsi="Arial" w:cs="Arial"/>
              <w:b/>
              <w:color w:val="002060"/>
              <w:sz w:val="22"/>
              <w:szCs w:val="22"/>
            </w:rPr>
          </w:pPr>
        </w:p>
        <w:p>
          <w:pPr>
            <w:rPr>
              <w:sz w:val="10"/>
              <w:szCs w:val="10"/>
            </w:rPr>
          </w:pPr>
        </w:p>
        <w:p>
          <w:pPr>
            <w:ind w:firstLine="567"/>
            <w:jc w:val="both"/>
            <w:rPr>
              <w:rFonts w:ascii="Arial" w:hAnsi="Arial" w:cs="Arial"/>
              <w:b/>
              <w:color w:val="002060"/>
              <w:sz w:val="22"/>
              <w:szCs w:val="22"/>
            </w:rPr>
          </w:pPr>
          <w:r>
            <w:rPr>
              <w:sz w:val="22"/>
              <w:szCs w:val="22"/>
              <w:lang w:val="en-US"/>
            </w:rPr>
            <w:drawing>
              <wp:anchor distT="0" distB="0" distL="114300" distR="114300" simplePos="0" relativeHeight="251660288" behindDoc="0" locked="0" layoutInCell="1" allowOverlap="1" wp14:anchorId="4DBBEB25" wp14:editId="46DA7ECF">
                <wp:simplePos x="0" y="0"/>
                <wp:positionH relativeFrom="column">
                  <wp:posOffset>4552950</wp:posOffset>
                </wp:positionH>
                <wp:positionV relativeFrom="paragraph">
                  <wp:posOffset>97790</wp:posOffset>
                </wp:positionV>
                <wp:extent cx="1714500" cy="676275"/>
                <wp:effectExtent l="0" t="0" r="0" b="9525"/>
                <wp:wrapSquare wrapText="bothSides"/>
                <wp:docPr id="43" name="Grafinis elementa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r:embed="rId10"/>
                            </a:ext>
                          </a:extLst>
                        </a:blip>
                        <a:stretch>
                          <a:fillRect/>
                        </a:stretch>
                      </pic:blipFill>
                      <pic:spPr>
                        <a:xfrm>
                          <a:off x="0" y="0"/>
                          <a:ext cx="1714500" cy="676275"/>
                        </a:xfrm>
                        <a:prstGeom prst="rect">
                          <a:avLst/>
                        </a:prstGeom>
                      </pic:spPr>
                    </pic:pic>
                  </a:graphicData>
                </a:graphic>
              </wp:anchor>
            </w:drawing>
          </w:r>
        </w:p>
        <w:p>
          <w:pPr>
            <w:rPr>
              <w:sz w:val="10"/>
              <w:szCs w:val="10"/>
            </w:rPr>
          </w:pPr>
        </w:p>
        <w:p>
          <w:pPr>
            <w:jc w:val="both"/>
            <w:rPr>
              <w:rFonts w:ascii="Arial" w:hAnsi="Arial" w:cs="Arial"/>
              <w:b/>
              <w:color w:val="0095DA"/>
              <w:sz w:val="22"/>
              <w:szCs w:val="22"/>
            </w:rPr>
          </w:pPr>
        </w:p>
        <w:p>
          <w:pPr>
            <w:rPr>
              <w:sz w:val="10"/>
              <w:szCs w:val="10"/>
            </w:rPr>
          </w:pPr>
        </w:p>
        <w:p>
          <w:pPr>
            <w:jc w:val="both"/>
            <w:rPr>
              <w:rFonts w:ascii="Arial" w:hAnsi="Arial" w:cs="Arial"/>
              <w:b/>
              <w:color w:val="0095DA"/>
              <w:sz w:val="22"/>
              <w:szCs w:val="22"/>
            </w:rPr>
          </w:pPr>
        </w:p>
        <w:p>
          <w:pPr>
            <w:rPr>
              <w:sz w:val="10"/>
              <w:szCs w:val="10"/>
            </w:rPr>
          </w:pPr>
        </w:p>
        <w:p>
          <w:pPr>
            <w:jc w:val="both"/>
            <w:rPr>
              <w:rFonts w:ascii="Arial" w:hAnsi="Arial" w:cs="Arial"/>
              <w:b/>
              <w:color w:val="0095DA"/>
              <w:sz w:val="22"/>
              <w:szCs w:val="22"/>
            </w:rPr>
          </w:pPr>
        </w:p>
        <w:p>
          <w:pPr>
            <w:rPr>
              <w:sz w:val="10"/>
              <w:szCs w:val="10"/>
            </w:rPr>
          </w:pPr>
        </w:p>
        <w:p>
          <w:pPr>
            <w:spacing w:line="259" w:lineRule="auto"/>
            <w:jc w:val="both"/>
            <w:rPr>
              <w:rFonts w:cs="Arial"/>
              <w:sz w:val="22"/>
              <w:szCs w:val="22"/>
            </w:rPr>
          </w:pPr>
        </w:p>
        <w:p>
          <w:pPr>
            <w:rPr>
              <w:sz w:val="20"/>
            </w:rPr>
          </w:pPr>
        </w:p>
        <w:p>
          <w:pPr>
            <w:keepNext/>
            <w:keepLines/>
            <w:jc w:val="center"/>
            <w:rPr>
              <w:rFonts w:ascii="Arial" w:hAnsi="Arial" w:cs="Arial"/>
              <w:b/>
              <w:caps/>
              <w:color w:val="002060"/>
              <w:sz w:val="22"/>
              <w:szCs w:val="22"/>
            </w:rPr>
          </w:pPr>
          <w:sdt>
            <w:sdtPr>
              <w:alias w:val="Pavadinimas"/>
              <w:tag w:val="title_fcd14928b30f4c21805af6639487d1c2"/>
              <w:lock w:val="sdtLocked"/>
              <w:richText/>
            </w:sdtPr>
            <w:sdtContent>
              <w:r>
                <w:rPr>
                  <w:rFonts w:ascii="Arial" w:hAnsi="Arial" w:cs="Arial"/>
                  <w:b/>
                  <w:caps/>
                  <w:color w:val="002060"/>
                  <w:sz w:val="22"/>
                  <w:szCs w:val="22"/>
                </w:rPr>
                <w:t>Turinys</w:t>
              </w:r>
            </w:sdtContent>
          </w:sdt>
        </w:p>
        <w:p>
          <w:pPr>
            <w:rPr>
              <w:sz w:val="10"/>
              <w:szCs w:val="10"/>
            </w:rPr>
          </w:pPr>
        </w:p>
        <w:p>
          <w:pPr>
            <w:tabs>
              <w:tab w:val="right" w:leader="dot" w:pos="10205"/>
            </w:tabs>
            <w:jc w:val="both"/>
            <w:rPr>
              <w:rFonts w:ascii="Arial" w:hAnsi="Arial" w:cs="Arial"/>
              <w:sz w:val="22"/>
              <w:szCs w:val="22"/>
              <w:lang w:eastAsia="lt-LT"/>
            </w:rPr>
          </w:pPr>
          <w:r>
            <w:rPr>
              <w:rFonts w:ascii="Arial" w:hAnsi="Arial" w:cs="Arial"/>
              <w:color w:val="6B9F25"/>
              <w:sz w:val="22"/>
              <w:szCs w:val="22"/>
              <w:u w:val="single"/>
            </w:rPr>
            <w:t>Įvadas</w:t>
          </w:r>
          <w:r>
            <w:rPr>
              <w:rFonts w:ascii="Arial" w:hAnsi="Arial" w:cs="Arial"/>
              <w:sz w:val="22"/>
              <w:szCs w:val="22"/>
            </w:rPr>
            <w:tab/>
            <w:t>8</w:t>
          </w:r>
        </w:p>
        <w:p>
          <w:pPr>
            <w:rPr>
              <w:sz w:val="10"/>
              <w:szCs w:val="10"/>
            </w:rPr>
          </w:pPr>
        </w:p>
        <w:p>
          <w:pPr>
            <w:tabs>
              <w:tab w:val="right" w:leader="dot" w:pos="10205"/>
            </w:tabs>
            <w:jc w:val="both"/>
            <w:rPr>
              <w:rFonts w:ascii="Arial" w:hAnsi="Arial" w:cs="Arial"/>
              <w:sz w:val="22"/>
              <w:szCs w:val="22"/>
              <w:lang w:eastAsia="lt-LT"/>
            </w:rPr>
          </w:pPr>
          <w:r>
            <w:rPr>
              <w:rFonts w:ascii="Arial" w:hAnsi="Arial" w:cs="Arial"/>
              <w:color w:val="6B9F25"/>
              <w:sz w:val="22"/>
              <w:szCs w:val="22"/>
              <w:u w:val="single"/>
            </w:rPr>
            <w:t>Santrauka</w:t>
          </w:r>
          <w:r>
            <w:rPr>
              <w:rFonts w:ascii="Arial" w:hAnsi="Arial" w:cs="Arial"/>
              <w:sz w:val="22"/>
              <w:szCs w:val="22"/>
            </w:rPr>
            <w:tab/>
            <w:t>9</w:t>
          </w:r>
        </w:p>
        <w:p>
          <w:pPr>
            <w:rPr>
              <w:sz w:val="10"/>
              <w:szCs w:val="10"/>
            </w:rPr>
          </w:pPr>
        </w:p>
        <w:p>
          <w:pPr>
            <w:tabs>
              <w:tab w:val="right" w:leader="dot" w:pos="10205"/>
            </w:tabs>
            <w:jc w:val="both"/>
            <w:rPr>
              <w:rFonts w:ascii="Arial" w:hAnsi="Arial" w:cs="Arial"/>
              <w:sz w:val="22"/>
              <w:szCs w:val="22"/>
              <w:lang w:eastAsia="lt-LT"/>
            </w:rPr>
          </w:pPr>
          <w:r>
            <w:rPr>
              <w:rFonts w:ascii="Arial" w:hAnsi="Arial" w:cs="Arial"/>
              <w:color w:val="6B9F25"/>
              <w:sz w:val="22"/>
              <w:szCs w:val="22"/>
              <w:u w:val="single"/>
            </w:rPr>
            <w:t>Extended summary</w:t>
          </w:r>
          <w:r>
            <w:rPr>
              <w:rFonts w:ascii="Arial" w:hAnsi="Arial" w:cs="Arial"/>
              <w:sz w:val="22"/>
              <w:szCs w:val="22"/>
            </w:rPr>
            <w:tab/>
            <w:t>11</w:t>
          </w:r>
        </w:p>
        <w:p>
          <w:pPr>
            <w:rPr>
              <w:sz w:val="10"/>
              <w:szCs w:val="10"/>
            </w:rPr>
          </w:pPr>
        </w:p>
        <w:sdt>
          <w:sdtPr>
            <w:alias w:val="1 p."/>
            <w:tag w:val="part_6432717bc92445b0b2e1d1974e360880"/>
            <w:lock w:val="sdtLocked"/>
            <w:richText/>
          </w:sdtPr>
          <w:sdtContent>
            <w:p>
              <w:pPr>
                <w:tabs>
                  <w:tab w:val="right" w:leader="dot" w:pos="10205"/>
                </w:tabs>
                <w:jc w:val="both"/>
                <w:rPr>
                  <w:rFonts w:ascii="Arial" w:hAnsi="Arial" w:cs="Arial"/>
                  <w:sz w:val="22"/>
                  <w:szCs w:val="22"/>
                  <w:lang w:eastAsia="lt-LT"/>
                </w:rPr>
              </w:pPr>
              <w:sdt>
                <w:sdtPr>
                  <w:alias w:val="Numeris"/>
                  <w:tag w:val="nr_6432717bc92445b0b2e1d1974e360880"/>
                  <w:lock w:val="sdtLocked"/>
                  <w:richText/>
                </w:sdtPr>
                <w:sdtContent>
                  <w:r>
                    <w:rPr>
                      <w:rFonts w:ascii="Arial" w:hAnsi="Arial" w:cs="Arial"/>
                      <w:color w:val="6B9F25"/>
                      <w:sz w:val="22"/>
                      <w:szCs w:val="22"/>
                      <w:u w:val="single"/>
                    </w:rPr>
                    <w:t>1</w:t>
                  </w:r>
                </w:sdtContent>
              </w:sdt>
              <w:r>
                <w:rPr>
                  <w:rFonts w:ascii="Arial" w:hAnsi="Arial" w:cs="Arial"/>
                  <w:color w:val="6B9F25"/>
                  <w:sz w:val="22"/>
                  <w:szCs w:val="22"/>
                  <w:u w:val="single"/>
                </w:rPr>
                <w:t>. Atsinaujinančių energijos išteklių esamos būklės įvertinimas</w:t>
              </w:r>
              <w:r>
                <w:rPr>
                  <w:rFonts w:ascii="Arial" w:hAnsi="Arial" w:cs="Arial"/>
                  <w:sz w:val="22"/>
                  <w:szCs w:val="22"/>
                </w:rPr>
                <w:tab/>
                <w:t>12</w:t>
              </w:r>
            </w:p>
            <w:p>
              <w:pPr>
                <w:rPr>
                  <w:sz w:val="10"/>
                  <w:szCs w:val="10"/>
                </w:rPr>
              </w:pPr>
            </w:p>
            <w:sdt>
              <w:sdtPr>
                <w:alias w:val="1.1 pp."/>
                <w:tag w:val="part_0226134a049d4e4f822099e530953baf"/>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0226134a049d4e4f822099e530953baf"/>
                      <w:lock w:val="sdtLocked"/>
                      <w:richText/>
                    </w:sdtPr>
                    <w:sdtContent>
                      <w:r>
                        <w:rPr>
                          <w:rFonts w:ascii="Arial" w:hAnsi="Arial" w:cs="Arial"/>
                          <w:color w:val="6B9F25"/>
                          <w:sz w:val="22"/>
                          <w:szCs w:val="22"/>
                          <w:u w:val="single"/>
                        </w:rPr>
                        <w:t>1.1</w:t>
                      </w:r>
                    </w:sdtContent>
                  </w:sdt>
                  <w:r>
                    <w:rPr>
                      <w:rFonts w:ascii="Arial" w:hAnsi="Arial" w:cs="Arial"/>
                      <w:color w:val="6B9F25"/>
                      <w:sz w:val="22"/>
                      <w:szCs w:val="22"/>
                      <w:u w:val="single"/>
                    </w:rPr>
                    <w:t>. Savivaldybės geografinė padėtis</w:t>
                  </w:r>
                  <w:r>
                    <w:rPr>
                      <w:rFonts w:ascii="Arial" w:hAnsi="Arial" w:cs="Arial"/>
                      <w:sz w:val="22"/>
                      <w:szCs w:val="22"/>
                    </w:rPr>
                    <w:tab/>
                    <w:t>12</w:t>
                  </w:r>
                </w:p>
                <w:p>
                  <w:pPr>
                    <w:rPr>
                      <w:sz w:val="10"/>
                      <w:szCs w:val="10"/>
                    </w:rPr>
                  </w:pPr>
                </w:p>
              </w:sdtContent>
            </w:sdt>
            <w:sdt>
              <w:sdtPr>
                <w:alias w:val="1.2 pp."/>
                <w:tag w:val="part_806066806654480398340ae008442edc"/>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806066806654480398340ae008442edc"/>
                      <w:lock w:val="sdtLocked"/>
                      <w:richText/>
                    </w:sdtPr>
                    <w:sdtContent>
                      <w:r>
                        <w:rPr>
                          <w:rFonts w:ascii="Arial" w:hAnsi="Arial" w:cs="Arial"/>
                          <w:color w:val="6B9F25"/>
                          <w:sz w:val="22"/>
                          <w:szCs w:val="22"/>
                          <w:u w:val="single"/>
                        </w:rPr>
                        <w:t>1.2</w:t>
                      </w:r>
                    </w:sdtContent>
                  </w:sdt>
                  <w:r>
                    <w:rPr>
                      <w:rFonts w:ascii="Arial" w:hAnsi="Arial" w:cs="Arial"/>
                      <w:color w:val="6B9F25"/>
                      <w:sz w:val="22"/>
                      <w:szCs w:val="22"/>
                      <w:u w:val="single"/>
                    </w:rPr>
                    <w:t>. Savivaldybės klimatinės sąlygos</w:t>
                  </w:r>
                  <w:r>
                    <w:rPr>
                      <w:rFonts w:ascii="Arial" w:hAnsi="Arial" w:cs="Arial"/>
                      <w:sz w:val="22"/>
                      <w:szCs w:val="22"/>
                    </w:rPr>
                    <w:tab/>
                    <w:t>12</w:t>
                  </w:r>
                </w:p>
                <w:p>
                  <w:pPr>
                    <w:rPr>
                      <w:sz w:val="10"/>
                      <w:szCs w:val="10"/>
                    </w:rPr>
                  </w:pPr>
                </w:p>
              </w:sdtContent>
            </w:sdt>
            <w:sdt>
              <w:sdtPr>
                <w:alias w:val="1.3 pp."/>
                <w:tag w:val="part_1e28976715ec46f590abfaa92fa79896"/>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e28976715ec46f590abfaa92fa79896"/>
                      <w:lock w:val="sdtLocked"/>
                      <w:richText/>
                    </w:sdtPr>
                    <w:sdtContent>
                      <w:r>
                        <w:rPr>
                          <w:rFonts w:ascii="Arial" w:eastAsia="Calibri" w:hAnsi="Arial" w:cs="Arial"/>
                          <w:color w:val="6B9F25"/>
                          <w:sz w:val="22"/>
                          <w:szCs w:val="22"/>
                          <w:u w:val="single"/>
                        </w:rPr>
                        <w:t>1.3</w:t>
                      </w:r>
                    </w:sdtContent>
                  </w:sdt>
                  <w:r>
                    <w:rPr>
                      <w:rFonts w:ascii="Arial" w:eastAsia="Calibri" w:hAnsi="Arial" w:cs="Arial"/>
                      <w:color w:val="6B9F25"/>
                      <w:sz w:val="22"/>
                      <w:szCs w:val="22"/>
                      <w:u w:val="single"/>
                    </w:rPr>
                    <w:t xml:space="preserve">. Duomenys apie energijos </w:t>
                  </w:r>
                  <w:r>
                    <w:rPr>
                      <w:rFonts w:ascii="Arial" w:hAnsi="Arial" w:cs="Arial"/>
                      <w:color w:val="6B9F25"/>
                      <w:sz w:val="22"/>
                      <w:szCs w:val="22"/>
                      <w:u w:val="single"/>
                    </w:rPr>
                    <w:t>vartotojus</w:t>
                  </w:r>
                  <w:r>
                    <w:rPr>
                      <w:rFonts w:ascii="Arial" w:eastAsia="Calibri" w:hAnsi="Arial" w:cs="Arial"/>
                      <w:color w:val="6B9F25"/>
                      <w:sz w:val="22"/>
                      <w:szCs w:val="22"/>
                      <w:u w:val="single"/>
                    </w:rPr>
                    <w:t xml:space="preserve"> savivaldybėje</w:t>
                  </w:r>
                  <w:r>
                    <w:rPr>
                      <w:rFonts w:ascii="Arial" w:hAnsi="Arial" w:cs="Arial"/>
                      <w:sz w:val="22"/>
                      <w:szCs w:val="22"/>
                    </w:rPr>
                    <w:tab/>
                    <w:t>13</w:t>
                  </w:r>
                </w:p>
                <w:p>
                  <w:pPr>
                    <w:rPr>
                      <w:sz w:val="10"/>
                      <w:szCs w:val="10"/>
                    </w:rPr>
                  </w:pPr>
                </w:p>
                <w:sdt>
                  <w:sdtPr>
                    <w:alias w:val="1.3.1 pp."/>
                    <w:tag w:val="part_009302e590e74f1cb321f5598369f040"/>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009302e590e74f1cb321f5598369f040"/>
                          <w:lock w:val="sdtLocked"/>
                          <w:richText/>
                        </w:sdtPr>
                        <w:sdtContent>
                          <w:r>
                            <w:rPr>
                              <w:rFonts w:ascii="Arial" w:hAnsi="Arial" w:cs="Arial"/>
                              <w:color w:val="6B9F25"/>
                              <w:sz w:val="22"/>
                              <w:szCs w:val="22"/>
                              <w:u w:val="single"/>
                            </w:rPr>
                            <w:t>1.3.1</w:t>
                          </w:r>
                        </w:sdtContent>
                      </w:sdt>
                      <w:r>
                        <w:rPr>
                          <w:rFonts w:ascii="Arial" w:hAnsi="Arial" w:cs="Arial"/>
                          <w:color w:val="6B9F25"/>
                          <w:sz w:val="22"/>
                          <w:szCs w:val="22"/>
                          <w:u w:val="single"/>
                        </w:rPr>
                        <w:t>. Gyventojai</w:t>
                      </w:r>
                      <w:r>
                        <w:rPr>
                          <w:rFonts w:ascii="Arial" w:hAnsi="Arial" w:cs="Arial"/>
                          <w:sz w:val="22"/>
                          <w:szCs w:val="22"/>
                        </w:rPr>
                        <w:tab/>
                        <w:t>13</w:t>
                      </w:r>
                    </w:p>
                    <w:p>
                      <w:pPr>
                        <w:rPr>
                          <w:sz w:val="10"/>
                          <w:szCs w:val="10"/>
                        </w:rPr>
                      </w:pPr>
                    </w:p>
                  </w:sdtContent>
                </w:sdt>
                <w:sdt>
                  <w:sdtPr>
                    <w:alias w:val="1.3.2 pp."/>
                    <w:tag w:val="part_6ee7cab901f4447abbed31601a941c3a"/>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6ee7cab901f4447abbed31601a941c3a"/>
                          <w:lock w:val="sdtLocked"/>
                          <w:richText/>
                        </w:sdtPr>
                        <w:sdtContent>
                          <w:r>
                            <w:rPr>
                              <w:rFonts w:ascii="Arial" w:eastAsia="SegoeUI" w:hAnsi="Arial" w:cs="Arial"/>
                              <w:color w:val="6B9F25"/>
                              <w:sz w:val="22"/>
                              <w:szCs w:val="22"/>
                              <w:u w:val="single"/>
                            </w:rPr>
                            <w:t>1.3.2</w:t>
                          </w:r>
                        </w:sdtContent>
                      </w:sdt>
                      <w:r>
                        <w:rPr>
                          <w:rFonts w:ascii="Arial" w:eastAsia="SegoeUI" w:hAnsi="Arial" w:cs="Arial"/>
                          <w:color w:val="6B9F25"/>
                          <w:sz w:val="22"/>
                          <w:szCs w:val="22"/>
                          <w:u w:val="single"/>
                        </w:rPr>
                        <w:t>. Namų ūkių sektorius</w:t>
                      </w:r>
                      <w:r>
                        <w:rPr>
                          <w:rFonts w:ascii="Arial" w:hAnsi="Arial" w:cs="Arial"/>
                          <w:sz w:val="22"/>
                          <w:szCs w:val="22"/>
                        </w:rPr>
                        <w:tab/>
                        <w:t>15</w:t>
                      </w:r>
                    </w:p>
                    <w:p>
                      <w:pPr>
                        <w:rPr>
                          <w:sz w:val="10"/>
                          <w:szCs w:val="10"/>
                        </w:rPr>
                      </w:pPr>
                    </w:p>
                  </w:sdtContent>
                </w:sdt>
                <w:sdt>
                  <w:sdtPr>
                    <w:alias w:val="1.3.3 pp."/>
                    <w:tag w:val="part_a55a2d117b844a13b947558bddf122aa"/>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a55a2d117b844a13b947558bddf122aa"/>
                          <w:lock w:val="sdtLocked"/>
                          <w:richText/>
                        </w:sdtPr>
                        <w:sdtContent>
                          <w:r>
                            <w:rPr>
                              <w:rFonts w:ascii="Arial" w:eastAsia="SegoeUI" w:hAnsi="Arial" w:cs="Arial"/>
                              <w:color w:val="6B9F25"/>
                              <w:sz w:val="22"/>
                              <w:szCs w:val="22"/>
                              <w:u w:val="single"/>
                            </w:rPr>
                            <w:t>1.3.3</w:t>
                          </w:r>
                        </w:sdtContent>
                      </w:sdt>
                      <w:r>
                        <w:rPr>
                          <w:rFonts w:ascii="Arial" w:eastAsia="SegoeUI" w:hAnsi="Arial" w:cs="Arial"/>
                          <w:color w:val="6B9F25"/>
                          <w:sz w:val="22"/>
                          <w:szCs w:val="22"/>
                          <w:u w:val="single"/>
                        </w:rPr>
                        <w:t xml:space="preserve">. </w:t>
                      </w:r>
                      <w:r>
                        <w:rPr>
                          <w:rFonts w:ascii="Arial" w:hAnsi="Arial" w:cs="Arial"/>
                          <w:color w:val="6B9F25"/>
                          <w:sz w:val="22"/>
                          <w:szCs w:val="22"/>
                          <w:u w:val="single"/>
                        </w:rPr>
                        <w:t>Paslaugų</w:t>
                      </w:r>
                      <w:r>
                        <w:rPr>
                          <w:rFonts w:ascii="Arial" w:eastAsia="SegoeUI" w:hAnsi="Arial" w:cs="Arial"/>
                          <w:color w:val="6B9F25"/>
                          <w:sz w:val="22"/>
                          <w:szCs w:val="22"/>
                          <w:u w:val="single"/>
                        </w:rPr>
                        <w:t xml:space="preserve"> sektorius</w:t>
                      </w:r>
                      <w:r>
                        <w:rPr>
                          <w:rFonts w:ascii="Arial" w:hAnsi="Arial" w:cs="Arial"/>
                          <w:sz w:val="22"/>
                          <w:szCs w:val="22"/>
                        </w:rPr>
                        <w:tab/>
                        <w:t>18</w:t>
                      </w:r>
                    </w:p>
                    <w:p>
                      <w:pPr>
                        <w:rPr>
                          <w:sz w:val="10"/>
                          <w:szCs w:val="10"/>
                        </w:rPr>
                      </w:pPr>
                    </w:p>
                  </w:sdtContent>
                </w:sdt>
                <w:sdt>
                  <w:sdtPr>
                    <w:alias w:val="1.3.4 pp."/>
                    <w:tag w:val="part_1b29622ef99f405e82c40f661a3493cd"/>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1b29622ef99f405e82c40f661a3493cd"/>
                          <w:lock w:val="sdtLocked"/>
                          <w:richText/>
                        </w:sdtPr>
                        <w:sdtContent>
                          <w:r>
                            <w:rPr>
                              <w:rFonts w:ascii="Arial" w:hAnsi="Arial" w:cs="Arial"/>
                              <w:color w:val="6B9F25"/>
                              <w:sz w:val="22"/>
                              <w:szCs w:val="22"/>
                              <w:u w:val="single"/>
                            </w:rPr>
                            <w:t>1.3.4</w:t>
                          </w:r>
                        </w:sdtContent>
                      </w:sdt>
                      <w:r>
                        <w:rPr>
                          <w:rFonts w:ascii="Arial" w:hAnsi="Arial" w:cs="Arial"/>
                          <w:color w:val="6B9F25"/>
                          <w:sz w:val="22"/>
                          <w:szCs w:val="22"/>
                          <w:u w:val="single"/>
                        </w:rPr>
                        <w:t>. Žemės ūkio sektorius</w:t>
                      </w:r>
                      <w:r>
                        <w:rPr>
                          <w:rFonts w:ascii="Arial" w:hAnsi="Arial" w:cs="Arial"/>
                          <w:sz w:val="22"/>
                          <w:szCs w:val="22"/>
                        </w:rPr>
                        <w:tab/>
                        <w:t>19</w:t>
                      </w:r>
                    </w:p>
                    <w:p>
                      <w:pPr>
                        <w:rPr>
                          <w:sz w:val="10"/>
                          <w:szCs w:val="10"/>
                        </w:rPr>
                      </w:pPr>
                    </w:p>
                  </w:sdtContent>
                </w:sdt>
                <w:sdt>
                  <w:sdtPr>
                    <w:alias w:val="1.3.5 pp."/>
                    <w:tag w:val="part_9edca198ca0a48ee89479ef99a00df73"/>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9edca198ca0a48ee89479ef99a00df73"/>
                          <w:lock w:val="sdtLocked"/>
                          <w:richText/>
                        </w:sdtPr>
                        <w:sdtContent>
                          <w:r>
                            <w:rPr>
                              <w:rFonts w:ascii="Arial" w:hAnsi="Arial" w:cs="Arial"/>
                              <w:color w:val="6B9F25"/>
                              <w:sz w:val="22"/>
                              <w:szCs w:val="22"/>
                              <w:u w:val="single"/>
                            </w:rPr>
                            <w:t>1.3.5</w:t>
                          </w:r>
                        </w:sdtContent>
                      </w:sdt>
                      <w:r>
                        <w:rPr>
                          <w:rFonts w:ascii="Arial" w:hAnsi="Arial" w:cs="Arial"/>
                          <w:color w:val="6B9F25"/>
                          <w:sz w:val="22"/>
                          <w:szCs w:val="22"/>
                          <w:u w:val="single"/>
                        </w:rPr>
                        <w:t>. Pramonės ir statybos sektorius</w:t>
                      </w:r>
                      <w:r>
                        <w:rPr>
                          <w:rFonts w:ascii="Arial" w:hAnsi="Arial" w:cs="Arial"/>
                          <w:sz w:val="22"/>
                          <w:szCs w:val="22"/>
                        </w:rPr>
                        <w:tab/>
                        <w:t>19</w:t>
                      </w:r>
                    </w:p>
                    <w:p>
                      <w:pPr>
                        <w:rPr>
                          <w:sz w:val="10"/>
                          <w:szCs w:val="10"/>
                        </w:rPr>
                      </w:pPr>
                    </w:p>
                  </w:sdtContent>
                </w:sdt>
                <w:sdt>
                  <w:sdtPr>
                    <w:alias w:val="1.3.6 pp."/>
                    <w:tag w:val="part_eae5a6e46b5244beb415f57823921c00"/>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eae5a6e46b5244beb415f57823921c00"/>
                          <w:lock w:val="sdtLocked"/>
                          <w:richText/>
                        </w:sdtPr>
                        <w:sdtContent>
                          <w:r>
                            <w:rPr>
                              <w:rFonts w:ascii="Arial" w:hAnsi="Arial" w:cs="Arial"/>
                              <w:color w:val="6B9F25"/>
                              <w:sz w:val="22"/>
                              <w:szCs w:val="22"/>
                              <w:u w:val="single"/>
                            </w:rPr>
                            <w:t>1.3.6</w:t>
                          </w:r>
                        </w:sdtContent>
                      </w:sdt>
                      <w:r>
                        <w:rPr>
                          <w:rFonts w:ascii="Arial" w:hAnsi="Arial" w:cs="Arial"/>
                          <w:color w:val="6B9F25"/>
                          <w:sz w:val="22"/>
                          <w:szCs w:val="22"/>
                          <w:u w:val="single"/>
                        </w:rPr>
                        <w:t>. Transporto sektorius</w:t>
                      </w:r>
                      <w:r>
                        <w:rPr>
                          <w:rFonts w:ascii="Arial" w:hAnsi="Arial" w:cs="Arial"/>
                          <w:sz w:val="22"/>
                          <w:szCs w:val="22"/>
                        </w:rPr>
                        <w:tab/>
                        <w:t>20</w:t>
                      </w:r>
                    </w:p>
                    <w:p>
                      <w:pPr>
                        <w:rPr>
                          <w:sz w:val="10"/>
                          <w:szCs w:val="10"/>
                        </w:rPr>
                      </w:pPr>
                    </w:p>
                  </w:sdtContent>
                </w:sdt>
              </w:sdtContent>
            </w:sdt>
            <w:sdt>
              <w:sdtPr>
                <w:alias w:val="1.4 pp."/>
                <w:tag w:val="part_605253a190d847b8a14774c3be2525cd"/>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605253a190d847b8a14774c3be2525cd"/>
                      <w:lock w:val="sdtLocked"/>
                      <w:richText/>
                    </w:sdtPr>
                    <w:sdtContent>
                      <w:r>
                        <w:rPr>
                          <w:rFonts w:ascii="Arial" w:hAnsi="Arial" w:cs="Arial"/>
                          <w:color w:val="6B9F25"/>
                          <w:sz w:val="22"/>
                          <w:szCs w:val="22"/>
                          <w:u w:val="single"/>
                        </w:rPr>
                        <w:t>1.4</w:t>
                      </w:r>
                    </w:sdtContent>
                  </w:sdt>
                  <w:r>
                    <w:rPr>
                      <w:rFonts w:ascii="Arial" w:hAnsi="Arial" w:cs="Arial"/>
                      <w:color w:val="6B9F25"/>
                      <w:sz w:val="22"/>
                      <w:szCs w:val="22"/>
                      <w:u w:val="single"/>
                    </w:rPr>
                    <w:t>. Duomenys apie centralizuotai tiekiamos šilumos naudojimą savivaldybėje</w:t>
                  </w:r>
                  <w:r>
                    <w:rPr>
                      <w:rFonts w:ascii="Arial" w:hAnsi="Arial" w:cs="Arial"/>
                      <w:sz w:val="22"/>
                      <w:szCs w:val="22"/>
                    </w:rPr>
                    <w:tab/>
                    <w:t>21</w:t>
                  </w:r>
                </w:p>
                <w:p>
                  <w:pPr>
                    <w:rPr>
                      <w:sz w:val="10"/>
                      <w:szCs w:val="10"/>
                    </w:rPr>
                  </w:pPr>
                </w:p>
              </w:sdtContent>
            </w:sdt>
            <w:sdt>
              <w:sdtPr>
                <w:alias w:val="1.5 pp."/>
                <w:tag w:val="part_9150b4bb6ab34db1b8192e7615e1ca6d"/>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9150b4bb6ab34db1b8192e7615e1ca6d"/>
                      <w:lock w:val="sdtLocked"/>
                      <w:richText/>
                    </w:sdtPr>
                    <w:sdtContent>
                      <w:r>
                        <w:rPr>
                          <w:rFonts w:ascii="Arial" w:hAnsi="Arial" w:cs="Arial"/>
                          <w:bCs/>
                          <w:color w:val="6B9F25"/>
                          <w:sz w:val="22"/>
                          <w:szCs w:val="22"/>
                          <w:u w:val="single"/>
                        </w:rPr>
                        <w:t>1.5</w:t>
                      </w:r>
                    </w:sdtContent>
                  </w:sdt>
                  <w:r>
                    <w:rPr>
                      <w:rFonts w:ascii="Arial" w:hAnsi="Arial" w:cs="Arial"/>
                      <w:bCs/>
                      <w:color w:val="6B9F25"/>
                      <w:sz w:val="22"/>
                      <w:szCs w:val="22"/>
                      <w:u w:val="single"/>
                    </w:rPr>
                    <w:t xml:space="preserve">. </w:t>
                  </w:r>
                  <w:r>
                    <w:rPr>
                      <w:rFonts w:ascii="Arial" w:hAnsi="Arial" w:cs="Arial"/>
                      <w:color w:val="6B9F25"/>
                      <w:sz w:val="22"/>
                      <w:szCs w:val="22"/>
                      <w:u w:val="single"/>
                    </w:rPr>
                    <w:t>Duomenys apie šilumos energijos vartotojus, kurie šiluma apsirūpina decentralizuotai</w:t>
                  </w:r>
                  <w:r>
                    <w:rPr>
                      <w:rFonts w:ascii="Arial" w:hAnsi="Arial" w:cs="Arial"/>
                      <w:sz w:val="22"/>
                      <w:szCs w:val="22"/>
                    </w:rPr>
                    <w:tab/>
                    <w:t>22</w:t>
                  </w:r>
                </w:p>
                <w:p>
                  <w:pPr>
                    <w:rPr>
                      <w:sz w:val="10"/>
                      <w:szCs w:val="10"/>
                    </w:rPr>
                  </w:pPr>
                </w:p>
                <w:sdt>
                  <w:sdtPr>
                    <w:alias w:val="1.5.1 pp."/>
                    <w:tag w:val="part_259de81ecb1f40a8bc3d00cc91cd0f1b"/>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259de81ecb1f40a8bc3d00cc91cd0f1b"/>
                          <w:lock w:val="sdtLocked"/>
                          <w:richText/>
                        </w:sdtPr>
                        <w:sdtContent>
                          <w:r>
                            <w:rPr>
                              <w:rFonts w:ascii="Arial" w:hAnsi="Arial" w:cs="Arial"/>
                              <w:color w:val="6B9F25"/>
                              <w:sz w:val="22"/>
                              <w:szCs w:val="22"/>
                              <w:u w:val="single"/>
                            </w:rPr>
                            <w:t>1.5.1</w:t>
                          </w:r>
                        </w:sdtContent>
                      </w:sdt>
                      <w:r>
                        <w:rPr>
                          <w:rFonts w:ascii="Arial" w:hAnsi="Arial" w:cs="Arial"/>
                          <w:color w:val="6B9F25"/>
                          <w:sz w:val="22"/>
                          <w:szCs w:val="22"/>
                          <w:u w:val="single"/>
                        </w:rPr>
                        <w:t>. Šilumos energijos gamyba Joniškio rajono įstaigų ir įmonių katilinėse</w:t>
                      </w:r>
                      <w:r>
                        <w:rPr>
                          <w:rFonts w:ascii="Arial" w:hAnsi="Arial" w:cs="Arial"/>
                          <w:sz w:val="22"/>
                          <w:szCs w:val="22"/>
                        </w:rPr>
                        <w:tab/>
                        <w:t>22</w:t>
                      </w:r>
                    </w:p>
                    <w:p>
                      <w:pPr>
                        <w:rPr>
                          <w:sz w:val="10"/>
                          <w:szCs w:val="10"/>
                        </w:rPr>
                      </w:pPr>
                    </w:p>
                  </w:sdtContent>
                </w:sdt>
                <w:sdt>
                  <w:sdtPr>
                    <w:alias w:val="1.5.2 pp."/>
                    <w:tag w:val="part_e5dd1a3616df4eccb8fed94bac17c4af"/>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e5dd1a3616df4eccb8fed94bac17c4af"/>
                          <w:lock w:val="sdtLocked"/>
                          <w:richText/>
                        </w:sdtPr>
                        <w:sdtContent>
                          <w:r>
                            <w:rPr>
                              <w:rFonts w:ascii="Arial" w:hAnsi="Arial" w:cs="Arial"/>
                              <w:bCs/>
                              <w:color w:val="6B9F25"/>
                              <w:sz w:val="22"/>
                              <w:szCs w:val="22"/>
                              <w:u w:val="single"/>
                            </w:rPr>
                            <w:t>1.5.2</w:t>
                          </w:r>
                        </w:sdtContent>
                      </w:sdt>
                      <w:r>
                        <w:rPr>
                          <w:rFonts w:ascii="Arial" w:hAnsi="Arial" w:cs="Arial"/>
                          <w:bCs/>
                          <w:color w:val="6B9F25"/>
                          <w:sz w:val="22"/>
                          <w:szCs w:val="22"/>
                          <w:u w:val="single"/>
                        </w:rPr>
                        <w:t>. Šilumos vartojimas namų ūkiuose, neprijungtuose prie centralizuoto šilumos tiekimo tinklo</w:t>
                      </w:r>
                      <w:r>
                        <w:rPr>
                          <w:rFonts w:ascii="Arial" w:hAnsi="Arial" w:cs="Arial"/>
                          <w:sz w:val="22"/>
                          <w:szCs w:val="22"/>
                        </w:rPr>
                        <w:tab/>
                        <w:t>23</w:t>
                      </w:r>
                    </w:p>
                    <w:p>
                      <w:pPr>
                        <w:rPr>
                          <w:sz w:val="10"/>
                          <w:szCs w:val="10"/>
                        </w:rPr>
                      </w:pPr>
                    </w:p>
                  </w:sdtContent>
                </w:sdt>
              </w:sdtContent>
            </w:sdt>
            <w:sdt>
              <w:sdtPr>
                <w:alias w:val="1.6 pp."/>
                <w:tag w:val="part_1dea8f8721c64f0c8c520d4e1ebd9007"/>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dea8f8721c64f0c8c520d4e1ebd9007"/>
                      <w:lock w:val="sdtLocked"/>
                      <w:richText/>
                    </w:sdtPr>
                    <w:sdtContent>
                      <w:r>
                        <w:rPr>
                          <w:rFonts w:ascii="Arial" w:hAnsi="Arial" w:cs="Arial"/>
                          <w:color w:val="6B9F25"/>
                          <w:sz w:val="22"/>
                          <w:szCs w:val="22"/>
                          <w:u w:val="single"/>
                        </w:rPr>
                        <w:t>1.6</w:t>
                      </w:r>
                    </w:sdtContent>
                  </w:sdt>
                  <w:r>
                    <w:rPr>
                      <w:rFonts w:ascii="Arial" w:hAnsi="Arial" w:cs="Arial"/>
                      <w:color w:val="6B9F25"/>
                      <w:sz w:val="22"/>
                      <w:szCs w:val="22"/>
                      <w:u w:val="single"/>
                    </w:rPr>
                    <w:t>. Elektros energijos vartojimas savivaldybėje</w:t>
                  </w:r>
                  <w:r>
                    <w:rPr>
                      <w:rFonts w:ascii="Arial" w:hAnsi="Arial" w:cs="Arial"/>
                      <w:sz w:val="22"/>
                      <w:szCs w:val="22"/>
                    </w:rPr>
                    <w:tab/>
                    <w:t>24</w:t>
                  </w:r>
                </w:p>
                <w:p>
                  <w:pPr>
                    <w:rPr>
                      <w:sz w:val="10"/>
                      <w:szCs w:val="10"/>
                    </w:rPr>
                  </w:pPr>
                </w:p>
              </w:sdtContent>
            </w:sdt>
            <w:sdt>
              <w:sdtPr>
                <w:alias w:val="1.7 pp."/>
                <w:tag w:val="part_87f5d3ab23824081a4b766ad3b4e9937"/>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87f5d3ab23824081a4b766ad3b4e9937"/>
                      <w:lock w:val="sdtLocked"/>
                      <w:richText/>
                    </w:sdtPr>
                    <w:sdtContent>
                      <w:r>
                        <w:rPr>
                          <w:rFonts w:ascii="Arial" w:hAnsi="Arial" w:cs="Arial"/>
                          <w:color w:val="6B9F25"/>
                          <w:sz w:val="22"/>
                          <w:szCs w:val="22"/>
                          <w:u w:val="single"/>
                        </w:rPr>
                        <w:t>1.7</w:t>
                      </w:r>
                    </w:sdtContent>
                  </w:sdt>
                  <w:r>
                    <w:rPr>
                      <w:rFonts w:ascii="Arial" w:hAnsi="Arial" w:cs="Arial"/>
                      <w:color w:val="6B9F25"/>
                      <w:sz w:val="22"/>
                      <w:szCs w:val="22"/>
                      <w:u w:val="single"/>
                    </w:rPr>
                    <w:t>. Dujų vartojimas savivaldybėje</w:t>
                  </w:r>
                  <w:r>
                    <w:rPr>
                      <w:rFonts w:ascii="Arial" w:hAnsi="Arial" w:cs="Arial"/>
                      <w:sz w:val="22"/>
                      <w:szCs w:val="22"/>
                    </w:rPr>
                    <w:tab/>
                    <w:t>25</w:t>
                  </w:r>
                </w:p>
                <w:p>
                  <w:pPr>
                    <w:rPr>
                      <w:sz w:val="10"/>
                      <w:szCs w:val="10"/>
                    </w:rPr>
                  </w:pPr>
                </w:p>
              </w:sdtContent>
            </w:sdt>
          </w:sdtContent>
        </w:sdt>
        <w:sdt>
          <w:sdtPr>
            <w:alias w:val="2 p."/>
            <w:tag w:val="part_acbf36524f9441dc981b29b88a96a41d"/>
            <w:lock w:val="sdtLocked"/>
            <w:richText/>
          </w:sdtPr>
          <w:sdtContent>
            <w:p>
              <w:pPr>
                <w:tabs>
                  <w:tab w:val="right" w:leader="dot" w:pos="10205"/>
                </w:tabs>
                <w:jc w:val="both"/>
                <w:rPr>
                  <w:rFonts w:ascii="Arial" w:hAnsi="Arial" w:cs="Arial"/>
                  <w:sz w:val="22"/>
                  <w:szCs w:val="22"/>
                  <w:lang w:eastAsia="lt-LT"/>
                </w:rPr>
              </w:pPr>
              <w:sdt>
                <w:sdtPr>
                  <w:alias w:val="Numeris"/>
                  <w:tag w:val="nr_acbf36524f9441dc981b29b88a96a41d"/>
                  <w:lock w:val="sdtLocked"/>
                  <w:richText/>
                </w:sdtPr>
                <w:sdtContent>
                  <w:r>
                    <w:rPr>
                      <w:rFonts w:ascii="Arial" w:hAnsi="Arial" w:cs="Arial"/>
                      <w:color w:val="6B9F25"/>
                      <w:sz w:val="22"/>
                      <w:szCs w:val="22"/>
                      <w:u w:val="single"/>
                    </w:rPr>
                    <w:t>2</w:t>
                  </w:r>
                </w:sdtContent>
              </w:sdt>
              <w:r>
                <w:rPr>
                  <w:rFonts w:ascii="Arial" w:hAnsi="Arial" w:cs="Arial"/>
                  <w:color w:val="6B9F25"/>
                  <w:sz w:val="22"/>
                  <w:szCs w:val="22"/>
                  <w:u w:val="single"/>
                </w:rPr>
                <w:t>. Galutinis energijos suvartojimas</w:t>
              </w:r>
              <w:r>
                <w:rPr>
                  <w:rFonts w:ascii="Arial" w:hAnsi="Arial" w:cs="Arial"/>
                  <w:sz w:val="22"/>
                  <w:szCs w:val="22"/>
                </w:rPr>
                <w:tab/>
                <w:t>27</w:t>
              </w:r>
            </w:p>
            <w:p>
              <w:pPr>
                <w:rPr>
                  <w:sz w:val="10"/>
                  <w:szCs w:val="10"/>
                </w:rPr>
              </w:pPr>
            </w:p>
            <w:sdt>
              <w:sdtPr>
                <w:alias w:val="2.1 pp."/>
                <w:tag w:val="part_4f3c5d5db26e4afeb9eeb7d1024a391d"/>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4f3c5d5db26e4afeb9eeb7d1024a391d"/>
                      <w:lock w:val="sdtLocked"/>
                      <w:richText/>
                    </w:sdtPr>
                    <w:sdtContent>
                      <w:r>
                        <w:rPr>
                          <w:rFonts w:ascii="Arial" w:hAnsi="Arial" w:cs="Arial"/>
                          <w:color w:val="6B9F25"/>
                          <w:sz w:val="22"/>
                          <w:szCs w:val="22"/>
                          <w:u w:val="single"/>
                        </w:rPr>
                        <w:t>2.1</w:t>
                      </w:r>
                    </w:sdtContent>
                  </w:sdt>
                  <w:r>
                    <w:rPr>
                      <w:rFonts w:ascii="Arial" w:hAnsi="Arial" w:cs="Arial"/>
                      <w:color w:val="6B9F25"/>
                      <w:sz w:val="22"/>
                      <w:szCs w:val="22"/>
                      <w:u w:val="single"/>
                    </w:rPr>
                    <w:t>. Galutinis energijos suvartojimas transporto sektoriuje</w:t>
                  </w:r>
                  <w:r>
                    <w:rPr>
                      <w:rFonts w:ascii="Arial" w:hAnsi="Arial" w:cs="Arial"/>
                      <w:sz w:val="22"/>
                      <w:szCs w:val="22"/>
                    </w:rPr>
                    <w:tab/>
                    <w:t>27</w:t>
                  </w:r>
                </w:p>
                <w:p>
                  <w:pPr>
                    <w:rPr>
                      <w:sz w:val="10"/>
                      <w:szCs w:val="10"/>
                    </w:rPr>
                  </w:pPr>
                </w:p>
              </w:sdtContent>
            </w:sdt>
            <w:sdt>
              <w:sdtPr>
                <w:alias w:val="2.2 pp."/>
                <w:tag w:val="part_bb0c17705cb840779c60815fa662d808"/>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bb0c17705cb840779c60815fa662d808"/>
                      <w:lock w:val="sdtLocked"/>
                      <w:richText/>
                    </w:sdtPr>
                    <w:sdtContent>
                      <w:r>
                        <w:rPr>
                          <w:rFonts w:ascii="Arial" w:eastAsia="SegoeUI" w:hAnsi="Arial" w:cs="Arial"/>
                          <w:color w:val="6B9F25"/>
                          <w:sz w:val="22"/>
                          <w:szCs w:val="22"/>
                          <w:u w:val="single"/>
                        </w:rPr>
                        <w:t>2.2</w:t>
                      </w:r>
                    </w:sdtContent>
                  </w:sdt>
                  <w:r>
                    <w:rPr>
                      <w:rFonts w:ascii="Arial" w:eastAsia="SegoeUI" w:hAnsi="Arial" w:cs="Arial"/>
                      <w:color w:val="6B9F25"/>
                      <w:sz w:val="22"/>
                      <w:szCs w:val="22"/>
                      <w:u w:val="single"/>
                    </w:rPr>
                    <w:t>. Galutinis energijos suvartojimas pramonėje</w:t>
                  </w:r>
                  <w:r>
                    <w:rPr>
                      <w:rFonts w:ascii="Arial" w:hAnsi="Arial" w:cs="Arial"/>
                      <w:sz w:val="22"/>
                      <w:szCs w:val="22"/>
                    </w:rPr>
                    <w:tab/>
                    <w:t>29</w:t>
                  </w:r>
                </w:p>
                <w:p>
                  <w:pPr>
                    <w:rPr>
                      <w:sz w:val="10"/>
                      <w:szCs w:val="10"/>
                    </w:rPr>
                  </w:pPr>
                </w:p>
              </w:sdtContent>
            </w:sdt>
            <w:sdt>
              <w:sdtPr>
                <w:alias w:val="2.3 pp."/>
                <w:tag w:val="part_f39b34df677445fb9f10fe2659b27277"/>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f39b34df677445fb9f10fe2659b27277"/>
                      <w:lock w:val="sdtLocked"/>
                      <w:richText/>
                    </w:sdtPr>
                    <w:sdtContent>
                      <w:r>
                        <w:rPr>
                          <w:rFonts w:ascii="Arial" w:hAnsi="Arial" w:cs="Arial"/>
                          <w:color w:val="6B9F25"/>
                          <w:sz w:val="22"/>
                          <w:szCs w:val="22"/>
                          <w:u w:val="single"/>
                        </w:rPr>
                        <w:t>2.3</w:t>
                      </w:r>
                    </w:sdtContent>
                  </w:sdt>
                  <w:r>
                    <w:rPr>
                      <w:rFonts w:ascii="Arial" w:hAnsi="Arial" w:cs="Arial"/>
                      <w:color w:val="6B9F25"/>
                      <w:sz w:val="22"/>
                      <w:szCs w:val="22"/>
                      <w:u w:val="single"/>
                    </w:rPr>
                    <w:t>. Galutinis energijos suvartojimas žemės ūkio sektoriuje</w:t>
                  </w:r>
                  <w:r>
                    <w:rPr>
                      <w:rFonts w:ascii="Arial" w:hAnsi="Arial" w:cs="Arial"/>
                      <w:sz w:val="22"/>
                      <w:szCs w:val="22"/>
                    </w:rPr>
                    <w:tab/>
                    <w:t>29</w:t>
                  </w:r>
                </w:p>
                <w:p>
                  <w:pPr>
                    <w:rPr>
                      <w:sz w:val="10"/>
                      <w:szCs w:val="10"/>
                    </w:rPr>
                  </w:pPr>
                </w:p>
              </w:sdtContent>
            </w:sdt>
            <w:sdt>
              <w:sdtPr>
                <w:alias w:val="2.4 pp."/>
                <w:tag w:val="part_edd657c2211b4038ab41d9a3af801a25"/>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edd657c2211b4038ab41d9a3af801a25"/>
                      <w:lock w:val="sdtLocked"/>
                      <w:richText/>
                    </w:sdtPr>
                    <w:sdtContent>
                      <w:r>
                        <w:rPr>
                          <w:rFonts w:ascii="Arial" w:eastAsia="SegoeUI" w:hAnsi="Arial" w:cs="Arial"/>
                          <w:color w:val="6B9F25"/>
                          <w:sz w:val="22"/>
                          <w:szCs w:val="22"/>
                          <w:u w:val="single"/>
                        </w:rPr>
                        <w:t>2.4</w:t>
                      </w:r>
                    </w:sdtContent>
                  </w:sdt>
                  <w:r>
                    <w:rPr>
                      <w:rFonts w:ascii="Arial" w:eastAsia="SegoeUI" w:hAnsi="Arial" w:cs="Arial"/>
                      <w:color w:val="6B9F25"/>
                      <w:sz w:val="22"/>
                      <w:szCs w:val="22"/>
                      <w:u w:val="single"/>
                    </w:rPr>
                    <w:t>. Galutinis energijos suvartojimas namų ūkiuose</w:t>
                  </w:r>
                  <w:r>
                    <w:rPr>
                      <w:rFonts w:ascii="Arial" w:hAnsi="Arial" w:cs="Arial"/>
                      <w:sz w:val="22"/>
                      <w:szCs w:val="22"/>
                    </w:rPr>
                    <w:tab/>
                    <w:t>29</w:t>
                  </w:r>
                </w:p>
                <w:p>
                  <w:pPr>
                    <w:rPr>
                      <w:sz w:val="10"/>
                      <w:szCs w:val="10"/>
                    </w:rPr>
                  </w:pPr>
                </w:p>
              </w:sdtContent>
            </w:sdt>
            <w:sdt>
              <w:sdtPr>
                <w:alias w:val="2.5 pp."/>
                <w:tag w:val="part_d0b816697e734dc8810f36809035c12f"/>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d0b816697e734dc8810f36809035c12f"/>
                      <w:lock w:val="sdtLocked"/>
                      <w:richText/>
                    </w:sdtPr>
                    <w:sdtContent>
                      <w:r>
                        <w:rPr>
                          <w:rFonts w:ascii="Arial" w:eastAsia="SegoeUI" w:hAnsi="Arial" w:cs="Arial"/>
                          <w:color w:val="6B9F25"/>
                          <w:sz w:val="22"/>
                          <w:szCs w:val="22"/>
                          <w:u w:val="single"/>
                        </w:rPr>
                        <w:t>2.5</w:t>
                      </w:r>
                    </w:sdtContent>
                  </w:sdt>
                  <w:r>
                    <w:rPr>
                      <w:rFonts w:ascii="Arial" w:eastAsia="SegoeUI" w:hAnsi="Arial" w:cs="Arial"/>
                      <w:color w:val="6B9F25"/>
                      <w:sz w:val="22"/>
                      <w:szCs w:val="22"/>
                      <w:u w:val="single"/>
                    </w:rPr>
                    <w:t>. Galutinis energijos suvartojimas paslaugų sektoriuje</w:t>
                  </w:r>
                  <w:r>
                    <w:rPr>
                      <w:rFonts w:ascii="Arial" w:hAnsi="Arial" w:cs="Arial"/>
                      <w:sz w:val="22"/>
                      <w:szCs w:val="22"/>
                    </w:rPr>
                    <w:tab/>
                    <w:t>30</w:t>
                  </w:r>
                </w:p>
                <w:p>
                  <w:pPr>
                    <w:rPr>
                      <w:sz w:val="10"/>
                      <w:szCs w:val="10"/>
                    </w:rPr>
                  </w:pPr>
                </w:p>
              </w:sdtContent>
            </w:sdt>
            <w:sdt>
              <w:sdtPr>
                <w:alias w:val="2.6 pp."/>
                <w:tag w:val="part_464824fc81504443a0aae1b5c8da94ba"/>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464824fc81504443a0aae1b5c8da94ba"/>
                      <w:lock w:val="sdtLocked"/>
                      <w:richText/>
                    </w:sdtPr>
                    <w:sdtContent>
                      <w:r>
                        <w:rPr>
                          <w:rFonts w:ascii="Arial" w:eastAsia="SegoeUI" w:hAnsi="Arial" w:cs="Arial"/>
                          <w:color w:val="6B9F25"/>
                          <w:sz w:val="22"/>
                          <w:szCs w:val="22"/>
                          <w:u w:val="single"/>
                        </w:rPr>
                        <w:t>2.6</w:t>
                      </w:r>
                    </w:sdtContent>
                  </w:sdt>
                  <w:r>
                    <w:rPr>
                      <w:rFonts w:ascii="Arial" w:eastAsia="SegoeUI" w:hAnsi="Arial" w:cs="Arial"/>
                      <w:color w:val="6B9F25"/>
                      <w:sz w:val="22"/>
                      <w:szCs w:val="22"/>
                      <w:u w:val="single"/>
                    </w:rPr>
                    <w:t>. Galutinis energijos suvartojimas Joniškio rajono savivaldybėje</w:t>
                  </w:r>
                  <w:r>
                    <w:rPr>
                      <w:rFonts w:ascii="Arial" w:hAnsi="Arial" w:cs="Arial"/>
                      <w:sz w:val="22"/>
                      <w:szCs w:val="22"/>
                    </w:rPr>
                    <w:tab/>
                    <w:t>30</w:t>
                  </w:r>
                </w:p>
                <w:p>
                  <w:pPr>
                    <w:rPr>
                      <w:sz w:val="10"/>
                      <w:szCs w:val="10"/>
                    </w:rPr>
                  </w:pPr>
                </w:p>
              </w:sdtContent>
            </w:sdt>
          </w:sdtContent>
        </w:sdt>
        <w:sdt>
          <w:sdtPr>
            <w:alias w:val="3 p."/>
            <w:tag w:val="part_bce88cff32cc479aaaa2da9eb5a51b5b"/>
            <w:lock w:val="sdtLocked"/>
            <w:richText/>
          </w:sdtPr>
          <w:sdtContent>
            <w:p>
              <w:pPr>
                <w:tabs>
                  <w:tab w:val="right" w:leader="dot" w:pos="10205"/>
                </w:tabs>
                <w:jc w:val="both"/>
                <w:rPr>
                  <w:rFonts w:ascii="Arial" w:hAnsi="Arial" w:cs="Arial"/>
                  <w:sz w:val="22"/>
                  <w:szCs w:val="22"/>
                  <w:lang w:eastAsia="lt-LT"/>
                </w:rPr>
              </w:pPr>
              <w:sdt>
                <w:sdtPr>
                  <w:alias w:val="Numeris"/>
                  <w:tag w:val="nr_bce88cff32cc479aaaa2da9eb5a51b5b"/>
                  <w:lock w:val="sdtLocked"/>
                  <w:richText/>
                </w:sdtPr>
                <w:sdtContent>
                  <w:r>
                    <w:rPr>
                      <w:rFonts w:ascii="Arial" w:hAnsi="Arial" w:cs="Arial"/>
                      <w:color w:val="6B9F25"/>
                      <w:sz w:val="22"/>
                      <w:szCs w:val="22"/>
                      <w:u w:val="single"/>
                    </w:rPr>
                    <w:t>3</w:t>
                  </w:r>
                </w:sdtContent>
              </w:sdt>
              <w:r>
                <w:rPr>
                  <w:rFonts w:ascii="Arial" w:hAnsi="Arial" w:cs="Arial"/>
                  <w:color w:val="6B9F25"/>
                  <w:sz w:val="22"/>
                  <w:szCs w:val="22"/>
                  <w:u w:val="single"/>
                </w:rPr>
                <w:t>. AEI dalies energijos vartojime nustatymas</w:t>
              </w:r>
              <w:r>
                <w:rPr>
                  <w:rFonts w:ascii="Arial" w:hAnsi="Arial" w:cs="Arial"/>
                  <w:sz w:val="22"/>
                  <w:szCs w:val="22"/>
                </w:rPr>
                <w:tab/>
                <w:t>32</w:t>
              </w:r>
            </w:p>
            <w:p>
              <w:pPr>
                <w:rPr>
                  <w:sz w:val="10"/>
                  <w:szCs w:val="10"/>
                </w:rPr>
              </w:pPr>
            </w:p>
            <w:sdt>
              <w:sdtPr>
                <w:alias w:val="3.1 pp."/>
                <w:tag w:val="part_df99459230864118a4be74d17d7b3c10"/>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df99459230864118a4be74d17d7b3c10"/>
                      <w:lock w:val="sdtLocked"/>
                      <w:richText/>
                    </w:sdtPr>
                    <w:sdtContent>
                      <w:r>
                        <w:rPr>
                          <w:rFonts w:ascii="Arial" w:hAnsi="Arial" w:cs="Arial"/>
                          <w:color w:val="6B9F25"/>
                          <w:sz w:val="22"/>
                          <w:szCs w:val="22"/>
                          <w:u w:val="single"/>
                        </w:rPr>
                        <w:t>3.1</w:t>
                      </w:r>
                    </w:sdtContent>
                  </w:sdt>
                  <w:r>
                    <w:rPr>
                      <w:rFonts w:ascii="Arial" w:hAnsi="Arial" w:cs="Arial"/>
                      <w:color w:val="6B9F25"/>
                      <w:sz w:val="22"/>
                      <w:szCs w:val="22"/>
                      <w:u w:val="single"/>
                    </w:rPr>
                    <w:t xml:space="preserve"> AIE naudojimas centralizuoto šilumos tiekimo sistemoje</w:t>
                  </w:r>
                  <w:r>
                    <w:rPr>
                      <w:rFonts w:ascii="Arial" w:hAnsi="Arial" w:cs="Arial"/>
                      <w:sz w:val="22"/>
                      <w:szCs w:val="22"/>
                    </w:rPr>
                    <w:tab/>
                    <w:t>33</w:t>
                  </w:r>
                </w:p>
                <w:p>
                  <w:pPr>
                    <w:rPr>
                      <w:sz w:val="10"/>
                      <w:szCs w:val="10"/>
                    </w:rPr>
                  </w:pPr>
                </w:p>
              </w:sdtContent>
            </w:sdt>
            <w:sdt>
              <w:sdtPr>
                <w:alias w:val="3.2 pp."/>
                <w:tag w:val="part_f7964b6dbce8480d9657cdd1428d1a1d"/>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f7964b6dbce8480d9657cdd1428d1a1d"/>
                      <w:lock w:val="sdtLocked"/>
                      <w:richText/>
                    </w:sdtPr>
                    <w:sdtContent>
                      <w:r>
                        <w:rPr>
                          <w:rFonts w:ascii="Arial" w:hAnsi="Arial" w:cs="Arial"/>
                          <w:color w:val="6B9F25"/>
                          <w:sz w:val="22"/>
                          <w:szCs w:val="22"/>
                          <w:u w:val="single"/>
                        </w:rPr>
                        <w:t>3.2</w:t>
                      </w:r>
                    </w:sdtContent>
                  </w:sdt>
                  <w:r>
                    <w:rPr>
                      <w:rFonts w:ascii="Arial" w:hAnsi="Arial" w:cs="Arial"/>
                      <w:color w:val="6B9F25"/>
                      <w:sz w:val="22"/>
                      <w:szCs w:val="22"/>
                      <w:u w:val="single"/>
                    </w:rPr>
                    <w:t>. AEI naudojimas šildymui centralizuoto šilumos tiekimo sistemai nepriklausančiuose namų ūkiuose</w:t>
                  </w:r>
                  <w:r>
                    <w:rPr>
                      <w:rFonts w:ascii="Arial" w:hAnsi="Arial" w:cs="Arial"/>
                      <w:sz w:val="22"/>
                      <w:szCs w:val="22"/>
                    </w:rPr>
                    <w:tab/>
                    <w:t>33</w:t>
                  </w:r>
                </w:p>
                <w:p>
                  <w:pPr>
                    <w:rPr>
                      <w:sz w:val="10"/>
                      <w:szCs w:val="10"/>
                    </w:rPr>
                  </w:pPr>
                </w:p>
              </w:sdtContent>
            </w:sdt>
            <w:sdt>
              <w:sdtPr>
                <w:alias w:val="3.3 pp."/>
                <w:tag w:val="part_0e1dbd5b1ac24be1b65ba171abd55c64"/>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0e1dbd5b1ac24be1b65ba171abd55c64"/>
                      <w:lock w:val="sdtLocked"/>
                      <w:richText/>
                    </w:sdtPr>
                    <w:sdtContent>
                      <w:r>
                        <w:rPr>
                          <w:rFonts w:ascii="Arial" w:hAnsi="Arial" w:cs="Arial"/>
                          <w:color w:val="6B9F25"/>
                          <w:sz w:val="22"/>
                          <w:szCs w:val="22"/>
                          <w:u w:val="single"/>
                        </w:rPr>
                        <w:t>3.3</w:t>
                      </w:r>
                    </w:sdtContent>
                  </w:sdt>
                  <w:r>
                    <w:rPr>
                      <w:rFonts w:ascii="Arial" w:hAnsi="Arial" w:cs="Arial"/>
                      <w:color w:val="6B9F25"/>
                      <w:sz w:val="22"/>
                      <w:szCs w:val="22"/>
                      <w:u w:val="single"/>
                    </w:rPr>
                    <w:t>. Elektros energijos gamyba savivaldybėje iš AEI</w:t>
                  </w:r>
                  <w:r>
                    <w:rPr>
                      <w:rFonts w:ascii="Arial" w:hAnsi="Arial" w:cs="Arial"/>
                      <w:sz w:val="22"/>
                      <w:szCs w:val="22"/>
                    </w:rPr>
                    <w:tab/>
                    <w:t>34</w:t>
                  </w:r>
                </w:p>
                <w:p>
                  <w:pPr>
                    <w:rPr>
                      <w:sz w:val="10"/>
                      <w:szCs w:val="10"/>
                    </w:rPr>
                  </w:pPr>
                </w:p>
              </w:sdtContent>
            </w:sdt>
            <w:sdt>
              <w:sdtPr>
                <w:alias w:val="3.4 pp."/>
                <w:tag w:val="part_bc6d44f28713460b8299369c6afb7ed6"/>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bc6d44f28713460b8299369c6afb7ed6"/>
                      <w:lock w:val="sdtLocked"/>
                      <w:richText/>
                    </w:sdtPr>
                    <w:sdtContent>
                      <w:r>
                        <w:rPr>
                          <w:rFonts w:ascii="Arial" w:hAnsi="Arial" w:cs="Arial"/>
                          <w:color w:val="6B9F25"/>
                          <w:sz w:val="22"/>
                          <w:szCs w:val="22"/>
                          <w:u w:val="single"/>
                        </w:rPr>
                        <w:t>3.4</w:t>
                      </w:r>
                    </w:sdtContent>
                  </w:sdt>
                  <w:r>
                    <w:rPr>
                      <w:rFonts w:ascii="Arial" w:hAnsi="Arial" w:cs="Arial"/>
                      <w:color w:val="6B9F25"/>
                      <w:sz w:val="22"/>
                      <w:szCs w:val="22"/>
                      <w:u w:val="single"/>
                    </w:rPr>
                    <w:t>. Biodegalų naudojimas ir kiekiai savivaldybėje</w:t>
                  </w:r>
                  <w:r>
                    <w:rPr>
                      <w:rFonts w:ascii="Arial" w:hAnsi="Arial" w:cs="Arial"/>
                      <w:sz w:val="22"/>
                      <w:szCs w:val="22"/>
                    </w:rPr>
                    <w:tab/>
                    <w:t>36</w:t>
                  </w:r>
                </w:p>
                <w:p>
                  <w:pPr>
                    <w:rPr>
                      <w:sz w:val="10"/>
                      <w:szCs w:val="10"/>
                    </w:rPr>
                  </w:pPr>
                </w:p>
              </w:sdtContent>
            </w:sdt>
            <w:sdt>
              <w:sdtPr>
                <w:alias w:val="3.5 pp."/>
                <w:tag w:val="part_17f654e0c9b74003bb212968f934e5f6"/>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7f654e0c9b74003bb212968f934e5f6"/>
                      <w:lock w:val="sdtLocked"/>
                      <w:richText/>
                    </w:sdtPr>
                    <w:sdtContent>
                      <w:r>
                        <w:rPr>
                          <w:rFonts w:ascii="Arial" w:hAnsi="Arial" w:cs="Arial"/>
                          <w:color w:val="6B9F25"/>
                          <w:sz w:val="22"/>
                          <w:szCs w:val="22"/>
                          <w:u w:val="single"/>
                        </w:rPr>
                        <w:t>3.5</w:t>
                      </w:r>
                    </w:sdtContent>
                  </w:sdt>
                  <w:r>
                    <w:rPr>
                      <w:rFonts w:ascii="Arial" w:hAnsi="Arial" w:cs="Arial"/>
                      <w:color w:val="6B9F25"/>
                      <w:sz w:val="22"/>
                      <w:szCs w:val="22"/>
                      <w:u w:val="single"/>
                    </w:rPr>
                    <w:t>. AIE sunaudojimo bendrajame galutinės energijos suvartojime nustatymas</w:t>
                  </w:r>
                  <w:r>
                    <w:rPr>
                      <w:rFonts w:ascii="Arial" w:hAnsi="Arial" w:cs="Arial"/>
                      <w:sz w:val="22"/>
                      <w:szCs w:val="22"/>
                    </w:rPr>
                    <w:tab/>
                    <w:t>36</w:t>
                  </w:r>
                </w:p>
                <w:p>
                  <w:pPr>
                    <w:rPr>
                      <w:sz w:val="10"/>
                      <w:szCs w:val="10"/>
                    </w:rPr>
                  </w:pPr>
                </w:p>
              </w:sdtContent>
            </w:sdt>
          </w:sdtContent>
        </w:sdt>
        <w:sdt>
          <w:sdtPr>
            <w:alias w:val="4 p."/>
            <w:tag w:val="part_04899b8bbdb744e2bf22fdb59650023f"/>
            <w:lock w:val="sdtLocked"/>
            <w:richText/>
          </w:sdtPr>
          <w:sdtContent>
            <w:p>
              <w:pPr>
                <w:tabs>
                  <w:tab w:val="right" w:leader="dot" w:pos="10205"/>
                </w:tabs>
                <w:jc w:val="both"/>
                <w:rPr>
                  <w:rFonts w:ascii="Arial" w:hAnsi="Arial" w:cs="Arial"/>
                  <w:sz w:val="22"/>
                  <w:szCs w:val="22"/>
                  <w:lang w:eastAsia="lt-LT"/>
                </w:rPr>
              </w:pPr>
              <w:sdt>
                <w:sdtPr>
                  <w:alias w:val="Numeris"/>
                  <w:tag w:val="nr_04899b8bbdb744e2bf22fdb59650023f"/>
                  <w:lock w:val="sdtLocked"/>
                  <w:richText/>
                </w:sdtPr>
                <w:sdtContent>
                  <w:r>
                    <w:rPr>
                      <w:rFonts w:ascii="Arial" w:hAnsi="Arial" w:cs="Arial"/>
                      <w:color w:val="6B9F25"/>
                      <w:sz w:val="22"/>
                      <w:szCs w:val="22"/>
                      <w:u w:val="single"/>
                    </w:rPr>
                    <w:t>4</w:t>
                  </w:r>
                </w:sdtContent>
              </w:sdt>
              <w:r>
                <w:rPr>
                  <w:rFonts w:ascii="Arial" w:hAnsi="Arial" w:cs="Arial"/>
                  <w:color w:val="6B9F25"/>
                  <w:sz w:val="22"/>
                  <w:szCs w:val="22"/>
                  <w:u w:val="single"/>
                </w:rPr>
                <w:t>. Joniškio rajono savivaldybės atsinaujinančių išteklių energijos potencialas</w:t>
              </w:r>
              <w:r>
                <w:rPr>
                  <w:rFonts w:ascii="Arial" w:hAnsi="Arial" w:cs="Arial"/>
                  <w:sz w:val="22"/>
                  <w:szCs w:val="22"/>
                </w:rPr>
                <w:tab/>
                <w:t>38</w:t>
              </w:r>
            </w:p>
            <w:p>
              <w:pPr>
                <w:rPr>
                  <w:sz w:val="10"/>
                  <w:szCs w:val="10"/>
                </w:rPr>
              </w:pPr>
            </w:p>
            <w:sdt>
              <w:sdtPr>
                <w:alias w:val="4.1 pp."/>
                <w:tag w:val="part_6816639b0cda4d42bcf651ae532b2650"/>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6816639b0cda4d42bcf651ae532b2650"/>
                      <w:lock w:val="sdtLocked"/>
                      <w:richText/>
                    </w:sdtPr>
                    <w:sdtContent>
                      <w:r>
                        <w:rPr>
                          <w:rFonts w:ascii="Arial" w:hAnsi="Arial" w:cs="Arial"/>
                          <w:color w:val="6B9F25"/>
                          <w:sz w:val="22"/>
                          <w:szCs w:val="22"/>
                          <w:u w:val="single"/>
                        </w:rPr>
                        <w:t>4.1</w:t>
                      </w:r>
                    </w:sdtContent>
                  </w:sdt>
                  <w:r>
                    <w:rPr>
                      <w:rFonts w:ascii="Arial" w:hAnsi="Arial" w:cs="Arial"/>
                      <w:color w:val="6B9F25"/>
                      <w:sz w:val="22"/>
                      <w:szCs w:val="22"/>
                      <w:u w:val="single"/>
                    </w:rPr>
                    <w:t>. Biomasės (medienos) kuro išteklių potencialas</w:t>
                  </w:r>
                  <w:r>
                    <w:rPr>
                      <w:rFonts w:ascii="Arial" w:hAnsi="Arial" w:cs="Arial"/>
                      <w:sz w:val="22"/>
                      <w:szCs w:val="22"/>
                    </w:rPr>
                    <w:tab/>
                    <w:t>38</w:t>
                  </w:r>
                </w:p>
                <w:p>
                  <w:pPr>
                    <w:rPr>
                      <w:sz w:val="10"/>
                      <w:szCs w:val="10"/>
                    </w:rPr>
                  </w:pPr>
                </w:p>
              </w:sdtContent>
            </w:sdt>
            <w:sdt>
              <w:sdtPr>
                <w:alias w:val="4.2 pp."/>
                <w:tag w:val="part_8b84fe03c3274d7e891ce243e1d180ec"/>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8b84fe03c3274d7e891ce243e1d180ec"/>
                      <w:lock w:val="sdtLocked"/>
                      <w:richText/>
                    </w:sdtPr>
                    <w:sdtContent>
                      <w:r>
                        <w:rPr>
                          <w:rFonts w:ascii="Arial" w:hAnsi="Arial" w:cs="Arial"/>
                          <w:color w:val="6B9F25"/>
                          <w:sz w:val="22"/>
                          <w:szCs w:val="22"/>
                          <w:u w:val="single"/>
                        </w:rPr>
                        <w:t>4.2</w:t>
                      </w:r>
                    </w:sdtContent>
                  </w:sdt>
                  <w:r>
                    <w:rPr>
                      <w:rFonts w:ascii="Arial" w:hAnsi="Arial" w:cs="Arial"/>
                      <w:color w:val="6B9F25"/>
                      <w:sz w:val="22"/>
                      <w:szCs w:val="22"/>
                      <w:u w:val="single"/>
                    </w:rPr>
                    <w:t>. Energetinių plantacijų kuras</w:t>
                  </w:r>
                  <w:r>
                    <w:rPr>
                      <w:rFonts w:ascii="Arial" w:hAnsi="Arial" w:cs="Arial"/>
                      <w:sz w:val="22"/>
                      <w:szCs w:val="22"/>
                    </w:rPr>
                    <w:tab/>
                    <w:t>39</w:t>
                  </w:r>
                </w:p>
                <w:p>
                  <w:pPr>
                    <w:rPr>
                      <w:sz w:val="10"/>
                      <w:szCs w:val="10"/>
                    </w:rPr>
                  </w:pPr>
                </w:p>
              </w:sdtContent>
            </w:sdt>
            <w:sdt>
              <w:sdtPr>
                <w:alias w:val="4.3 pp."/>
                <w:tag w:val="part_c058055135a546049349317e6220f4f1"/>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c058055135a546049349317e6220f4f1"/>
                      <w:lock w:val="sdtLocked"/>
                      <w:richText/>
                    </w:sdtPr>
                    <w:sdtContent>
                      <w:r>
                        <w:rPr>
                          <w:rFonts w:ascii="Arial" w:hAnsi="Arial" w:cs="Arial"/>
                          <w:color w:val="6B9F25"/>
                          <w:sz w:val="22"/>
                          <w:szCs w:val="22"/>
                          <w:u w:val="single"/>
                        </w:rPr>
                        <w:t>4.3</w:t>
                      </w:r>
                    </w:sdtContent>
                  </w:sdt>
                  <w:r>
                    <w:rPr>
                      <w:rFonts w:ascii="Arial" w:hAnsi="Arial" w:cs="Arial"/>
                      <w:color w:val="6B9F25"/>
                      <w:sz w:val="22"/>
                      <w:szCs w:val="22"/>
                      <w:u w:val="single"/>
                    </w:rPr>
                    <w:t>. Šiaudų kuro ištekliai</w:t>
                  </w:r>
                  <w:r>
                    <w:rPr>
                      <w:rFonts w:ascii="Arial" w:hAnsi="Arial" w:cs="Arial"/>
                      <w:sz w:val="22"/>
                      <w:szCs w:val="22"/>
                    </w:rPr>
                    <w:tab/>
                    <w:t>39</w:t>
                  </w:r>
                </w:p>
                <w:p>
                  <w:pPr>
                    <w:rPr>
                      <w:sz w:val="10"/>
                      <w:szCs w:val="10"/>
                    </w:rPr>
                  </w:pPr>
                </w:p>
              </w:sdtContent>
            </w:sdt>
            <w:sdt>
              <w:sdtPr>
                <w:alias w:val="4.4 pp."/>
                <w:tag w:val="part_b53c0b83653d42f682037b6fa26269b6"/>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b53c0b83653d42f682037b6fa26269b6"/>
                      <w:lock w:val="sdtLocked"/>
                      <w:richText/>
                    </w:sdtPr>
                    <w:sdtContent>
                      <w:r>
                        <w:rPr>
                          <w:rFonts w:ascii="Arial" w:hAnsi="Arial" w:cs="Arial"/>
                          <w:color w:val="6B9F25"/>
                          <w:sz w:val="22"/>
                          <w:szCs w:val="22"/>
                          <w:u w:val="single"/>
                        </w:rPr>
                        <w:t>4.4</w:t>
                      </w:r>
                    </w:sdtContent>
                  </w:sdt>
                  <w:r>
                    <w:rPr>
                      <w:rFonts w:ascii="Arial" w:hAnsi="Arial" w:cs="Arial"/>
                      <w:color w:val="6B9F25"/>
                      <w:sz w:val="22"/>
                      <w:szCs w:val="22"/>
                      <w:u w:val="single"/>
                    </w:rPr>
                    <w:t>. BIODUJŲ GAMYBOS IR IŠGAVIMO POTENCIALAS</w:t>
                  </w:r>
                  <w:r>
                    <w:rPr>
                      <w:rFonts w:ascii="Arial" w:hAnsi="Arial" w:cs="Arial"/>
                      <w:sz w:val="22"/>
                      <w:szCs w:val="22"/>
                    </w:rPr>
                    <w:tab/>
                    <w:t>40</w:t>
                  </w:r>
                </w:p>
                <w:p>
                  <w:pPr>
                    <w:rPr>
                      <w:sz w:val="10"/>
                      <w:szCs w:val="10"/>
                    </w:rPr>
                  </w:pPr>
                </w:p>
                <w:sdt>
                  <w:sdtPr>
                    <w:alias w:val="4.4.1 pp."/>
                    <w:tag w:val="part_1751a9c8036043e6ba9a24294c97e289"/>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1751a9c8036043e6ba9a24294c97e289"/>
                          <w:lock w:val="sdtLocked"/>
                          <w:richText/>
                        </w:sdtPr>
                        <w:sdtContent>
                          <w:r>
                            <w:rPr>
                              <w:rFonts w:ascii="Arial" w:hAnsi="Arial" w:cs="Arial"/>
                              <w:color w:val="6B9F25"/>
                              <w:sz w:val="22"/>
                              <w:szCs w:val="22"/>
                              <w:u w:val="single"/>
                            </w:rPr>
                            <w:t>4.4.1</w:t>
                          </w:r>
                        </w:sdtContent>
                      </w:sdt>
                      <w:r>
                        <w:rPr>
                          <w:rFonts w:ascii="Arial" w:hAnsi="Arial" w:cs="Arial"/>
                          <w:color w:val="6B9F25"/>
                          <w:sz w:val="22"/>
                          <w:szCs w:val="22"/>
                          <w:u w:val="single"/>
                        </w:rPr>
                        <w:t>. Biodujų potencialas iš žemės ūkio ir maisto pramonės atliekų</w:t>
                      </w:r>
                      <w:r>
                        <w:rPr>
                          <w:rFonts w:ascii="Arial" w:hAnsi="Arial" w:cs="Arial"/>
                          <w:sz w:val="22"/>
                          <w:szCs w:val="22"/>
                        </w:rPr>
                        <w:tab/>
                        <w:t>40</w:t>
                      </w:r>
                    </w:p>
                    <w:p>
                      <w:pPr>
                        <w:rPr>
                          <w:sz w:val="10"/>
                          <w:szCs w:val="10"/>
                        </w:rPr>
                      </w:pPr>
                    </w:p>
                  </w:sdtContent>
                </w:sdt>
                <w:sdt>
                  <w:sdtPr>
                    <w:alias w:val="4.4.2 pp."/>
                    <w:tag w:val="part_7477d1347c2043cfb2acbad596ce8014"/>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7477d1347c2043cfb2acbad596ce8014"/>
                          <w:lock w:val="sdtLocked"/>
                          <w:richText/>
                        </w:sdtPr>
                        <w:sdtContent>
                          <w:r>
                            <w:rPr>
                              <w:rFonts w:ascii="Arial" w:hAnsi="Arial" w:cs="Arial"/>
                              <w:color w:val="6B9F25"/>
                              <w:sz w:val="22"/>
                              <w:szCs w:val="22"/>
                              <w:u w:val="single"/>
                            </w:rPr>
                            <w:t>4.4.2</w:t>
                          </w:r>
                        </w:sdtContent>
                      </w:sdt>
                      <w:r>
                        <w:rPr>
                          <w:rFonts w:ascii="Arial" w:hAnsi="Arial" w:cs="Arial"/>
                          <w:color w:val="6B9F25"/>
                          <w:sz w:val="22"/>
                          <w:szCs w:val="22"/>
                          <w:u w:val="single"/>
                        </w:rPr>
                        <w:t>. Sąvartynų biodujų potencialas</w:t>
                      </w:r>
                      <w:r>
                        <w:rPr>
                          <w:rFonts w:ascii="Arial" w:hAnsi="Arial" w:cs="Arial"/>
                          <w:sz w:val="22"/>
                          <w:szCs w:val="22"/>
                        </w:rPr>
                        <w:tab/>
                        <w:t>41</w:t>
                      </w:r>
                    </w:p>
                    <w:p>
                      <w:pPr>
                        <w:rPr>
                          <w:sz w:val="10"/>
                          <w:szCs w:val="10"/>
                        </w:rPr>
                      </w:pPr>
                    </w:p>
                  </w:sdtContent>
                </w:sdt>
                <w:sdt>
                  <w:sdtPr>
                    <w:alias w:val="4.4.3 pp."/>
                    <w:tag w:val="part_ec3e9a85b2084299b0acd2ae407f17a5"/>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ec3e9a85b2084299b0acd2ae407f17a5"/>
                          <w:lock w:val="sdtLocked"/>
                          <w:richText/>
                        </w:sdtPr>
                        <w:sdtContent>
                          <w:r>
                            <w:rPr>
                              <w:rFonts w:ascii="Arial" w:hAnsi="Arial" w:cs="Arial"/>
                              <w:color w:val="6B9F25"/>
                              <w:sz w:val="22"/>
                              <w:szCs w:val="22"/>
                              <w:u w:val="single"/>
                              <w:shd w:val="clear" w:color="auto" w:fill="FFFFFF"/>
                              <w:lang w:eastAsia="en-GB"/>
                            </w:rPr>
                            <w:t>4.4.3</w:t>
                          </w:r>
                        </w:sdtContent>
                      </w:sdt>
                      <w:r>
                        <w:rPr>
                          <w:rFonts w:ascii="Arial" w:hAnsi="Arial" w:cs="Arial"/>
                          <w:color w:val="6B9F25"/>
                          <w:sz w:val="22"/>
                          <w:szCs w:val="22"/>
                          <w:u w:val="single"/>
                          <w:shd w:val="clear" w:color="auto" w:fill="FFFFFF"/>
                          <w:lang w:eastAsia="en-GB"/>
                        </w:rPr>
                        <w:t>. Biodujų iš nuotekų dumblo potencialas</w:t>
                      </w:r>
                      <w:r>
                        <w:rPr>
                          <w:rFonts w:ascii="Arial" w:hAnsi="Arial" w:cs="Arial"/>
                          <w:sz w:val="22"/>
                          <w:szCs w:val="22"/>
                        </w:rPr>
                        <w:tab/>
                        <w:t>41</w:t>
                      </w:r>
                    </w:p>
                    <w:p>
                      <w:pPr>
                        <w:rPr>
                          <w:sz w:val="10"/>
                          <w:szCs w:val="10"/>
                        </w:rPr>
                      </w:pPr>
                    </w:p>
                  </w:sdtContent>
                </w:sdt>
              </w:sdtContent>
            </w:sdt>
            <w:sdt>
              <w:sdtPr>
                <w:alias w:val="4.5 pp."/>
                <w:tag w:val="part_1a9e3d07d3a44cb9b1a0d39aed11ece7"/>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a9e3d07d3a44cb9b1a0d39aed11ece7"/>
                      <w:lock w:val="sdtLocked"/>
                      <w:richText/>
                    </w:sdtPr>
                    <w:sdtContent>
                      <w:r>
                        <w:rPr>
                          <w:rFonts w:ascii="Arial" w:hAnsi="Arial" w:cs="Arial"/>
                          <w:color w:val="6B9F25"/>
                          <w:sz w:val="22"/>
                          <w:szCs w:val="22"/>
                          <w:u w:val="single"/>
                        </w:rPr>
                        <w:t>4.5</w:t>
                      </w:r>
                    </w:sdtContent>
                  </w:sdt>
                  <w:r>
                    <w:rPr>
                      <w:rFonts w:ascii="Arial" w:hAnsi="Arial" w:cs="Arial"/>
                      <w:color w:val="6B9F25"/>
                      <w:sz w:val="22"/>
                      <w:szCs w:val="22"/>
                      <w:u w:val="single"/>
                    </w:rPr>
                    <w:t>. Komunalinių atliekų potencialas</w:t>
                  </w:r>
                  <w:r>
                    <w:rPr>
                      <w:rFonts w:ascii="Arial" w:hAnsi="Arial" w:cs="Arial"/>
                      <w:sz w:val="22"/>
                      <w:szCs w:val="22"/>
                    </w:rPr>
                    <w:tab/>
                    <w:t>42</w:t>
                  </w:r>
                </w:p>
                <w:p>
                  <w:pPr>
                    <w:rPr>
                      <w:sz w:val="10"/>
                      <w:szCs w:val="10"/>
                    </w:rPr>
                  </w:pPr>
                </w:p>
              </w:sdtContent>
            </w:sdt>
            <w:sdt>
              <w:sdtPr>
                <w:alias w:val="4.6 pp."/>
                <w:tag w:val="part_3e1e22549c604eb08f80424fabac0a91"/>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3e1e22549c604eb08f80424fabac0a91"/>
                      <w:lock w:val="sdtLocked"/>
                      <w:richText/>
                    </w:sdtPr>
                    <w:sdtContent>
                      <w:r>
                        <w:rPr>
                          <w:rFonts w:ascii="Arial" w:hAnsi="Arial" w:cs="Arial"/>
                          <w:color w:val="6B9F25"/>
                          <w:sz w:val="22"/>
                          <w:szCs w:val="22"/>
                          <w:u w:val="single"/>
                        </w:rPr>
                        <w:t>4.6</w:t>
                      </w:r>
                    </w:sdtContent>
                  </w:sdt>
                  <w:r>
                    <w:rPr>
                      <w:rFonts w:ascii="Arial" w:hAnsi="Arial" w:cs="Arial"/>
                      <w:color w:val="6B9F25"/>
                      <w:sz w:val="22"/>
                      <w:szCs w:val="22"/>
                      <w:u w:val="single"/>
                    </w:rPr>
                    <w:t>. Vėjo energijos išteklių panaudojimo potencialas</w:t>
                  </w:r>
                  <w:r>
                    <w:rPr>
                      <w:rFonts w:ascii="Arial" w:hAnsi="Arial" w:cs="Arial"/>
                      <w:sz w:val="22"/>
                      <w:szCs w:val="22"/>
                    </w:rPr>
                    <w:tab/>
                    <w:t>42</w:t>
                  </w:r>
                </w:p>
                <w:p>
                  <w:pPr>
                    <w:rPr>
                      <w:sz w:val="10"/>
                      <w:szCs w:val="10"/>
                    </w:rPr>
                  </w:pPr>
                </w:p>
              </w:sdtContent>
            </w:sdt>
            <w:sdt>
              <w:sdtPr>
                <w:alias w:val="4.7 pp."/>
                <w:tag w:val="part_1410b28eecc74c54a05c8e4e3afbc41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410b28eecc74c54a05c8e4e3afbc419"/>
                      <w:lock w:val="sdtLocked"/>
                      <w:richText/>
                    </w:sdtPr>
                    <w:sdtContent>
                      <w:r>
                        <w:rPr>
                          <w:rFonts w:ascii="Arial" w:eastAsia="SegoeUI" w:hAnsi="Arial" w:cs="Arial"/>
                          <w:color w:val="6B9F25"/>
                          <w:sz w:val="22"/>
                          <w:szCs w:val="22"/>
                          <w:u w:val="single"/>
                        </w:rPr>
                        <w:t>4.7</w:t>
                      </w:r>
                    </w:sdtContent>
                  </w:sdt>
                  <w:r>
                    <w:rPr>
                      <w:rFonts w:ascii="Arial" w:eastAsia="SegoeUI" w:hAnsi="Arial" w:cs="Arial"/>
                      <w:color w:val="6B9F25"/>
                      <w:sz w:val="22"/>
                      <w:szCs w:val="22"/>
                      <w:u w:val="single"/>
                    </w:rPr>
                    <w:t xml:space="preserve">. </w:t>
                  </w:r>
                  <w:r>
                    <w:rPr>
                      <w:rFonts w:ascii="Arial" w:hAnsi="Arial" w:cs="Arial"/>
                      <w:color w:val="6B9F25"/>
                      <w:sz w:val="22"/>
                      <w:szCs w:val="22"/>
                      <w:u w:val="single"/>
                    </w:rPr>
                    <w:t>Saulės energijos išteklių panaudojimo potencialas</w:t>
                  </w:r>
                  <w:r>
                    <w:rPr>
                      <w:rFonts w:ascii="Arial" w:hAnsi="Arial" w:cs="Arial"/>
                      <w:sz w:val="22"/>
                      <w:szCs w:val="22"/>
                    </w:rPr>
                    <w:tab/>
                    <w:t>44</w:t>
                  </w:r>
                </w:p>
                <w:p>
                  <w:pPr>
                    <w:rPr>
                      <w:sz w:val="10"/>
                      <w:szCs w:val="10"/>
                    </w:rPr>
                  </w:pPr>
                </w:p>
              </w:sdtContent>
            </w:sdt>
            <w:sdt>
              <w:sdtPr>
                <w:alias w:val="4.8 pp."/>
                <w:tag w:val="part_ee266bf560a942e89a3a9ee972b5d4a3"/>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ee266bf560a942e89a3a9ee972b5d4a3"/>
                      <w:lock w:val="sdtLocked"/>
                      <w:richText/>
                    </w:sdtPr>
                    <w:sdtContent>
                      <w:r>
                        <w:rPr>
                          <w:rFonts w:ascii="Arial" w:hAnsi="Arial" w:cs="Arial"/>
                          <w:color w:val="6B9F25"/>
                          <w:sz w:val="22"/>
                          <w:szCs w:val="22"/>
                          <w:u w:val="single"/>
                        </w:rPr>
                        <w:t>4.8</w:t>
                      </w:r>
                    </w:sdtContent>
                  </w:sdt>
                  <w:r>
                    <w:rPr>
                      <w:rFonts w:ascii="Arial" w:hAnsi="Arial" w:cs="Arial"/>
                      <w:color w:val="6B9F25"/>
                      <w:sz w:val="22"/>
                      <w:szCs w:val="22"/>
                      <w:u w:val="single"/>
                    </w:rPr>
                    <w:t>. Geoterminės ir aeroterminės energijos potencialas</w:t>
                  </w:r>
                  <w:r>
                    <w:rPr>
                      <w:rFonts w:ascii="Arial" w:hAnsi="Arial" w:cs="Arial"/>
                      <w:sz w:val="22"/>
                      <w:szCs w:val="22"/>
                    </w:rPr>
                    <w:tab/>
                    <w:t>47</w:t>
                  </w:r>
                </w:p>
                <w:p>
                  <w:pPr>
                    <w:rPr>
                      <w:sz w:val="10"/>
                      <w:szCs w:val="10"/>
                    </w:rPr>
                  </w:pPr>
                </w:p>
              </w:sdtContent>
            </w:sdt>
            <w:sdt>
              <w:sdtPr>
                <w:alias w:val="4.9 pp."/>
                <w:tag w:val="part_f479c1e2e34e485a8a8a01622b8fcb65"/>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f479c1e2e34e485a8a8a01622b8fcb65"/>
                      <w:lock w:val="sdtLocked"/>
                      <w:richText/>
                    </w:sdtPr>
                    <w:sdtContent>
                      <w:r>
                        <w:rPr>
                          <w:rFonts w:ascii="Arial" w:eastAsia="SegoeUI" w:hAnsi="Arial" w:cs="Arial"/>
                          <w:color w:val="6B9F25"/>
                          <w:sz w:val="22"/>
                          <w:szCs w:val="22"/>
                          <w:u w:val="single"/>
                        </w:rPr>
                        <w:t>4.9</w:t>
                      </w:r>
                    </w:sdtContent>
                  </w:sdt>
                  <w:r>
                    <w:rPr>
                      <w:rFonts w:ascii="Arial" w:eastAsia="SegoeUI" w:hAnsi="Arial" w:cs="Arial"/>
                      <w:color w:val="6B9F25"/>
                      <w:sz w:val="22"/>
                      <w:szCs w:val="22"/>
                      <w:u w:val="single"/>
                    </w:rPr>
                    <w:t>. Hidroenergijos ištekliai</w:t>
                  </w:r>
                  <w:r>
                    <w:rPr>
                      <w:rFonts w:ascii="Arial" w:hAnsi="Arial" w:cs="Arial"/>
                      <w:sz w:val="22"/>
                      <w:szCs w:val="22"/>
                    </w:rPr>
                    <w:tab/>
                    <w:t>50</w:t>
                  </w:r>
                </w:p>
                <w:p>
                  <w:pPr>
                    <w:rPr>
                      <w:sz w:val="10"/>
                      <w:szCs w:val="10"/>
                    </w:rPr>
                  </w:pPr>
                </w:p>
              </w:sdtContent>
            </w:sdt>
            <w:sdt>
              <w:sdtPr>
                <w:alias w:val="4.10 pp."/>
                <w:tag w:val="part_f2f9fdfe541249f2bc183ce0b1db9443"/>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f2f9fdfe541249f2bc183ce0b1db9443"/>
                      <w:lock w:val="sdtLocked"/>
                      <w:richText/>
                    </w:sdtPr>
                    <w:sdtContent>
                      <w:r>
                        <w:rPr>
                          <w:rFonts w:ascii="Arial" w:eastAsia="SegoeUI" w:hAnsi="Arial" w:cs="Arial"/>
                          <w:color w:val="6B9F25"/>
                          <w:sz w:val="22"/>
                          <w:szCs w:val="22"/>
                          <w:u w:val="single"/>
                        </w:rPr>
                        <w:t>4.10</w:t>
                      </w:r>
                    </w:sdtContent>
                  </w:sdt>
                  <w:r>
                    <w:rPr>
                      <w:rFonts w:ascii="Arial" w:eastAsia="SegoeUI" w:hAnsi="Arial" w:cs="Arial"/>
                      <w:color w:val="6B9F25"/>
                      <w:sz w:val="22"/>
                      <w:szCs w:val="22"/>
                      <w:u w:val="single"/>
                    </w:rPr>
                    <w:t>. Hidroterminės energijos ištekliai</w:t>
                  </w:r>
                  <w:r>
                    <w:rPr>
                      <w:rFonts w:ascii="Arial" w:hAnsi="Arial" w:cs="Arial"/>
                      <w:sz w:val="22"/>
                      <w:szCs w:val="22"/>
                    </w:rPr>
                    <w:tab/>
                    <w:t>51</w:t>
                  </w:r>
                </w:p>
                <w:p>
                  <w:pPr>
                    <w:rPr>
                      <w:sz w:val="10"/>
                      <w:szCs w:val="10"/>
                    </w:rPr>
                  </w:pPr>
                </w:p>
              </w:sdtContent>
            </w:sdt>
            <w:sdt>
              <w:sdtPr>
                <w:alias w:val="4.11 pp."/>
                <w:tag w:val="part_243e7371701e4f62bbcf70861097d132"/>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243e7371701e4f62bbcf70861097d132"/>
                      <w:lock w:val="sdtLocked"/>
                      <w:richText/>
                    </w:sdtPr>
                    <w:sdtContent>
                      <w:r>
                        <w:rPr>
                          <w:rFonts w:ascii="Arial" w:eastAsia="SegoeUI" w:hAnsi="Arial" w:cs="Arial"/>
                          <w:color w:val="6B9F25"/>
                          <w:sz w:val="22"/>
                          <w:szCs w:val="22"/>
                          <w:u w:val="single"/>
                        </w:rPr>
                        <w:t>4.11</w:t>
                      </w:r>
                    </w:sdtContent>
                  </w:sdt>
                  <w:r>
                    <w:rPr>
                      <w:rFonts w:ascii="Arial" w:eastAsia="SegoeUI" w:hAnsi="Arial" w:cs="Arial"/>
                      <w:color w:val="6B9F25"/>
                      <w:sz w:val="22"/>
                      <w:szCs w:val="22"/>
                      <w:u w:val="single"/>
                    </w:rPr>
                    <w:t xml:space="preserve">. </w:t>
                  </w:r>
                  <w:r>
                    <w:rPr>
                      <w:rFonts w:ascii="Arial" w:hAnsi="Arial" w:cs="Arial"/>
                      <w:color w:val="6B9F25"/>
                      <w:sz w:val="22"/>
                      <w:szCs w:val="22"/>
                      <w:u w:val="single"/>
                    </w:rPr>
                    <w:t>AEI naudojimas centralizuoto šilumos tiekimo sistemoje</w:t>
                  </w:r>
                  <w:r>
                    <w:rPr>
                      <w:rFonts w:ascii="Arial" w:hAnsi="Arial" w:cs="Arial"/>
                      <w:sz w:val="22"/>
                      <w:szCs w:val="22"/>
                    </w:rPr>
                    <w:tab/>
                    <w:t>52</w:t>
                  </w:r>
                </w:p>
                <w:p>
                  <w:pPr>
                    <w:rPr>
                      <w:sz w:val="10"/>
                      <w:szCs w:val="10"/>
                    </w:rPr>
                  </w:pPr>
                </w:p>
                <w:sdt>
                  <w:sdtPr>
                    <w:alias w:val="4.11.1 pp."/>
                    <w:tag w:val="part_c9398a5d07574c21a0ee6b75589a87e4"/>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c9398a5d07574c21a0ee6b75589a87e4"/>
                          <w:lock w:val="sdtLocked"/>
                          <w:richText/>
                        </w:sdtPr>
                        <w:sdtContent>
                          <w:r>
                            <w:rPr>
                              <w:rFonts w:ascii="Arial" w:hAnsi="Arial" w:cs="Arial"/>
                              <w:color w:val="6B9F25"/>
                              <w:sz w:val="22"/>
                              <w:szCs w:val="22"/>
                              <w:u w:val="single"/>
                            </w:rPr>
                            <w:t>4.11.1</w:t>
                          </w:r>
                        </w:sdtContent>
                      </w:sdt>
                      <w:r>
                        <w:rPr>
                          <w:rFonts w:ascii="Arial" w:hAnsi="Arial" w:cs="Arial"/>
                          <w:color w:val="6B9F25"/>
                          <w:sz w:val="22"/>
                          <w:szCs w:val="22"/>
                          <w:u w:val="single"/>
                        </w:rPr>
                        <w:t xml:space="preserve"> Saulės energija pagamintos šilumos integracija</w:t>
                      </w:r>
                      <w:r>
                        <w:rPr>
                          <w:rFonts w:ascii="Arial" w:hAnsi="Arial" w:cs="Arial"/>
                          <w:sz w:val="22"/>
                          <w:szCs w:val="22"/>
                        </w:rPr>
                        <w:tab/>
                        <w:t>52</w:t>
                      </w:r>
                    </w:p>
                    <w:p>
                      <w:pPr>
                        <w:rPr>
                          <w:sz w:val="10"/>
                          <w:szCs w:val="10"/>
                        </w:rPr>
                      </w:pPr>
                    </w:p>
                  </w:sdtContent>
                </w:sdt>
                <w:sdt>
                  <w:sdtPr>
                    <w:alias w:val="4.11.2 pp."/>
                    <w:tag w:val="part_d443a441820a4d999087c889e81c7f3a"/>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d443a441820a4d999087c889e81c7f3a"/>
                          <w:lock w:val="sdtLocked"/>
                          <w:richText/>
                        </w:sdtPr>
                        <w:sdtContent>
                          <w:r>
                            <w:rPr>
                              <w:rFonts w:ascii="Arial" w:hAnsi="Arial" w:cs="Arial"/>
                              <w:color w:val="6B9F25"/>
                              <w:sz w:val="22"/>
                              <w:szCs w:val="22"/>
                              <w:u w:val="single"/>
                            </w:rPr>
                            <w:t>4.11.2</w:t>
                          </w:r>
                        </w:sdtContent>
                      </w:sdt>
                      <w:r>
                        <w:rPr>
                          <w:rFonts w:ascii="Arial" w:hAnsi="Arial" w:cs="Arial"/>
                          <w:color w:val="6B9F25"/>
                          <w:sz w:val="22"/>
                          <w:szCs w:val="22"/>
                          <w:u w:val="single"/>
                        </w:rPr>
                        <w:t xml:space="preserve"> Šilumos gamyba naudojant elektrą</w:t>
                      </w:r>
                      <w:r>
                        <w:rPr>
                          <w:rFonts w:ascii="Arial" w:hAnsi="Arial" w:cs="Arial"/>
                          <w:sz w:val="22"/>
                          <w:szCs w:val="22"/>
                        </w:rPr>
                        <w:tab/>
                        <w:t>53</w:t>
                      </w:r>
                    </w:p>
                    <w:p>
                      <w:pPr>
                        <w:rPr>
                          <w:sz w:val="10"/>
                          <w:szCs w:val="10"/>
                        </w:rPr>
                      </w:pPr>
                    </w:p>
                  </w:sdtContent>
                </w:sdt>
                <w:sdt>
                  <w:sdtPr>
                    <w:alias w:val="4.11.3 pp."/>
                    <w:tag w:val="part_e2d8b6e64b2f4489a491b8b715aca9b2"/>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e2d8b6e64b2f4489a491b8b715aca9b2"/>
                          <w:lock w:val="sdtLocked"/>
                          <w:richText/>
                        </w:sdtPr>
                        <w:sdtContent>
                          <w:r>
                            <w:rPr>
                              <w:rFonts w:ascii="Arial" w:eastAsia="SegoeUI" w:hAnsi="Arial" w:cs="Arial"/>
                              <w:color w:val="6B9F25"/>
                              <w:sz w:val="22"/>
                              <w:szCs w:val="22"/>
                              <w:u w:val="single"/>
                            </w:rPr>
                            <w:t>4.11.3</w:t>
                          </w:r>
                        </w:sdtContent>
                      </w:sdt>
                      <w:r>
                        <w:rPr>
                          <w:rFonts w:ascii="Arial" w:eastAsia="SegoeUI" w:hAnsi="Arial" w:cs="Arial"/>
                          <w:color w:val="6B9F25"/>
                          <w:sz w:val="22"/>
                          <w:szCs w:val="22"/>
                          <w:u w:val="single"/>
                        </w:rPr>
                        <w:t xml:space="preserve"> Šilumos akumuliacijos technologijų integravimas</w:t>
                      </w:r>
                      <w:r>
                        <w:rPr>
                          <w:rFonts w:ascii="Arial" w:hAnsi="Arial" w:cs="Arial"/>
                          <w:sz w:val="22"/>
                          <w:szCs w:val="22"/>
                        </w:rPr>
                        <w:tab/>
                        <w:t>53</w:t>
                      </w:r>
                    </w:p>
                    <w:p>
                      <w:pPr>
                        <w:rPr>
                          <w:sz w:val="10"/>
                          <w:szCs w:val="10"/>
                        </w:rPr>
                      </w:pPr>
                    </w:p>
                  </w:sdtContent>
                </w:sdt>
                <w:sdt>
                  <w:sdtPr>
                    <w:alias w:val="4.11.4 pp."/>
                    <w:tag w:val="part_c9cb1f63e8684d62956e56346a81b41b"/>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c9cb1f63e8684d62956e56346a81b41b"/>
                          <w:lock w:val="sdtLocked"/>
                          <w:richText/>
                        </w:sdtPr>
                        <w:sdtContent>
                          <w:r>
                            <w:rPr>
                              <w:rFonts w:ascii="Arial" w:hAnsi="Arial" w:cs="Arial"/>
                              <w:color w:val="6B9F25"/>
                              <w:sz w:val="22"/>
                              <w:szCs w:val="22"/>
                              <w:u w:val="single"/>
                            </w:rPr>
                            <w:t>4.11.4</w:t>
                          </w:r>
                        </w:sdtContent>
                      </w:sdt>
                      <w:r>
                        <w:rPr>
                          <w:rFonts w:ascii="Arial" w:hAnsi="Arial" w:cs="Arial"/>
                          <w:color w:val="6B9F25"/>
                          <w:sz w:val="22"/>
                          <w:szCs w:val="22"/>
                          <w:u w:val="single"/>
                        </w:rPr>
                        <w:t xml:space="preserve"> Vėsinimo technologijų integravimas</w:t>
                      </w:r>
                      <w:r>
                        <w:rPr>
                          <w:rFonts w:ascii="Arial" w:hAnsi="Arial" w:cs="Arial"/>
                          <w:sz w:val="22"/>
                          <w:szCs w:val="22"/>
                        </w:rPr>
                        <w:tab/>
                        <w:t>54</w:t>
                      </w:r>
                    </w:p>
                    <w:p>
                      <w:pPr>
                        <w:rPr>
                          <w:sz w:val="10"/>
                          <w:szCs w:val="10"/>
                        </w:rPr>
                      </w:pPr>
                    </w:p>
                  </w:sdtContent>
                </w:sdt>
                <w:sdt>
                  <w:sdtPr>
                    <w:alias w:val="4.11.5 pp."/>
                    <w:tag w:val="part_5da535ed8dd54b4d9d7f2ac376188fe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5da535ed8dd54b4d9d7f2ac376188fe9"/>
                          <w:lock w:val="sdtLocked"/>
                          <w:richText/>
                        </w:sdtPr>
                        <w:sdtContent>
                          <w:r>
                            <w:rPr>
                              <w:rFonts w:ascii="Arial" w:hAnsi="Arial" w:cs="Arial"/>
                              <w:color w:val="6B9F25"/>
                              <w:sz w:val="22"/>
                              <w:szCs w:val="22"/>
                              <w:u w:val="single"/>
                            </w:rPr>
                            <w:t>4.11.5</w:t>
                          </w:r>
                        </w:sdtContent>
                      </w:sdt>
                      <w:r>
                        <w:rPr>
                          <w:rFonts w:ascii="Arial" w:hAnsi="Arial" w:cs="Arial"/>
                          <w:color w:val="6B9F25"/>
                          <w:sz w:val="22"/>
                          <w:szCs w:val="22"/>
                          <w:u w:val="single"/>
                        </w:rPr>
                        <w:t xml:space="preserve"> Nuotekinio vandens šilumos panaudojimas</w:t>
                      </w:r>
                      <w:r>
                        <w:rPr>
                          <w:rFonts w:ascii="Arial" w:hAnsi="Arial" w:cs="Arial"/>
                          <w:sz w:val="22"/>
                          <w:szCs w:val="22"/>
                        </w:rPr>
                        <w:tab/>
                        <w:t>55</w:t>
                      </w:r>
                    </w:p>
                    <w:p>
                      <w:pPr>
                        <w:rPr>
                          <w:sz w:val="10"/>
                          <w:szCs w:val="10"/>
                        </w:rPr>
                      </w:pPr>
                    </w:p>
                  </w:sdtContent>
                </w:sdt>
              </w:sdtContent>
            </w:sdt>
            <w:sdt>
              <w:sdtPr>
                <w:alias w:val="4.12 pp."/>
                <w:tag w:val="part_38642880a5b14b3cad30f73e8b3ab032"/>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38642880a5b14b3cad30f73e8b3ab032"/>
                      <w:lock w:val="sdtLocked"/>
                      <w:richText/>
                    </w:sdtPr>
                    <w:sdtContent>
                      <w:r>
                        <w:rPr>
                          <w:rFonts w:ascii="Arial" w:eastAsia="SegoeUI" w:hAnsi="Arial" w:cs="Arial"/>
                          <w:color w:val="6B9F25"/>
                          <w:sz w:val="22"/>
                          <w:szCs w:val="22"/>
                          <w:u w:val="single"/>
                        </w:rPr>
                        <w:t>4.12</w:t>
                      </w:r>
                    </w:sdtContent>
                  </w:sdt>
                  <w:r>
                    <w:rPr>
                      <w:rFonts w:ascii="Arial" w:eastAsia="SegoeUI" w:hAnsi="Arial" w:cs="Arial"/>
                      <w:color w:val="6B9F25"/>
                      <w:sz w:val="22"/>
                      <w:szCs w:val="22"/>
                      <w:u w:val="single"/>
                    </w:rPr>
                    <w:t>. Savivaldybės teritorijoje esančio atsinaujinančių išteklių energijos potencialo apibendrinimas</w:t>
                  </w:r>
                  <w:r>
                    <w:rPr>
                      <w:rFonts w:ascii="Arial" w:hAnsi="Arial" w:cs="Arial"/>
                      <w:sz w:val="22"/>
                      <w:szCs w:val="22"/>
                    </w:rPr>
                    <w:tab/>
                    <w:t>56</w:t>
                  </w:r>
                </w:p>
                <w:p>
                  <w:pPr>
                    <w:rPr>
                      <w:sz w:val="10"/>
                      <w:szCs w:val="10"/>
                    </w:rPr>
                  </w:pPr>
                </w:p>
              </w:sdtContent>
            </w:sdt>
          </w:sdtContent>
        </w:sdt>
        <w:sdt>
          <w:sdtPr>
            <w:alias w:val="5 p."/>
            <w:tag w:val="part_a9fbd05ba86748b7bf4ad9ed21fb42fa"/>
            <w:lock w:val="sdtLocked"/>
            <w:richText/>
          </w:sdtPr>
          <w:sdtContent>
            <w:p>
              <w:pPr>
                <w:tabs>
                  <w:tab w:val="right" w:leader="dot" w:pos="10205"/>
                </w:tabs>
                <w:jc w:val="both"/>
                <w:rPr>
                  <w:rFonts w:ascii="Arial" w:hAnsi="Arial" w:cs="Arial"/>
                  <w:sz w:val="22"/>
                  <w:szCs w:val="22"/>
                  <w:lang w:eastAsia="lt-LT"/>
                </w:rPr>
              </w:pPr>
              <w:sdt>
                <w:sdtPr>
                  <w:alias w:val="Numeris"/>
                  <w:tag w:val="nr_a9fbd05ba86748b7bf4ad9ed21fb42fa"/>
                  <w:lock w:val="sdtLocked"/>
                  <w:richText/>
                </w:sdtPr>
                <w:sdtContent>
                  <w:r>
                    <w:rPr>
                      <w:rFonts w:ascii="Arial" w:hAnsi="Arial" w:cs="Arial"/>
                      <w:color w:val="6B9F25"/>
                      <w:sz w:val="22"/>
                      <w:szCs w:val="22"/>
                      <w:u w:val="single"/>
                    </w:rPr>
                    <w:t>5</w:t>
                  </w:r>
                </w:sdtContent>
              </w:sdt>
              <w:r>
                <w:rPr>
                  <w:rFonts w:ascii="Arial" w:hAnsi="Arial" w:cs="Arial"/>
                  <w:color w:val="6B9F25"/>
                  <w:sz w:val="22"/>
                  <w:szCs w:val="22"/>
                  <w:u w:val="single"/>
                </w:rPr>
                <w:t>. Savivaldybės energijos poreikių prognozė iki 2030 metų be papildomų priemonių</w:t>
              </w:r>
              <w:r>
                <w:rPr>
                  <w:rFonts w:ascii="Arial" w:hAnsi="Arial" w:cs="Arial"/>
                  <w:sz w:val="22"/>
                  <w:szCs w:val="22"/>
                </w:rPr>
                <w:tab/>
                <w:t>57</w:t>
              </w:r>
            </w:p>
            <w:p>
              <w:pPr>
                <w:rPr>
                  <w:sz w:val="10"/>
                  <w:szCs w:val="10"/>
                </w:rPr>
              </w:pPr>
            </w:p>
            <w:sdt>
              <w:sdtPr>
                <w:alias w:val="5.1 pp."/>
                <w:tag w:val="part_3b69399cc6924a7582db9c39953ec25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3b69399cc6924a7582db9c39953ec259"/>
                      <w:lock w:val="sdtLocked"/>
                      <w:richText/>
                    </w:sdtPr>
                    <w:sdtContent>
                      <w:r>
                        <w:rPr>
                          <w:rFonts w:ascii="Arial" w:eastAsia="SegoeUI" w:hAnsi="Arial" w:cs="Arial"/>
                          <w:color w:val="6B9F25"/>
                          <w:sz w:val="22"/>
                          <w:szCs w:val="22"/>
                          <w:u w:val="single"/>
                        </w:rPr>
                        <w:t>5.1</w:t>
                      </w:r>
                    </w:sdtContent>
                  </w:sdt>
                  <w:r>
                    <w:rPr>
                      <w:rFonts w:ascii="Arial" w:eastAsia="SegoeUI" w:hAnsi="Arial" w:cs="Arial"/>
                      <w:color w:val="6B9F25"/>
                      <w:sz w:val="22"/>
                      <w:szCs w:val="22"/>
                      <w:u w:val="single"/>
                    </w:rPr>
                    <w:t>. Esamos energijos vartojimo efektyvumo didinimo priemonės</w:t>
                  </w:r>
                  <w:r>
                    <w:rPr>
                      <w:rFonts w:ascii="Arial" w:hAnsi="Arial" w:cs="Arial"/>
                      <w:sz w:val="22"/>
                      <w:szCs w:val="22"/>
                    </w:rPr>
                    <w:tab/>
                    <w:t>58</w:t>
                  </w:r>
                </w:p>
                <w:p>
                  <w:pPr>
                    <w:rPr>
                      <w:sz w:val="10"/>
                      <w:szCs w:val="10"/>
                    </w:rPr>
                  </w:pPr>
                </w:p>
              </w:sdtContent>
            </w:sdt>
            <w:sdt>
              <w:sdtPr>
                <w:alias w:val="5.2 pp."/>
                <w:tag w:val="part_ce392746ff3d4e37af8716c3f25bd104"/>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ce392746ff3d4e37af8716c3f25bd104"/>
                      <w:lock w:val="sdtLocked"/>
                      <w:richText/>
                    </w:sdtPr>
                    <w:sdtContent>
                      <w:r>
                        <w:rPr>
                          <w:rFonts w:ascii="Arial" w:eastAsia="SegoeUI" w:hAnsi="Arial" w:cs="Arial"/>
                          <w:color w:val="6B9F25"/>
                          <w:sz w:val="22"/>
                          <w:szCs w:val="22"/>
                          <w:u w:val="single"/>
                        </w:rPr>
                        <w:t>5.2</w:t>
                      </w:r>
                    </w:sdtContent>
                  </w:sdt>
                  <w:r>
                    <w:rPr>
                      <w:rFonts w:ascii="Arial" w:eastAsia="SegoeUI" w:hAnsi="Arial" w:cs="Arial"/>
                      <w:color w:val="6B9F25"/>
                      <w:sz w:val="22"/>
                      <w:szCs w:val="22"/>
                      <w:u w:val="single"/>
                    </w:rPr>
                    <w:t xml:space="preserve"> Centralizuoto šilumos tiekimo sistemos modernizavimas pereinant prie vietinių ir atsinaujinančių energijos išteklių</w:t>
                  </w:r>
                  <w:r>
                    <w:rPr>
                      <w:rFonts w:ascii="Arial" w:hAnsi="Arial" w:cs="Arial"/>
                      <w:sz w:val="22"/>
                      <w:szCs w:val="22"/>
                    </w:rPr>
                    <w:tab/>
                    <w:t>59</w:t>
                  </w:r>
                </w:p>
                <w:p>
                  <w:pPr>
                    <w:rPr>
                      <w:sz w:val="10"/>
                      <w:szCs w:val="10"/>
                    </w:rPr>
                  </w:pPr>
                </w:p>
              </w:sdtContent>
            </w:sdt>
            <w:sdt>
              <w:sdtPr>
                <w:alias w:val="5.3 pp."/>
                <w:tag w:val="part_097c1de76064409bab7848f4e68b2db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097c1de76064409bab7848f4e68b2db9"/>
                      <w:lock w:val="sdtLocked"/>
                      <w:richText/>
                    </w:sdtPr>
                    <w:sdtContent>
                      <w:r>
                        <w:rPr>
                          <w:rFonts w:ascii="Arial" w:hAnsi="Arial" w:cs="Arial"/>
                          <w:color w:val="6B9F25"/>
                          <w:sz w:val="22"/>
                          <w:szCs w:val="22"/>
                          <w:u w:val="single"/>
                        </w:rPr>
                        <w:t>5.3</w:t>
                      </w:r>
                    </w:sdtContent>
                  </w:sdt>
                  <w:r>
                    <w:rPr>
                      <w:rFonts w:ascii="Arial" w:hAnsi="Arial" w:cs="Arial"/>
                      <w:color w:val="6B9F25"/>
                      <w:sz w:val="22"/>
                      <w:szCs w:val="22"/>
                      <w:u w:val="single"/>
                    </w:rPr>
                    <w:t>. Prognozuojamas kuro ir energijos balansas be papildomų priemonių įgyvendinimo</w:t>
                  </w:r>
                  <w:r>
                    <w:rPr>
                      <w:rFonts w:ascii="Arial" w:hAnsi="Arial" w:cs="Arial"/>
                      <w:sz w:val="22"/>
                      <w:szCs w:val="22"/>
                    </w:rPr>
                    <w:tab/>
                    <w:t>59</w:t>
                  </w:r>
                </w:p>
                <w:p>
                  <w:pPr>
                    <w:rPr>
                      <w:sz w:val="10"/>
                      <w:szCs w:val="10"/>
                    </w:rPr>
                  </w:pPr>
                </w:p>
              </w:sdtContent>
            </w:sdt>
          </w:sdtContent>
        </w:sdt>
        <w:sdt>
          <w:sdtPr>
            <w:alias w:val="6 p."/>
            <w:tag w:val="part_4ba76bfc89054b57aa368b8786d63b4b"/>
            <w:lock w:val="sdtLocked"/>
            <w:richText/>
          </w:sdtPr>
          <w:sdtContent>
            <w:p>
              <w:pPr>
                <w:tabs>
                  <w:tab w:val="right" w:leader="dot" w:pos="10205"/>
                </w:tabs>
                <w:jc w:val="both"/>
                <w:rPr>
                  <w:rFonts w:ascii="Arial" w:hAnsi="Arial" w:cs="Arial"/>
                  <w:sz w:val="22"/>
                  <w:szCs w:val="22"/>
                  <w:lang w:eastAsia="lt-LT"/>
                </w:rPr>
              </w:pPr>
              <w:sdt>
                <w:sdtPr>
                  <w:alias w:val="Numeris"/>
                  <w:tag w:val="nr_4ba76bfc89054b57aa368b8786d63b4b"/>
                  <w:lock w:val="sdtLocked"/>
                  <w:richText/>
                </w:sdtPr>
                <w:sdtContent>
                  <w:r>
                    <w:rPr>
                      <w:rFonts w:ascii="Arial" w:hAnsi="Arial" w:cs="Arial"/>
                      <w:color w:val="6B9F25"/>
                      <w:sz w:val="22"/>
                      <w:szCs w:val="22"/>
                      <w:u w:val="single"/>
                    </w:rPr>
                    <w:t>6</w:t>
                  </w:r>
                </w:sdtContent>
              </w:sdt>
              <w:r>
                <w:rPr>
                  <w:rFonts w:ascii="Arial" w:hAnsi="Arial" w:cs="Arial"/>
                  <w:color w:val="6B9F25"/>
                  <w:sz w:val="22"/>
                  <w:szCs w:val="22"/>
                  <w:u w:val="single"/>
                </w:rPr>
                <w:t>. Siektino AIE dalies galutiniame vartojime rodiklio nustatymas</w:t>
              </w:r>
              <w:r>
                <w:rPr>
                  <w:rFonts w:ascii="Arial" w:hAnsi="Arial" w:cs="Arial"/>
                  <w:sz w:val="22"/>
                  <w:szCs w:val="22"/>
                </w:rPr>
                <w:tab/>
                <w:t>62</w:t>
              </w:r>
            </w:p>
            <w:p>
              <w:pPr>
                <w:rPr>
                  <w:sz w:val="10"/>
                  <w:szCs w:val="10"/>
                </w:rPr>
              </w:pPr>
            </w:p>
          </w:sdtContent>
        </w:sdt>
        <w:sdt>
          <w:sdtPr>
            <w:alias w:val="7 p."/>
            <w:tag w:val="part_321d606530e54ab2a35f5e0c9c5e4e44"/>
            <w:lock w:val="sdtLocked"/>
            <w:richText/>
          </w:sdtPr>
          <w:sdtContent>
            <w:p>
              <w:pPr>
                <w:tabs>
                  <w:tab w:val="right" w:leader="dot" w:pos="10205"/>
                </w:tabs>
                <w:jc w:val="both"/>
                <w:rPr>
                  <w:rFonts w:ascii="Arial" w:hAnsi="Arial" w:cs="Arial"/>
                  <w:sz w:val="22"/>
                  <w:szCs w:val="22"/>
                  <w:lang w:eastAsia="lt-LT"/>
                </w:rPr>
              </w:pPr>
              <w:sdt>
                <w:sdtPr>
                  <w:alias w:val="Numeris"/>
                  <w:tag w:val="nr_321d606530e54ab2a35f5e0c9c5e4e44"/>
                  <w:lock w:val="sdtLocked"/>
                  <w:richText/>
                </w:sdtPr>
                <w:sdtContent>
                  <w:r>
                    <w:rPr>
                      <w:rFonts w:ascii="Arial" w:hAnsi="Arial" w:cs="Arial"/>
                      <w:color w:val="6B9F25"/>
                      <w:sz w:val="22"/>
                      <w:szCs w:val="22"/>
                      <w:u w:val="single"/>
                    </w:rPr>
                    <w:t>7</w:t>
                  </w:r>
                </w:sdtContent>
              </w:sdt>
              <w:r>
                <w:rPr>
                  <w:rFonts w:ascii="Arial" w:hAnsi="Arial" w:cs="Arial"/>
                  <w:color w:val="6B9F25"/>
                  <w:sz w:val="22"/>
                  <w:szCs w:val="22"/>
                  <w:u w:val="single"/>
                </w:rPr>
                <w:t>. AIE dalies galutiniame vartojime didinimo priemonės</w:t>
              </w:r>
              <w:r>
                <w:rPr>
                  <w:rFonts w:ascii="Arial" w:hAnsi="Arial" w:cs="Arial"/>
                  <w:sz w:val="22"/>
                  <w:szCs w:val="22"/>
                </w:rPr>
                <w:tab/>
                <w:t>63</w:t>
              </w:r>
            </w:p>
            <w:p>
              <w:pPr>
                <w:rPr>
                  <w:sz w:val="10"/>
                  <w:szCs w:val="10"/>
                </w:rPr>
              </w:pPr>
            </w:p>
          </w:sdtContent>
        </w:sdt>
        <w:sdt>
          <w:sdtPr>
            <w:alias w:val="8 p."/>
            <w:tag w:val="part_c86967dbb73d4b60ba01b319a10749a6"/>
            <w:lock w:val="sdtLocked"/>
            <w:richText/>
          </w:sdtPr>
          <w:sdtContent>
            <w:p>
              <w:pPr>
                <w:tabs>
                  <w:tab w:val="right" w:leader="dot" w:pos="10205"/>
                </w:tabs>
                <w:jc w:val="both"/>
                <w:rPr>
                  <w:rFonts w:ascii="Arial" w:hAnsi="Arial" w:cs="Arial"/>
                  <w:sz w:val="22"/>
                  <w:szCs w:val="22"/>
                  <w:lang w:eastAsia="lt-LT"/>
                </w:rPr>
              </w:pPr>
              <w:sdt>
                <w:sdtPr>
                  <w:alias w:val="Numeris"/>
                  <w:tag w:val="nr_c86967dbb73d4b60ba01b319a10749a6"/>
                  <w:lock w:val="sdtLocked"/>
                  <w:richText/>
                </w:sdtPr>
                <w:sdtContent>
                  <w:r>
                    <w:rPr>
                      <w:rFonts w:ascii="Arial" w:hAnsi="Arial" w:cs="Arial"/>
                      <w:color w:val="6B9F25"/>
                      <w:sz w:val="22"/>
                      <w:szCs w:val="22"/>
                      <w:u w:val="single"/>
                    </w:rPr>
                    <w:t>8</w:t>
                  </w:r>
                </w:sdtContent>
              </w:sdt>
              <w:r>
                <w:rPr>
                  <w:rFonts w:ascii="Arial" w:hAnsi="Arial" w:cs="Arial"/>
                  <w:color w:val="6B9F25"/>
                  <w:sz w:val="22"/>
                  <w:szCs w:val="22"/>
                  <w:u w:val="single"/>
                </w:rPr>
                <w:t>. Savivaldybei siūlomi AIE koncepciniai scenarijai, vertinimo kriterijai, lyginamosios analizės rodikliai</w:t>
              </w:r>
              <w:r>
                <w:rPr>
                  <w:rFonts w:ascii="Arial" w:hAnsi="Arial" w:cs="Arial"/>
                  <w:sz w:val="22"/>
                  <w:szCs w:val="22"/>
                </w:rPr>
                <w:tab/>
                <w:t>69</w:t>
              </w:r>
            </w:p>
            <w:p>
              <w:pPr>
                <w:rPr>
                  <w:sz w:val="10"/>
                  <w:szCs w:val="10"/>
                </w:rPr>
              </w:pPr>
            </w:p>
            <w:sdt>
              <w:sdtPr>
                <w:alias w:val="8.1 pp."/>
                <w:tag w:val="part_1dc567325a91489da4ee71c1f698533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dc567325a91489da4ee71c1f6985339"/>
                      <w:lock w:val="sdtLocked"/>
                      <w:richText/>
                    </w:sdtPr>
                    <w:sdtContent>
                      <w:r>
                        <w:rPr>
                          <w:rFonts w:ascii="Arial" w:hAnsi="Arial" w:cs="Arial"/>
                          <w:color w:val="6B9F25"/>
                          <w:sz w:val="22"/>
                          <w:szCs w:val="22"/>
                          <w:u w:val="single"/>
                        </w:rPr>
                        <w:t>8.1</w:t>
                      </w:r>
                    </w:sdtContent>
                  </w:sdt>
                  <w:r>
                    <w:rPr>
                      <w:rFonts w:ascii="Arial" w:hAnsi="Arial" w:cs="Arial"/>
                      <w:color w:val="6B9F25"/>
                      <w:sz w:val="22"/>
                      <w:szCs w:val="22"/>
                      <w:u w:val="single"/>
                    </w:rPr>
                    <w:t>. Scenarijų vertinimo kriterijai</w:t>
                  </w:r>
                  <w:r>
                    <w:rPr>
                      <w:rFonts w:ascii="Arial" w:hAnsi="Arial" w:cs="Arial"/>
                      <w:sz w:val="22"/>
                      <w:szCs w:val="22"/>
                    </w:rPr>
                    <w:tab/>
                    <w:t>69</w:t>
                  </w:r>
                </w:p>
                <w:p>
                  <w:pPr>
                    <w:rPr>
                      <w:sz w:val="10"/>
                      <w:szCs w:val="10"/>
                    </w:rPr>
                  </w:pPr>
                </w:p>
              </w:sdtContent>
            </w:sdt>
            <w:sdt>
              <w:sdtPr>
                <w:alias w:val="8.2 pp."/>
                <w:tag w:val="part_68332699c51d461ab74cd60c1eb33cff"/>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68332699c51d461ab74cd60c1eb33cff"/>
                      <w:lock w:val="sdtLocked"/>
                      <w:richText/>
                    </w:sdtPr>
                    <w:sdtContent>
                      <w:r>
                        <w:rPr>
                          <w:rFonts w:ascii="Arial" w:hAnsi="Arial" w:cs="Arial"/>
                          <w:color w:val="6B9F25"/>
                          <w:sz w:val="22"/>
                          <w:szCs w:val="22"/>
                          <w:u w:val="single"/>
                        </w:rPr>
                        <w:t>8.2</w:t>
                      </w:r>
                    </w:sdtContent>
                  </w:sdt>
                  <w:r>
                    <w:rPr>
                      <w:rFonts w:ascii="Arial" w:hAnsi="Arial" w:cs="Arial"/>
                      <w:color w:val="6B9F25"/>
                      <w:sz w:val="22"/>
                      <w:szCs w:val="22"/>
                      <w:u w:val="single"/>
                    </w:rPr>
                    <w:t>. Savivaldybės AIE 1 koncepcinis scenarijus</w:t>
                  </w:r>
                  <w:r>
                    <w:rPr>
                      <w:rFonts w:ascii="Arial" w:hAnsi="Arial" w:cs="Arial"/>
                      <w:sz w:val="22"/>
                      <w:szCs w:val="22"/>
                    </w:rPr>
                    <w:tab/>
                    <w:t>70</w:t>
                  </w:r>
                </w:p>
                <w:p>
                  <w:pPr>
                    <w:rPr>
                      <w:sz w:val="10"/>
                      <w:szCs w:val="10"/>
                    </w:rPr>
                  </w:pPr>
                </w:p>
              </w:sdtContent>
            </w:sdt>
            <w:sdt>
              <w:sdtPr>
                <w:alias w:val="8.3 pp."/>
                <w:tag w:val="part_d74bca2c35da450aad3d06ccce418f1a"/>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d74bca2c35da450aad3d06ccce418f1a"/>
                      <w:lock w:val="sdtLocked"/>
                      <w:richText/>
                    </w:sdtPr>
                    <w:sdtContent>
                      <w:r>
                        <w:rPr>
                          <w:rFonts w:ascii="Arial" w:hAnsi="Arial" w:cs="Arial"/>
                          <w:color w:val="6B9F25"/>
                          <w:sz w:val="22"/>
                          <w:szCs w:val="22"/>
                          <w:u w:val="single"/>
                        </w:rPr>
                        <w:t>8.3</w:t>
                      </w:r>
                    </w:sdtContent>
                  </w:sdt>
                  <w:r>
                    <w:rPr>
                      <w:rFonts w:ascii="Arial" w:hAnsi="Arial" w:cs="Arial"/>
                      <w:color w:val="6B9F25"/>
                      <w:sz w:val="22"/>
                      <w:szCs w:val="22"/>
                      <w:u w:val="single"/>
                    </w:rPr>
                    <w:t>. Savivaldybės AIE 2 koncepcinis scenarijus</w:t>
                  </w:r>
                  <w:r>
                    <w:rPr>
                      <w:rFonts w:ascii="Arial" w:hAnsi="Arial" w:cs="Arial"/>
                      <w:sz w:val="22"/>
                      <w:szCs w:val="22"/>
                    </w:rPr>
                    <w:tab/>
                    <w:t>70</w:t>
                  </w:r>
                </w:p>
                <w:p>
                  <w:pPr>
                    <w:rPr>
                      <w:sz w:val="10"/>
                      <w:szCs w:val="10"/>
                    </w:rPr>
                  </w:pPr>
                </w:p>
              </w:sdtContent>
            </w:sdt>
            <w:sdt>
              <w:sdtPr>
                <w:alias w:val="8.4 pp."/>
                <w:tag w:val="part_f699044a76884f3cafd43667862d2f6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f699044a76884f3cafd43667862d2f69"/>
                      <w:lock w:val="sdtLocked"/>
                      <w:richText/>
                    </w:sdtPr>
                    <w:sdtContent>
                      <w:r>
                        <w:rPr>
                          <w:rFonts w:ascii="Arial" w:eastAsia="SegoeUI" w:hAnsi="Arial" w:cs="Arial"/>
                          <w:color w:val="6B9F25"/>
                          <w:sz w:val="22"/>
                          <w:szCs w:val="22"/>
                          <w:u w:val="single"/>
                        </w:rPr>
                        <w:t>8.4</w:t>
                      </w:r>
                    </w:sdtContent>
                  </w:sdt>
                  <w:r>
                    <w:rPr>
                      <w:rFonts w:ascii="Arial" w:eastAsia="SegoeUI" w:hAnsi="Arial" w:cs="Arial"/>
                      <w:color w:val="6B9F25"/>
                      <w:sz w:val="22"/>
                      <w:szCs w:val="22"/>
                      <w:u w:val="single"/>
                    </w:rPr>
                    <w:t>. Savivaldybės AIE 3 koncepcinis scenarijus</w:t>
                  </w:r>
                  <w:r>
                    <w:rPr>
                      <w:rFonts w:ascii="Arial" w:hAnsi="Arial" w:cs="Arial"/>
                      <w:sz w:val="22"/>
                      <w:szCs w:val="22"/>
                    </w:rPr>
                    <w:tab/>
                    <w:t>71</w:t>
                  </w:r>
                </w:p>
                <w:p>
                  <w:pPr>
                    <w:rPr>
                      <w:sz w:val="10"/>
                      <w:szCs w:val="10"/>
                    </w:rPr>
                  </w:pPr>
                </w:p>
              </w:sdtContent>
            </w:sdt>
            <w:sdt>
              <w:sdtPr>
                <w:alias w:val="8.5 pp."/>
                <w:tag w:val="part_174dc34346da46f2b6d685ae8d056c7a"/>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174dc34346da46f2b6d685ae8d056c7a"/>
                      <w:lock w:val="sdtLocked"/>
                      <w:richText/>
                    </w:sdtPr>
                    <w:sdtContent>
                      <w:r>
                        <w:rPr>
                          <w:rFonts w:ascii="Arial" w:hAnsi="Arial" w:cs="Arial"/>
                          <w:color w:val="6B9F25"/>
                          <w:sz w:val="22"/>
                          <w:szCs w:val="22"/>
                          <w:u w:val="single"/>
                        </w:rPr>
                        <w:t>8.5</w:t>
                      </w:r>
                    </w:sdtContent>
                  </w:sdt>
                  <w:r>
                    <w:rPr>
                      <w:rFonts w:ascii="Arial" w:hAnsi="Arial" w:cs="Arial"/>
                      <w:color w:val="6B9F25"/>
                      <w:sz w:val="22"/>
                      <w:szCs w:val="22"/>
                      <w:u w:val="single"/>
                    </w:rPr>
                    <w:t>. Savivaldybės AIE koncepcinių scenarijų palyginimas</w:t>
                  </w:r>
                  <w:r>
                    <w:rPr>
                      <w:rFonts w:ascii="Arial" w:hAnsi="Arial" w:cs="Arial"/>
                      <w:sz w:val="22"/>
                      <w:szCs w:val="22"/>
                    </w:rPr>
                    <w:tab/>
                    <w:t>73</w:t>
                  </w:r>
                </w:p>
                <w:p>
                  <w:pPr>
                    <w:rPr>
                      <w:sz w:val="10"/>
                      <w:szCs w:val="10"/>
                    </w:rPr>
                  </w:pPr>
                </w:p>
              </w:sdtContent>
            </w:sdt>
          </w:sdtContent>
        </w:sdt>
        <w:sdt>
          <w:sdtPr>
            <w:alias w:val="9 p."/>
            <w:tag w:val="part_48c057ff22834d019d7a19aa6ef04abb"/>
            <w:lock w:val="sdtLocked"/>
            <w:richText/>
          </w:sdtPr>
          <w:sdtContent>
            <w:p>
              <w:pPr>
                <w:tabs>
                  <w:tab w:val="right" w:leader="dot" w:pos="10205"/>
                </w:tabs>
                <w:jc w:val="both"/>
                <w:rPr>
                  <w:rFonts w:ascii="Arial" w:hAnsi="Arial" w:cs="Arial"/>
                  <w:sz w:val="22"/>
                  <w:szCs w:val="22"/>
                  <w:lang w:eastAsia="lt-LT"/>
                </w:rPr>
              </w:pPr>
              <w:sdt>
                <w:sdtPr>
                  <w:alias w:val="Numeris"/>
                  <w:tag w:val="nr_48c057ff22834d019d7a19aa6ef04abb"/>
                  <w:lock w:val="sdtLocked"/>
                  <w:richText/>
                </w:sdtPr>
                <w:sdtContent>
                  <w:r>
                    <w:rPr>
                      <w:rFonts w:ascii="Arial" w:hAnsi="Arial" w:cs="Arial"/>
                      <w:color w:val="6B9F25"/>
                      <w:sz w:val="22"/>
                      <w:szCs w:val="22"/>
                      <w:u w:val="single"/>
                    </w:rPr>
                    <w:t>9</w:t>
                  </w:r>
                </w:sdtContent>
              </w:sdt>
              <w:r>
                <w:rPr>
                  <w:rFonts w:ascii="Arial" w:hAnsi="Arial" w:cs="Arial"/>
                  <w:color w:val="6B9F25"/>
                  <w:sz w:val="22"/>
                  <w:szCs w:val="22"/>
                  <w:u w:val="single"/>
                </w:rPr>
                <w:t>. AIE dalies galutiniame vartojime neapibrėžtumo bei rizikos veiksnių analizė, jų poveikio vertinimas</w:t>
              </w:r>
              <w:r>
                <w:rPr>
                  <w:rFonts w:ascii="Arial" w:hAnsi="Arial" w:cs="Arial"/>
                  <w:sz w:val="22"/>
                  <w:szCs w:val="22"/>
                </w:rPr>
                <w:tab/>
                <w:t>75</w:t>
              </w:r>
            </w:p>
            <w:p>
              <w:pPr>
                <w:rPr>
                  <w:sz w:val="10"/>
                  <w:szCs w:val="10"/>
                </w:rPr>
              </w:pPr>
            </w:p>
            <w:sdt>
              <w:sdtPr>
                <w:alias w:val="9.1 pp."/>
                <w:tag w:val="part_b75d4be1990b4a46a02c2693bcf9a0a6"/>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b75d4be1990b4a46a02c2693bcf9a0a6"/>
                      <w:lock w:val="sdtLocked"/>
                      <w:richText/>
                    </w:sdtPr>
                    <w:sdtContent>
                      <w:r>
                        <w:rPr>
                          <w:rFonts w:ascii="Arial" w:hAnsi="Arial" w:cs="Arial"/>
                          <w:color w:val="6B9F25"/>
                          <w:sz w:val="22"/>
                          <w:szCs w:val="22"/>
                          <w:u w:val="single"/>
                        </w:rPr>
                        <w:t>9.1</w:t>
                      </w:r>
                    </w:sdtContent>
                  </w:sdt>
                  <w:r>
                    <w:rPr>
                      <w:rFonts w:ascii="Arial" w:hAnsi="Arial" w:cs="Arial"/>
                      <w:color w:val="6B9F25"/>
                      <w:sz w:val="22"/>
                      <w:szCs w:val="22"/>
                      <w:u w:val="single"/>
                    </w:rPr>
                    <w:t>. AIE dalies galutiniame vartojime neapibrėžtumo analizė</w:t>
                  </w:r>
                  <w:r>
                    <w:rPr>
                      <w:rFonts w:ascii="Arial" w:hAnsi="Arial" w:cs="Arial"/>
                      <w:sz w:val="22"/>
                      <w:szCs w:val="22"/>
                    </w:rPr>
                    <w:tab/>
                    <w:t>75</w:t>
                  </w:r>
                </w:p>
                <w:p>
                  <w:pPr>
                    <w:rPr>
                      <w:sz w:val="10"/>
                      <w:szCs w:val="10"/>
                    </w:rPr>
                  </w:pPr>
                </w:p>
              </w:sdtContent>
            </w:sdt>
            <w:sdt>
              <w:sdtPr>
                <w:alias w:val="9.2 pp."/>
                <w:tag w:val="part_6f1f0e2e3e014603b4fef0e72db00a49"/>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6f1f0e2e3e014603b4fef0e72db00a49"/>
                      <w:lock w:val="sdtLocked"/>
                      <w:richText/>
                    </w:sdtPr>
                    <w:sdtContent>
                      <w:r>
                        <w:rPr>
                          <w:rFonts w:ascii="Arial" w:eastAsia="SegoeUI" w:hAnsi="Arial" w:cs="Arial"/>
                          <w:color w:val="6B9F25"/>
                          <w:sz w:val="22"/>
                          <w:szCs w:val="22"/>
                          <w:u w:val="single"/>
                        </w:rPr>
                        <w:t>9.2</w:t>
                      </w:r>
                    </w:sdtContent>
                  </w:sdt>
                  <w:r>
                    <w:rPr>
                      <w:rFonts w:ascii="Arial" w:eastAsia="SegoeUI" w:hAnsi="Arial" w:cs="Arial"/>
                      <w:color w:val="6B9F25"/>
                      <w:sz w:val="22"/>
                      <w:szCs w:val="22"/>
                      <w:u w:val="single"/>
                    </w:rPr>
                    <w:t>. Rizikos veiksniai ir jų poveikio įvertinimas</w:t>
                  </w:r>
                  <w:r>
                    <w:rPr>
                      <w:rFonts w:ascii="Arial" w:hAnsi="Arial" w:cs="Arial"/>
                      <w:sz w:val="22"/>
                      <w:szCs w:val="22"/>
                    </w:rPr>
                    <w:tab/>
                    <w:t>76</w:t>
                  </w:r>
                </w:p>
                <w:p>
                  <w:pPr>
                    <w:rPr>
                      <w:sz w:val="10"/>
                      <w:szCs w:val="10"/>
                    </w:rPr>
                  </w:pPr>
                </w:p>
              </w:sdtContent>
            </w:sdt>
          </w:sdtContent>
        </w:sdt>
        <w:sdt>
          <w:sdtPr>
            <w:alias w:val="10 p."/>
            <w:tag w:val="part_0dbe4cfe5a944fe4aed778b80321927d"/>
            <w:lock w:val="sdtLocked"/>
            <w:richText/>
          </w:sdtPr>
          <w:sdtContent>
            <w:p>
              <w:pPr>
                <w:tabs>
                  <w:tab w:val="right" w:leader="dot" w:pos="10205"/>
                </w:tabs>
                <w:jc w:val="both"/>
                <w:rPr>
                  <w:rFonts w:ascii="Arial" w:hAnsi="Arial" w:cs="Arial"/>
                  <w:sz w:val="22"/>
                  <w:szCs w:val="22"/>
                  <w:lang w:eastAsia="lt-LT"/>
                </w:rPr>
              </w:pPr>
              <w:sdt>
                <w:sdtPr>
                  <w:alias w:val="Numeris"/>
                  <w:tag w:val="nr_0dbe4cfe5a944fe4aed778b80321927d"/>
                  <w:lock w:val="sdtLocked"/>
                  <w:richText/>
                </w:sdtPr>
                <w:sdtContent>
                  <w:r>
                    <w:rPr>
                      <w:rFonts w:ascii="Arial" w:hAnsi="Arial" w:cs="Arial"/>
                      <w:color w:val="6B9F25"/>
                      <w:sz w:val="22"/>
                      <w:szCs w:val="22"/>
                      <w:u w:val="single"/>
                    </w:rPr>
                    <w:t>10</w:t>
                  </w:r>
                </w:sdtContent>
              </w:sdt>
              <w:r>
                <w:rPr>
                  <w:rFonts w:ascii="Arial" w:hAnsi="Arial" w:cs="Arial"/>
                  <w:color w:val="6B9F25"/>
                  <w:sz w:val="22"/>
                  <w:szCs w:val="22"/>
                  <w:u w:val="single"/>
                </w:rPr>
                <w:t>. Projektų finansavimo gairės ir jų atrankos kriterijai</w:t>
              </w:r>
              <w:r>
                <w:rPr>
                  <w:rFonts w:ascii="Arial" w:hAnsi="Arial" w:cs="Arial"/>
                  <w:sz w:val="22"/>
                  <w:szCs w:val="22"/>
                </w:rPr>
                <w:tab/>
                <w:t>79</w:t>
              </w:r>
            </w:p>
            <w:p>
              <w:pPr>
                <w:rPr>
                  <w:sz w:val="10"/>
                  <w:szCs w:val="10"/>
                </w:rPr>
              </w:pPr>
            </w:p>
            <w:sdt>
              <w:sdtPr>
                <w:alias w:val="10.1 pp."/>
                <w:tag w:val="part_2e89d813973f4a02b206474d401398bf"/>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2e89d813973f4a02b206474d401398bf"/>
                      <w:lock w:val="sdtLocked"/>
                      <w:richText/>
                    </w:sdtPr>
                    <w:sdtContent>
                      <w:r>
                        <w:rPr>
                          <w:rFonts w:ascii="Arial" w:eastAsia="SegoeUI" w:hAnsi="Arial" w:cs="Arial"/>
                          <w:color w:val="6B9F25"/>
                          <w:sz w:val="22"/>
                          <w:szCs w:val="22"/>
                          <w:u w:val="single"/>
                        </w:rPr>
                        <w:t>10.1</w:t>
                      </w:r>
                    </w:sdtContent>
                  </w:sdt>
                  <w:r>
                    <w:rPr>
                      <w:rFonts w:ascii="Arial" w:eastAsia="SegoeUI" w:hAnsi="Arial" w:cs="Arial"/>
                      <w:color w:val="6B9F25"/>
                      <w:sz w:val="22"/>
                      <w:szCs w:val="22"/>
                      <w:u w:val="single"/>
                    </w:rPr>
                    <w:t>. Reikalavimai projektų išlaidoms</w:t>
                  </w:r>
                  <w:r>
                    <w:rPr>
                      <w:rFonts w:ascii="Arial" w:hAnsi="Arial" w:cs="Arial"/>
                      <w:sz w:val="22"/>
                      <w:szCs w:val="22"/>
                    </w:rPr>
                    <w:tab/>
                    <w:t>79</w:t>
                  </w:r>
                </w:p>
                <w:p>
                  <w:pPr>
                    <w:rPr>
                      <w:sz w:val="10"/>
                      <w:szCs w:val="10"/>
                    </w:rPr>
                  </w:pPr>
                </w:p>
              </w:sdtContent>
            </w:sdt>
            <w:sdt>
              <w:sdtPr>
                <w:alias w:val="10.2 pp."/>
                <w:tag w:val="part_c12b4749e26d47b58115e23896dad83a"/>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c12b4749e26d47b58115e23896dad83a"/>
                      <w:lock w:val="sdtLocked"/>
                      <w:richText/>
                    </w:sdtPr>
                    <w:sdtContent>
                      <w:r>
                        <w:rPr>
                          <w:rFonts w:ascii="Arial" w:hAnsi="Arial" w:cs="Arial"/>
                          <w:color w:val="6B9F25"/>
                          <w:sz w:val="22"/>
                          <w:szCs w:val="22"/>
                          <w:u w:val="single"/>
                        </w:rPr>
                        <w:t>10.2</w:t>
                      </w:r>
                    </w:sdtContent>
                  </w:sdt>
                  <w:r>
                    <w:rPr>
                      <w:rFonts w:ascii="Arial" w:hAnsi="Arial" w:cs="Arial"/>
                      <w:color w:val="6B9F25"/>
                      <w:sz w:val="22"/>
                      <w:szCs w:val="22"/>
                      <w:u w:val="single"/>
                    </w:rPr>
                    <w:t>. Projektų atrankos kriterijai</w:t>
                  </w:r>
                  <w:r>
                    <w:rPr>
                      <w:rFonts w:ascii="Arial" w:hAnsi="Arial" w:cs="Arial"/>
                      <w:sz w:val="22"/>
                      <w:szCs w:val="22"/>
                    </w:rPr>
                    <w:tab/>
                    <w:t>79</w:t>
                  </w:r>
                </w:p>
                <w:p>
                  <w:pPr>
                    <w:rPr>
                      <w:sz w:val="10"/>
                      <w:szCs w:val="10"/>
                    </w:rPr>
                  </w:pPr>
                </w:p>
                <w:sdt>
                  <w:sdtPr>
                    <w:alias w:val="10.2.1 pp."/>
                    <w:tag w:val="part_8d6954ce30ae4e43b2b2d2ccd5ab2454"/>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8d6954ce30ae4e43b2b2d2ccd5ab2454"/>
                          <w:lock w:val="sdtLocked"/>
                          <w:richText/>
                        </w:sdtPr>
                        <w:sdtContent>
                          <w:r>
                            <w:rPr>
                              <w:rFonts w:ascii="Arial" w:hAnsi="Arial" w:cs="Arial"/>
                              <w:color w:val="6B9F25"/>
                              <w:sz w:val="22"/>
                              <w:szCs w:val="22"/>
                              <w:u w:val="single"/>
                            </w:rPr>
                            <w:t>10.2.1</w:t>
                          </w:r>
                        </w:sdtContent>
                      </w:sdt>
                      <w:r>
                        <w:rPr>
                          <w:rFonts w:ascii="Arial" w:hAnsi="Arial" w:cs="Arial"/>
                          <w:color w:val="6B9F25"/>
                          <w:sz w:val="22"/>
                          <w:szCs w:val="22"/>
                          <w:u w:val="single"/>
                        </w:rPr>
                        <w:t>. Ekonominiai vertinimo kriterijai</w:t>
                      </w:r>
                      <w:r>
                        <w:rPr>
                          <w:rFonts w:ascii="Arial" w:hAnsi="Arial" w:cs="Arial"/>
                          <w:sz w:val="22"/>
                          <w:szCs w:val="22"/>
                        </w:rPr>
                        <w:tab/>
                        <w:t>80</w:t>
                      </w:r>
                    </w:p>
                    <w:p>
                      <w:pPr>
                        <w:rPr>
                          <w:sz w:val="10"/>
                          <w:szCs w:val="10"/>
                        </w:rPr>
                      </w:pPr>
                    </w:p>
                  </w:sdtContent>
                </w:sdt>
                <w:sdt>
                  <w:sdtPr>
                    <w:alias w:val="10.2.2 pp."/>
                    <w:tag w:val="part_1f2b61b02f814e71ab5a03e3c45cad89"/>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1f2b61b02f814e71ab5a03e3c45cad89"/>
                          <w:lock w:val="sdtLocked"/>
                          <w:richText/>
                        </w:sdtPr>
                        <w:sdtContent>
                          <w:r>
                            <w:rPr>
                              <w:rFonts w:ascii="Arial" w:hAnsi="Arial" w:cs="Arial"/>
                              <w:color w:val="6B9F25"/>
                              <w:sz w:val="22"/>
                              <w:szCs w:val="22"/>
                              <w:u w:val="single"/>
                            </w:rPr>
                            <w:t>10.2.2</w:t>
                          </w:r>
                        </w:sdtContent>
                      </w:sdt>
                      <w:r>
                        <w:rPr>
                          <w:rFonts w:ascii="Arial" w:hAnsi="Arial" w:cs="Arial"/>
                          <w:color w:val="6B9F25"/>
                          <w:sz w:val="22"/>
                          <w:szCs w:val="22"/>
                          <w:u w:val="single"/>
                        </w:rPr>
                        <w:t>. Subsidijavimo intensyvumo vertinimas</w:t>
                      </w:r>
                      <w:r>
                        <w:rPr>
                          <w:rFonts w:ascii="Arial" w:hAnsi="Arial" w:cs="Arial"/>
                          <w:sz w:val="22"/>
                          <w:szCs w:val="22"/>
                        </w:rPr>
                        <w:tab/>
                        <w:t>81</w:t>
                      </w:r>
                    </w:p>
                    <w:p>
                      <w:pPr>
                        <w:rPr>
                          <w:sz w:val="10"/>
                          <w:szCs w:val="10"/>
                        </w:rPr>
                      </w:pPr>
                    </w:p>
                  </w:sdtContent>
                </w:sdt>
                <w:sdt>
                  <w:sdtPr>
                    <w:alias w:val="10.2.3 pp."/>
                    <w:tag w:val="part_7a30320918624480a71856add06bed4e"/>
                    <w:lock w:val="sdtLocked"/>
                    <w:richText/>
                  </w:sdtPr>
                  <w:sdtContent>
                    <w:p>
                      <w:pPr>
                        <w:tabs>
                          <w:tab w:val="right" w:leader="dot" w:pos="10195"/>
                        </w:tabs>
                        <w:ind w:left="440" w:firstLine="411"/>
                        <w:jc w:val="both"/>
                        <w:rPr>
                          <w:rFonts w:ascii="Arial" w:hAnsi="Arial" w:cs="Arial"/>
                          <w:sz w:val="22"/>
                          <w:szCs w:val="22"/>
                          <w:lang w:eastAsia="lt-LT"/>
                        </w:rPr>
                      </w:pPr>
                      <w:sdt>
                        <w:sdtPr>
                          <w:alias w:val="Numeris"/>
                          <w:tag w:val="nr_7a30320918624480a71856add06bed4e"/>
                          <w:lock w:val="sdtLocked"/>
                          <w:richText/>
                        </w:sdtPr>
                        <w:sdtContent>
                          <w:r>
                            <w:rPr>
                              <w:rFonts w:ascii="Arial" w:hAnsi="Arial" w:cs="Arial"/>
                              <w:color w:val="6B9F25"/>
                              <w:sz w:val="22"/>
                              <w:szCs w:val="22"/>
                              <w:u w:val="single"/>
                            </w:rPr>
                            <w:t>10.2.3</w:t>
                          </w:r>
                        </w:sdtContent>
                      </w:sdt>
                      <w:r>
                        <w:rPr>
                          <w:rFonts w:ascii="Arial" w:hAnsi="Arial" w:cs="Arial"/>
                          <w:color w:val="6B9F25"/>
                          <w:sz w:val="22"/>
                          <w:szCs w:val="22"/>
                          <w:u w:val="single"/>
                        </w:rPr>
                        <w:t>. Aplinkosauginio kriterijaus vertinimas</w:t>
                      </w:r>
                      <w:r>
                        <w:rPr>
                          <w:rFonts w:ascii="Arial" w:hAnsi="Arial" w:cs="Arial"/>
                          <w:sz w:val="22"/>
                          <w:szCs w:val="22"/>
                        </w:rPr>
                        <w:tab/>
                        <w:t>82</w:t>
                      </w:r>
                    </w:p>
                    <w:p>
                      <w:pPr>
                        <w:rPr>
                          <w:sz w:val="10"/>
                          <w:szCs w:val="10"/>
                        </w:rPr>
                      </w:pPr>
                    </w:p>
                  </w:sdtContent>
                </w:sdt>
              </w:sdtContent>
            </w:sdt>
            <w:sdt>
              <w:sdtPr>
                <w:alias w:val="10.3 pp."/>
                <w:tag w:val="part_84a0bf008fb94557a7d9d31f914a278c"/>
                <w:lock w:val="sdtLocked"/>
                <w:richText/>
              </w:sdtPr>
              <w:sdtContent>
                <w:p>
                  <w:pPr>
                    <w:tabs>
                      <w:tab w:val="right" w:leader="dot" w:pos="10195"/>
                    </w:tabs>
                    <w:ind w:firstLine="567"/>
                    <w:jc w:val="both"/>
                    <w:rPr>
                      <w:rFonts w:ascii="Arial" w:hAnsi="Arial" w:cs="Arial"/>
                      <w:sz w:val="22"/>
                      <w:szCs w:val="22"/>
                      <w:lang w:eastAsia="lt-LT"/>
                    </w:rPr>
                  </w:pPr>
                  <w:sdt>
                    <w:sdtPr>
                      <w:alias w:val="Numeris"/>
                      <w:tag w:val="nr_84a0bf008fb94557a7d9d31f914a278c"/>
                      <w:lock w:val="sdtLocked"/>
                      <w:richText/>
                    </w:sdtPr>
                    <w:sdtContent>
                      <w:r>
                        <w:rPr>
                          <w:rFonts w:ascii="Arial" w:hAnsi="Arial" w:cs="Arial"/>
                          <w:color w:val="6B9F25"/>
                          <w:sz w:val="22"/>
                          <w:szCs w:val="22"/>
                          <w:u w:val="single"/>
                        </w:rPr>
                        <w:t>10.3</w:t>
                      </w:r>
                    </w:sdtContent>
                  </w:sdt>
                  <w:r>
                    <w:rPr>
                      <w:rFonts w:ascii="Arial" w:hAnsi="Arial" w:cs="Arial"/>
                      <w:color w:val="6B9F25"/>
                      <w:sz w:val="22"/>
                      <w:szCs w:val="22"/>
                      <w:u w:val="single"/>
                    </w:rPr>
                    <w:t>. Projektų atrankos principai</w:t>
                  </w:r>
                  <w:r>
                    <w:rPr>
                      <w:rFonts w:ascii="Arial" w:hAnsi="Arial" w:cs="Arial"/>
                      <w:sz w:val="22"/>
                      <w:szCs w:val="22"/>
                    </w:rPr>
                    <w:tab/>
                    <w:t>83</w:t>
                  </w:r>
                </w:p>
                <w:p>
                  <w:pPr>
                    <w:rPr>
                      <w:sz w:val="10"/>
                      <w:szCs w:val="10"/>
                    </w:rPr>
                  </w:pPr>
                </w:p>
              </w:sdtContent>
            </w:sdt>
          </w:sdtContent>
        </w:sdt>
        <w:sdt>
          <w:sdtPr>
            <w:alias w:val="11 p."/>
            <w:tag w:val="part_ca6abc6929f149d19c7d0c26c296b42a"/>
            <w:lock w:val="sdtLocked"/>
            <w:richText/>
          </w:sdtPr>
          <w:sdtContent>
            <w:p>
              <w:pPr>
                <w:tabs>
                  <w:tab w:val="right" w:leader="dot" w:pos="10205"/>
                </w:tabs>
                <w:jc w:val="both"/>
                <w:rPr>
                  <w:rFonts w:ascii="Arial" w:hAnsi="Arial" w:cs="Arial"/>
                  <w:sz w:val="22"/>
                  <w:szCs w:val="22"/>
                  <w:lang w:eastAsia="lt-LT"/>
                </w:rPr>
              </w:pPr>
              <w:sdt>
                <w:sdtPr>
                  <w:alias w:val="Numeris"/>
                  <w:tag w:val="nr_ca6abc6929f149d19c7d0c26c296b42a"/>
                  <w:lock w:val="sdtLocked"/>
                  <w:richText/>
                </w:sdtPr>
                <w:sdtContent>
                  <w:r>
                    <w:rPr>
                      <w:rFonts w:ascii="Arial" w:hAnsi="Arial" w:cs="Arial"/>
                      <w:color w:val="6B9F25"/>
                      <w:sz w:val="22"/>
                      <w:szCs w:val="22"/>
                      <w:u w:val="single"/>
                    </w:rPr>
                    <w:t>11</w:t>
                  </w:r>
                </w:sdtContent>
              </w:sdt>
              <w:r>
                <w:rPr>
                  <w:rFonts w:ascii="Arial" w:hAnsi="Arial" w:cs="Arial"/>
                  <w:color w:val="6B9F25"/>
                  <w:sz w:val="22"/>
                  <w:szCs w:val="22"/>
                  <w:u w:val="single"/>
                </w:rPr>
                <w:t>. Išvados ir rekomendacijos</w:t>
              </w:r>
              <w:r>
                <w:rPr>
                  <w:rFonts w:ascii="Arial" w:hAnsi="Arial" w:cs="Arial"/>
                  <w:sz w:val="22"/>
                  <w:szCs w:val="22"/>
                </w:rPr>
                <w:tab/>
                <w:t>85</w:t>
              </w:r>
            </w:p>
            <w:p>
              <w:pPr>
                <w:rPr>
                  <w:sz w:val="10"/>
                  <w:szCs w:val="10"/>
                </w:rPr>
              </w:pPr>
            </w:p>
            <w:p>
              <w:pPr>
                <w:tabs>
                  <w:tab w:val="right" w:leader="dot" w:pos="10205"/>
                </w:tabs>
                <w:jc w:val="both"/>
                <w:rPr>
                  <w:rFonts w:ascii="Arial" w:hAnsi="Arial" w:cs="Arial"/>
                  <w:sz w:val="22"/>
                  <w:szCs w:val="22"/>
                  <w:lang w:eastAsia="lt-LT"/>
                </w:rPr>
              </w:pPr>
            </w:p>
            <w:p>
              <w:pPr>
                <w:spacing w:line="259" w:lineRule="auto"/>
                <w:rPr>
                  <w:rFonts w:ascii="Arial" w:hAnsi="Arial" w:cs="Arial"/>
                  <w:b/>
                  <w:color w:val="219969"/>
                  <w:sz w:val="32"/>
                  <w:szCs w:val="32"/>
                </w:rPr>
              </w:pPr>
              <w:r>
                <w:rPr>
                  <w:rFonts w:ascii="Arial" w:hAnsi="Arial" w:cs="Arial"/>
                  <w:sz w:val="22"/>
                  <w:szCs w:val="22"/>
                </w:rPr>
                <w:br w:type="page"/>
              </w:r>
            </w:p>
            <w:p>
              <w:pPr>
                <w:rPr>
                  <w:sz w:val="20"/>
                </w:rPr>
              </w:pPr>
            </w:p>
          </w:sdtContent>
        </w:sdt>
        <w:sdt>
          <w:sdtPr>
            <w:alias w:val="skirsnis"/>
            <w:tag w:val="part_ec2354f1f4aa4431b0e30113a00c478b"/>
            <w:lock w:val="sdtLocked"/>
            <w:richText/>
          </w:sdtPr>
          <w:sdtContent>
            <w:p>
              <w:pPr>
                <w:keepNext/>
                <w:keepLines/>
                <w:jc w:val="center"/>
                <w:rPr>
                  <w:rFonts w:ascii="Arial" w:hAnsi="Arial" w:cs="Arial"/>
                  <w:b/>
                  <w:caps/>
                  <w:color w:val="002060"/>
                  <w:sz w:val="28"/>
                  <w:szCs w:val="32"/>
                </w:rPr>
              </w:pPr>
              <w:sdt>
                <w:sdtPr>
                  <w:alias w:val="Pavadinimas"/>
                  <w:tag w:val="title_ec2354f1f4aa4431b0e30113a00c478b"/>
                  <w:lock w:val="sdtLocked"/>
                  <w:richText/>
                </w:sdtPr>
                <w:sdtContent>
                  <w:r>
                    <w:rPr>
                      <w:rFonts w:ascii="Arial" w:hAnsi="Arial" w:cs="Arial"/>
                      <w:b/>
                      <w:caps/>
                      <w:color w:val="002060"/>
                      <w:sz w:val="28"/>
                      <w:szCs w:val="32"/>
                    </w:rPr>
                    <w:t>Lentelių sąrašas</w:t>
                  </w:r>
                </w:sdtContent>
              </w:sdt>
            </w:p>
            <w:p>
              <w:pPr>
                <w:rPr>
                  <w:sz w:val="10"/>
                  <w:szCs w:val="10"/>
                </w:rPr>
              </w:pPr>
            </w:p>
            <w:sdt>
              <w:sdtPr>
                <w:alias w:val="1.3.1.2 pp."/>
                <w:tag w:val="part_5b0a0efc0d584a13a6e1c34b056937ce"/>
                <w:lock w:val="sdtLocked"/>
                <w:richText/>
              </w:sdtPr>
              <w:sdtContent>
                <w:p>
                  <w:pPr>
                    <w:tabs>
                      <w:tab w:val="right" w:leader="dot" w:pos="10195"/>
                    </w:tabs>
                    <w:jc w:val="both"/>
                    <w:rPr>
                      <w:rFonts w:ascii="Arial" w:hAnsi="Arial" w:cs="Arial"/>
                      <w:sz w:val="22"/>
                      <w:szCs w:val="22"/>
                      <w:lang w:eastAsia="lt-LT"/>
                    </w:rPr>
                  </w:pPr>
                  <w:sdt>
                    <w:sdtPr>
                      <w:alias w:val="Numeris"/>
                      <w:tag w:val="nr_5b0a0efc0d584a13a6e1c34b056937ce"/>
                      <w:lock w:val="sdtLocked"/>
                      <w:richText/>
                    </w:sdtPr>
                    <w:sdtContent>
                      <w:r>
                        <w:rPr>
                          <w:rFonts w:ascii="Arial" w:hAnsi="Arial" w:cs="Arial"/>
                          <w:color w:val="6B9F25"/>
                          <w:sz w:val="22"/>
                          <w:szCs w:val="22"/>
                          <w:u w:val="single"/>
                        </w:rPr>
                        <w:t>1.3.1.2</w:t>
                      </w:r>
                    </w:sdtContent>
                  </w:sdt>
                  <w:r>
                    <w:rPr>
                      <w:rFonts w:ascii="Arial" w:hAnsi="Arial" w:cs="Arial"/>
                      <w:color w:val="6B9F25"/>
                      <w:sz w:val="22"/>
                      <w:szCs w:val="22"/>
                      <w:u w:val="single"/>
                    </w:rPr>
                    <w:t>. lentelė. Vidaus ir tarptautinė migracija 2017-2021 m.</w:t>
                  </w:r>
                  <w:r>
                    <w:rPr>
                      <w:rFonts w:ascii="Arial" w:hAnsi="Arial" w:cs="Arial"/>
                      <w:sz w:val="22"/>
                      <w:szCs w:val="22"/>
                    </w:rPr>
                    <w:tab/>
                    <w:t>14</w:t>
                  </w:r>
                </w:p>
                <w:p>
                  <w:pPr>
                    <w:rPr>
                      <w:sz w:val="10"/>
                      <w:szCs w:val="10"/>
                    </w:rPr>
                  </w:pPr>
                </w:p>
              </w:sdtContent>
            </w:sdt>
            <w:sdt>
              <w:sdtPr>
                <w:alias w:val="1.3.2.1 pp."/>
                <w:tag w:val="part_938939ef1a6b4572923577c8713ce5a9"/>
                <w:lock w:val="sdtLocked"/>
                <w:richText/>
              </w:sdtPr>
              <w:sdtContent>
                <w:p>
                  <w:pPr>
                    <w:tabs>
                      <w:tab w:val="right" w:leader="dot" w:pos="10195"/>
                    </w:tabs>
                    <w:jc w:val="both"/>
                    <w:rPr>
                      <w:rFonts w:ascii="Arial" w:hAnsi="Arial" w:cs="Arial"/>
                      <w:sz w:val="22"/>
                      <w:szCs w:val="22"/>
                      <w:lang w:eastAsia="lt-LT"/>
                    </w:rPr>
                  </w:pPr>
                  <w:sdt>
                    <w:sdtPr>
                      <w:alias w:val="Numeris"/>
                      <w:tag w:val="nr_938939ef1a6b4572923577c8713ce5a9"/>
                      <w:lock w:val="sdtLocked"/>
                      <w:richText/>
                    </w:sdtPr>
                    <w:sdtContent>
                      <w:r>
                        <w:rPr>
                          <w:rFonts w:ascii="Arial" w:hAnsi="Arial" w:cs="Arial"/>
                          <w:color w:val="6B9F25"/>
                          <w:sz w:val="22"/>
                          <w:szCs w:val="22"/>
                          <w:u w:val="single"/>
                        </w:rPr>
                        <w:t>1.3.2.1</w:t>
                      </w:r>
                    </w:sdtContent>
                  </w:sdt>
                  <w:r>
                    <w:rPr>
                      <w:rFonts w:ascii="Arial" w:hAnsi="Arial" w:cs="Arial"/>
                      <w:color w:val="6B9F25"/>
                      <w:sz w:val="22"/>
                      <w:szCs w:val="22"/>
                      <w:u w:val="single"/>
                    </w:rPr>
                    <w:t>. lentelė. Gyvenamųjų pastatų, Joniškio rajono savivaldybėje, pasiskirstymas pagal jų plotus ir statybos metus</w:t>
                  </w:r>
                  <w:r>
                    <w:rPr>
                      <w:rFonts w:ascii="Arial" w:hAnsi="Arial" w:cs="Arial"/>
                      <w:sz w:val="22"/>
                      <w:szCs w:val="22"/>
                    </w:rPr>
                    <w:tab/>
                    <w:t>16</w:t>
                  </w:r>
                </w:p>
                <w:p>
                  <w:pPr>
                    <w:rPr>
                      <w:sz w:val="10"/>
                      <w:szCs w:val="10"/>
                    </w:rPr>
                  </w:pPr>
                </w:p>
              </w:sdtContent>
            </w:sdt>
            <w:sdt>
              <w:sdtPr>
                <w:alias w:val="1.3.2.2 pp."/>
                <w:tag w:val="part_6c326ec77a3f430c929eac26c9a21185"/>
                <w:lock w:val="sdtLocked"/>
                <w:richText/>
              </w:sdtPr>
              <w:sdtContent>
                <w:p>
                  <w:pPr>
                    <w:tabs>
                      <w:tab w:val="right" w:leader="dot" w:pos="10195"/>
                    </w:tabs>
                    <w:jc w:val="both"/>
                    <w:rPr>
                      <w:rFonts w:ascii="Arial" w:hAnsi="Arial" w:cs="Arial"/>
                      <w:sz w:val="22"/>
                      <w:szCs w:val="22"/>
                      <w:lang w:eastAsia="lt-LT"/>
                    </w:rPr>
                  </w:pPr>
                  <w:sdt>
                    <w:sdtPr>
                      <w:alias w:val="Numeris"/>
                      <w:tag w:val="nr_6c326ec77a3f430c929eac26c9a21185"/>
                      <w:lock w:val="sdtLocked"/>
                      <w:richText/>
                    </w:sdtPr>
                    <w:sdtContent>
                      <w:r>
                        <w:rPr>
                          <w:rFonts w:ascii="Arial" w:eastAsia="SegoeUI" w:hAnsi="Arial" w:cs="Arial"/>
                          <w:bCs/>
                          <w:color w:val="6B9F25"/>
                          <w:sz w:val="22"/>
                          <w:szCs w:val="22"/>
                          <w:u w:val="single"/>
                        </w:rPr>
                        <w:t>1</w:t>
                      </w:r>
                      <w:r>
                        <w:rPr>
                          <w:rFonts w:ascii="Arial" w:hAnsi="Arial" w:cs="Arial"/>
                          <w:bCs/>
                          <w:color w:val="6B9F25"/>
                          <w:sz w:val="22"/>
                          <w:szCs w:val="22"/>
                          <w:u w:val="single"/>
                        </w:rPr>
                        <w:t>.3.2.2</w:t>
                      </w:r>
                    </w:sdtContent>
                  </w:sdt>
                  <w:r>
                    <w:rPr>
                      <w:rFonts w:ascii="Arial" w:hAnsi="Arial" w:cs="Arial"/>
                      <w:bCs/>
                      <w:color w:val="6B9F25"/>
                      <w:sz w:val="22"/>
                      <w:szCs w:val="22"/>
                      <w:u w:val="single"/>
                    </w:rPr>
                    <w:t>. lentelė. Gyvenamųjų pastatų Joniškio rajono savivaldybėje pasiskirstymas pagal jų sienų statybai naudotas medžiagas</w:t>
                  </w:r>
                  <w:r>
                    <w:rPr>
                      <w:rFonts w:ascii="Arial" w:hAnsi="Arial" w:cs="Arial"/>
                      <w:sz w:val="22"/>
                      <w:szCs w:val="22"/>
                    </w:rPr>
                    <w:tab/>
                    <w:t>17</w:t>
                  </w:r>
                </w:p>
                <w:p>
                  <w:pPr>
                    <w:rPr>
                      <w:sz w:val="10"/>
                      <w:szCs w:val="10"/>
                    </w:rPr>
                  </w:pPr>
                </w:p>
              </w:sdtContent>
            </w:sdt>
            <w:sdt>
              <w:sdtPr>
                <w:alias w:val="1.3.2.3 pp."/>
                <w:tag w:val="part_137e333f8d9f4b81a5dd112332a62b68"/>
                <w:lock w:val="sdtLocked"/>
                <w:richText/>
              </w:sdtPr>
              <w:sdtContent>
                <w:p>
                  <w:pPr>
                    <w:tabs>
                      <w:tab w:val="right" w:leader="dot" w:pos="10195"/>
                    </w:tabs>
                    <w:jc w:val="both"/>
                    <w:rPr>
                      <w:rFonts w:ascii="Arial" w:hAnsi="Arial" w:cs="Arial"/>
                      <w:sz w:val="22"/>
                      <w:szCs w:val="22"/>
                      <w:lang w:eastAsia="lt-LT"/>
                    </w:rPr>
                  </w:pPr>
                  <w:sdt>
                    <w:sdtPr>
                      <w:alias w:val="Numeris"/>
                      <w:tag w:val="nr_137e333f8d9f4b81a5dd112332a62b68"/>
                      <w:lock w:val="sdtLocked"/>
                      <w:richText/>
                    </w:sdtPr>
                    <w:sdtContent>
                      <w:r>
                        <w:rPr>
                          <w:rFonts w:ascii="Arial" w:hAnsi="Arial" w:cs="Arial"/>
                          <w:bCs/>
                          <w:color w:val="6B9F25"/>
                          <w:sz w:val="22"/>
                          <w:szCs w:val="22"/>
                          <w:u w:val="single"/>
                        </w:rPr>
                        <w:t>1.3.2.3</w:t>
                      </w:r>
                    </w:sdtContent>
                  </w:sdt>
                  <w:r>
                    <w:rPr>
                      <w:rFonts w:ascii="Arial" w:hAnsi="Arial" w:cs="Arial"/>
                      <w:bCs/>
                      <w:color w:val="6B9F25"/>
                      <w:sz w:val="22"/>
                      <w:szCs w:val="22"/>
                      <w:u w:val="single"/>
                    </w:rPr>
                    <w:t>.</w:t>
                  </w:r>
                  <w:r>
                    <w:rPr>
                      <w:rFonts w:ascii="Arial" w:hAnsi="Arial" w:cs="Arial"/>
                      <w:color w:val="6B9F25"/>
                      <w:sz w:val="22"/>
                      <w:szCs w:val="22"/>
                      <w:u w:val="single"/>
                    </w:rPr>
                    <w:t xml:space="preserve"> lentelė. Joniškio rajono savivaldybės pastatai pagal nuosavybės teisę</w:t>
                  </w:r>
                  <w:r>
                    <w:rPr>
                      <w:rFonts w:ascii="Arial" w:hAnsi="Arial" w:cs="Arial"/>
                      <w:sz w:val="22"/>
                      <w:szCs w:val="22"/>
                    </w:rPr>
                    <w:tab/>
                    <w:t>18</w:t>
                  </w:r>
                </w:p>
                <w:p>
                  <w:pPr>
                    <w:rPr>
                      <w:sz w:val="10"/>
                      <w:szCs w:val="10"/>
                    </w:rPr>
                  </w:pPr>
                </w:p>
              </w:sdtContent>
            </w:sdt>
            <w:sdt>
              <w:sdtPr>
                <w:alias w:val="1.3.3.1 pp."/>
                <w:tag w:val="part_6bec05b5b3d145e6927b88ebe1d7ece1"/>
                <w:lock w:val="sdtLocked"/>
                <w:richText/>
              </w:sdtPr>
              <w:sdtContent>
                <w:p>
                  <w:pPr>
                    <w:tabs>
                      <w:tab w:val="right" w:leader="dot" w:pos="10195"/>
                    </w:tabs>
                    <w:jc w:val="both"/>
                    <w:rPr>
                      <w:rFonts w:ascii="Arial" w:hAnsi="Arial" w:cs="Arial"/>
                      <w:sz w:val="22"/>
                      <w:szCs w:val="22"/>
                      <w:lang w:eastAsia="lt-LT"/>
                    </w:rPr>
                  </w:pPr>
                  <w:sdt>
                    <w:sdtPr>
                      <w:alias w:val="Numeris"/>
                      <w:tag w:val="nr_6bec05b5b3d145e6927b88ebe1d7ece1"/>
                      <w:lock w:val="sdtLocked"/>
                      <w:richText/>
                    </w:sdtPr>
                    <w:sdtContent>
                      <w:r>
                        <w:rPr>
                          <w:rFonts w:ascii="Arial" w:hAnsi="Arial" w:cs="Arial"/>
                          <w:color w:val="6B9F25"/>
                          <w:sz w:val="22"/>
                          <w:szCs w:val="22"/>
                          <w:u w:val="single"/>
                        </w:rPr>
                        <w:t>1.3.3.1</w:t>
                      </w:r>
                    </w:sdtContent>
                  </w:sdt>
                  <w:r>
                    <w:rPr>
                      <w:rFonts w:ascii="Arial" w:hAnsi="Arial" w:cs="Arial"/>
                      <w:color w:val="6B9F25"/>
                      <w:sz w:val="22"/>
                      <w:szCs w:val="22"/>
                      <w:u w:val="single"/>
                    </w:rPr>
                    <w:t>. lentelė. Joniškio rajono savivaldybėje įregistruoti paslaugų sektoriaus pastatai</w:t>
                  </w:r>
                  <w:r>
                    <w:rPr>
                      <w:rFonts w:ascii="Arial" w:hAnsi="Arial" w:cs="Arial"/>
                      <w:sz w:val="22"/>
                      <w:szCs w:val="22"/>
                    </w:rPr>
                    <w:tab/>
                    <w:t>18</w:t>
                  </w:r>
                </w:p>
                <w:p>
                  <w:pPr>
                    <w:rPr>
                      <w:sz w:val="10"/>
                      <w:szCs w:val="10"/>
                    </w:rPr>
                  </w:pPr>
                </w:p>
              </w:sdtContent>
            </w:sdt>
            <w:sdt>
              <w:sdtPr>
                <w:alias w:val="1.3.3.2 pp."/>
                <w:tag w:val="part_bcb2255194af4508a55b77ebea86830a"/>
                <w:lock w:val="sdtLocked"/>
                <w:richText/>
              </w:sdtPr>
              <w:sdtContent>
                <w:p>
                  <w:pPr>
                    <w:tabs>
                      <w:tab w:val="right" w:leader="dot" w:pos="10195"/>
                    </w:tabs>
                    <w:jc w:val="both"/>
                    <w:rPr>
                      <w:rFonts w:ascii="Arial" w:hAnsi="Arial" w:cs="Arial"/>
                      <w:sz w:val="22"/>
                      <w:szCs w:val="22"/>
                      <w:lang w:eastAsia="lt-LT"/>
                    </w:rPr>
                  </w:pPr>
                  <w:sdt>
                    <w:sdtPr>
                      <w:alias w:val="Numeris"/>
                      <w:tag w:val="nr_bcb2255194af4508a55b77ebea86830a"/>
                      <w:lock w:val="sdtLocked"/>
                      <w:richText/>
                    </w:sdtPr>
                    <w:sdtContent>
                      <w:r>
                        <w:rPr>
                          <w:rFonts w:ascii="Arial" w:hAnsi="Arial" w:cs="Arial"/>
                          <w:color w:val="6B9F25"/>
                          <w:sz w:val="22"/>
                          <w:szCs w:val="22"/>
                          <w:u w:val="single"/>
                        </w:rPr>
                        <w:t>1.3.3.2</w:t>
                      </w:r>
                    </w:sdtContent>
                  </w:sdt>
                  <w:r>
                    <w:rPr>
                      <w:rFonts w:ascii="Arial" w:hAnsi="Arial" w:cs="Arial"/>
                      <w:color w:val="6B9F25"/>
                      <w:sz w:val="22"/>
                      <w:szCs w:val="22"/>
                      <w:u w:val="single"/>
                    </w:rPr>
                    <w:t>. lentelė. Savivaldybės kontroliuojamos ir viešosios bei biudžetinės įstaigos Joniškio rajono savivaldybėje</w:t>
                  </w:r>
                  <w:r>
                    <w:rPr>
                      <w:rFonts w:ascii="Arial" w:hAnsi="Arial" w:cs="Arial"/>
                      <w:sz w:val="22"/>
                      <w:szCs w:val="22"/>
                    </w:rPr>
                    <w:tab/>
                    <w:t>19</w:t>
                  </w:r>
                </w:p>
                <w:p>
                  <w:pPr>
                    <w:rPr>
                      <w:sz w:val="10"/>
                      <w:szCs w:val="10"/>
                    </w:rPr>
                  </w:pPr>
                </w:p>
              </w:sdtContent>
            </w:sdt>
            <w:sdt>
              <w:sdtPr>
                <w:alias w:val="1.3.5.1 pp."/>
                <w:tag w:val="part_477bdb5af88b457ab1f0c9305733bac0"/>
                <w:lock w:val="sdtLocked"/>
                <w:richText/>
              </w:sdtPr>
              <w:sdtContent>
                <w:p>
                  <w:pPr>
                    <w:tabs>
                      <w:tab w:val="right" w:leader="dot" w:pos="10195"/>
                    </w:tabs>
                    <w:jc w:val="both"/>
                    <w:rPr>
                      <w:rFonts w:ascii="Arial" w:hAnsi="Arial" w:cs="Arial"/>
                      <w:sz w:val="22"/>
                      <w:szCs w:val="22"/>
                      <w:lang w:eastAsia="lt-LT"/>
                    </w:rPr>
                  </w:pPr>
                  <w:sdt>
                    <w:sdtPr>
                      <w:alias w:val="Numeris"/>
                      <w:tag w:val="nr_477bdb5af88b457ab1f0c9305733bac0"/>
                      <w:lock w:val="sdtLocked"/>
                      <w:richText/>
                    </w:sdtPr>
                    <w:sdtContent>
                      <w:r>
                        <w:rPr>
                          <w:rFonts w:ascii="Arial" w:hAnsi="Arial" w:cs="Arial"/>
                          <w:color w:val="6B9F25"/>
                          <w:sz w:val="22"/>
                          <w:szCs w:val="22"/>
                          <w:u w:val="single"/>
                        </w:rPr>
                        <w:t>1.3.5.1</w:t>
                      </w:r>
                    </w:sdtContent>
                  </w:sdt>
                  <w:r>
                    <w:rPr>
                      <w:rFonts w:ascii="Arial" w:hAnsi="Arial" w:cs="Arial"/>
                      <w:color w:val="6B9F25"/>
                      <w:sz w:val="22"/>
                      <w:szCs w:val="22"/>
                      <w:u w:val="single"/>
                    </w:rPr>
                    <w:t>. lentelė. Pramonės ir statybos sektoriaus įmonių skaičius Joniškio rajono savivaldybėje 2017–2022 m.</w:t>
                  </w:r>
                  <w:r>
                    <w:rPr>
                      <w:rFonts w:ascii="Arial" w:hAnsi="Arial" w:cs="Arial"/>
                      <w:sz w:val="22"/>
                      <w:szCs w:val="22"/>
                    </w:rPr>
                    <w:tab/>
                    <w:t>20</w:t>
                  </w:r>
                </w:p>
                <w:p>
                  <w:pPr>
                    <w:rPr>
                      <w:sz w:val="10"/>
                      <w:szCs w:val="10"/>
                    </w:rPr>
                  </w:pPr>
                </w:p>
              </w:sdtContent>
            </w:sdt>
            <w:sdt>
              <w:sdtPr>
                <w:alias w:val="1.3.5.2 pp."/>
                <w:tag w:val="part_7db476e07940451183f297f68e2d973b"/>
                <w:lock w:val="sdtLocked"/>
                <w:richText/>
              </w:sdtPr>
              <w:sdtContent>
                <w:p>
                  <w:pPr>
                    <w:tabs>
                      <w:tab w:val="right" w:leader="dot" w:pos="10195"/>
                    </w:tabs>
                    <w:jc w:val="both"/>
                    <w:rPr>
                      <w:rFonts w:ascii="Arial" w:hAnsi="Arial" w:cs="Arial"/>
                      <w:sz w:val="22"/>
                      <w:szCs w:val="22"/>
                      <w:lang w:eastAsia="lt-LT"/>
                    </w:rPr>
                  </w:pPr>
                  <w:sdt>
                    <w:sdtPr>
                      <w:alias w:val="Numeris"/>
                      <w:tag w:val="nr_7db476e07940451183f297f68e2d973b"/>
                      <w:lock w:val="sdtLocked"/>
                      <w:richText/>
                    </w:sdtPr>
                    <w:sdtContent>
                      <w:r>
                        <w:rPr>
                          <w:rFonts w:ascii="Arial" w:eastAsia="SegoeUI" w:hAnsi="Arial" w:cs="Arial"/>
                          <w:color w:val="6B9F25"/>
                          <w:sz w:val="22"/>
                          <w:szCs w:val="22"/>
                          <w:u w:val="single"/>
                        </w:rPr>
                        <w:t>1.3.5.2</w:t>
                      </w:r>
                    </w:sdtContent>
                  </w:sdt>
                  <w:r>
                    <w:rPr>
                      <w:rFonts w:ascii="Arial" w:eastAsia="SegoeUI" w:hAnsi="Arial" w:cs="Arial"/>
                      <w:color w:val="6B9F25"/>
                      <w:sz w:val="22"/>
                      <w:szCs w:val="22"/>
                      <w:u w:val="single"/>
                    </w:rPr>
                    <w:t xml:space="preserve">. </w:t>
                  </w:r>
                  <w:r>
                    <w:rPr>
                      <w:rFonts w:ascii="Arial" w:hAnsi="Arial" w:cs="Arial"/>
                      <w:color w:val="6B9F25"/>
                      <w:sz w:val="22"/>
                      <w:szCs w:val="22"/>
                      <w:u w:val="single"/>
                    </w:rPr>
                    <w:t>lentelė. Joniškio rajono savivaldybėje įregistruoti pramonės sektoriaus pastatai</w:t>
                  </w:r>
                  <w:r>
                    <w:rPr>
                      <w:rFonts w:ascii="Arial" w:hAnsi="Arial" w:cs="Arial"/>
                      <w:sz w:val="22"/>
                      <w:szCs w:val="22"/>
                    </w:rPr>
                    <w:tab/>
                    <w:t>20</w:t>
                  </w:r>
                </w:p>
                <w:p>
                  <w:pPr>
                    <w:rPr>
                      <w:sz w:val="10"/>
                      <w:szCs w:val="10"/>
                    </w:rPr>
                  </w:pPr>
                </w:p>
              </w:sdtContent>
            </w:sdt>
            <w:sdt>
              <w:sdtPr>
                <w:alias w:val="1.3.6.1 pp."/>
                <w:tag w:val="part_fe70cfc3b0f54c4ea7eeecd587bd3637"/>
                <w:lock w:val="sdtLocked"/>
                <w:richText/>
              </w:sdtPr>
              <w:sdtContent>
                <w:p>
                  <w:pPr>
                    <w:tabs>
                      <w:tab w:val="right" w:leader="dot" w:pos="10195"/>
                    </w:tabs>
                    <w:jc w:val="both"/>
                    <w:rPr>
                      <w:rFonts w:ascii="Arial" w:hAnsi="Arial" w:cs="Arial"/>
                      <w:sz w:val="22"/>
                      <w:szCs w:val="22"/>
                      <w:lang w:eastAsia="lt-LT"/>
                    </w:rPr>
                  </w:pPr>
                  <w:sdt>
                    <w:sdtPr>
                      <w:alias w:val="Numeris"/>
                      <w:tag w:val="nr_fe70cfc3b0f54c4ea7eeecd587bd3637"/>
                      <w:lock w:val="sdtLocked"/>
                      <w:richText/>
                    </w:sdtPr>
                    <w:sdtContent>
                      <w:r>
                        <w:rPr>
                          <w:rFonts w:ascii="Arial" w:hAnsi="Arial" w:cs="Arial"/>
                          <w:color w:val="6B9F25"/>
                          <w:sz w:val="22"/>
                          <w:szCs w:val="22"/>
                          <w:u w:val="single"/>
                        </w:rPr>
                        <w:t>1.3.6.1</w:t>
                      </w:r>
                    </w:sdtContent>
                  </w:sdt>
                  <w:r>
                    <w:rPr>
                      <w:rFonts w:ascii="Arial" w:hAnsi="Arial" w:cs="Arial"/>
                      <w:color w:val="6B9F25"/>
                      <w:sz w:val="22"/>
                      <w:szCs w:val="22"/>
                      <w:u w:val="single"/>
                    </w:rPr>
                    <w:t>. lentelė. Transporto priemonių registracija Joniškio rajono savivaldybėje</w:t>
                  </w:r>
                  <w:r>
                    <w:rPr>
                      <w:rFonts w:ascii="Arial" w:hAnsi="Arial" w:cs="Arial"/>
                      <w:sz w:val="22"/>
                      <w:szCs w:val="22"/>
                    </w:rPr>
                    <w:tab/>
                    <w:t>21</w:t>
                  </w:r>
                </w:p>
                <w:p>
                  <w:pPr>
                    <w:rPr>
                      <w:sz w:val="10"/>
                      <w:szCs w:val="10"/>
                    </w:rPr>
                  </w:pPr>
                </w:p>
              </w:sdtContent>
            </w:sdt>
            <w:sdt>
              <w:sdtPr>
                <w:alias w:val="1.3.6.2 pp."/>
                <w:tag w:val="part_449afef66eef4f579d0ee6ac0b0ebf86"/>
                <w:lock w:val="sdtLocked"/>
                <w:richText/>
              </w:sdtPr>
              <w:sdtContent>
                <w:p>
                  <w:pPr>
                    <w:tabs>
                      <w:tab w:val="right" w:leader="dot" w:pos="10195"/>
                    </w:tabs>
                    <w:jc w:val="both"/>
                    <w:rPr>
                      <w:rFonts w:ascii="Arial" w:hAnsi="Arial" w:cs="Arial"/>
                      <w:sz w:val="22"/>
                      <w:szCs w:val="22"/>
                      <w:lang w:eastAsia="lt-LT"/>
                    </w:rPr>
                  </w:pPr>
                  <w:sdt>
                    <w:sdtPr>
                      <w:alias w:val="Numeris"/>
                      <w:tag w:val="nr_449afef66eef4f579d0ee6ac0b0ebf86"/>
                      <w:lock w:val="sdtLocked"/>
                      <w:richText/>
                    </w:sdtPr>
                    <w:sdtContent>
                      <w:r>
                        <w:rPr>
                          <w:rFonts w:ascii="Arial" w:hAnsi="Arial" w:cs="Arial"/>
                          <w:color w:val="6B9F25"/>
                          <w:sz w:val="22"/>
                          <w:szCs w:val="22"/>
                          <w:u w:val="single"/>
                        </w:rPr>
                        <w:t>1.3.6.2</w:t>
                      </w:r>
                    </w:sdtContent>
                  </w:sdt>
                  <w:r>
                    <w:rPr>
                      <w:rFonts w:ascii="Arial" w:hAnsi="Arial" w:cs="Arial"/>
                      <w:color w:val="6B9F25"/>
                      <w:sz w:val="22"/>
                      <w:szCs w:val="22"/>
                      <w:u w:val="single"/>
                    </w:rPr>
                    <w:t>. lentelė. Savivaldybės administracijos bei savivaldybės kontroliuojamų ir biudžetinių įstaigų eksploatuojamos transporto priemonės</w:t>
                  </w:r>
                  <w:r>
                    <w:rPr>
                      <w:rFonts w:ascii="Arial" w:hAnsi="Arial" w:cs="Arial"/>
                      <w:sz w:val="22"/>
                      <w:szCs w:val="22"/>
                    </w:rPr>
                    <w:tab/>
                    <w:t>21</w:t>
                  </w:r>
                </w:p>
                <w:p>
                  <w:pPr>
                    <w:rPr>
                      <w:sz w:val="10"/>
                      <w:szCs w:val="10"/>
                    </w:rPr>
                  </w:pPr>
                </w:p>
              </w:sdtContent>
            </w:sdt>
            <w:sdt>
              <w:sdtPr>
                <w:alias w:val="1.4.2 pp."/>
                <w:tag w:val="part_4c9c3f4464b94dd3ba596468f65ca5ab"/>
                <w:lock w:val="sdtLocked"/>
                <w:richText/>
              </w:sdtPr>
              <w:sdtContent>
                <w:p>
                  <w:pPr>
                    <w:tabs>
                      <w:tab w:val="right" w:leader="dot" w:pos="10195"/>
                    </w:tabs>
                    <w:jc w:val="both"/>
                    <w:rPr>
                      <w:rFonts w:ascii="Arial" w:hAnsi="Arial" w:cs="Arial"/>
                      <w:sz w:val="22"/>
                      <w:szCs w:val="22"/>
                      <w:lang w:eastAsia="lt-LT"/>
                    </w:rPr>
                  </w:pPr>
                  <w:sdt>
                    <w:sdtPr>
                      <w:alias w:val="Numeris"/>
                      <w:tag w:val="nr_4c9c3f4464b94dd3ba596468f65ca5ab"/>
                      <w:lock w:val="sdtLocked"/>
                      <w:richText/>
                    </w:sdtPr>
                    <w:sdtContent>
                      <w:r>
                        <w:rPr>
                          <w:rFonts w:ascii="Arial" w:hAnsi="Arial" w:cs="Arial"/>
                          <w:color w:val="6B9F25"/>
                          <w:sz w:val="22"/>
                          <w:szCs w:val="22"/>
                          <w:u w:val="single"/>
                        </w:rPr>
                        <w:t>1.4.2</w:t>
                      </w:r>
                    </w:sdtContent>
                  </w:sdt>
                  <w:r>
                    <w:rPr>
                      <w:rFonts w:ascii="Arial" w:hAnsi="Arial" w:cs="Arial"/>
                      <w:color w:val="6B9F25"/>
                      <w:sz w:val="22"/>
                      <w:szCs w:val="22"/>
                      <w:u w:val="single"/>
                    </w:rPr>
                    <w:t xml:space="preserve">. lentelė. </w:t>
                  </w:r>
                  <w:r>
                    <w:rPr>
                      <w:rFonts w:ascii="Arial" w:hAnsi="Arial" w:cs="Arial"/>
                      <w:bCs/>
                      <w:color w:val="6B9F25"/>
                      <w:sz w:val="22"/>
                      <w:szCs w:val="22"/>
                      <w:u w:val="single"/>
                    </w:rPr>
                    <w:t xml:space="preserve">Joniškio rajono </w:t>
                  </w:r>
                  <w:r>
                    <w:rPr>
                      <w:rFonts w:ascii="Arial" w:hAnsi="Arial" w:cs="Arial"/>
                      <w:color w:val="6B9F25"/>
                      <w:sz w:val="22"/>
                      <w:szCs w:val="22"/>
                      <w:u w:val="single"/>
                    </w:rPr>
                    <w:t xml:space="preserve">savivaldybėje </w:t>
                  </w:r>
                  <w:r>
                    <w:rPr>
                      <w:rFonts w:ascii="Arial" w:hAnsi="Arial" w:cs="Arial"/>
                      <w:bCs/>
                      <w:color w:val="6B9F25"/>
                      <w:sz w:val="22"/>
                      <w:szCs w:val="22"/>
                      <w:u w:val="single"/>
                    </w:rPr>
                    <w:t xml:space="preserve">pagamintas ir realizuotas </w:t>
                  </w:r>
                  <w:r>
                    <w:rPr>
                      <w:rFonts w:ascii="Arial" w:hAnsi="Arial" w:cs="Arial"/>
                      <w:color w:val="6B9F25"/>
                      <w:sz w:val="22"/>
                      <w:szCs w:val="22"/>
                      <w:u w:val="single"/>
                    </w:rPr>
                    <w:t>šilumos kiekis (MWh)</w:t>
                  </w:r>
                  <w:r>
                    <w:rPr>
                      <w:rFonts w:ascii="Arial" w:hAnsi="Arial" w:cs="Arial"/>
                      <w:sz w:val="22"/>
                      <w:szCs w:val="22"/>
                    </w:rPr>
                    <w:tab/>
                    <w:t>22</w:t>
                  </w:r>
                </w:p>
                <w:p>
                  <w:pPr>
                    <w:rPr>
                      <w:sz w:val="10"/>
                      <w:szCs w:val="10"/>
                    </w:rPr>
                  </w:pPr>
                </w:p>
              </w:sdtContent>
            </w:sdt>
            <w:sdt>
              <w:sdtPr>
                <w:alias w:val="1.4.4 pp."/>
                <w:tag w:val="part_68906ac9836c4f488e68341ec1f002f6"/>
                <w:lock w:val="sdtLocked"/>
                <w:richText/>
              </w:sdtPr>
              <w:sdtContent>
                <w:p>
                  <w:pPr>
                    <w:tabs>
                      <w:tab w:val="right" w:leader="dot" w:pos="10195"/>
                    </w:tabs>
                    <w:jc w:val="both"/>
                    <w:rPr>
                      <w:rFonts w:ascii="Arial" w:hAnsi="Arial" w:cs="Arial"/>
                      <w:sz w:val="22"/>
                      <w:szCs w:val="22"/>
                      <w:lang w:eastAsia="lt-LT"/>
                    </w:rPr>
                  </w:pPr>
                  <w:sdt>
                    <w:sdtPr>
                      <w:alias w:val="Numeris"/>
                      <w:tag w:val="nr_68906ac9836c4f488e68341ec1f002f6"/>
                      <w:lock w:val="sdtLocked"/>
                      <w:richText/>
                    </w:sdtPr>
                    <w:sdtContent>
                      <w:r>
                        <w:rPr>
                          <w:rFonts w:ascii="Arial" w:hAnsi="Arial" w:cs="Arial"/>
                          <w:color w:val="6B9F25"/>
                          <w:sz w:val="22"/>
                          <w:szCs w:val="22"/>
                          <w:u w:val="single"/>
                        </w:rPr>
                        <w:t>1.4.4</w:t>
                      </w:r>
                    </w:sdtContent>
                  </w:sdt>
                  <w:r>
                    <w:rPr>
                      <w:rFonts w:ascii="Arial" w:hAnsi="Arial" w:cs="Arial"/>
                      <w:color w:val="6B9F25"/>
                      <w:sz w:val="22"/>
                      <w:szCs w:val="22"/>
                      <w:u w:val="single"/>
                    </w:rPr>
                    <w:t>. lentelė. Joniškio rajono savivaldybėje tiekiamos šilumos vartotojų struktūra</w:t>
                  </w:r>
                  <w:r>
                    <w:rPr>
                      <w:rFonts w:ascii="Arial" w:hAnsi="Arial" w:cs="Arial"/>
                      <w:sz w:val="22"/>
                      <w:szCs w:val="22"/>
                    </w:rPr>
                    <w:tab/>
                    <w:t>22</w:t>
                  </w:r>
                </w:p>
                <w:p>
                  <w:pPr>
                    <w:rPr>
                      <w:sz w:val="10"/>
                      <w:szCs w:val="10"/>
                    </w:rPr>
                  </w:pPr>
                </w:p>
              </w:sdtContent>
            </w:sdt>
            <w:sdt>
              <w:sdtPr>
                <w:alias w:val="1.5.1.1 pp."/>
                <w:tag w:val="part_c95eed5c8bf648c5b36d93a7e356d134"/>
                <w:lock w:val="sdtLocked"/>
                <w:richText/>
              </w:sdtPr>
              <w:sdtContent>
                <w:p>
                  <w:pPr>
                    <w:tabs>
                      <w:tab w:val="right" w:leader="dot" w:pos="10195"/>
                    </w:tabs>
                    <w:jc w:val="both"/>
                    <w:rPr>
                      <w:rFonts w:ascii="Arial" w:hAnsi="Arial" w:cs="Arial"/>
                      <w:sz w:val="22"/>
                      <w:szCs w:val="22"/>
                      <w:lang w:eastAsia="lt-LT"/>
                    </w:rPr>
                  </w:pPr>
                  <w:sdt>
                    <w:sdtPr>
                      <w:alias w:val="Numeris"/>
                      <w:tag w:val="nr_c95eed5c8bf648c5b36d93a7e356d134"/>
                      <w:lock w:val="sdtLocked"/>
                      <w:richText/>
                    </w:sdtPr>
                    <w:sdtContent>
                      <w:r>
                        <w:rPr>
                          <w:rFonts w:ascii="Arial" w:hAnsi="Arial" w:cs="Arial"/>
                          <w:color w:val="6B9F25"/>
                          <w:sz w:val="22"/>
                          <w:szCs w:val="22"/>
                          <w:u w:val="single"/>
                        </w:rPr>
                        <w:t>1.5.1.1</w:t>
                      </w:r>
                    </w:sdtContent>
                  </w:sdt>
                  <w:r>
                    <w:rPr>
                      <w:rFonts w:ascii="Arial" w:hAnsi="Arial" w:cs="Arial"/>
                      <w:color w:val="6B9F25"/>
                      <w:sz w:val="22"/>
                      <w:szCs w:val="22"/>
                      <w:u w:val="single"/>
                    </w:rPr>
                    <w:t>. lentelė. Joniškio rajono savivaldybės kontroliuojamos ir biudžetinės įstaigos, apsirūpinančios šilumos energija individualiai</w:t>
                  </w:r>
                  <w:r>
                    <w:rPr>
                      <w:rFonts w:ascii="Arial" w:hAnsi="Arial" w:cs="Arial"/>
                      <w:sz w:val="22"/>
                      <w:szCs w:val="22"/>
                    </w:rPr>
                    <w:tab/>
                    <w:t>22</w:t>
                  </w:r>
                </w:p>
                <w:p>
                  <w:pPr>
                    <w:rPr>
                      <w:sz w:val="10"/>
                      <w:szCs w:val="10"/>
                    </w:rPr>
                  </w:pPr>
                </w:p>
              </w:sdtContent>
            </w:sdt>
            <w:sdt>
              <w:sdtPr>
                <w:alias w:val="1.5.2.2 pp."/>
                <w:tag w:val="part_f179af704f014671bf45fbc0158240b3"/>
                <w:lock w:val="sdtLocked"/>
                <w:richText/>
              </w:sdtPr>
              <w:sdtContent>
                <w:p>
                  <w:pPr>
                    <w:tabs>
                      <w:tab w:val="right" w:leader="dot" w:pos="10195"/>
                    </w:tabs>
                    <w:jc w:val="both"/>
                    <w:rPr>
                      <w:rFonts w:ascii="Arial" w:hAnsi="Arial" w:cs="Arial"/>
                      <w:sz w:val="22"/>
                      <w:szCs w:val="22"/>
                      <w:lang w:eastAsia="lt-LT"/>
                    </w:rPr>
                  </w:pPr>
                  <w:sdt>
                    <w:sdtPr>
                      <w:alias w:val="Numeris"/>
                      <w:tag w:val="nr_f179af704f014671bf45fbc0158240b3"/>
                      <w:lock w:val="sdtLocked"/>
                      <w:richText/>
                    </w:sdtPr>
                    <w:sdtContent>
                      <w:r>
                        <w:rPr>
                          <w:rFonts w:ascii="Arial" w:hAnsi="Arial" w:cs="Arial"/>
                          <w:color w:val="6B9F25"/>
                          <w:sz w:val="22"/>
                          <w:szCs w:val="22"/>
                          <w:u w:val="single"/>
                        </w:rPr>
                        <w:t>1.5.2.2</w:t>
                      </w:r>
                    </w:sdtContent>
                  </w:sdt>
                  <w:r>
                    <w:rPr>
                      <w:rFonts w:ascii="Arial" w:hAnsi="Arial" w:cs="Arial"/>
                      <w:color w:val="6B9F25"/>
                      <w:sz w:val="22"/>
                      <w:szCs w:val="22"/>
                      <w:u w:val="single"/>
                    </w:rPr>
                    <w:t xml:space="preserve"> lentelė. Kuro rūšių balansas namų ūkiuose Lietuvoje</w:t>
                  </w:r>
                  <w:r>
                    <w:rPr>
                      <w:rFonts w:ascii="Arial" w:hAnsi="Arial" w:cs="Arial"/>
                      <w:sz w:val="22"/>
                      <w:szCs w:val="22"/>
                    </w:rPr>
                    <w:tab/>
                    <w:t>23</w:t>
                  </w:r>
                </w:p>
                <w:p>
                  <w:pPr>
                    <w:rPr>
                      <w:sz w:val="10"/>
                      <w:szCs w:val="10"/>
                    </w:rPr>
                  </w:pPr>
                </w:p>
              </w:sdtContent>
            </w:sdt>
            <w:sdt>
              <w:sdtPr>
                <w:alias w:val="1.5.2.3 pp."/>
                <w:tag w:val="part_14f550a533e242b39a983008c591922b"/>
                <w:lock w:val="sdtLocked"/>
                <w:richText/>
              </w:sdtPr>
              <w:sdtContent>
                <w:p>
                  <w:pPr>
                    <w:tabs>
                      <w:tab w:val="right" w:leader="dot" w:pos="10195"/>
                    </w:tabs>
                    <w:jc w:val="both"/>
                    <w:rPr>
                      <w:rFonts w:ascii="Arial" w:hAnsi="Arial" w:cs="Arial"/>
                      <w:sz w:val="22"/>
                      <w:szCs w:val="22"/>
                      <w:lang w:eastAsia="lt-LT"/>
                    </w:rPr>
                  </w:pPr>
                  <w:sdt>
                    <w:sdtPr>
                      <w:alias w:val="Numeris"/>
                      <w:tag w:val="nr_14f550a533e242b39a983008c591922b"/>
                      <w:lock w:val="sdtLocked"/>
                      <w:richText/>
                    </w:sdtPr>
                    <w:sdtContent>
                      <w:r>
                        <w:rPr>
                          <w:rFonts w:ascii="Arial" w:hAnsi="Arial" w:cs="Arial"/>
                          <w:color w:val="6B9F25"/>
                          <w:sz w:val="22"/>
                          <w:szCs w:val="22"/>
                          <w:u w:val="single"/>
                        </w:rPr>
                        <w:t>1.5.2.3</w:t>
                      </w:r>
                    </w:sdtContent>
                  </w:sdt>
                  <w:r>
                    <w:rPr>
                      <w:rFonts w:ascii="Arial" w:hAnsi="Arial" w:cs="Arial"/>
                      <w:color w:val="6B9F25"/>
                      <w:sz w:val="22"/>
                      <w:szCs w:val="22"/>
                      <w:u w:val="single"/>
                    </w:rPr>
                    <w:t xml:space="preserve"> lentelė. Energijos sąnaudos šildymui ir karštam vandeniui</w:t>
                  </w:r>
                  <w:r>
                    <w:rPr>
                      <w:rFonts w:ascii="Arial" w:hAnsi="Arial" w:cs="Arial"/>
                      <w:sz w:val="22"/>
                      <w:szCs w:val="22"/>
                    </w:rPr>
                    <w:tab/>
                    <w:t>24</w:t>
                  </w:r>
                </w:p>
                <w:p>
                  <w:pPr>
                    <w:rPr>
                      <w:sz w:val="10"/>
                      <w:szCs w:val="10"/>
                    </w:rPr>
                  </w:pPr>
                </w:p>
              </w:sdtContent>
            </w:sdt>
            <w:sdt>
              <w:sdtPr>
                <w:alias w:val="1.6.1 pp."/>
                <w:tag w:val="part_a434efd4b1964556bc2ff3a141a1cbd3"/>
                <w:lock w:val="sdtLocked"/>
                <w:richText/>
              </w:sdtPr>
              <w:sdtContent>
                <w:p>
                  <w:pPr>
                    <w:tabs>
                      <w:tab w:val="right" w:leader="dot" w:pos="10195"/>
                    </w:tabs>
                    <w:jc w:val="both"/>
                    <w:rPr>
                      <w:rFonts w:ascii="Arial" w:hAnsi="Arial" w:cs="Arial"/>
                      <w:sz w:val="22"/>
                      <w:szCs w:val="22"/>
                      <w:lang w:eastAsia="lt-LT"/>
                    </w:rPr>
                  </w:pPr>
                  <w:sdt>
                    <w:sdtPr>
                      <w:alias w:val="Numeris"/>
                      <w:tag w:val="nr_a434efd4b1964556bc2ff3a141a1cbd3"/>
                      <w:lock w:val="sdtLocked"/>
                      <w:richText/>
                    </w:sdtPr>
                    <w:sdtContent>
                      <w:r>
                        <w:rPr>
                          <w:rFonts w:ascii="Arial" w:hAnsi="Arial" w:cs="Arial"/>
                          <w:color w:val="6B9F25"/>
                          <w:sz w:val="22"/>
                          <w:szCs w:val="22"/>
                          <w:u w:val="single"/>
                        </w:rPr>
                        <w:t>1.6.1</w:t>
                      </w:r>
                    </w:sdtContent>
                  </w:sdt>
                  <w:r>
                    <w:rPr>
                      <w:rFonts w:ascii="Arial" w:hAnsi="Arial" w:cs="Arial"/>
                      <w:color w:val="6B9F25"/>
                      <w:sz w:val="22"/>
                      <w:szCs w:val="22"/>
                      <w:u w:val="single"/>
                    </w:rPr>
                    <w:t>. lentelė. Elektros energijos suvartojimas Joniškio rajono savivaldybėje</w:t>
                  </w:r>
                  <w:r>
                    <w:rPr>
                      <w:rFonts w:ascii="Arial" w:hAnsi="Arial" w:cs="Arial"/>
                      <w:sz w:val="22"/>
                      <w:szCs w:val="22"/>
                    </w:rPr>
                    <w:tab/>
                    <w:t>24</w:t>
                  </w:r>
                </w:p>
                <w:p>
                  <w:pPr>
                    <w:rPr>
                      <w:sz w:val="10"/>
                      <w:szCs w:val="10"/>
                    </w:rPr>
                  </w:pPr>
                </w:p>
              </w:sdtContent>
            </w:sdt>
            <w:sdt>
              <w:sdtPr>
                <w:alias w:val="2.1.1 pp."/>
                <w:tag w:val="part_dc370ecd2a9045e183310b5b98cee551"/>
                <w:lock w:val="sdtLocked"/>
                <w:richText/>
              </w:sdtPr>
              <w:sdtContent>
                <w:p>
                  <w:pPr>
                    <w:tabs>
                      <w:tab w:val="right" w:leader="dot" w:pos="10195"/>
                    </w:tabs>
                    <w:jc w:val="both"/>
                    <w:rPr>
                      <w:rFonts w:ascii="Arial" w:hAnsi="Arial" w:cs="Arial"/>
                      <w:sz w:val="22"/>
                      <w:szCs w:val="22"/>
                      <w:lang w:eastAsia="lt-LT"/>
                    </w:rPr>
                  </w:pPr>
                  <w:sdt>
                    <w:sdtPr>
                      <w:alias w:val="Numeris"/>
                      <w:tag w:val="nr_dc370ecd2a9045e183310b5b98cee551"/>
                      <w:lock w:val="sdtLocked"/>
                      <w:richText/>
                    </w:sdtPr>
                    <w:sdtContent>
                      <w:r>
                        <w:rPr>
                          <w:rFonts w:ascii="Arial" w:eastAsia="SegoeUI" w:hAnsi="Arial" w:cs="Arial"/>
                          <w:color w:val="6B9F25"/>
                          <w:sz w:val="22"/>
                          <w:szCs w:val="22"/>
                          <w:u w:val="single"/>
                        </w:rPr>
                        <w:t>2.1.1</w:t>
                      </w:r>
                    </w:sdtContent>
                  </w:sdt>
                  <w:r>
                    <w:rPr>
                      <w:rFonts w:ascii="Arial" w:eastAsia="SegoeUI" w:hAnsi="Arial" w:cs="Arial"/>
                      <w:color w:val="6B9F25"/>
                      <w:sz w:val="22"/>
                      <w:szCs w:val="22"/>
                      <w:u w:val="single"/>
                    </w:rPr>
                    <w:t xml:space="preserve">. lentelė. </w:t>
                  </w:r>
                  <w:r>
                    <w:rPr>
                      <w:rFonts w:ascii="Arial" w:hAnsi="Arial" w:cs="Arial"/>
                      <w:color w:val="6B9F25"/>
                      <w:sz w:val="22"/>
                      <w:szCs w:val="22"/>
                      <w:u w:val="single"/>
                    </w:rPr>
                    <w:t>VMPEI Lietuvoje ir Joniškio rajono savivaldybėje</w:t>
                  </w:r>
                  <w:r>
                    <w:rPr>
                      <w:rFonts w:ascii="Arial" w:hAnsi="Arial" w:cs="Arial"/>
                      <w:sz w:val="22"/>
                      <w:szCs w:val="22"/>
                    </w:rPr>
                    <w:tab/>
                    <w:t>27</w:t>
                  </w:r>
                </w:p>
                <w:p>
                  <w:pPr>
                    <w:rPr>
                      <w:sz w:val="10"/>
                      <w:szCs w:val="10"/>
                    </w:rPr>
                  </w:pPr>
                </w:p>
              </w:sdtContent>
            </w:sdt>
            <w:sdt>
              <w:sdtPr>
                <w:alias w:val="2.1.2 pp."/>
                <w:tag w:val="part_ea8f711de6ad4b0e9f142335ef136e21"/>
                <w:lock w:val="sdtLocked"/>
                <w:richText/>
              </w:sdtPr>
              <w:sdtContent>
                <w:p>
                  <w:pPr>
                    <w:tabs>
                      <w:tab w:val="right" w:leader="dot" w:pos="10195"/>
                    </w:tabs>
                    <w:jc w:val="both"/>
                    <w:rPr>
                      <w:rFonts w:ascii="Arial" w:hAnsi="Arial" w:cs="Arial"/>
                      <w:sz w:val="22"/>
                      <w:szCs w:val="22"/>
                      <w:lang w:eastAsia="lt-LT"/>
                    </w:rPr>
                  </w:pPr>
                  <w:sdt>
                    <w:sdtPr>
                      <w:alias w:val="Numeris"/>
                      <w:tag w:val="nr_ea8f711de6ad4b0e9f142335ef136e21"/>
                      <w:lock w:val="sdtLocked"/>
                      <w:richText/>
                    </w:sdtPr>
                    <w:sdtContent>
                      <w:r>
                        <w:rPr>
                          <w:rFonts w:ascii="Arial" w:hAnsi="Arial" w:cs="Arial"/>
                          <w:color w:val="6B9F25"/>
                          <w:sz w:val="22"/>
                          <w:szCs w:val="22"/>
                          <w:u w:val="single"/>
                        </w:rPr>
                        <w:t>2.1.2</w:t>
                      </w:r>
                    </w:sdtContent>
                  </w:sdt>
                  <w:r>
                    <w:rPr>
                      <w:rFonts w:ascii="Arial" w:hAnsi="Arial" w:cs="Arial"/>
                      <w:color w:val="6B9F25"/>
                      <w:sz w:val="22"/>
                      <w:szCs w:val="22"/>
                      <w:u w:val="single"/>
                    </w:rPr>
                    <w:t>. lentelė. Kuro energijos suvartojimas</w:t>
                  </w:r>
                  <w:r>
                    <w:rPr>
                      <w:rFonts w:ascii="Arial" w:hAnsi="Arial" w:cs="Arial"/>
                      <w:sz w:val="22"/>
                      <w:szCs w:val="22"/>
                    </w:rPr>
                    <w:tab/>
                    <w:t>28</w:t>
                  </w:r>
                </w:p>
                <w:p>
                  <w:pPr>
                    <w:rPr>
                      <w:sz w:val="10"/>
                      <w:szCs w:val="10"/>
                    </w:rPr>
                  </w:pPr>
                </w:p>
              </w:sdtContent>
            </w:sdt>
            <w:sdt>
              <w:sdtPr>
                <w:alias w:val="2.1.3 pp."/>
                <w:tag w:val="part_5453397aef5d413f92735d3dfff11198"/>
                <w:lock w:val="sdtLocked"/>
                <w:richText/>
              </w:sdtPr>
              <w:sdtContent>
                <w:p>
                  <w:pPr>
                    <w:tabs>
                      <w:tab w:val="right" w:leader="dot" w:pos="10195"/>
                    </w:tabs>
                    <w:jc w:val="both"/>
                    <w:rPr>
                      <w:rFonts w:ascii="Arial" w:hAnsi="Arial" w:cs="Arial"/>
                      <w:sz w:val="22"/>
                      <w:szCs w:val="22"/>
                      <w:lang w:eastAsia="lt-LT"/>
                    </w:rPr>
                  </w:pPr>
                  <w:sdt>
                    <w:sdtPr>
                      <w:alias w:val="Numeris"/>
                      <w:tag w:val="nr_5453397aef5d413f92735d3dfff11198"/>
                      <w:lock w:val="sdtLocked"/>
                      <w:richText/>
                    </w:sdtPr>
                    <w:sdtContent>
                      <w:r>
                        <w:rPr>
                          <w:rFonts w:ascii="Arial" w:hAnsi="Arial" w:cs="Arial"/>
                          <w:color w:val="6B9F25"/>
                          <w:sz w:val="22"/>
                          <w:szCs w:val="22"/>
                          <w:u w:val="single"/>
                        </w:rPr>
                        <w:t>2.1.3</w:t>
                      </w:r>
                    </w:sdtContent>
                  </w:sdt>
                  <w:r>
                    <w:rPr>
                      <w:rFonts w:ascii="Arial" w:hAnsi="Arial" w:cs="Arial"/>
                      <w:color w:val="6B9F25"/>
                      <w:sz w:val="22"/>
                      <w:szCs w:val="22"/>
                      <w:u w:val="single"/>
                    </w:rPr>
                    <w:t>. lentelė. Kuro energijos suvartojimas savivaldybės įstaigose</w:t>
                  </w:r>
                  <w:r>
                    <w:rPr>
                      <w:rFonts w:ascii="Arial" w:hAnsi="Arial" w:cs="Arial"/>
                      <w:sz w:val="22"/>
                      <w:szCs w:val="22"/>
                    </w:rPr>
                    <w:tab/>
                    <w:t>28</w:t>
                  </w:r>
                </w:p>
                <w:p>
                  <w:pPr>
                    <w:rPr>
                      <w:sz w:val="10"/>
                      <w:szCs w:val="10"/>
                    </w:rPr>
                  </w:pPr>
                </w:p>
              </w:sdtContent>
            </w:sdt>
            <w:sdt>
              <w:sdtPr>
                <w:alias w:val="2.1.4 pp."/>
                <w:tag w:val="part_d1f70b4b02514c3087ac8a9f828dc533"/>
                <w:lock w:val="sdtLocked"/>
                <w:richText/>
              </w:sdtPr>
              <w:sdtContent>
                <w:p>
                  <w:pPr>
                    <w:tabs>
                      <w:tab w:val="right" w:leader="dot" w:pos="10195"/>
                    </w:tabs>
                    <w:jc w:val="both"/>
                    <w:rPr>
                      <w:rFonts w:ascii="Arial" w:hAnsi="Arial" w:cs="Arial"/>
                      <w:sz w:val="22"/>
                      <w:szCs w:val="22"/>
                      <w:lang w:eastAsia="lt-LT"/>
                    </w:rPr>
                  </w:pPr>
                  <w:sdt>
                    <w:sdtPr>
                      <w:alias w:val="Numeris"/>
                      <w:tag w:val="nr_d1f70b4b02514c3087ac8a9f828dc533"/>
                      <w:lock w:val="sdtLocked"/>
                      <w:richText/>
                    </w:sdtPr>
                    <w:sdtContent>
                      <w:r>
                        <w:rPr>
                          <w:rFonts w:ascii="Arial" w:hAnsi="Arial" w:cs="Arial"/>
                          <w:color w:val="6B9F25"/>
                          <w:sz w:val="22"/>
                          <w:szCs w:val="22"/>
                          <w:u w:val="single"/>
                        </w:rPr>
                        <w:t>2.1.4</w:t>
                      </w:r>
                    </w:sdtContent>
                  </w:sdt>
                  <w:r>
                    <w:rPr>
                      <w:rFonts w:ascii="Arial" w:hAnsi="Arial" w:cs="Arial"/>
                      <w:color w:val="6B9F25"/>
                      <w:sz w:val="22"/>
                      <w:szCs w:val="22"/>
                      <w:u w:val="single"/>
                    </w:rPr>
                    <w:t>. lentelė. Galutinis energijos vartojimas transporte</w:t>
                  </w:r>
                  <w:r>
                    <w:rPr>
                      <w:rFonts w:ascii="Arial" w:hAnsi="Arial" w:cs="Arial"/>
                      <w:sz w:val="22"/>
                      <w:szCs w:val="22"/>
                    </w:rPr>
                    <w:tab/>
                    <w:t>28</w:t>
                  </w:r>
                </w:p>
                <w:p>
                  <w:pPr>
                    <w:rPr>
                      <w:sz w:val="10"/>
                      <w:szCs w:val="10"/>
                    </w:rPr>
                  </w:pPr>
                </w:p>
              </w:sdtContent>
            </w:sdt>
            <w:sdt>
              <w:sdtPr>
                <w:alias w:val="2.6.1 pp."/>
                <w:tag w:val="part_11f00259ce864b88949efdc8db24e0ad"/>
                <w:lock w:val="sdtLocked"/>
                <w:richText/>
              </w:sdtPr>
              <w:sdtContent>
                <w:p>
                  <w:pPr>
                    <w:tabs>
                      <w:tab w:val="right" w:leader="dot" w:pos="10195"/>
                    </w:tabs>
                    <w:jc w:val="both"/>
                    <w:rPr>
                      <w:rFonts w:ascii="Arial" w:hAnsi="Arial" w:cs="Arial"/>
                      <w:sz w:val="22"/>
                      <w:szCs w:val="22"/>
                      <w:lang w:eastAsia="lt-LT"/>
                    </w:rPr>
                  </w:pPr>
                  <w:sdt>
                    <w:sdtPr>
                      <w:alias w:val="Numeris"/>
                      <w:tag w:val="nr_11f00259ce864b88949efdc8db24e0ad"/>
                      <w:lock w:val="sdtLocked"/>
                      <w:richText/>
                    </w:sdtPr>
                    <w:sdtContent>
                      <w:r>
                        <w:rPr>
                          <w:rFonts w:ascii="Arial" w:hAnsi="Arial" w:cs="Arial"/>
                          <w:color w:val="6B9F25"/>
                          <w:sz w:val="22"/>
                          <w:szCs w:val="22"/>
                          <w:u w:val="single"/>
                        </w:rPr>
                        <w:t>2.6.1</w:t>
                      </w:r>
                    </w:sdtContent>
                  </w:sdt>
                  <w:r>
                    <w:rPr>
                      <w:rFonts w:ascii="Arial" w:hAnsi="Arial" w:cs="Arial"/>
                      <w:color w:val="6B9F25"/>
                      <w:sz w:val="22"/>
                      <w:szCs w:val="22"/>
                      <w:u w:val="single"/>
                    </w:rPr>
                    <w:t xml:space="preserve"> lentelė. Galutinis energijos vartojimas savivaldybėje, tne</w:t>
                  </w:r>
                  <w:r>
                    <w:rPr>
                      <w:rFonts w:ascii="Arial" w:hAnsi="Arial" w:cs="Arial"/>
                      <w:sz w:val="22"/>
                      <w:szCs w:val="22"/>
                    </w:rPr>
                    <w:tab/>
                    <w:t>30</w:t>
                  </w:r>
                </w:p>
                <w:p>
                  <w:pPr>
                    <w:rPr>
                      <w:sz w:val="10"/>
                      <w:szCs w:val="10"/>
                    </w:rPr>
                  </w:pPr>
                </w:p>
              </w:sdtContent>
            </w:sdt>
            <w:sdt>
              <w:sdtPr>
                <w:alias w:val="3.1 pp."/>
                <w:tag w:val="part_44b4a9b9d99c44c28db745536ce5d7f2"/>
                <w:lock w:val="sdtLocked"/>
                <w:richText/>
              </w:sdtPr>
              <w:sdtContent>
                <w:p>
                  <w:pPr>
                    <w:tabs>
                      <w:tab w:val="right" w:leader="dot" w:pos="10195"/>
                    </w:tabs>
                    <w:jc w:val="both"/>
                    <w:rPr>
                      <w:rFonts w:ascii="Arial" w:hAnsi="Arial" w:cs="Arial"/>
                      <w:sz w:val="22"/>
                      <w:szCs w:val="22"/>
                      <w:lang w:eastAsia="lt-LT"/>
                    </w:rPr>
                  </w:pPr>
                  <w:sdt>
                    <w:sdtPr>
                      <w:alias w:val="Numeris"/>
                      <w:tag w:val="nr_44b4a9b9d99c44c28db745536ce5d7f2"/>
                      <w:lock w:val="sdtLocked"/>
                      <w:richText/>
                    </w:sdtPr>
                    <w:sdtContent>
                      <w:r>
                        <w:rPr>
                          <w:rFonts w:ascii="Arial" w:hAnsi="Arial" w:cs="Arial"/>
                          <w:color w:val="6B9F25"/>
                          <w:sz w:val="22"/>
                          <w:szCs w:val="22"/>
                          <w:u w:val="single"/>
                        </w:rPr>
                        <w:t>3.1</w:t>
                      </w:r>
                    </w:sdtContent>
                  </w:sdt>
                  <w:r>
                    <w:rPr>
                      <w:rFonts w:ascii="Arial" w:hAnsi="Arial" w:cs="Arial"/>
                      <w:color w:val="6B9F25"/>
                      <w:sz w:val="22"/>
                      <w:szCs w:val="22"/>
                      <w:u w:val="single"/>
                    </w:rPr>
                    <w:t>. lentelė. Atsinaujinančių energijos išteklių dalis (proc.) suvartojime Lietuvoje</w:t>
                  </w:r>
                  <w:r>
                    <w:rPr>
                      <w:rFonts w:ascii="Arial" w:hAnsi="Arial" w:cs="Arial"/>
                      <w:sz w:val="22"/>
                      <w:szCs w:val="22"/>
                    </w:rPr>
                    <w:tab/>
                    <w:t>33</w:t>
                  </w:r>
                </w:p>
                <w:p>
                  <w:pPr>
                    <w:rPr>
                      <w:sz w:val="10"/>
                      <w:szCs w:val="10"/>
                    </w:rPr>
                  </w:pPr>
                </w:p>
              </w:sdtContent>
            </w:sdt>
            <w:sdt>
              <w:sdtPr>
                <w:alias w:val="3.2.1 pp."/>
                <w:tag w:val="part_0f4c5ff8d9494ea7ac789a5e14f309dc"/>
                <w:lock w:val="sdtLocked"/>
                <w:richText/>
              </w:sdtPr>
              <w:sdtContent>
                <w:p>
                  <w:pPr>
                    <w:tabs>
                      <w:tab w:val="right" w:leader="dot" w:pos="10195"/>
                    </w:tabs>
                    <w:jc w:val="both"/>
                    <w:rPr>
                      <w:rFonts w:ascii="Arial" w:hAnsi="Arial" w:cs="Arial"/>
                      <w:sz w:val="22"/>
                      <w:szCs w:val="22"/>
                      <w:lang w:eastAsia="lt-LT"/>
                    </w:rPr>
                  </w:pPr>
                  <w:sdt>
                    <w:sdtPr>
                      <w:alias w:val="Numeris"/>
                      <w:tag w:val="nr_0f4c5ff8d9494ea7ac789a5e14f309dc"/>
                      <w:lock w:val="sdtLocked"/>
                      <w:richText/>
                    </w:sdtPr>
                    <w:sdtContent>
                      <w:r>
                        <w:rPr>
                          <w:rFonts w:ascii="Arial" w:hAnsi="Arial" w:cs="Arial"/>
                          <w:color w:val="6B9F25"/>
                          <w:sz w:val="22"/>
                          <w:szCs w:val="22"/>
                          <w:u w:val="single"/>
                        </w:rPr>
                        <w:t>3.2.1</w:t>
                      </w:r>
                    </w:sdtContent>
                  </w:sdt>
                  <w:r>
                    <w:rPr>
                      <w:rFonts w:ascii="Arial" w:hAnsi="Arial" w:cs="Arial"/>
                      <w:color w:val="6B9F25"/>
                      <w:sz w:val="22"/>
                      <w:szCs w:val="22"/>
                      <w:u w:val="single"/>
                    </w:rPr>
                    <w:t>. lentelė. Įvairių kuro rūšių sunaudojami energijos kiekiai Joniškio rajono savivaldybės namų ūkiuose, neprijungtuose prie centralizuoto šilumos tiekimo sistemos</w:t>
                  </w:r>
                  <w:r>
                    <w:rPr>
                      <w:rFonts w:ascii="Arial" w:hAnsi="Arial" w:cs="Arial"/>
                      <w:sz w:val="22"/>
                      <w:szCs w:val="22"/>
                    </w:rPr>
                    <w:tab/>
                    <w:t>34</w:t>
                  </w:r>
                </w:p>
                <w:p>
                  <w:pPr>
                    <w:rPr>
                      <w:sz w:val="10"/>
                      <w:szCs w:val="10"/>
                    </w:rPr>
                  </w:pPr>
                </w:p>
              </w:sdtContent>
            </w:sdt>
            <w:sdt>
              <w:sdtPr>
                <w:alias w:val="3.3.1 pp."/>
                <w:tag w:val="part_95da6c7820424d3f9d4134bf07ab0e65"/>
                <w:lock w:val="sdtLocked"/>
                <w:richText/>
              </w:sdtPr>
              <w:sdtContent>
                <w:p>
                  <w:pPr>
                    <w:tabs>
                      <w:tab w:val="right" w:leader="dot" w:pos="10195"/>
                    </w:tabs>
                    <w:jc w:val="both"/>
                    <w:rPr>
                      <w:rFonts w:ascii="Arial" w:hAnsi="Arial" w:cs="Arial"/>
                      <w:sz w:val="22"/>
                      <w:szCs w:val="22"/>
                      <w:lang w:eastAsia="lt-LT"/>
                    </w:rPr>
                  </w:pPr>
                  <w:sdt>
                    <w:sdtPr>
                      <w:alias w:val="Numeris"/>
                      <w:tag w:val="nr_95da6c7820424d3f9d4134bf07ab0e65"/>
                      <w:lock w:val="sdtLocked"/>
                      <w:richText/>
                    </w:sdtPr>
                    <w:sdtContent>
                      <w:r>
                        <w:rPr>
                          <w:rFonts w:ascii="Arial" w:hAnsi="Arial" w:cs="Arial"/>
                          <w:color w:val="6B9F25"/>
                          <w:sz w:val="22"/>
                          <w:szCs w:val="22"/>
                          <w:u w:val="single"/>
                        </w:rPr>
                        <w:t>3.3.1</w:t>
                      </w:r>
                    </w:sdtContent>
                  </w:sdt>
                  <w:r>
                    <w:rPr>
                      <w:rFonts w:ascii="Arial" w:hAnsi="Arial" w:cs="Arial"/>
                      <w:color w:val="6B9F25"/>
                      <w:sz w:val="22"/>
                      <w:szCs w:val="22"/>
                      <w:u w:val="single"/>
                    </w:rPr>
                    <w:t>. lentelė. Elektros energijos gamintojai iš AIE (</w:t>
                  </w:r>
                  <w:r>
                    <w:rPr>
                      <w:rFonts w:ascii="Arial" w:hAnsi="Arial" w:cs="Arial"/>
                      <w:bCs/>
                      <w:color w:val="6B9F25"/>
                      <w:sz w:val="22"/>
                      <w:szCs w:val="22"/>
                      <w:u w:val="single"/>
                    </w:rPr>
                    <w:t>saulės šviesos elektrinės)</w:t>
                  </w:r>
                  <w:r>
                    <w:rPr>
                      <w:rFonts w:ascii="Arial" w:hAnsi="Arial" w:cs="Arial"/>
                      <w:sz w:val="22"/>
                      <w:szCs w:val="22"/>
                    </w:rPr>
                    <w:tab/>
                    <w:t>35</w:t>
                  </w:r>
                </w:p>
                <w:p>
                  <w:pPr>
                    <w:rPr>
                      <w:sz w:val="10"/>
                      <w:szCs w:val="10"/>
                    </w:rPr>
                  </w:pPr>
                </w:p>
              </w:sdtContent>
            </w:sdt>
            <w:sdt>
              <w:sdtPr>
                <w:alias w:val="3.3.2 pp."/>
                <w:tag w:val="part_1096dc9d8892455f959fbe0bc6066dc8"/>
                <w:lock w:val="sdtLocked"/>
                <w:richText/>
              </w:sdtPr>
              <w:sdtContent>
                <w:p>
                  <w:pPr>
                    <w:tabs>
                      <w:tab w:val="right" w:leader="dot" w:pos="10195"/>
                    </w:tabs>
                    <w:jc w:val="both"/>
                    <w:rPr>
                      <w:rFonts w:ascii="Arial" w:hAnsi="Arial" w:cs="Arial"/>
                      <w:sz w:val="22"/>
                      <w:szCs w:val="22"/>
                      <w:lang w:eastAsia="lt-LT"/>
                    </w:rPr>
                  </w:pPr>
                  <w:sdt>
                    <w:sdtPr>
                      <w:alias w:val="Numeris"/>
                      <w:tag w:val="nr_1096dc9d8892455f959fbe0bc6066dc8"/>
                      <w:lock w:val="sdtLocked"/>
                      <w:richText/>
                    </w:sdtPr>
                    <w:sdtContent>
                      <w:r>
                        <w:rPr>
                          <w:rFonts w:ascii="Arial" w:hAnsi="Arial" w:cs="Arial"/>
                          <w:color w:val="6B9F25"/>
                          <w:sz w:val="22"/>
                          <w:szCs w:val="22"/>
                          <w:u w:val="single"/>
                        </w:rPr>
                        <w:t>3.3.2</w:t>
                      </w:r>
                    </w:sdtContent>
                  </w:sdt>
                  <w:r>
                    <w:rPr>
                      <w:rFonts w:ascii="Arial" w:hAnsi="Arial" w:cs="Arial"/>
                      <w:color w:val="6B9F25"/>
                      <w:sz w:val="22"/>
                      <w:szCs w:val="22"/>
                      <w:u w:val="single"/>
                    </w:rPr>
                    <w:t>. lentelė. Elektros energijos gamintojai iš AIE pagal tipus</w:t>
                  </w:r>
                  <w:r>
                    <w:rPr>
                      <w:rFonts w:ascii="Arial" w:hAnsi="Arial" w:cs="Arial"/>
                      <w:sz w:val="22"/>
                      <w:szCs w:val="22"/>
                    </w:rPr>
                    <w:tab/>
                    <w:t>35</w:t>
                  </w:r>
                </w:p>
                <w:p>
                  <w:pPr>
                    <w:rPr>
                      <w:sz w:val="10"/>
                      <w:szCs w:val="10"/>
                    </w:rPr>
                  </w:pPr>
                </w:p>
              </w:sdtContent>
            </w:sdt>
            <w:sdt>
              <w:sdtPr>
                <w:alias w:val="3.4.1 pp."/>
                <w:tag w:val="part_661faff173d04584a70c77016fa39b5e"/>
                <w:lock w:val="sdtLocked"/>
                <w:richText/>
              </w:sdtPr>
              <w:sdtContent>
                <w:p>
                  <w:pPr>
                    <w:tabs>
                      <w:tab w:val="right" w:leader="dot" w:pos="10195"/>
                    </w:tabs>
                    <w:jc w:val="both"/>
                    <w:rPr>
                      <w:rFonts w:ascii="Arial" w:hAnsi="Arial" w:cs="Arial"/>
                      <w:sz w:val="22"/>
                      <w:szCs w:val="22"/>
                      <w:lang w:eastAsia="lt-LT"/>
                    </w:rPr>
                  </w:pPr>
                  <w:sdt>
                    <w:sdtPr>
                      <w:alias w:val="Numeris"/>
                      <w:tag w:val="nr_661faff173d04584a70c77016fa39b5e"/>
                      <w:lock w:val="sdtLocked"/>
                      <w:richText/>
                    </w:sdtPr>
                    <w:sdtContent>
                      <w:r>
                        <w:rPr>
                          <w:rFonts w:ascii="Arial" w:hAnsi="Arial" w:cs="Arial"/>
                          <w:color w:val="6B9F25"/>
                          <w:sz w:val="22"/>
                          <w:szCs w:val="22"/>
                          <w:u w:val="single"/>
                        </w:rPr>
                        <w:t>3.4.1</w:t>
                      </w:r>
                    </w:sdtContent>
                  </w:sdt>
                  <w:r>
                    <w:rPr>
                      <w:rFonts w:ascii="Arial" w:hAnsi="Arial" w:cs="Arial"/>
                      <w:color w:val="6B9F25"/>
                      <w:sz w:val="22"/>
                      <w:szCs w:val="22"/>
                      <w:u w:val="single"/>
                    </w:rPr>
                    <w:t>. lentelė. Biodegalų vartojimas Joniškio rajono savivaldybėje</w:t>
                  </w:r>
                  <w:r>
                    <w:rPr>
                      <w:rFonts w:ascii="Arial" w:hAnsi="Arial" w:cs="Arial"/>
                      <w:sz w:val="22"/>
                      <w:szCs w:val="22"/>
                    </w:rPr>
                    <w:tab/>
                    <w:t>36</w:t>
                  </w:r>
                </w:p>
                <w:p>
                  <w:pPr>
                    <w:rPr>
                      <w:sz w:val="10"/>
                      <w:szCs w:val="10"/>
                    </w:rPr>
                  </w:pPr>
                </w:p>
              </w:sdtContent>
            </w:sdt>
            <w:sdt>
              <w:sdtPr>
                <w:alias w:val="3.5.1 pp."/>
                <w:tag w:val="part_284803f714634e1b8e5f4a810d3b0438"/>
                <w:lock w:val="sdtLocked"/>
                <w:richText/>
              </w:sdtPr>
              <w:sdtContent>
                <w:p>
                  <w:pPr>
                    <w:tabs>
                      <w:tab w:val="right" w:leader="dot" w:pos="10195"/>
                    </w:tabs>
                    <w:jc w:val="both"/>
                    <w:rPr>
                      <w:rFonts w:ascii="Arial" w:hAnsi="Arial" w:cs="Arial"/>
                      <w:sz w:val="22"/>
                      <w:szCs w:val="22"/>
                      <w:lang w:eastAsia="lt-LT"/>
                    </w:rPr>
                  </w:pPr>
                  <w:sdt>
                    <w:sdtPr>
                      <w:alias w:val="Numeris"/>
                      <w:tag w:val="nr_284803f714634e1b8e5f4a810d3b0438"/>
                      <w:lock w:val="sdtLocked"/>
                      <w:richText/>
                    </w:sdtPr>
                    <w:sdtContent>
                      <w:r>
                        <w:rPr>
                          <w:rFonts w:ascii="Arial" w:hAnsi="Arial" w:cs="Arial"/>
                          <w:color w:val="6B9F25"/>
                          <w:sz w:val="22"/>
                          <w:szCs w:val="22"/>
                          <w:u w:val="single"/>
                        </w:rPr>
                        <w:t>3.5.1</w:t>
                      </w:r>
                    </w:sdtContent>
                  </w:sdt>
                  <w:r>
                    <w:rPr>
                      <w:rFonts w:ascii="Arial" w:hAnsi="Arial" w:cs="Arial"/>
                      <w:color w:val="6B9F25"/>
                      <w:sz w:val="22"/>
                      <w:szCs w:val="22"/>
                      <w:u w:val="single"/>
                    </w:rPr>
                    <w:t>. lentelė. AIE dalis bendrame galutinės energijos suvartojime Joniškio rajono savivaldybėje</w:t>
                  </w:r>
                  <w:r>
                    <w:rPr>
                      <w:rFonts w:ascii="Arial" w:hAnsi="Arial" w:cs="Arial"/>
                      <w:sz w:val="22"/>
                      <w:szCs w:val="22"/>
                    </w:rPr>
                    <w:tab/>
                    <w:t>36</w:t>
                  </w:r>
                </w:p>
                <w:p>
                  <w:pPr>
                    <w:rPr>
                      <w:sz w:val="10"/>
                      <w:szCs w:val="10"/>
                    </w:rPr>
                  </w:pPr>
                </w:p>
              </w:sdtContent>
            </w:sdt>
            <w:sdt>
              <w:sdtPr>
                <w:alias w:val="4.1.2 pp."/>
                <w:tag w:val="part_d627592a97784595be9fac6cc3670178"/>
                <w:lock w:val="sdtLocked"/>
                <w:richText/>
              </w:sdtPr>
              <w:sdtContent>
                <w:p>
                  <w:pPr>
                    <w:tabs>
                      <w:tab w:val="right" w:leader="dot" w:pos="10195"/>
                    </w:tabs>
                    <w:jc w:val="both"/>
                    <w:rPr>
                      <w:rFonts w:ascii="Arial" w:hAnsi="Arial" w:cs="Arial"/>
                      <w:sz w:val="22"/>
                      <w:szCs w:val="22"/>
                      <w:lang w:eastAsia="lt-LT"/>
                    </w:rPr>
                  </w:pPr>
                  <w:sdt>
                    <w:sdtPr>
                      <w:alias w:val="Numeris"/>
                      <w:tag w:val="nr_d627592a97784595be9fac6cc3670178"/>
                      <w:lock w:val="sdtLocked"/>
                      <w:richText/>
                    </w:sdtPr>
                    <w:sdtContent>
                      <w:r>
                        <w:rPr>
                          <w:rFonts w:ascii="Arial" w:hAnsi="Arial" w:cs="Arial"/>
                          <w:color w:val="6B9F25"/>
                          <w:sz w:val="22"/>
                          <w:szCs w:val="22"/>
                          <w:u w:val="single"/>
                        </w:rPr>
                        <w:t>4.1.2</w:t>
                      </w:r>
                    </w:sdtContent>
                  </w:sdt>
                  <w:r>
                    <w:rPr>
                      <w:rFonts w:ascii="Arial" w:hAnsi="Arial" w:cs="Arial"/>
                      <w:color w:val="6B9F25"/>
                      <w:sz w:val="22"/>
                      <w:szCs w:val="22"/>
                      <w:u w:val="single"/>
                    </w:rPr>
                    <w:t>. lentelė. Joniškio rajono savivaldybės teritorijoje esančių miškų plotai pagal nuosavybės teisę</w:t>
                  </w:r>
                  <w:r>
                    <w:rPr>
                      <w:rFonts w:ascii="Arial" w:hAnsi="Arial" w:cs="Arial"/>
                      <w:sz w:val="22"/>
                      <w:szCs w:val="22"/>
                    </w:rPr>
                    <w:tab/>
                    <w:t>38</w:t>
                  </w:r>
                </w:p>
                <w:p>
                  <w:pPr>
                    <w:rPr>
                      <w:sz w:val="10"/>
                      <w:szCs w:val="10"/>
                    </w:rPr>
                  </w:pPr>
                </w:p>
              </w:sdtContent>
            </w:sdt>
            <w:sdt>
              <w:sdtPr>
                <w:alias w:val="4.1.3 pp."/>
                <w:tag w:val="part_19bc8b2eabb7400a9e3c048a82ef0348"/>
                <w:lock w:val="sdtLocked"/>
                <w:richText/>
              </w:sdtPr>
              <w:sdtContent>
                <w:p>
                  <w:pPr>
                    <w:tabs>
                      <w:tab w:val="right" w:leader="dot" w:pos="10195"/>
                    </w:tabs>
                    <w:jc w:val="both"/>
                    <w:rPr>
                      <w:rFonts w:ascii="Arial" w:hAnsi="Arial" w:cs="Arial"/>
                      <w:sz w:val="22"/>
                      <w:szCs w:val="22"/>
                      <w:lang w:eastAsia="lt-LT"/>
                    </w:rPr>
                  </w:pPr>
                  <w:sdt>
                    <w:sdtPr>
                      <w:alias w:val="Numeris"/>
                      <w:tag w:val="nr_19bc8b2eabb7400a9e3c048a82ef0348"/>
                      <w:lock w:val="sdtLocked"/>
                      <w:richText/>
                    </w:sdtPr>
                    <w:sdtContent>
                      <w:r>
                        <w:rPr>
                          <w:rFonts w:ascii="Arial" w:hAnsi="Arial" w:cs="Arial"/>
                          <w:color w:val="6B9F25"/>
                          <w:sz w:val="22"/>
                          <w:szCs w:val="22"/>
                          <w:u w:val="single"/>
                        </w:rPr>
                        <w:t>4.1.3</w:t>
                      </w:r>
                    </w:sdtContent>
                  </w:sdt>
                  <w:r>
                    <w:rPr>
                      <w:rFonts w:ascii="Arial" w:hAnsi="Arial" w:cs="Arial"/>
                      <w:color w:val="6B9F25"/>
                      <w:sz w:val="22"/>
                      <w:szCs w:val="22"/>
                      <w:u w:val="single"/>
                    </w:rPr>
                    <w:t>. lentelė. Kirtimų apimtys Joniškio rajono savivaldybės valstybiniuose miškuose 2018-2021 m.</w:t>
                  </w:r>
                  <w:r>
                    <w:rPr>
                      <w:rFonts w:ascii="Arial" w:hAnsi="Arial" w:cs="Arial"/>
                      <w:sz w:val="22"/>
                      <w:szCs w:val="22"/>
                    </w:rPr>
                    <w:tab/>
                    <w:t>38</w:t>
                  </w:r>
                </w:p>
                <w:p>
                  <w:pPr>
                    <w:rPr>
                      <w:sz w:val="10"/>
                      <w:szCs w:val="10"/>
                    </w:rPr>
                  </w:pPr>
                </w:p>
              </w:sdtContent>
            </w:sdt>
            <w:sdt>
              <w:sdtPr>
                <w:alias w:val="4.1.4 pp."/>
                <w:tag w:val="part_bd2de208b66f411d9732c1e32284ecfe"/>
                <w:lock w:val="sdtLocked"/>
                <w:richText/>
              </w:sdtPr>
              <w:sdtContent>
                <w:p>
                  <w:pPr>
                    <w:tabs>
                      <w:tab w:val="right" w:leader="dot" w:pos="10195"/>
                    </w:tabs>
                    <w:jc w:val="both"/>
                    <w:rPr>
                      <w:rFonts w:ascii="Arial" w:hAnsi="Arial" w:cs="Arial"/>
                      <w:sz w:val="22"/>
                      <w:szCs w:val="22"/>
                      <w:lang w:eastAsia="lt-LT"/>
                    </w:rPr>
                  </w:pPr>
                  <w:sdt>
                    <w:sdtPr>
                      <w:alias w:val="Numeris"/>
                      <w:tag w:val="nr_bd2de208b66f411d9732c1e32284ecfe"/>
                      <w:lock w:val="sdtLocked"/>
                      <w:richText/>
                    </w:sdtPr>
                    <w:sdtContent>
                      <w:r>
                        <w:rPr>
                          <w:rFonts w:ascii="Arial" w:hAnsi="Arial" w:cs="Arial"/>
                          <w:color w:val="6B9F25"/>
                          <w:sz w:val="22"/>
                          <w:szCs w:val="22"/>
                          <w:u w:val="single"/>
                        </w:rPr>
                        <w:t>4.1.4</w:t>
                      </w:r>
                    </w:sdtContent>
                  </w:sdt>
                  <w:r>
                    <w:rPr>
                      <w:rFonts w:ascii="Arial" w:hAnsi="Arial" w:cs="Arial"/>
                      <w:color w:val="6B9F25"/>
                      <w:sz w:val="22"/>
                      <w:szCs w:val="22"/>
                      <w:u w:val="single"/>
                    </w:rPr>
                    <w:t>. lentelė. Duomenys apie parduodamų malkų kiekius bei susidariusių kirtimo atliekų kiekius Joniškio rajono savivaldybės valstybiniuose miškuose 2018-2021 m.</w:t>
                  </w:r>
                  <w:r>
                    <w:rPr>
                      <w:rFonts w:ascii="Arial" w:hAnsi="Arial" w:cs="Arial"/>
                      <w:sz w:val="22"/>
                      <w:szCs w:val="22"/>
                    </w:rPr>
                    <w:tab/>
                    <w:t>38</w:t>
                  </w:r>
                </w:p>
                <w:p>
                  <w:pPr>
                    <w:rPr>
                      <w:sz w:val="10"/>
                      <w:szCs w:val="10"/>
                    </w:rPr>
                  </w:pPr>
                </w:p>
              </w:sdtContent>
            </w:sdt>
            <w:sdt>
              <w:sdtPr>
                <w:alias w:val="4.3.1 pp."/>
                <w:tag w:val="part_8052d2eed0a143a9aea3888712fbb9ae"/>
                <w:lock w:val="sdtLocked"/>
                <w:richText/>
              </w:sdtPr>
              <w:sdtContent>
                <w:p>
                  <w:pPr>
                    <w:tabs>
                      <w:tab w:val="right" w:leader="dot" w:pos="10195"/>
                    </w:tabs>
                    <w:jc w:val="both"/>
                    <w:rPr>
                      <w:rFonts w:ascii="Arial" w:hAnsi="Arial" w:cs="Arial"/>
                      <w:sz w:val="22"/>
                      <w:szCs w:val="22"/>
                      <w:lang w:eastAsia="lt-LT"/>
                    </w:rPr>
                  </w:pPr>
                  <w:sdt>
                    <w:sdtPr>
                      <w:alias w:val="Numeris"/>
                      <w:tag w:val="nr_8052d2eed0a143a9aea3888712fbb9ae"/>
                      <w:lock w:val="sdtLocked"/>
                      <w:richText/>
                    </w:sdtPr>
                    <w:sdtContent>
                      <w:r>
                        <w:rPr>
                          <w:rFonts w:ascii="Arial" w:hAnsi="Arial" w:cs="Arial"/>
                          <w:color w:val="6B9F25"/>
                          <w:sz w:val="22"/>
                          <w:szCs w:val="22"/>
                          <w:u w:val="single"/>
                        </w:rPr>
                        <w:t>4.3.1</w:t>
                      </w:r>
                    </w:sdtContent>
                  </w:sdt>
                  <w:r>
                    <w:rPr>
                      <w:rFonts w:ascii="Arial" w:hAnsi="Arial" w:cs="Arial"/>
                      <w:color w:val="6B9F25"/>
                      <w:sz w:val="22"/>
                      <w:szCs w:val="22"/>
                      <w:u w:val="single"/>
                    </w:rPr>
                    <w:t>. lentelė. Grūdinių kultūrų derliaus kitimas Joniškio rajono savivaldybėje 2019-2021 metais (tonomis)</w:t>
                  </w:r>
                  <w:r>
                    <w:rPr>
                      <w:rFonts w:ascii="Arial" w:hAnsi="Arial" w:cs="Arial"/>
                      <w:sz w:val="22"/>
                      <w:szCs w:val="22"/>
                    </w:rPr>
                    <w:tab/>
                    <w:t>39</w:t>
                  </w:r>
                </w:p>
                <w:p>
                  <w:pPr>
                    <w:rPr>
                      <w:sz w:val="10"/>
                      <w:szCs w:val="10"/>
                    </w:rPr>
                  </w:pPr>
                </w:p>
              </w:sdtContent>
            </w:sdt>
            <w:sdt>
              <w:sdtPr>
                <w:alias w:val="4.4.1 pp."/>
                <w:tag w:val="part_4a6f378d67d9463fb1572bcbcfb24e44"/>
                <w:lock w:val="sdtLocked"/>
                <w:richText/>
              </w:sdtPr>
              <w:sdtContent>
                <w:p>
                  <w:pPr>
                    <w:tabs>
                      <w:tab w:val="right" w:leader="dot" w:pos="10195"/>
                    </w:tabs>
                    <w:jc w:val="both"/>
                    <w:rPr>
                      <w:rFonts w:ascii="Arial" w:hAnsi="Arial" w:cs="Arial"/>
                      <w:sz w:val="22"/>
                      <w:szCs w:val="22"/>
                      <w:lang w:eastAsia="lt-LT"/>
                    </w:rPr>
                  </w:pPr>
                  <w:sdt>
                    <w:sdtPr>
                      <w:alias w:val="Numeris"/>
                      <w:tag w:val="nr_4a6f378d67d9463fb1572bcbcfb24e44"/>
                      <w:lock w:val="sdtLocked"/>
                      <w:richText/>
                    </w:sdtPr>
                    <w:sdtContent>
                      <w:r>
                        <w:rPr>
                          <w:rFonts w:ascii="Arial" w:hAnsi="Arial" w:cs="Arial"/>
                          <w:color w:val="6B9F25"/>
                          <w:sz w:val="22"/>
                          <w:szCs w:val="22"/>
                          <w:u w:val="single"/>
                        </w:rPr>
                        <w:t>4.4.1</w:t>
                      </w:r>
                    </w:sdtContent>
                  </w:sdt>
                  <w:r>
                    <w:rPr>
                      <w:rFonts w:ascii="Arial" w:hAnsi="Arial" w:cs="Arial"/>
                      <w:color w:val="6B9F25"/>
                      <w:sz w:val="22"/>
                      <w:szCs w:val="22"/>
                      <w:u w:val="single"/>
                    </w:rPr>
                    <w:t>. lentelė. Skirtingos kilmės biodujų charakteristikos</w:t>
                  </w:r>
                  <w:r>
                    <w:rPr>
                      <w:rFonts w:ascii="Arial" w:hAnsi="Arial" w:cs="Arial"/>
                      <w:sz w:val="22"/>
                      <w:szCs w:val="22"/>
                    </w:rPr>
                    <w:tab/>
                    <w:t>40</w:t>
                  </w:r>
                </w:p>
                <w:p>
                  <w:pPr>
                    <w:rPr>
                      <w:sz w:val="10"/>
                      <w:szCs w:val="10"/>
                    </w:rPr>
                  </w:pPr>
                </w:p>
              </w:sdtContent>
            </w:sdt>
            <w:sdt>
              <w:sdtPr>
                <w:alias w:val="4.4.3.1 pp."/>
                <w:tag w:val="part_6d10e5a7d2364ce28a9c2add56a64f16"/>
                <w:lock w:val="sdtLocked"/>
                <w:richText/>
              </w:sdtPr>
              <w:sdtContent>
                <w:p>
                  <w:pPr>
                    <w:tabs>
                      <w:tab w:val="right" w:leader="dot" w:pos="10195"/>
                    </w:tabs>
                    <w:jc w:val="both"/>
                    <w:rPr>
                      <w:rFonts w:ascii="Arial" w:hAnsi="Arial" w:cs="Arial"/>
                      <w:sz w:val="22"/>
                      <w:szCs w:val="22"/>
                      <w:lang w:eastAsia="lt-LT"/>
                    </w:rPr>
                  </w:pPr>
                  <w:sdt>
                    <w:sdtPr>
                      <w:alias w:val="Numeris"/>
                      <w:tag w:val="nr_6d10e5a7d2364ce28a9c2add56a64f16"/>
                      <w:lock w:val="sdtLocked"/>
                      <w:richText/>
                    </w:sdtPr>
                    <w:sdtContent>
                      <w:r>
                        <w:rPr>
                          <w:rFonts w:ascii="Arial" w:hAnsi="Arial" w:cs="Arial"/>
                          <w:color w:val="6B9F25"/>
                          <w:sz w:val="22"/>
                          <w:szCs w:val="22"/>
                          <w:u w:val="single"/>
                        </w:rPr>
                        <w:t>4.4.3.1</w:t>
                      </w:r>
                    </w:sdtContent>
                  </w:sdt>
                  <w:r>
                    <w:rPr>
                      <w:rFonts w:ascii="Arial" w:hAnsi="Arial" w:cs="Arial"/>
                      <w:color w:val="6B9F25"/>
                      <w:sz w:val="22"/>
                      <w:szCs w:val="22"/>
                      <w:u w:val="single"/>
                    </w:rPr>
                    <w:t xml:space="preserve">. lentelė. </w:t>
                  </w:r>
                  <w:r>
                    <w:rPr>
                      <w:rFonts w:ascii="Arial" w:hAnsi="Arial" w:cs="Arial"/>
                      <w:color w:val="6B9F25"/>
                      <w:sz w:val="22"/>
                      <w:szCs w:val="22"/>
                      <w:u w:val="single"/>
                      <w:shd w:val="clear" w:color="auto" w:fill="FFFFFF"/>
                      <w:lang w:eastAsia="en-GB"/>
                    </w:rPr>
                    <w:t>Joniškio rajono</w:t>
                  </w:r>
                  <w:r>
                    <w:rPr>
                      <w:rFonts w:ascii="Arial" w:hAnsi="Arial" w:cs="Arial"/>
                      <w:color w:val="6B9F25"/>
                      <w:sz w:val="22"/>
                      <w:szCs w:val="22"/>
                      <w:u w:val="single"/>
                    </w:rPr>
                    <w:t xml:space="preserve"> savivaldybėje susidariusių nuotekų kiekiai 2019-2021 metais</w:t>
                  </w:r>
                  <w:r>
                    <w:rPr>
                      <w:rFonts w:ascii="Arial" w:hAnsi="Arial" w:cs="Arial"/>
                      <w:sz w:val="22"/>
                      <w:szCs w:val="22"/>
                    </w:rPr>
                    <w:tab/>
                    <w:t>41</w:t>
                  </w:r>
                </w:p>
                <w:p>
                  <w:pPr>
                    <w:rPr>
                      <w:sz w:val="10"/>
                      <w:szCs w:val="10"/>
                    </w:rPr>
                  </w:pPr>
                </w:p>
              </w:sdtContent>
            </w:sdt>
            <w:sdt>
              <w:sdtPr>
                <w:alias w:val="4.7.1 pp."/>
                <w:tag w:val="part_a540a2f6fcf14040b6988c109c839595"/>
                <w:lock w:val="sdtLocked"/>
                <w:richText/>
              </w:sdtPr>
              <w:sdtContent>
                <w:p>
                  <w:pPr>
                    <w:tabs>
                      <w:tab w:val="right" w:leader="dot" w:pos="10195"/>
                    </w:tabs>
                    <w:jc w:val="both"/>
                    <w:rPr>
                      <w:rFonts w:ascii="Arial" w:hAnsi="Arial" w:cs="Arial"/>
                      <w:sz w:val="22"/>
                      <w:szCs w:val="22"/>
                      <w:lang w:eastAsia="lt-LT"/>
                    </w:rPr>
                  </w:pPr>
                  <w:sdt>
                    <w:sdtPr>
                      <w:alias w:val="Numeris"/>
                      <w:tag w:val="nr_a540a2f6fcf14040b6988c109c839595"/>
                      <w:lock w:val="sdtLocked"/>
                      <w:richText/>
                    </w:sdtPr>
                    <w:sdtContent>
                      <w:r>
                        <w:rPr>
                          <w:rFonts w:ascii="Arial" w:hAnsi="Arial" w:cs="Arial"/>
                          <w:color w:val="6B9F25"/>
                          <w:sz w:val="22"/>
                          <w:szCs w:val="22"/>
                          <w:u w:val="single"/>
                        </w:rPr>
                        <w:t>4.7.1</w:t>
                      </w:r>
                    </w:sdtContent>
                  </w:sdt>
                  <w:r>
                    <w:rPr>
                      <w:rFonts w:ascii="Arial" w:hAnsi="Arial" w:cs="Arial"/>
                      <w:color w:val="6B9F25"/>
                      <w:sz w:val="22"/>
                      <w:szCs w:val="22"/>
                      <w:u w:val="single"/>
                    </w:rPr>
                    <w:t>. lentelė. Pastatų (be pagalbinio ūkio paskirties) užimami žemės plotai Joniškio rajono savivaldybėje</w:t>
                  </w:r>
                  <w:r>
                    <w:rPr>
                      <w:rFonts w:ascii="Arial" w:hAnsi="Arial" w:cs="Arial"/>
                      <w:sz w:val="22"/>
                      <w:szCs w:val="22"/>
                    </w:rPr>
                    <w:tab/>
                    <w:t>45</w:t>
                  </w:r>
                </w:p>
                <w:p>
                  <w:pPr>
                    <w:rPr>
                      <w:sz w:val="10"/>
                      <w:szCs w:val="10"/>
                    </w:rPr>
                  </w:pPr>
                </w:p>
              </w:sdtContent>
            </w:sdt>
            <w:sdt>
              <w:sdtPr>
                <w:alias w:val="4.7.2 pp."/>
                <w:tag w:val="part_1ba42977da4049239d3db5f6f59bf2e1"/>
                <w:lock w:val="sdtLocked"/>
                <w:richText/>
              </w:sdtPr>
              <w:sdtContent>
                <w:p>
                  <w:pPr>
                    <w:tabs>
                      <w:tab w:val="right" w:leader="dot" w:pos="10195"/>
                    </w:tabs>
                    <w:jc w:val="both"/>
                    <w:rPr>
                      <w:rFonts w:ascii="Arial" w:hAnsi="Arial" w:cs="Arial"/>
                      <w:sz w:val="22"/>
                      <w:szCs w:val="22"/>
                      <w:lang w:eastAsia="lt-LT"/>
                    </w:rPr>
                  </w:pPr>
                  <w:sdt>
                    <w:sdtPr>
                      <w:alias w:val="Numeris"/>
                      <w:tag w:val="nr_1ba42977da4049239d3db5f6f59bf2e1"/>
                      <w:lock w:val="sdtLocked"/>
                      <w:richText/>
                    </w:sdtPr>
                    <w:sdtContent>
                      <w:r>
                        <w:rPr>
                          <w:rFonts w:ascii="Arial" w:hAnsi="Arial" w:cs="Arial"/>
                          <w:color w:val="6B9F25"/>
                          <w:sz w:val="22"/>
                          <w:szCs w:val="22"/>
                          <w:u w:val="single"/>
                        </w:rPr>
                        <w:t>4.7.2</w:t>
                      </w:r>
                    </w:sdtContent>
                  </w:sdt>
                  <w:r>
                    <w:rPr>
                      <w:rFonts w:ascii="Arial" w:hAnsi="Arial" w:cs="Arial"/>
                      <w:color w:val="6B9F25"/>
                      <w:sz w:val="22"/>
                      <w:szCs w:val="22"/>
                      <w:u w:val="single"/>
                    </w:rPr>
                    <w:t>. lentelė. Pastatų stogų plotas, tinkamas saulės kolektoriams ar fotomoduliams įrengti</w:t>
                  </w:r>
                  <w:r>
                    <w:rPr>
                      <w:rFonts w:ascii="Arial" w:hAnsi="Arial" w:cs="Arial"/>
                      <w:sz w:val="22"/>
                      <w:szCs w:val="22"/>
                    </w:rPr>
                    <w:tab/>
                    <w:t>46</w:t>
                  </w:r>
                </w:p>
                <w:p>
                  <w:pPr>
                    <w:rPr>
                      <w:sz w:val="10"/>
                      <w:szCs w:val="10"/>
                    </w:rPr>
                  </w:pPr>
                </w:p>
              </w:sdtContent>
            </w:sdt>
            <w:sdt>
              <w:sdtPr>
                <w:alias w:val="4.8.1 pp."/>
                <w:tag w:val="part_50352e74dc4a423f9cbed8e5bae79a72"/>
                <w:lock w:val="sdtLocked"/>
                <w:richText/>
              </w:sdtPr>
              <w:sdtContent>
                <w:p>
                  <w:pPr>
                    <w:tabs>
                      <w:tab w:val="right" w:leader="dot" w:pos="10195"/>
                    </w:tabs>
                    <w:jc w:val="both"/>
                    <w:rPr>
                      <w:rFonts w:ascii="Arial" w:hAnsi="Arial" w:cs="Arial"/>
                      <w:sz w:val="22"/>
                      <w:szCs w:val="22"/>
                      <w:lang w:eastAsia="lt-LT"/>
                    </w:rPr>
                  </w:pPr>
                  <w:sdt>
                    <w:sdtPr>
                      <w:alias w:val="Numeris"/>
                      <w:tag w:val="nr_50352e74dc4a423f9cbed8e5bae79a72"/>
                      <w:lock w:val="sdtLocked"/>
                      <w:richText/>
                    </w:sdtPr>
                    <w:sdtContent>
                      <w:r>
                        <w:rPr>
                          <w:rFonts w:ascii="Arial" w:hAnsi="Arial" w:cs="Arial"/>
                          <w:color w:val="6B9F25"/>
                          <w:sz w:val="22"/>
                          <w:szCs w:val="22"/>
                          <w:u w:val="single"/>
                        </w:rPr>
                        <w:t>4.8.1</w:t>
                      </w:r>
                    </w:sdtContent>
                  </w:sdt>
                  <w:r>
                    <w:rPr>
                      <w:rFonts w:ascii="Arial" w:hAnsi="Arial" w:cs="Arial"/>
                      <w:color w:val="6B9F25"/>
                      <w:sz w:val="22"/>
                      <w:szCs w:val="22"/>
                      <w:u w:val="single"/>
                    </w:rPr>
                    <w:t>. lentelė. Grunto šilumos energijos emisija naudojant horizontalių kolektorių sistemą</w:t>
                  </w:r>
                  <w:r>
                    <w:rPr>
                      <w:rFonts w:ascii="Arial" w:hAnsi="Arial" w:cs="Arial"/>
                      <w:sz w:val="22"/>
                      <w:szCs w:val="22"/>
                    </w:rPr>
                    <w:tab/>
                    <w:t>49</w:t>
                  </w:r>
                </w:p>
                <w:p>
                  <w:pPr>
                    <w:rPr>
                      <w:sz w:val="10"/>
                      <w:szCs w:val="10"/>
                    </w:rPr>
                  </w:pPr>
                </w:p>
              </w:sdtContent>
            </w:sdt>
            <w:sdt>
              <w:sdtPr>
                <w:alias w:val="4.8.2 pp."/>
                <w:tag w:val="part_9a4a1d5c8e1e420caa3daf96ac3e11fd"/>
                <w:lock w:val="sdtLocked"/>
                <w:richText/>
              </w:sdtPr>
              <w:sdtContent>
                <w:p>
                  <w:pPr>
                    <w:tabs>
                      <w:tab w:val="right" w:leader="dot" w:pos="10195"/>
                    </w:tabs>
                    <w:jc w:val="both"/>
                    <w:rPr>
                      <w:rFonts w:ascii="Arial" w:hAnsi="Arial" w:cs="Arial"/>
                      <w:sz w:val="22"/>
                      <w:szCs w:val="22"/>
                      <w:lang w:eastAsia="lt-LT"/>
                    </w:rPr>
                  </w:pPr>
                  <w:sdt>
                    <w:sdtPr>
                      <w:alias w:val="Numeris"/>
                      <w:tag w:val="nr_9a4a1d5c8e1e420caa3daf96ac3e11fd"/>
                      <w:lock w:val="sdtLocked"/>
                      <w:richText/>
                    </w:sdtPr>
                    <w:sdtContent>
                      <w:r>
                        <w:rPr>
                          <w:rFonts w:ascii="Arial" w:hAnsi="Arial" w:cs="Arial"/>
                          <w:color w:val="6B9F25"/>
                          <w:sz w:val="22"/>
                          <w:szCs w:val="22"/>
                          <w:u w:val="single"/>
                        </w:rPr>
                        <w:t>4.8.2</w:t>
                      </w:r>
                    </w:sdtContent>
                  </w:sdt>
                  <w:r>
                    <w:rPr>
                      <w:rFonts w:ascii="Arial" w:hAnsi="Arial" w:cs="Arial"/>
                      <w:color w:val="6B9F25"/>
                      <w:sz w:val="22"/>
                      <w:szCs w:val="22"/>
                      <w:u w:val="single"/>
                    </w:rPr>
                    <w:t>. lentelė. Grunto šilumos energijos emisija naudojant vertikalių kolektorių sistemą</w:t>
                  </w:r>
                  <w:r>
                    <w:rPr>
                      <w:rFonts w:ascii="Arial" w:hAnsi="Arial" w:cs="Arial"/>
                      <w:sz w:val="22"/>
                      <w:szCs w:val="22"/>
                    </w:rPr>
                    <w:tab/>
                    <w:t>49</w:t>
                  </w:r>
                </w:p>
                <w:p>
                  <w:pPr>
                    <w:rPr>
                      <w:sz w:val="10"/>
                      <w:szCs w:val="10"/>
                    </w:rPr>
                  </w:pPr>
                </w:p>
              </w:sdtContent>
            </w:sdt>
            <w:sdt>
              <w:sdtPr>
                <w:alias w:val="4.12.1 pp."/>
                <w:tag w:val="part_9e2b20f0146945f7beb4d3a15b85b5a9"/>
                <w:lock w:val="sdtLocked"/>
                <w:richText/>
              </w:sdtPr>
              <w:sdtContent>
                <w:p>
                  <w:pPr>
                    <w:tabs>
                      <w:tab w:val="right" w:leader="dot" w:pos="10195"/>
                    </w:tabs>
                    <w:jc w:val="both"/>
                    <w:rPr>
                      <w:rFonts w:ascii="Arial" w:hAnsi="Arial" w:cs="Arial"/>
                      <w:sz w:val="22"/>
                      <w:szCs w:val="22"/>
                      <w:lang w:eastAsia="lt-LT"/>
                    </w:rPr>
                  </w:pPr>
                  <w:sdt>
                    <w:sdtPr>
                      <w:alias w:val="Numeris"/>
                      <w:tag w:val="nr_9e2b20f0146945f7beb4d3a15b85b5a9"/>
                      <w:lock w:val="sdtLocked"/>
                      <w:richText/>
                    </w:sdtPr>
                    <w:sdtContent>
                      <w:r>
                        <w:rPr>
                          <w:rFonts w:ascii="Arial" w:hAnsi="Arial" w:cs="Arial"/>
                          <w:color w:val="6B9F25"/>
                          <w:sz w:val="22"/>
                          <w:szCs w:val="22"/>
                          <w:u w:val="single"/>
                        </w:rPr>
                        <w:t>4.12.1</w:t>
                      </w:r>
                    </w:sdtContent>
                  </w:sdt>
                  <w:r>
                    <w:rPr>
                      <w:rFonts w:ascii="Arial" w:hAnsi="Arial" w:cs="Arial"/>
                      <w:color w:val="6B9F25"/>
                      <w:sz w:val="22"/>
                      <w:szCs w:val="22"/>
                      <w:u w:val="single"/>
                    </w:rPr>
                    <w:t>. lentelė. AIE potencialas Joniškio rajono savivaldybėje</w:t>
                  </w:r>
                  <w:r>
                    <w:rPr>
                      <w:rFonts w:ascii="Arial" w:hAnsi="Arial" w:cs="Arial"/>
                      <w:sz w:val="22"/>
                      <w:szCs w:val="22"/>
                    </w:rPr>
                    <w:tab/>
                    <w:t>56</w:t>
                  </w:r>
                </w:p>
                <w:p>
                  <w:pPr>
                    <w:rPr>
                      <w:sz w:val="10"/>
                      <w:szCs w:val="10"/>
                    </w:rPr>
                  </w:pPr>
                </w:p>
              </w:sdtContent>
            </w:sdt>
            <w:sdt>
              <w:sdtPr>
                <w:alias w:val="5.1 pp."/>
                <w:tag w:val="part_90364cda3a3345839e259b6253213e2b"/>
                <w:lock w:val="sdtLocked"/>
                <w:richText/>
              </w:sdtPr>
              <w:sdtContent>
                <w:p>
                  <w:pPr>
                    <w:tabs>
                      <w:tab w:val="right" w:leader="dot" w:pos="10195"/>
                    </w:tabs>
                    <w:jc w:val="both"/>
                    <w:rPr>
                      <w:rFonts w:ascii="Arial" w:hAnsi="Arial" w:cs="Arial"/>
                      <w:sz w:val="22"/>
                      <w:szCs w:val="22"/>
                      <w:lang w:eastAsia="lt-LT"/>
                    </w:rPr>
                  </w:pPr>
                  <w:sdt>
                    <w:sdtPr>
                      <w:alias w:val="Numeris"/>
                      <w:tag w:val="nr_90364cda3a3345839e259b6253213e2b"/>
                      <w:lock w:val="sdtLocked"/>
                      <w:richText/>
                    </w:sdtPr>
                    <w:sdtContent>
                      <w:r>
                        <w:rPr>
                          <w:rFonts w:ascii="Arial" w:hAnsi="Arial" w:cs="Arial"/>
                          <w:color w:val="6B9F25"/>
                          <w:sz w:val="22"/>
                          <w:szCs w:val="22"/>
                          <w:u w:val="single"/>
                        </w:rPr>
                        <w:t>5.1</w:t>
                      </w:r>
                    </w:sdtContent>
                  </w:sdt>
                  <w:r>
                    <w:rPr>
                      <w:rFonts w:ascii="Arial" w:hAnsi="Arial" w:cs="Arial"/>
                      <w:color w:val="6B9F25"/>
                      <w:sz w:val="22"/>
                      <w:szCs w:val="22"/>
                      <w:u w:val="single"/>
                    </w:rPr>
                    <w:t>. lentelė. Galutinio energijos poreikio skirtinguose ūkio sektoriuose priklausomybė nuo BVP augimo ir gyventojų skaičiaus kitimo</w:t>
                  </w:r>
                  <w:r>
                    <w:rPr>
                      <w:rFonts w:ascii="Arial" w:hAnsi="Arial" w:cs="Arial"/>
                      <w:sz w:val="22"/>
                      <w:szCs w:val="22"/>
                    </w:rPr>
                    <w:tab/>
                    <w:t>57</w:t>
                  </w:r>
                </w:p>
                <w:p>
                  <w:pPr>
                    <w:rPr>
                      <w:sz w:val="10"/>
                      <w:szCs w:val="10"/>
                    </w:rPr>
                  </w:pPr>
                </w:p>
              </w:sdtContent>
            </w:sdt>
            <w:sdt>
              <w:sdtPr>
                <w:alias w:val="5.2 pp."/>
                <w:tag w:val="part_72107f6dae994c7a969cf3577abecc15"/>
                <w:lock w:val="sdtLocked"/>
                <w:richText/>
              </w:sdtPr>
              <w:sdtContent>
                <w:p>
                  <w:pPr>
                    <w:tabs>
                      <w:tab w:val="right" w:leader="dot" w:pos="10195"/>
                    </w:tabs>
                    <w:jc w:val="both"/>
                    <w:rPr>
                      <w:rFonts w:ascii="Arial" w:hAnsi="Arial" w:cs="Arial"/>
                      <w:sz w:val="22"/>
                      <w:szCs w:val="22"/>
                      <w:lang w:eastAsia="lt-LT"/>
                    </w:rPr>
                  </w:pPr>
                  <w:sdt>
                    <w:sdtPr>
                      <w:alias w:val="Numeris"/>
                      <w:tag w:val="nr_72107f6dae994c7a969cf3577abecc15"/>
                      <w:lock w:val="sdtLocked"/>
                      <w:richText/>
                    </w:sdtPr>
                    <w:sdtContent>
                      <w:r>
                        <w:rPr>
                          <w:rFonts w:ascii="Arial" w:hAnsi="Arial" w:cs="Arial"/>
                          <w:color w:val="6B9F25"/>
                          <w:sz w:val="22"/>
                          <w:szCs w:val="22"/>
                          <w:u w:val="single"/>
                        </w:rPr>
                        <w:t>5.2</w:t>
                      </w:r>
                    </w:sdtContent>
                  </w:sdt>
                  <w:r>
                    <w:rPr>
                      <w:rFonts w:ascii="Arial" w:hAnsi="Arial" w:cs="Arial"/>
                      <w:color w:val="6B9F25"/>
                      <w:sz w:val="22"/>
                      <w:szCs w:val="22"/>
                      <w:u w:val="single"/>
                    </w:rPr>
                    <w:t>. lentelė. BVP ir gyventojų skaičiaus kitimo 2021-2030 m. laikotarpiu prognozės</w:t>
                  </w:r>
                  <w:r>
                    <w:rPr>
                      <w:rFonts w:ascii="Arial" w:hAnsi="Arial" w:cs="Arial"/>
                      <w:sz w:val="22"/>
                      <w:szCs w:val="22"/>
                    </w:rPr>
                    <w:tab/>
                    <w:t>57</w:t>
                  </w:r>
                </w:p>
                <w:p>
                  <w:pPr>
                    <w:rPr>
                      <w:sz w:val="10"/>
                      <w:szCs w:val="10"/>
                    </w:rPr>
                  </w:pPr>
                </w:p>
              </w:sdtContent>
            </w:sdt>
            <w:sdt>
              <w:sdtPr>
                <w:alias w:val="5.1.1 pp."/>
                <w:tag w:val="part_3cbe64d57791438ebd2eb1f16df3ac20"/>
                <w:lock w:val="sdtLocked"/>
                <w:richText/>
              </w:sdtPr>
              <w:sdtContent>
                <w:p>
                  <w:pPr>
                    <w:tabs>
                      <w:tab w:val="right" w:leader="dot" w:pos="10195"/>
                    </w:tabs>
                    <w:jc w:val="both"/>
                    <w:rPr>
                      <w:rFonts w:ascii="Arial" w:hAnsi="Arial" w:cs="Arial"/>
                      <w:sz w:val="22"/>
                      <w:szCs w:val="22"/>
                      <w:lang w:eastAsia="lt-LT"/>
                    </w:rPr>
                  </w:pPr>
                  <w:sdt>
                    <w:sdtPr>
                      <w:alias w:val="Numeris"/>
                      <w:tag w:val="nr_3cbe64d57791438ebd2eb1f16df3ac20"/>
                      <w:lock w:val="sdtLocked"/>
                      <w:richText/>
                    </w:sdtPr>
                    <w:sdtContent>
                      <w:r>
                        <w:rPr>
                          <w:rFonts w:ascii="Arial" w:hAnsi="Arial" w:cs="Arial"/>
                          <w:color w:val="6B9F25"/>
                          <w:sz w:val="22"/>
                          <w:szCs w:val="22"/>
                          <w:u w:val="single"/>
                        </w:rPr>
                        <w:t>5.1.1</w:t>
                      </w:r>
                    </w:sdtContent>
                  </w:sdt>
                  <w:r>
                    <w:rPr>
                      <w:rFonts w:ascii="Arial" w:hAnsi="Arial" w:cs="Arial"/>
                      <w:color w:val="6B9F25"/>
                      <w:sz w:val="22"/>
                      <w:szCs w:val="22"/>
                      <w:u w:val="single"/>
                    </w:rPr>
                    <w:t xml:space="preserve"> lentelė. Planuojamos renovacijos apimtys Joniškio rajono savivaldybėje</w:t>
                  </w:r>
                  <w:r>
                    <w:rPr>
                      <w:rFonts w:ascii="Arial" w:hAnsi="Arial" w:cs="Arial"/>
                      <w:sz w:val="22"/>
                      <w:szCs w:val="22"/>
                    </w:rPr>
                    <w:tab/>
                    <w:t>58</w:t>
                  </w:r>
                </w:p>
                <w:p>
                  <w:pPr>
                    <w:rPr>
                      <w:sz w:val="10"/>
                      <w:szCs w:val="10"/>
                    </w:rPr>
                  </w:pPr>
                </w:p>
              </w:sdtContent>
            </w:sdt>
            <w:sdt>
              <w:sdtPr>
                <w:alias w:val="7.1 pp."/>
                <w:tag w:val="part_f6d2ccb616984db19d3a82edcbc65563"/>
                <w:lock w:val="sdtLocked"/>
                <w:richText/>
              </w:sdtPr>
              <w:sdtContent>
                <w:p>
                  <w:pPr>
                    <w:tabs>
                      <w:tab w:val="right" w:leader="dot" w:pos="10195"/>
                    </w:tabs>
                    <w:jc w:val="both"/>
                    <w:rPr>
                      <w:rFonts w:ascii="Arial" w:hAnsi="Arial" w:cs="Arial"/>
                      <w:sz w:val="22"/>
                      <w:szCs w:val="22"/>
                      <w:lang w:eastAsia="lt-LT"/>
                    </w:rPr>
                  </w:pPr>
                  <w:sdt>
                    <w:sdtPr>
                      <w:alias w:val="Numeris"/>
                      <w:tag w:val="nr_f6d2ccb616984db19d3a82edcbc65563"/>
                      <w:lock w:val="sdtLocked"/>
                      <w:richText/>
                    </w:sdtPr>
                    <w:sdtContent>
                      <w:r>
                        <w:rPr>
                          <w:rFonts w:ascii="Arial" w:hAnsi="Arial" w:cs="Arial"/>
                          <w:color w:val="6B9F25"/>
                          <w:sz w:val="22"/>
                          <w:szCs w:val="22"/>
                          <w:u w:val="single"/>
                        </w:rPr>
                        <w:t>7.1</w:t>
                      </w:r>
                    </w:sdtContent>
                  </w:sdt>
                  <w:r>
                    <w:rPr>
                      <w:rFonts w:ascii="Arial" w:hAnsi="Arial" w:cs="Arial"/>
                      <w:color w:val="6B9F25"/>
                      <w:sz w:val="22"/>
                      <w:szCs w:val="22"/>
                      <w:u w:val="single"/>
                    </w:rPr>
                    <w:t>. lentelė. AIE dalies galutiniame vartojime didinimo priemonės</w:t>
                  </w:r>
                  <w:r>
                    <w:rPr>
                      <w:rFonts w:ascii="Arial" w:hAnsi="Arial" w:cs="Arial"/>
                      <w:sz w:val="22"/>
                      <w:szCs w:val="22"/>
                    </w:rPr>
                    <w:tab/>
                    <w:t>67</w:t>
                  </w:r>
                </w:p>
                <w:p>
                  <w:pPr>
                    <w:rPr>
                      <w:sz w:val="10"/>
                      <w:szCs w:val="10"/>
                    </w:rPr>
                  </w:pPr>
                </w:p>
              </w:sdtContent>
            </w:sdt>
            <w:sdt>
              <w:sdtPr>
                <w:alias w:val="8.2.1 pp."/>
                <w:tag w:val="part_08036c1b4a814fbb91d5da1609b47ae7"/>
                <w:lock w:val="sdtLocked"/>
                <w:richText/>
              </w:sdtPr>
              <w:sdtContent>
                <w:p>
                  <w:pPr>
                    <w:tabs>
                      <w:tab w:val="right" w:leader="dot" w:pos="10195"/>
                    </w:tabs>
                    <w:jc w:val="both"/>
                    <w:rPr>
                      <w:rFonts w:ascii="Arial" w:hAnsi="Arial" w:cs="Arial"/>
                      <w:sz w:val="22"/>
                      <w:szCs w:val="22"/>
                      <w:lang w:eastAsia="lt-LT"/>
                    </w:rPr>
                  </w:pPr>
                  <w:sdt>
                    <w:sdtPr>
                      <w:alias w:val="Numeris"/>
                      <w:tag w:val="nr_08036c1b4a814fbb91d5da1609b47ae7"/>
                      <w:lock w:val="sdtLocked"/>
                      <w:richText/>
                    </w:sdtPr>
                    <w:sdtContent>
                      <w:r>
                        <w:rPr>
                          <w:rFonts w:ascii="Arial" w:hAnsi="Arial" w:cs="Arial"/>
                          <w:color w:val="6B9F25"/>
                          <w:sz w:val="22"/>
                          <w:szCs w:val="22"/>
                          <w:u w:val="single"/>
                        </w:rPr>
                        <w:t>8.2.1</w:t>
                      </w:r>
                    </w:sdtContent>
                  </w:sdt>
                  <w:r>
                    <w:rPr>
                      <w:rFonts w:ascii="Arial" w:hAnsi="Arial" w:cs="Arial"/>
                      <w:color w:val="6B9F25"/>
                      <w:sz w:val="22"/>
                      <w:szCs w:val="22"/>
                      <w:u w:val="single"/>
                    </w:rPr>
                    <w:t xml:space="preserve"> lentelė. Galutinis energijos vartojimas savivaldybėje (AIE 1 scenarijus), tne</w:t>
                  </w:r>
                  <w:r>
                    <w:rPr>
                      <w:rFonts w:ascii="Arial" w:hAnsi="Arial" w:cs="Arial"/>
                      <w:sz w:val="22"/>
                      <w:szCs w:val="22"/>
                    </w:rPr>
                    <w:tab/>
                    <w:t>70</w:t>
                  </w:r>
                </w:p>
                <w:p>
                  <w:pPr>
                    <w:rPr>
                      <w:sz w:val="10"/>
                      <w:szCs w:val="10"/>
                    </w:rPr>
                  </w:pPr>
                </w:p>
              </w:sdtContent>
            </w:sdt>
            <w:sdt>
              <w:sdtPr>
                <w:alias w:val="8.3.1 pp."/>
                <w:tag w:val="part_cced59ffde3142bdb49fbdeb9e0a7c6a"/>
                <w:lock w:val="sdtLocked"/>
                <w:richText/>
              </w:sdtPr>
              <w:sdtContent>
                <w:p>
                  <w:pPr>
                    <w:tabs>
                      <w:tab w:val="right" w:leader="dot" w:pos="10195"/>
                    </w:tabs>
                    <w:jc w:val="both"/>
                    <w:rPr>
                      <w:rFonts w:ascii="Arial" w:hAnsi="Arial" w:cs="Arial"/>
                      <w:sz w:val="22"/>
                      <w:szCs w:val="22"/>
                      <w:lang w:eastAsia="lt-LT"/>
                    </w:rPr>
                  </w:pPr>
                  <w:sdt>
                    <w:sdtPr>
                      <w:alias w:val="Numeris"/>
                      <w:tag w:val="nr_cced59ffde3142bdb49fbdeb9e0a7c6a"/>
                      <w:lock w:val="sdtLocked"/>
                      <w:richText/>
                    </w:sdtPr>
                    <w:sdtContent>
                      <w:r>
                        <w:rPr>
                          <w:rFonts w:ascii="Arial" w:hAnsi="Arial" w:cs="Arial"/>
                          <w:color w:val="6B9F25"/>
                          <w:sz w:val="22"/>
                          <w:szCs w:val="22"/>
                          <w:u w:val="single"/>
                        </w:rPr>
                        <w:t>8.3.1</w:t>
                      </w:r>
                    </w:sdtContent>
                  </w:sdt>
                  <w:r>
                    <w:rPr>
                      <w:rFonts w:ascii="Arial" w:hAnsi="Arial" w:cs="Arial"/>
                      <w:color w:val="6B9F25"/>
                      <w:sz w:val="22"/>
                      <w:szCs w:val="22"/>
                      <w:u w:val="single"/>
                    </w:rPr>
                    <w:t xml:space="preserve"> lentelė. Gaminti energija iš fotomodulių ir kolektorių</w:t>
                  </w:r>
                  <w:r>
                    <w:rPr>
                      <w:rFonts w:ascii="Arial" w:hAnsi="Arial" w:cs="Arial"/>
                      <w:sz w:val="22"/>
                      <w:szCs w:val="22"/>
                    </w:rPr>
                    <w:tab/>
                    <w:t>71</w:t>
                  </w:r>
                </w:p>
                <w:p>
                  <w:pPr>
                    <w:rPr>
                      <w:sz w:val="10"/>
                      <w:szCs w:val="10"/>
                    </w:rPr>
                  </w:pPr>
                </w:p>
              </w:sdtContent>
            </w:sdt>
            <w:sdt>
              <w:sdtPr>
                <w:alias w:val="8.3.2 pp."/>
                <w:tag w:val="part_5b164e1a2a8b4fa4a405840bff709b67"/>
                <w:lock w:val="sdtLocked"/>
                <w:richText/>
              </w:sdtPr>
              <w:sdtContent>
                <w:p>
                  <w:pPr>
                    <w:tabs>
                      <w:tab w:val="right" w:leader="dot" w:pos="10195"/>
                    </w:tabs>
                    <w:jc w:val="both"/>
                    <w:rPr>
                      <w:rFonts w:ascii="Arial" w:hAnsi="Arial" w:cs="Arial"/>
                      <w:sz w:val="22"/>
                      <w:szCs w:val="22"/>
                      <w:lang w:eastAsia="lt-LT"/>
                    </w:rPr>
                  </w:pPr>
                  <w:sdt>
                    <w:sdtPr>
                      <w:alias w:val="Numeris"/>
                      <w:tag w:val="nr_5b164e1a2a8b4fa4a405840bff709b67"/>
                      <w:lock w:val="sdtLocked"/>
                      <w:richText/>
                    </w:sdtPr>
                    <w:sdtContent>
                      <w:r>
                        <w:rPr>
                          <w:rFonts w:ascii="Arial" w:hAnsi="Arial" w:cs="Arial"/>
                          <w:color w:val="6B9F25"/>
                          <w:sz w:val="22"/>
                          <w:szCs w:val="22"/>
                          <w:u w:val="single"/>
                        </w:rPr>
                        <w:t>8.3.2</w:t>
                      </w:r>
                    </w:sdtContent>
                  </w:sdt>
                  <w:r>
                    <w:rPr>
                      <w:rFonts w:ascii="Arial" w:hAnsi="Arial" w:cs="Arial"/>
                      <w:color w:val="6B9F25"/>
                      <w:sz w:val="22"/>
                      <w:szCs w:val="22"/>
                      <w:u w:val="single"/>
                    </w:rPr>
                    <w:t xml:space="preserve"> lentelė. Galutinis energijos vartojimas savivaldybėje (AIE 2 scenarijus), tne</w:t>
                  </w:r>
                  <w:r>
                    <w:rPr>
                      <w:rFonts w:ascii="Arial" w:hAnsi="Arial" w:cs="Arial"/>
                      <w:sz w:val="22"/>
                      <w:szCs w:val="22"/>
                    </w:rPr>
                    <w:tab/>
                    <w:t>71</w:t>
                  </w:r>
                </w:p>
                <w:p>
                  <w:pPr>
                    <w:rPr>
                      <w:sz w:val="10"/>
                      <w:szCs w:val="10"/>
                    </w:rPr>
                  </w:pPr>
                </w:p>
              </w:sdtContent>
            </w:sdt>
            <w:sdt>
              <w:sdtPr>
                <w:alias w:val="8.4.1 pp."/>
                <w:tag w:val="part_005ac184ba65487e87abe2f2a9b1c15e"/>
                <w:lock w:val="sdtLocked"/>
                <w:richText/>
              </w:sdtPr>
              <w:sdtContent>
                <w:p>
                  <w:pPr>
                    <w:tabs>
                      <w:tab w:val="right" w:leader="dot" w:pos="10195"/>
                    </w:tabs>
                    <w:jc w:val="both"/>
                    <w:rPr>
                      <w:rFonts w:ascii="Arial" w:hAnsi="Arial" w:cs="Arial"/>
                      <w:sz w:val="22"/>
                      <w:szCs w:val="22"/>
                      <w:lang w:eastAsia="lt-LT"/>
                    </w:rPr>
                  </w:pPr>
                  <w:sdt>
                    <w:sdtPr>
                      <w:alias w:val="Numeris"/>
                      <w:tag w:val="nr_005ac184ba65487e87abe2f2a9b1c15e"/>
                      <w:lock w:val="sdtLocked"/>
                      <w:richText/>
                    </w:sdtPr>
                    <w:sdtContent>
                      <w:r>
                        <w:rPr>
                          <w:rFonts w:ascii="Arial" w:hAnsi="Arial" w:cs="Arial"/>
                          <w:color w:val="6B9F25"/>
                          <w:sz w:val="22"/>
                          <w:szCs w:val="22"/>
                          <w:u w:val="single"/>
                        </w:rPr>
                        <w:t>8.4.1</w:t>
                      </w:r>
                    </w:sdtContent>
                  </w:sdt>
                  <w:r>
                    <w:rPr>
                      <w:rFonts w:ascii="Arial" w:hAnsi="Arial" w:cs="Arial"/>
                      <w:color w:val="6B9F25"/>
                      <w:sz w:val="22"/>
                      <w:szCs w:val="22"/>
                      <w:u w:val="single"/>
                    </w:rPr>
                    <w:t xml:space="preserve"> lentelė. Galutinis energijos vartojimas savivaldybėje (AIE 3 scenarijus), tne</w:t>
                  </w:r>
                  <w:r>
                    <w:rPr>
                      <w:rFonts w:ascii="Arial" w:hAnsi="Arial" w:cs="Arial"/>
                      <w:sz w:val="22"/>
                      <w:szCs w:val="22"/>
                    </w:rPr>
                    <w:tab/>
                    <w:t>72</w:t>
                  </w:r>
                </w:p>
                <w:p>
                  <w:pPr>
                    <w:rPr>
                      <w:sz w:val="10"/>
                      <w:szCs w:val="10"/>
                    </w:rPr>
                  </w:pPr>
                </w:p>
              </w:sdtContent>
            </w:sdt>
            <w:sdt>
              <w:sdtPr>
                <w:alias w:val="8.5.1 pp."/>
                <w:tag w:val="part_c0da637b6f064317bc0dd8b243eb6418"/>
                <w:lock w:val="sdtLocked"/>
                <w:richText/>
              </w:sdtPr>
              <w:sdtContent>
                <w:p>
                  <w:pPr>
                    <w:tabs>
                      <w:tab w:val="right" w:leader="dot" w:pos="10195"/>
                    </w:tabs>
                    <w:jc w:val="both"/>
                    <w:rPr>
                      <w:rFonts w:ascii="Arial" w:hAnsi="Arial" w:cs="Arial"/>
                      <w:sz w:val="22"/>
                      <w:szCs w:val="22"/>
                      <w:lang w:eastAsia="lt-LT"/>
                    </w:rPr>
                  </w:pPr>
                  <w:sdt>
                    <w:sdtPr>
                      <w:alias w:val="Numeris"/>
                      <w:tag w:val="nr_c0da637b6f064317bc0dd8b243eb6418"/>
                      <w:lock w:val="sdtLocked"/>
                      <w:richText/>
                    </w:sdtPr>
                    <w:sdtContent>
                      <w:r>
                        <w:rPr>
                          <w:rFonts w:ascii="Arial" w:hAnsi="Arial" w:cs="Arial"/>
                          <w:color w:val="6B9F25"/>
                          <w:sz w:val="22"/>
                          <w:szCs w:val="22"/>
                          <w:u w:val="single"/>
                        </w:rPr>
                        <w:t>8.5.1</w:t>
                      </w:r>
                    </w:sdtContent>
                  </w:sdt>
                  <w:r>
                    <w:rPr>
                      <w:rFonts w:ascii="Arial" w:hAnsi="Arial" w:cs="Arial"/>
                      <w:color w:val="6B9F25"/>
                      <w:sz w:val="22"/>
                      <w:szCs w:val="22"/>
                      <w:u w:val="single"/>
                    </w:rPr>
                    <w:t xml:space="preserve"> lentelė. Koncepcinių scenarijų palyginimas</w:t>
                  </w:r>
                  <w:r>
                    <w:rPr>
                      <w:rFonts w:ascii="Arial" w:hAnsi="Arial" w:cs="Arial"/>
                      <w:sz w:val="22"/>
                      <w:szCs w:val="22"/>
                    </w:rPr>
                    <w:tab/>
                    <w:t>73</w:t>
                  </w:r>
                </w:p>
                <w:p>
                  <w:pPr>
                    <w:rPr>
                      <w:sz w:val="10"/>
                      <w:szCs w:val="10"/>
                    </w:rPr>
                  </w:pPr>
                </w:p>
              </w:sdtContent>
            </w:sdt>
            <w:sdt>
              <w:sdtPr>
                <w:alias w:val="10.1.1 pp."/>
                <w:tag w:val="part_a2829d8ef20b47769d69984c207f3159"/>
                <w:lock w:val="sdtLocked"/>
                <w:richText/>
              </w:sdtPr>
              <w:sdtContent>
                <w:p>
                  <w:pPr>
                    <w:tabs>
                      <w:tab w:val="right" w:leader="dot" w:pos="10195"/>
                    </w:tabs>
                    <w:jc w:val="both"/>
                    <w:rPr>
                      <w:rFonts w:ascii="Arial" w:hAnsi="Arial" w:cs="Arial"/>
                      <w:sz w:val="22"/>
                      <w:szCs w:val="22"/>
                      <w:lang w:eastAsia="lt-LT"/>
                    </w:rPr>
                  </w:pPr>
                  <w:sdt>
                    <w:sdtPr>
                      <w:alias w:val="Numeris"/>
                      <w:tag w:val="nr_a2829d8ef20b47769d69984c207f3159"/>
                      <w:lock w:val="sdtLocked"/>
                      <w:richText/>
                    </w:sdtPr>
                    <w:sdtContent>
                      <w:r>
                        <w:rPr>
                          <w:rFonts w:ascii="Arial" w:hAnsi="Arial" w:cs="Arial"/>
                          <w:color w:val="6B9F25"/>
                          <w:sz w:val="22"/>
                          <w:szCs w:val="22"/>
                          <w:u w:val="single"/>
                        </w:rPr>
                        <w:t>10.1.1</w:t>
                      </w:r>
                    </w:sdtContent>
                  </w:sdt>
                  <w:r>
                    <w:rPr>
                      <w:rFonts w:ascii="Arial" w:hAnsi="Arial" w:cs="Arial"/>
                      <w:color w:val="6B9F25"/>
                      <w:sz w:val="22"/>
                      <w:szCs w:val="22"/>
                      <w:u w:val="single"/>
                    </w:rPr>
                    <w:t>. lentelė. AIE dalies energijos balanse duomenų šaltinių ir vertinimo metodų neapibrėžtumo grupės</w:t>
                  </w:r>
                  <w:r>
                    <w:rPr>
                      <w:rFonts w:ascii="Arial" w:hAnsi="Arial" w:cs="Arial"/>
                      <w:sz w:val="22"/>
                      <w:szCs w:val="22"/>
                    </w:rPr>
                    <w:tab/>
                    <w:t>75</w:t>
                  </w:r>
                </w:p>
                <w:p>
                  <w:pPr>
                    <w:rPr>
                      <w:sz w:val="10"/>
                      <w:szCs w:val="10"/>
                    </w:rPr>
                  </w:pPr>
                </w:p>
              </w:sdtContent>
            </w:sdt>
            <w:sdt>
              <w:sdtPr>
                <w:alias w:val="10.1.2 pp."/>
                <w:tag w:val="part_3478a4076f994d4cb69a9720073ba3ba"/>
                <w:lock w:val="sdtLocked"/>
                <w:richText/>
              </w:sdtPr>
              <w:sdtContent>
                <w:p>
                  <w:pPr>
                    <w:tabs>
                      <w:tab w:val="right" w:leader="dot" w:pos="10195"/>
                    </w:tabs>
                    <w:jc w:val="both"/>
                    <w:rPr>
                      <w:rFonts w:ascii="Arial" w:hAnsi="Arial" w:cs="Arial"/>
                      <w:sz w:val="22"/>
                      <w:szCs w:val="22"/>
                      <w:lang w:eastAsia="lt-LT"/>
                    </w:rPr>
                  </w:pPr>
                  <w:sdt>
                    <w:sdtPr>
                      <w:alias w:val="Numeris"/>
                      <w:tag w:val="nr_3478a4076f994d4cb69a9720073ba3ba"/>
                      <w:lock w:val="sdtLocked"/>
                      <w:richText/>
                    </w:sdtPr>
                    <w:sdtContent>
                      <w:r>
                        <w:rPr>
                          <w:rFonts w:ascii="Arial" w:hAnsi="Arial" w:cs="Arial"/>
                          <w:color w:val="6B9F25"/>
                          <w:sz w:val="22"/>
                          <w:szCs w:val="22"/>
                          <w:u w:val="single"/>
                        </w:rPr>
                        <w:t>10.1.2</w:t>
                      </w:r>
                    </w:sdtContent>
                  </w:sdt>
                  <w:r>
                    <w:rPr>
                      <w:rFonts w:ascii="Arial" w:hAnsi="Arial" w:cs="Arial"/>
                      <w:color w:val="6B9F25"/>
                      <w:sz w:val="22"/>
                      <w:szCs w:val="22"/>
                      <w:u w:val="single"/>
                    </w:rPr>
                    <w:t>. lentelė. AIE dalies energijos balanse duomenų šaltinių ir vertinimo metodų neapibrėžtumo grupės</w:t>
                  </w:r>
                  <w:r>
                    <w:rPr>
                      <w:rFonts w:ascii="Arial" w:hAnsi="Arial" w:cs="Arial"/>
                      <w:sz w:val="22"/>
                      <w:szCs w:val="22"/>
                    </w:rPr>
                    <w:tab/>
                    <w:t>75</w:t>
                  </w:r>
                </w:p>
                <w:p>
                  <w:pPr>
                    <w:rPr>
                      <w:sz w:val="10"/>
                      <w:szCs w:val="10"/>
                    </w:rPr>
                  </w:pPr>
                </w:p>
              </w:sdtContent>
            </w:sdt>
            <w:sdt>
              <w:sdtPr>
                <w:alias w:val="9.2.1 pp."/>
                <w:tag w:val="part_6c486ceb674f4f7fb3dc91455f80caf2"/>
                <w:lock w:val="sdtLocked"/>
                <w:richText/>
              </w:sdtPr>
              <w:sdtContent>
                <w:p>
                  <w:pPr>
                    <w:tabs>
                      <w:tab w:val="right" w:leader="dot" w:pos="10195"/>
                    </w:tabs>
                    <w:jc w:val="both"/>
                    <w:rPr>
                      <w:rFonts w:ascii="Arial" w:hAnsi="Arial" w:cs="Arial"/>
                      <w:sz w:val="22"/>
                      <w:szCs w:val="22"/>
                      <w:lang w:eastAsia="lt-LT"/>
                    </w:rPr>
                  </w:pPr>
                  <w:sdt>
                    <w:sdtPr>
                      <w:alias w:val="Numeris"/>
                      <w:tag w:val="nr_6c486ceb674f4f7fb3dc91455f80caf2"/>
                      <w:lock w:val="sdtLocked"/>
                      <w:richText/>
                    </w:sdtPr>
                    <w:sdtContent>
                      <w:r>
                        <w:rPr>
                          <w:rFonts w:ascii="Arial" w:hAnsi="Arial" w:cs="Arial"/>
                          <w:color w:val="6B9F25"/>
                          <w:sz w:val="22"/>
                          <w:szCs w:val="22"/>
                          <w:u w:val="single"/>
                        </w:rPr>
                        <w:t>9.2.1</w:t>
                      </w:r>
                    </w:sdtContent>
                  </w:sdt>
                  <w:r>
                    <w:rPr>
                      <w:rFonts w:ascii="Arial" w:hAnsi="Arial" w:cs="Arial"/>
                      <w:color w:val="6B9F25"/>
                      <w:sz w:val="22"/>
                      <w:szCs w:val="22"/>
                      <w:u w:val="single"/>
                    </w:rPr>
                    <w:t>. lentelė. Rizikos balų suteikimo matrica</w:t>
                  </w:r>
                  <w:r>
                    <w:rPr>
                      <w:rFonts w:ascii="Arial" w:hAnsi="Arial" w:cs="Arial"/>
                      <w:sz w:val="22"/>
                      <w:szCs w:val="22"/>
                    </w:rPr>
                    <w:tab/>
                    <w:t>76</w:t>
                  </w:r>
                </w:p>
                <w:p>
                  <w:pPr>
                    <w:rPr>
                      <w:sz w:val="10"/>
                      <w:szCs w:val="10"/>
                    </w:rPr>
                  </w:pPr>
                </w:p>
              </w:sdtContent>
            </w:sdt>
            <w:sdt>
              <w:sdtPr>
                <w:alias w:val="9.2.2 pp."/>
                <w:tag w:val="part_6a31c68ea2d748a69047d9f94ec77a56"/>
                <w:lock w:val="sdtLocked"/>
                <w:richText/>
              </w:sdtPr>
              <w:sdtContent>
                <w:p>
                  <w:pPr>
                    <w:tabs>
                      <w:tab w:val="right" w:leader="dot" w:pos="10195"/>
                    </w:tabs>
                    <w:jc w:val="both"/>
                    <w:rPr>
                      <w:rFonts w:ascii="Arial" w:hAnsi="Arial" w:cs="Arial"/>
                      <w:sz w:val="22"/>
                      <w:szCs w:val="22"/>
                      <w:lang w:eastAsia="lt-LT"/>
                    </w:rPr>
                  </w:pPr>
                  <w:sdt>
                    <w:sdtPr>
                      <w:alias w:val="Numeris"/>
                      <w:tag w:val="nr_6a31c68ea2d748a69047d9f94ec77a56"/>
                      <w:lock w:val="sdtLocked"/>
                      <w:richText/>
                    </w:sdtPr>
                    <w:sdtContent>
                      <w:r>
                        <w:rPr>
                          <w:rFonts w:ascii="Arial" w:hAnsi="Arial" w:cs="Arial"/>
                          <w:color w:val="6B9F25"/>
                          <w:sz w:val="22"/>
                          <w:szCs w:val="22"/>
                          <w:u w:val="single"/>
                        </w:rPr>
                        <w:t>9.2.2</w:t>
                      </w:r>
                    </w:sdtContent>
                  </w:sdt>
                  <w:r>
                    <w:rPr>
                      <w:rFonts w:ascii="Arial" w:hAnsi="Arial" w:cs="Arial"/>
                      <w:color w:val="6B9F25"/>
                      <w:sz w:val="22"/>
                      <w:szCs w:val="22"/>
                      <w:u w:val="single"/>
                    </w:rPr>
                    <w:t>. lentelė. Rizikos veiksnio kontrolės priemonių poreikio nustatymas</w:t>
                  </w:r>
                  <w:r>
                    <w:rPr>
                      <w:rFonts w:ascii="Arial" w:hAnsi="Arial" w:cs="Arial"/>
                      <w:sz w:val="22"/>
                      <w:szCs w:val="22"/>
                    </w:rPr>
                    <w:tab/>
                    <w:t>76</w:t>
                  </w:r>
                </w:p>
                <w:p>
                  <w:pPr>
                    <w:rPr>
                      <w:sz w:val="10"/>
                      <w:szCs w:val="10"/>
                    </w:rPr>
                  </w:pPr>
                </w:p>
              </w:sdtContent>
            </w:sdt>
            <w:sdt>
              <w:sdtPr>
                <w:alias w:val="9.2.3 pp."/>
                <w:tag w:val="part_a652b502177c424ab13c8d8a916c3fb5"/>
                <w:lock w:val="sdtLocked"/>
                <w:richText/>
              </w:sdtPr>
              <w:sdtContent>
                <w:p>
                  <w:pPr>
                    <w:tabs>
                      <w:tab w:val="right" w:leader="dot" w:pos="10195"/>
                    </w:tabs>
                    <w:jc w:val="both"/>
                    <w:rPr>
                      <w:rFonts w:ascii="Arial" w:hAnsi="Arial" w:cs="Arial"/>
                      <w:sz w:val="22"/>
                      <w:szCs w:val="22"/>
                      <w:lang w:eastAsia="lt-LT"/>
                    </w:rPr>
                  </w:pPr>
                  <w:sdt>
                    <w:sdtPr>
                      <w:alias w:val="Numeris"/>
                      <w:tag w:val="nr_a652b502177c424ab13c8d8a916c3fb5"/>
                      <w:lock w:val="sdtLocked"/>
                      <w:richText/>
                    </w:sdtPr>
                    <w:sdtContent>
                      <w:r>
                        <w:rPr>
                          <w:rFonts w:ascii="Arial" w:hAnsi="Arial" w:cs="Arial"/>
                          <w:color w:val="6B9F25"/>
                          <w:sz w:val="22"/>
                          <w:szCs w:val="22"/>
                          <w:u w:val="single"/>
                        </w:rPr>
                        <w:t>9.2.3</w:t>
                      </w:r>
                    </w:sdtContent>
                  </w:sdt>
                  <w:r>
                    <w:rPr>
                      <w:rFonts w:ascii="Arial" w:hAnsi="Arial" w:cs="Arial"/>
                      <w:color w:val="6B9F25"/>
                      <w:sz w:val="22"/>
                      <w:szCs w:val="22"/>
                      <w:u w:val="single"/>
                    </w:rPr>
                    <w:t>. lentelė. Rizikos tipai ir veiksniai</w:t>
                  </w:r>
                  <w:r>
                    <w:rPr>
                      <w:rFonts w:ascii="Arial" w:hAnsi="Arial" w:cs="Arial"/>
                      <w:sz w:val="22"/>
                      <w:szCs w:val="22"/>
                    </w:rPr>
                    <w:tab/>
                    <w:t>76</w:t>
                  </w:r>
                </w:p>
                <w:p>
                  <w:pPr>
                    <w:rPr>
                      <w:sz w:val="10"/>
                      <w:szCs w:val="10"/>
                    </w:rPr>
                  </w:pPr>
                </w:p>
              </w:sdtContent>
            </w:sdt>
            <w:sdt>
              <w:sdtPr>
                <w:alias w:val="10.2.2.1 pp."/>
                <w:tag w:val="part_cb0cc94e366f4344ad1eda840e468b10"/>
                <w:lock w:val="sdtLocked"/>
                <w:richText/>
              </w:sdtPr>
              <w:sdtContent>
                <w:p>
                  <w:pPr>
                    <w:tabs>
                      <w:tab w:val="right" w:leader="dot" w:pos="10195"/>
                    </w:tabs>
                    <w:jc w:val="both"/>
                    <w:rPr>
                      <w:rFonts w:ascii="Arial" w:hAnsi="Arial" w:cs="Arial"/>
                      <w:sz w:val="22"/>
                      <w:szCs w:val="22"/>
                      <w:lang w:eastAsia="lt-LT"/>
                    </w:rPr>
                  </w:pPr>
                  <w:sdt>
                    <w:sdtPr>
                      <w:alias w:val="Numeris"/>
                      <w:tag w:val="nr_cb0cc94e366f4344ad1eda840e468b10"/>
                      <w:lock w:val="sdtLocked"/>
                      <w:richText/>
                    </w:sdtPr>
                    <w:sdtContent>
                      <w:r>
                        <w:rPr>
                          <w:rFonts w:ascii="Arial" w:hAnsi="Arial" w:cs="Arial"/>
                          <w:color w:val="6B9F25"/>
                          <w:sz w:val="22"/>
                          <w:szCs w:val="22"/>
                          <w:u w:val="single"/>
                        </w:rPr>
                        <w:t>10.2.2.1</w:t>
                      </w:r>
                    </w:sdtContent>
                  </w:sdt>
                  <w:r>
                    <w:rPr>
                      <w:rFonts w:ascii="Arial" w:hAnsi="Arial" w:cs="Arial"/>
                      <w:color w:val="6B9F25"/>
                      <w:sz w:val="22"/>
                      <w:szCs w:val="22"/>
                      <w:u w:val="single"/>
                    </w:rPr>
                    <w:t>. lentelė. Pagalbos intensyvumas</w:t>
                  </w:r>
                  <w:r>
                    <w:rPr>
                      <w:rFonts w:ascii="Arial" w:hAnsi="Arial" w:cs="Arial"/>
                      <w:sz w:val="22"/>
                      <w:szCs w:val="22"/>
                    </w:rPr>
                    <w:tab/>
                    <w:t>82</w:t>
                  </w:r>
                </w:p>
                <w:p>
                  <w:pPr>
                    <w:rPr>
                      <w:sz w:val="10"/>
                      <w:szCs w:val="10"/>
                    </w:rPr>
                  </w:pPr>
                </w:p>
              </w:sdtContent>
            </w:sdt>
            <w:sdt>
              <w:sdtPr>
                <w:alias w:val="10.3.1 pp."/>
                <w:tag w:val="part_73ccaf17abdf4d8db2835f0d05d71d9f"/>
                <w:lock w:val="sdtLocked"/>
                <w:richText/>
              </w:sdtPr>
              <w:sdtContent>
                <w:p>
                  <w:pPr>
                    <w:tabs>
                      <w:tab w:val="right" w:leader="dot" w:pos="10195"/>
                    </w:tabs>
                    <w:jc w:val="both"/>
                    <w:rPr>
                      <w:rFonts w:ascii="Arial" w:hAnsi="Arial" w:cs="Arial"/>
                      <w:sz w:val="22"/>
                      <w:szCs w:val="22"/>
                      <w:lang w:eastAsia="lt-LT"/>
                    </w:rPr>
                  </w:pPr>
                  <w:sdt>
                    <w:sdtPr>
                      <w:alias w:val="Numeris"/>
                      <w:tag w:val="nr_73ccaf17abdf4d8db2835f0d05d71d9f"/>
                      <w:lock w:val="sdtLocked"/>
                      <w:richText/>
                    </w:sdtPr>
                    <w:sdtContent>
                      <w:r>
                        <w:rPr>
                          <w:rFonts w:ascii="Arial" w:hAnsi="Arial" w:cs="Arial"/>
                          <w:color w:val="6B9F25"/>
                          <w:sz w:val="22"/>
                          <w:szCs w:val="22"/>
                          <w:u w:val="single"/>
                        </w:rPr>
                        <w:t>10.3.1</w:t>
                      </w:r>
                    </w:sdtContent>
                  </w:sdt>
                  <w:r>
                    <w:rPr>
                      <w:rFonts w:ascii="Arial" w:hAnsi="Arial" w:cs="Arial"/>
                      <w:color w:val="6B9F25"/>
                      <w:sz w:val="22"/>
                      <w:szCs w:val="22"/>
                      <w:u w:val="single"/>
                    </w:rPr>
                    <w:t>. lentelė. Galimi projektų atrankos principai</w:t>
                  </w:r>
                  <w:r>
                    <w:rPr>
                      <w:rFonts w:ascii="Arial" w:hAnsi="Arial" w:cs="Arial"/>
                      <w:sz w:val="22"/>
                      <w:szCs w:val="22"/>
                    </w:rPr>
                    <w:tab/>
                    <w:t>83</w:t>
                  </w:r>
                </w:p>
                <w:p>
                  <w:pPr>
                    <w:rPr>
                      <w:sz w:val="10"/>
                      <w:szCs w:val="10"/>
                    </w:rPr>
                  </w:pPr>
                </w:p>
              </w:sdtContent>
            </w:sdt>
            <w:sdt>
              <w:sdtPr>
                <w:alias w:val="10.3.2 pp."/>
                <w:tag w:val="part_517baaeea0b44b10aecaeb15855c782d"/>
                <w:lock w:val="sdtLocked"/>
                <w:richText/>
              </w:sdtPr>
              <w:sdtContent>
                <w:p>
                  <w:pPr>
                    <w:tabs>
                      <w:tab w:val="right" w:leader="dot" w:pos="10195"/>
                    </w:tabs>
                    <w:jc w:val="both"/>
                    <w:rPr>
                      <w:rFonts w:ascii="Arial" w:hAnsi="Arial" w:cs="Arial"/>
                      <w:sz w:val="22"/>
                      <w:szCs w:val="22"/>
                      <w:lang w:eastAsia="lt-LT"/>
                    </w:rPr>
                  </w:pPr>
                  <w:sdt>
                    <w:sdtPr>
                      <w:alias w:val="Numeris"/>
                      <w:tag w:val="nr_517baaeea0b44b10aecaeb15855c782d"/>
                      <w:lock w:val="sdtLocked"/>
                      <w:richText/>
                    </w:sdtPr>
                    <w:sdtContent>
                      <w:r>
                        <w:rPr>
                          <w:rFonts w:ascii="Arial" w:hAnsi="Arial" w:cs="Arial"/>
                          <w:color w:val="6B9F25"/>
                          <w:sz w:val="22"/>
                          <w:szCs w:val="22"/>
                          <w:u w:val="single"/>
                        </w:rPr>
                        <w:t>10.3.2</w:t>
                      </w:r>
                    </w:sdtContent>
                  </w:sdt>
                  <w:r>
                    <w:rPr>
                      <w:rFonts w:ascii="Arial" w:hAnsi="Arial" w:cs="Arial"/>
                      <w:color w:val="6B9F25"/>
                      <w:sz w:val="22"/>
                      <w:szCs w:val="22"/>
                      <w:u w:val="single"/>
                    </w:rPr>
                    <w:t>. lentelė. Galimas kriterijų detalizavimas</w:t>
                  </w:r>
                  <w:r>
                    <w:rPr>
                      <w:rFonts w:ascii="Arial" w:hAnsi="Arial" w:cs="Arial"/>
                      <w:sz w:val="22"/>
                      <w:szCs w:val="22"/>
                    </w:rPr>
                    <w:tab/>
                    <w:t>84</w:t>
                  </w:r>
                </w:p>
                <w:p>
                  <w:pPr>
                    <w:rPr>
                      <w:sz w:val="10"/>
                      <w:szCs w:val="10"/>
                    </w:rPr>
                  </w:pPr>
                </w:p>
              </w:sdtContent>
            </w:sdt>
            <w:sdt>
              <w:sdtPr>
                <w:alias w:val="11.1 pp."/>
                <w:tag w:val="part_a46e91eed237433288ffb8f0518bbcfe"/>
                <w:lock w:val="sdtLocked"/>
                <w:richText/>
              </w:sdtPr>
              <w:sdtContent>
                <w:p>
                  <w:pPr>
                    <w:tabs>
                      <w:tab w:val="right" w:leader="dot" w:pos="10195"/>
                    </w:tabs>
                    <w:jc w:val="both"/>
                    <w:rPr>
                      <w:rFonts w:ascii="Arial" w:hAnsi="Arial" w:cs="Arial"/>
                      <w:sz w:val="22"/>
                      <w:szCs w:val="22"/>
                      <w:lang w:eastAsia="lt-LT"/>
                    </w:rPr>
                  </w:pPr>
                  <w:sdt>
                    <w:sdtPr>
                      <w:alias w:val="Numeris"/>
                      <w:tag w:val="nr_a46e91eed237433288ffb8f0518bbcfe"/>
                      <w:lock w:val="sdtLocked"/>
                      <w:richText/>
                    </w:sdtPr>
                    <w:sdtContent>
                      <w:r>
                        <w:rPr>
                          <w:rFonts w:ascii="Arial" w:hAnsi="Arial" w:cs="Arial"/>
                          <w:color w:val="6B9F25"/>
                          <w:sz w:val="22"/>
                          <w:szCs w:val="22"/>
                          <w:u w:val="single"/>
                        </w:rPr>
                        <w:t>11.1</w:t>
                      </w:r>
                    </w:sdtContent>
                  </w:sdt>
                  <w:r>
                    <w:rPr>
                      <w:rFonts w:ascii="Arial" w:hAnsi="Arial" w:cs="Arial"/>
                      <w:color w:val="6B9F25"/>
                      <w:sz w:val="22"/>
                      <w:szCs w:val="22"/>
                      <w:u w:val="single"/>
                    </w:rPr>
                    <w:t xml:space="preserve"> lentelė. Rekomendacijos atsinaujinančių energijos išteklių naudojimo plėtrai</w:t>
                  </w:r>
                  <w:r>
                    <w:rPr>
                      <w:rFonts w:ascii="Arial" w:hAnsi="Arial" w:cs="Arial"/>
                      <w:sz w:val="22"/>
                      <w:szCs w:val="22"/>
                    </w:rPr>
                    <w:tab/>
                    <w:t>86</w:t>
                  </w:r>
                </w:p>
                <w:p>
                  <w:pPr>
                    <w:rPr>
                      <w:sz w:val="20"/>
                    </w:rPr>
                  </w:pPr>
                </w:p>
                <w:p>
                  <w:pPr>
                    <w:keepNext/>
                    <w:keepLines/>
                    <w:jc w:val="center"/>
                    <w:rPr>
                      <w:rFonts w:ascii="Arial" w:hAnsi="Arial" w:cs="Arial"/>
                      <w:b/>
                      <w:caps/>
                      <w:color w:val="002060"/>
                      <w:sz w:val="22"/>
                      <w:szCs w:val="22"/>
                    </w:rPr>
                  </w:pPr>
                </w:p>
                <w:p>
                  <w:pPr>
                    <w:rPr>
                      <w:sz w:val="10"/>
                      <w:szCs w:val="10"/>
                    </w:rPr>
                  </w:pPr>
                </w:p>
                <w:p>
                  <w:pPr>
                    <w:spacing w:line="259" w:lineRule="auto"/>
                    <w:rPr>
                      <w:rFonts w:ascii="Arial" w:hAnsi="Arial" w:cs="Arial"/>
                      <w:sz w:val="22"/>
                      <w:szCs w:val="22"/>
                    </w:rPr>
                  </w:pPr>
                  <w:r>
                    <w:rPr>
                      <w:rFonts w:ascii="Arial" w:hAnsi="Arial" w:cs="Arial"/>
                      <w:sz w:val="22"/>
                      <w:szCs w:val="22"/>
                    </w:rPr>
                    <w:br w:type="page"/>
                  </w:r>
                </w:p>
                <w:p>
                  <w:pPr>
                    <w:rPr>
                      <w:sz w:val="20"/>
                    </w:rPr>
                  </w:pPr>
                </w:p>
              </w:sdtContent>
            </w:sdt>
          </w:sdtContent>
        </w:sdt>
        <w:sdt>
          <w:sdtPr>
            <w:alias w:val="skirsnis"/>
            <w:tag w:val="part_27242e21799a4e96bc442ee8cc0bb840"/>
            <w:lock w:val="sdtLocked"/>
            <w:richText/>
          </w:sdtPr>
          <w:sdtContent>
            <w:p>
              <w:pPr>
                <w:keepNext/>
                <w:keepLines/>
                <w:jc w:val="center"/>
                <w:rPr>
                  <w:rFonts w:ascii="Arial" w:hAnsi="Arial" w:cs="Arial"/>
                  <w:b/>
                  <w:caps/>
                  <w:color w:val="002060"/>
                  <w:sz w:val="28"/>
                  <w:szCs w:val="32"/>
                </w:rPr>
              </w:pPr>
              <w:sdt>
                <w:sdtPr>
                  <w:alias w:val="Pavadinimas"/>
                  <w:tag w:val="title_27242e21799a4e96bc442ee8cc0bb840"/>
                  <w:lock w:val="sdtLocked"/>
                  <w:richText/>
                </w:sdtPr>
                <w:sdtContent>
                  <w:r>
                    <w:rPr>
                      <w:rFonts w:ascii="Arial" w:hAnsi="Arial" w:cs="Arial"/>
                      <w:b/>
                      <w:caps/>
                      <w:color w:val="002060"/>
                      <w:sz w:val="28"/>
                      <w:szCs w:val="32"/>
                    </w:rPr>
                    <w:t>Paveikslų sąrašas</w:t>
                  </w:r>
                </w:sdtContent>
              </w:sdt>
            </w:p>
            <w:p>
              <w:pPr>
                <w:rPr>
                  <w:sz w:val="10"/>
                  <w:szCs w:val="10"/>
                </w:rPr>
              </w:pPr>
            </w:p>
            <w:sdt>
              <w:sdtPr>
                <w:alias w:val="1.1.1 pp."/>
                <w:tag w:val="part_b3bb540a0faf4d2387230983013212d7"/>
                <w:lock w:val="sdtLocked"/>
                <w:richText/>
              </w:sdtPr>
              <w:sdtContent>
                <w:p>
                  <w:pPr>
                    <w:tabs>
                      <w:tab w:val="right" w:leader="dot" w:pos="10195"/>
                    </w:tabs>
                    <w:jc w:val="both"/>
                    <w:rPr>
                      <w:rFonts w:ascii="Arial" w:hAnsi="Arial" w:cs="Arial"/>
                      <w:sz w:val="22"/>
                      <w:szCs w:val="22"/>
                      <w:lang w:eastAsia="lt-LT"/>
                    </w:rPr>
                  </w:pPr>
                  <w:sdt>
                    <w:sdtPr>
                      <w:alias w:val="Numeris"/>
                      <w:tag w:val="nr_b3bb540a0faf4d2387230983013212d7"/>
                      <w:lock w:val="sdtLocked"/>
                      <w:richText/>
                    </w:sdtPr>
                    <w:sdtContent>
                      <w:r>
                        <w:rPr>
                          <w:rFonts w:ascii="Arial" w:hAnsi="Arial" w:cs="Arial"/>
                          <w:color w:val="6B9F25"/>
                          <w:sz w:val="22"/>
                          <w:szCs w:val="22"/>
                          <w:u w:val="single"/>
                        </w:rPr>
                        <w:t>1.1.1</w:t>
                      </w:r>
                    </w:sdtContent>
                  </w:sdt>
                  <w:r>
                    <w:rPr>
                      <w:rFonts w:ascii="Arial" w:hAnsi="Arial" w:cs="Arial"/>
                      <w:color w:val="6B9F25"/>
                      <w:sz w:val="22"/>
                      <w:szCs w:val="22"/>
                      <w:u w:val="single"/>
                    </w:rPr>
                    <w:t>. pav. Joniškio rajono savivaldybės geografinė padėtis</w:t>
                  </w:r>
                  <w:r>
                    <w:rPr>
                      <w:rFonts w:ascii="Arial" w:hAnsi="Arial" w:cs="Arial"/>
                      <w:sz w:val="22"/>
                      <w:szCs w:val="22"/>
                    </w:rPr>
                    <w:tab/>
                    <w:t>12</w:t>
                  </w:r>
                </w:p>
                <w:p>
                  <w:pPr>
                    <w:rPr>
                      <w:sz w:val="10"/>
                      <w:szCs w:val="10"/>
                    </w:rPr>
                  </w:pPr>
                </w:p>
              </w:sdtContent>
            </w:sdt>
            <w:sdt>
              <w:sdtPr>
                <w:alias w:val="1.2.1 pp."/>
                <w:tag w:val="part_c3514ff684fe431cafd18242cccb1e34"/>
                <w:lock w:val="sdtLocked"/>
                <w:richText/>
              </w:sdtPr>
              <w:sdtContent>
                <w:p>
                  <w:pPr>
                    <w:tabs>
                      <w:tab w:val="right" w:leader="dot" w:pos="10195"/>
                    </w:tabs>
                    <w:jc w:val="both"/>
                    <w:rPr>
                      <w:rFonts w:ascii="Arial" w:hAnsi="Arial" w:cs="Arial"/>
                      <w:sz w:val="22"/>
                      <w:szCs w:val="22"/>
                      <w:lang w:eastAsia="lt-LT"/>
                    </w:rPr>
                  </w:pPr>
                  <w:sdt>
                    <w:sdtPr>
                      <w:alias w:val="Numeris"/>
                      <w:tag w:val="nr_c3514ff684fe431cafd18242cccb1e34"/>
                      <w:lock w:val="sdtLocked"/>
                      <w:richText/>
                    </w:sdtPr>
                    <w:sdtContent>
                      <w:r>
                        <w:rPr>
                          <w:rFonts w:ascii="Arial" w:hAnsi="Arial" w:cs="Arial"/>
                          <w:color w:val="6B9F25"/>
                          <w:sz w:val="22"/>
                          <w:szCs w:val="22"/>
                          <w:u w:val="single"/>
                        </w:rPr>
                        <w:t>1.2.1</w:t>
                      </w:r>
                    </w:sdtContent>
                  </w:sdt>
                  <w:r>
                    <w:rPr>
                      <w:rFonts w:ascii="Arial" w:hAnsi="Arial" w:cs="Arial"/>
                      <w:color w:val="6B9F25"/>
                      <w:sz w:val="22"/>
                      <w:szCs w:val="22"/>
                      <w:u w:val="single"/>
                    </w:rPr>
                    <w:t>. pav. Lietuvos Respublikos vėjo greičio ir saulės spindėjimo trukmės žemėlapiai</w:t>
                  </w:r>
                  <w:r>
                    <w:rPr>
                      <w:rFonts w:ascii="Arial" w:hAnsi="Arial" w:cs="Arial"/>
                      <w:sz w:val="22"/>
                      <w:szCs w:val="22"/>
                    </w:rPr>
                    <w:tab/>
                    <w:t>13</w:t>
                  </w:r>
                </w:p>
                <w:p>
                  <w:pPr>
                    <w:rPr>
                      <w:sz w:val="10"/>
                      <w:szCs w:val="10"/>
                    </w:rPr>
                  </w:pPr>
                </w:p>
              </w:sdtContent>
            </w:sdt>
            <w:sdt>
              <w:sdtPr>
                <w:alias w:val="1.3.1 pp."/>
                <w:tag w:val="part_b8d30f898683403c8df7ef4fc14c874e"/>
                <w:lock w:val="sdtLocked"/>
                <w:richText/>
              </w:sdtPr>
              <w:sdtContent>
                <w:p>
                  <w:pPr>
                    <w:tabs>
                      <w:tab w:val="right" w:leader="dot" w:pos="10195"/>
                    </w:tabs>
                    <w:jc w:val="both"/>
                    <w:rPr>
                      <w:rFonts w:ascii="Arial" w:hAnsi="Arial" w:cs="Arial"/>
                      <w:sz w:val="22"/>
                      <w:szCs w:val="22"/>
                      <w:lang w:eastAsia="lt-LT"/>
                    </w:rPr>
                  </w:pPr>
                  <w:sdt>
                    <w:sdtPr>
                      <w:alias w:val="Numeris"/>
                      <w:tag w:val="nr_b8d30f898683403c8df7ef4fc14c874e"/>
                      <w:lock w:val="sdtLocked"/>
                      <w:richText/>
                    </w:sdtPr>
                    <w:sdtContent>
                      <w:r>
                        <w:rPr>
                          <w:rFonts w:ascii="Arial" w:hAnsi="Arial" w:cs="Arial"/>
                          <w:color w:val="6B9F25"/>
                          <w:sz w:val="22"/>
                          <w:szCs w:val="22"/>
                          <w:u w:val="single"/>
                        </w:rPr>
                        <w:t>1.3.1</w:t>
                      </w:r>
                    </w:sdtContent>
                  </w:sdt>
                  <w:r>
                    <w:rPr>
                      <w:rFonts w:ascii="Arial" w:hAnsi="Arial" w:cs="Arial"/>
                      <w:color w:val="6B9F25"/>
                      <w:sz w:val="22"/>
                      <w:szCs w:val="22"/>
                      <w:u w:val="single"/>
                    </w:rPr>
                    <w:t>. pav. Paslaugos paklausos prognozė (gyventojų skaičius)</w:t>
                  </w:r>
                  <w:r>
                    <w:rPr>
                      <w:rFonts w:ascii="Arial" w:hAnsi="Arial" w:cs="Arial"/>
                      <w:sz w:val="22"/>
                      <w:szCs w:val="22"/>
                    </w:rPr>
                    <w:tab/>
                    <w:t>15</w:t>
                  </w:r>
                </w:p>
                <w:p>
                  <w:pPr>
                    <w:rPr>
                      <w:sz w:val="10"/>
                      <w:szCs w:val="10"/>
                    </w:rPr>
                  </w:pPr>
                </w:p>
              </w:sdtContent>
            </w:sdt>
            <w:sdt>
              <w:sdtPr>
                <w:alias w:val="1.3.2.1 pp."/>
                <w:tag w:val="part_661d422d6b084a428b33d8e1775ddf14"/>
                <w:lock w:val="sdtLocked"/>
                <w:richText/>
              </w:sdtPr>
              <w:sdtContent>
                <w:p>
                  <w:pPr>
                    <w:tabs>
                      <w:tab w:val="right" w:leader="dot" w:pos="10195"/>
                    </w:tabs>
                    <w:jc w:val="both"/>
                    <w:rPr>
                      <w:rFonts w:ascii="Arial" w:hAnsi="Arial" w:cs="Arial"/>
                      <w:sz w:val="22"/>
                      <w:szCs w:val="22"/>
                      <w:lang w:eastAsia="lt-LT"/>
                    </w:rPr>
                  </w:pPr>
                  <w:sdt>
                    <w:sdtPr>
                      <w:alias w:val="Numeris"/>
                      <w:tag w:val="nr_661d422d6b084a428b33d8e1775ddf14"/>
                      <w:lock w:val="sdtLocked"/>
                      <w:richText/>
                    </w:sdtPr>
                    <w:sdtContent>
                      <w:r>
                        <w:rPr>
                          <w:rFonts w:ascii="Arial" w:hAnsi="Arial" w:cs="Arial"/>
                          <w:color w:val="6B9F25"/>
                          <w:sz w:val="22"/>
                          <w:szCs w:val="22"/>
                          <w:u w:val="single"/>
                        </w:rPr>
                        <w:t>1.3.2.1</w:t>
                      </w:r>
                    </w:sdtContent>
                  </w:sdt>
                  <w:r>
                    <w:rPr>
                      <w:rFonts w:ascii="Arial" w:hAnsi="Arial" w:cs="Arial"/>
                      <w:color w:val="6B9F25"/>
                      <w:sz w:val="22"/>
                      <w:szCs w:val="22"/>
                      <w:u w:val="single"/>
                    </w:rPr>
                    <w:t>. pav. Gyvenamosios paskirties pastatai Joniškio rajono savivaldybėje</w:t>
                  </w:r>
                  <w:r>
                    <w:rPr>
                      <w:rFonts w:ascii="Arial" w:hAnsi="Arial" w:cs="Arial"/>
                      <w:sz w:val="22"/>
                      <w:szCs w:val="22"/>
                    </w:rPr>
                    <w:tab/>
                    <w:t>16</w:t>
                  </w:r>
                </w:p>
                <w:p>
                  <w:pPr>
                    <w:rPr>
                      <w:sz w:val="10"/>
                      <w:szCs w:val="10"/>
                    </w:rPr>
                  </w:pPr>
                </w:p>
              </w:sdtContent>
            </w:sdt>
            <w:sdt>
              <w:sdtPr>
                <w:alias w:val="1.3.2.2 pp."/>
                <w:tag w:val="part_2be948d801ea445194855caca9e628b0"/>
                <w:lock w:val="sdtLocked"/>
                <w:richText/>
              </w:sdtPr>
              <w:sdtContent>
                <w:p>
                  <w:pPr>
                    <w:tabs>
                      <w:tab w:val="right" w:leader="dot" w:pos="10195"/>
                    </w:tabs>
                    <w:jc w:val="both"/>
                    <w:rPr>
                      <w:rFonts w:ascii="Arial" w:hAnsi="Arial" w:cs="Arial"/>
                      <w:sz w:val="22"/>
                      <w:szCs w:val="22"/>
                      <w:lang w:eastAsia="lt-LT"/>
                    </w:rPr>
                  </w:pPr>
                  <w:sdt>
                    <w:sdtPr>
                      <w:alias w:val="Numeris"/>
                      <w:tag w:val="nr_2be948d801ea445194855caca9e628b0"/>
                      <w:lock w:val="sdtLocked"/>
                      <w:richText/>
                    </w:sdtPr>
                    <w:sdtContent>
                      <w:r>
                        <w:rPr>
                          <w:rFonts w:ascii="Arial" w:hAnsi="Arial" w:cs="Arial"/>
                          <w:color w:val="6B9F25"/>
                          <w:sz w:val="22"/>
                          <w:szCs w:val="22"/>
                          <w:u w:val="single"/>
                        </w:rPr>
                        <w:t>1.3.2.2</w:t>
                      </w:r>
                    </w:sdtContent>
                  </w:sdt>
                  <w:r>
                    <w:rPr>
                      <w:rFonts w:ascii="Arial" w:hAnsi="Arial" w:cs="Arial"/>
                      <w:color w:val="6B9F25"/>
                      <w:sz w:val="22"/>
                      <w:szCs w:val="22"/>
                      <w:u w:val="single"/>
                    </w:rPr>
                    <w:t>. pav. Gyvenamojo ploto pasiskirstymas Joniškio rajono savivaldybėje pagal statybos metus</w:t>
                  </w:r>
                  <w:r>
                    <w:rPr>
                      <w:rFonts w:ascii="Arial" w:hAnsi="Arial" w:cs="Arial"/>
                      <w:sz w:val="22"/>
                      <w:szCs w:val="22"/>
                    </w:rPr>
                    <w:tab/>
                    <w:t>17</w:t>
                  </w:r>
                </w:p>
                <w:p>
                  <w:pPr>
                    <w:rPr>
                      <w:sz w:val="10"/>
                      <w:szCs w:val="10"/>
                    </w:rPr>
                  </w:pPr>
                </w:p>
              </w:sdtContent>
            </w:sdt>
            <w:sdt>
              <w:sdtPr>
                <w:alias w:val="1.3.2.3 pp."/>
                <w:tag w:val="part_e32350d31e31492d880cd4e2ac904883"/>
                <w:lock w:val="sdtLocked"/>
                <w:richText/>
              </w:sdtPr>
              <w:sdtContent>
                <w:p>
                  <w:pPr>
                    <w:tabs>
                      <w:tab w:val="right" w:leader="dot" w:pos="10195"/>
                    </w:tabs>
                    <w:jc w:val="both"/>
                    <w:rPr>
                      <w:rFonts w:ascii="Arial" w:hAnsi="Arial" w:cs="Arial"/>
                      <w:sz w:val="22"/>
                      <w:szCs w:val="22"/>
                      <w:lang w:eastAsia="lt-LT"/>
                    </w:rPr>
                  </w:pPr>
                  <w:sdt>
                    <w:sdtPr>
                      <w:alias w:val="Numeris"/>
                      <w:tag w:val="nr_e32350d31e31492d880cd4e2ac904883"/>
                      <w:lock w:val="sdtLocked"/>
                      <w:richText/>
                    </w:sdtPr>
                    <w:sdtContent>
                      <w:r>
                        <w:rPr>
                          <w:rFonts w:ascii="Arial" w:hAnsi="Arial" w:cs="Arial"/>
                          <w:color w:val="6B9F25"/>
                          <w:sz w:val="22"/>
                          <w:szCs w:val="22"/>
                          <w:u w:val="single"/>
                        </w:rPr>
                        <w:t>1.3.2.3</w:t>
                      </w:r>
                    </w:sdtContent>
                  </w:sdt>
                  <w:r>
                    <w:rPr>
                      <w:rFonts w:ascii="Arial" w:hAnsi="Arial" w:cs="Arial"/>
                      <w:color w:val="6B9F25"/>
                      <w:sz w:val="22"/>
                      <w:szCs w:val="22"/>
                      <w:u w:val="single"/>
                    </w:rPr>
                    <w:t>. pav. Gyvenamosios paskirties pastatai pagal statybines medžiagas Joniškio rajono savivaldybėje</w:t>
                  </w:r>
                  <w:r>
                    <w:rPr>
                      <w:rFonts w:ascii="Arial" w:hAnsi="Arial" w:cs="Arial"/>
                      <w:sz w:val="22"/>
                      <w:szCs w:val="22"/>
                    </w:rPr>
                    <w:tab/>
                    <w:t>18</w:t>
                  </w:r>
                </w:p>
                <w:p>
                  <w:pPr>
                    <w:rPr>
                      <w:sz w:val="10"/>
                      <w:szCs w:val="10"/>
                    </w:rPr>
                  </w:pPr>
                </w:p>
              </w:sdtContent>
            </w:sdt>
            <w:sdt>
              <w:sdtPr>
                <w:alias w:val="1.7.1 pp."/>
                <w:tag w:val="part_b1ef8bbe7a8649f0afe84c41fccf7b42"/>
                <w:lock w:val="sdtLocked"/>
                <w:richText/>
              </w:sdtPr>
              <w:sdtContent>
                <w:p>
                  <w:pPr>
                    <w:tabs>
                      <w:tab w:val="right" w:leader="dot" w:pos="10195"/>
                    </w:tabs>
                    <w:jc w:val="both"/>
                    <w:rPr>
                      <w:rFonts w:ascii="Arial" w:hAnsi="Arial" w:cs="Arial"/>
                      <w:sz w:val="22"/>
                      <w:szCs w:val="22"/>
                      <w:lang w:eastAsia="lt-LT"/>
                    </w:rPr>
                  </w:pPr>
                  <w:sdt>
                    <w:sdtPr>
                      <w:alias w:val="Numeris"/>
                      <w:tag w:val="nr_b1ef8bbe7a8649f0afe84c41fccf7b42"/>
                      <w:lock w:val="sdtLocked"/>
                      <w:richText/>
                    </w:sdtPr>
                    <w:sdtContent>
                      <w:r>
                        <w:rPr>
                          <w:rFonts w:ascii="Arial" w:hAnsi="Arial" w:cs="Arial"/>
                          <w:color w:val="6B9F25"/>
                          <w:sz w:val="22"/>
                          <w:szCs w:val="22"/>
                          <w:u w:val="single"/>
                        </w:rPr>
                        <w:t>1.7.1</w:t>
                      </w:r>
                    </w:sdtContent>
                  </w:sdt>
                  <w:r>
                    <w:rPr>
                      <w:rFonts w:ascii="Arial" w:hAnsi="Arial" w:cs="Arial"/>
                      <w:color w:val="6B9F25"/>
                      <w:sz w:val="22"/>
                      <w:szCs w:val="22"/>
                      <w:u w:val="single"/>
                    </w:rPr>
                    <w:t>. pav. Lietuvos dujų tinklas</w:t>
                  </w:r>
                  <w:r>
                    <w:rPr>
                      <w:rFonts w:ascii="Arial" w:hAnsi="Arial" w:cs="Arial"/>
                      <w:sz w:val="22"/>
                      <w:szCs w:val="22"/>
                    </w:rPr>
                    <w:tab/>
                    <w:t>25</w:t>
                  </w:r>
                </w:p>
                <w:p>
                  <w:pPr>
                    <w:rPr>
                      <w:sz w:val="10"/>
                      <w:szCs w:val="10"/>
                    </w:rPr>
                  </w:pPr>
                </w:p>
              </w:sdtContent>
            </w:sdt>
            <w:sdt>
              <w:sdtPr>
                <w:alias w:val="3.1 pp."/>
                <w:tag w:val="part_7ada4402e9e641b8b1c392aeecde16de"/>
                <w:lock w:val="sdtLocked"/>
                <w:richText/>
              </w:sdtPr>
              <w:sdtContent>
                <w:p>
                  <w:pPr>
                    <w:tabs>
                      <w:tab w:val="right" w:leader="dot" w:pos="10195"/>
                    </w:tabs>
                    <w:jc w:val="both"/>
                    <w:rPr>
                      <w:rFonts w:ascii="Arial" w:hAnsi="Arial" w:cs="Arial"/>
                      <w:sz w:val="22"/>
                      <w:szCs w:val="22"/>
                      <w:lang w:eastAsia="lt-LT"/>
                    </w:rPr>
                  </w:pPr>
                  <w:sdt>
                    <w:sdtPr>
                      <w:alias w:val="Numeris"/>
                      <w:tag w:val="nr_7ada4402e9e641b8b1c392aeecde16de"/>
                      <w:lock w:val="sdtLocked"/>
                      <w:richText/>
                    </w:sdtPr>
                    <w:sdtContent>
                      <w:r>
                        <w:rPr>
                          <w:rFonts w:ascii="Arial" w:hAnsi="Arial" w:cs="Arial"/>
                          <w:color w:val="6B9F25"/>
                          <w:sz w:val="22"/>
                          <w:szCs w:val="22"/>
                          <w:u w:val="single"/>
                        </w:rPr>
                        <w:t>3.1</w:t>
                      </w:r>
                    </w:sdtContent>
                  </w:sdt>
                  <w:r>
                    <w:rPr>
                      <w:rFonts w:ascii="Arial" w:hAnsi="Arial" w:cs="Arial"/>
                      <w:color w:val="6B9F25"/>
                      <w:sz w:val="22"/>
                      <w:szCs w:val="22"/>
                      <w:u w:val="single"/>
                    </w:rPr>
                    <w:t>. pav. Lietuvos energetikos sektoriuje 2020 ir 2030 metais siekiami tikslai</w:t>
                  </w:r>
                  <w:r>
                    <w:rPr>
                      <w:rFonts w:ascii="Arial" w:hAnsi="Arial" w:cs="Arial"/>
                      <w:sz w:val="22"/>
                      <w:szCs w:val="22"/>
                    </w:rPr>
                    <w:tab/>
                    <w:t>32</w:t>
                  </w:r>
                </w:p>
                <w:p>
                  <w:pPr>
                    <w:rPr>
                      <w:sz w:val="10"/>
                      <w:szCs w:val="10"/>
                    </w:rPr>
                  </w:pPr>
                </w:p>
              </w:sdtContent>
            </w:sdt>
            <w:sdt>
              <w:sdtPr>
                <w:alias w:val="4.6.1 pp."/>
                <w:tag w:val="part_278c9ad42a1e40cc84b050930a4be3a7"/>
                <w:lock w:val="sdtLocked"/>
                <w:richText/>
              </w:sdtPr>
              <w:sdtContent>
                <w:p>
                  <w:pPr>
                    <w:tabs>
                      <w:tab w:val="right" w:leader="dot" w:pos="10195"/>
                    </w:tabs>
                    <w:jc w:val="both"/>
                    <w:rPr>
                      <w:rFonts w:ascii="Arial" w:hAnsi="Arial" w:cs="Arial"/>
                      <w:sz w:val="22"/>
                      <w:szCs w:val="22"/>
                      <w:lang w:eastAsia="lt-LT"/>
                    </w:rPr>
                  </w:pPr>
                  <w:sdt>
                    <w:sdtPr>
                      <w:alias w:val="Numeris"/>
                      <w:tag w:val="nr_278c9ad42a1e40cc84b050930a4be3a7"/>
                      <w:lock w:val="sdtLocked"/>
                      <w:richText/>
                    </w:sdtPr>
                    <w:sdtContent>
                      <w:r>
                        <w:rPr>
                          <w:rFonts w:ascii="Arial" w:eastAsia="SegoeUI" w:hAnsi="Arial" w:cs="Arial"/>
                          <w:color w:val="6B9F25"/>
                          <w:sz w:val="22"/>
                          <w:szCs w:val="22"/>
                          <w:u w:val="single"/>
                        </w:rPr>
                        <w:t>4.6.1</w:t>
                      </w:r>
                    </w:sdtContent>
                  </w:sdt>
                  <w:r>
                    <w:rPr>
                      <w:rFonts w:ascii="Arial" w:eastAsia="SegoeUI" w:hAnsi="Arial" w:cs="Arial"/>
                      <w:color w:val="6B9F25"/>
                      <w:sz w:val="22"/>
                      <w:szCs w:val="22"/>
                      <w:u w:val="single"/>
                    </w:rPr>
                    <w:t>. pav</w:t>
                  </w:r>
                  <w:r>
                    <w:rPr>
                      <w:rFonts w:ascii="Arial" w:hAnsi="Arial" w:cs="Arial"/>
                      <w:color w:val="6B9F25"/>
                      <w:sz w:val="22"/>
                      <w:szCs w:val="22"/>
                      <w:u w:val="single"/>
                    </w:rPr>
                    <w:t>. Vidutinio metinio vėjo greičio pasiskirstymo Lietuvoje žemėlapis</w:t>
                  </w:r>
                  <w:r>
                    <w:rPr>
                      <w:rFonts w:ascii="Arial" w:hAnsi="Arial" w:cs="Arial"/>
                      <w:sz w:val="22"/>
                      <w:szCs w:val="22"/>
                    </w:rPr>
                    <w:tab/>
                    <w:t>42</w:t>
                  </w:r>
                </w:p>
                <w:p>
                  <w:pPr>
                    <w:rPr>
                      <w:sz w:val="10"/>
                      <w:szCs w:val="10"/>
                    </w:rPr>
                  </w:pPr>
                </w:p>
              </w:sdtContent>
            </w:sdt>
            <w:sdt>
              <w:sdtPr>
                <w:alias w:val="4.6.2 pp."/>
                <w:tag w:val="part_2969f8cf176141f4b19657d81a704563"/>
                <w:lock w:val="sdtLocked"/>
                <w:richText/>
              </w:sdtPr>
              <w:sdtContent>
                <w:p>
                  <w:pPr>
                    <w:tabs>
                      <w:tab w:val="right" w:leader="dot" w:pos="10195"/>
                    </w:tabs>
                    <w:jc w:val="both"/>
                    <w:rPr>
                      <w:rFonts w:ascii="Arial" w:hAnsi="Arial" w:cs="Arial"/>
                      <w:sz w:val="22"/>
                      <w:szCs w:val="22"/>
                      <w:lang w:eastAsia="lt-LT"/>
                    </w:rPr>
                  </w:pPr>
                  <w:sdt>
                    <w:sdtPr>
                      <w:alias w:val="Numeris"/>
                      <w:tag w:val="nr_2969f8cf176141f4b19657d81a704563"/>
                      <w:lock w:val="sdtLocked"/>
                      <w:richText/>
                    </w:sdtPr>
                    <w:sdtContent>
                      <w:r>
                        <w:rPr>
                          <w:rFonts w:ascii="Arial" w:eastAsia="SegoeUI" w:hAnsi="Arial" w:cs="Arial"/>
                          <w:color w:val="6B9F25"/>
                          <w:sz w:val="22"/>
                          <w:szCs w:val="22"/>
                          <w:u w:val="single"/>
                        </w:rPr>
                        <w:t>4.6.2</w:t>
                      </w:r>
                    </w:sdtContent>
                  </w:sdt>
                  <w:r>
                    <w:rPr>
                      <w:rFonts w:ascii="Arial" w:eastAsia="SegoeUI" w:hAnsi="Arial" w:cs="Arial"/>
                      <w:color w:val="6B9F25"/>
                      <w:sz w:val="22"/>
                      <w:szCs w:val="22"/>
                      <w:u w:val="single"/>
                    </w:rPr>
                    <w:t>. pav</w:t>
                  </w:r>
                  <w:r>
                    <w:rPr>
                      <w:rFonts w:ascii="Arial" w:hAnsi="Arial" w:cs="Arial"/>
                      <w:color w:val="6B9F25"/>
                      <w:sz w:val="22"/>
                      <w:szCs w:val="22"/>
                      <w:u w:val="single"/>
                    </w:rPr>
                    <w:t>. Teritorijos, kurioje gali būti ribojami vėjų elektrinių (aukštų statinių) projektavimo ir statybos darbai, žemėlapis</w:t>
                  </w:r>
                  <w:r>
                    <w:rPr>
                      <w:rFonts w:ascii="Arial" w:hAnsi="Arial" w:cs="Arial"/>
                      <w:sz w:val="22"/>
                      <w:szCs w:val="22"/>
                    </w:rPr>
                    <w:tab/>
                    <w:t>44</w:t>
                  </w:r>
                </w:p>
                <w:p>
                  <w:pPr>
                    <w:rPr>
                      <w:sz w:val="10"/>
                      <w:szCs w:val="10"/>
                    </w:rPr>
                  </w:pPr>
                </w:p>
              </w:sdtContent>
            </w:sdt>
            <w:sdt>
              <w:sdtPr>
                <w:alias w:val="4.7.1 pp."/>
                <w:tag w:val="part_c406998104504dfcb129d86e191fe0c2"/>
                <w:lock w:val="sdtLocked"/>
                <w:richText/>
              </w:sdtPr>
              <w:sdtContent>
                <w:p>
                  <w:pPr>
                    <w:tabs>
                      <w:tab w:val="right" w:leader="dot" w:pos="10195"/>
                    </w:tabs>
                    <w:jc w:val="both"/>
                    <w:rPr>
                      <w:rFonts w:ascii="Arial" w:hAnsi="Arial" w:cs="Arial"/>
                      <w:sz w:val="22"/>
                      <w:szCs w:val="22"/>
                      <w:lang w:eastAsia="lt-LT"/>
                    </w:rPr>
                  </w:pPr>
                  <w:sdt>
                    <w:sdtPr>
                      <w:alias w:val="Numeris"/>
                      <w:tag w:val="nr_c406998104504dfcb129d86e191fe0c2"/>
                      <w:lock w:val="sdtLocked"/>
                      <w:richText/>
                    </w:sdtPr>
                    <w:sdtContent>
                      <w:r>
                        <w:rPr>
                          <w:rFonts w:ascii="Arial" w:hAnsi="Arial" w:cs="Arial"/>
                          <w:color w:val="6B9F25"/>
                          <w:sz w:val="22"/>
                          <w:szCs w:val="22"/>
                          <w:u w:val="single"/>
                        </w:rPr>
                        <w:t>4.7.1</w:t>
                      </w:r>
                    </w:sdtContent>
                  </w:sdt>
                  <w:r>
                    <w:rPr>
                      <w:rFonts w:ascii="Arial" w:hAnsi="Arial" w:cs="Arial"/>
                      <w:color w:val="6B9F25"/>
                      <w:sz w:val="22"/>
                      <w:szCs w:val="22"/>
                      <w:u w:val="single"/>
                    </w:rPr>
                    <w:t>. pav. Vidutinė metinė saulės spinduliavimo trukmė skirtinguose Lietuvos regionuose</w:t>
                  </w:r>
                  <w:r>
                    <w:rPr>
                      <w:rFonts w:ascii="Arial" w:hAnsi="Arial" w:cs="Arial"/>
                      <w:sz w:val="22"/>
                      <w:szCs w:val="22"/>
                    </w:rPr>
                    <w:tab/>
                    <w:t>45</w:t>
                  </w:r>
                </w:p>
                <w:p>
                  <w:pPr>
                    <w:rPr>
                      <w:sz w:val="10"/>
                      <w:szCs w:val="10"/>
                    </w:rPr>
                  </w:pPr>
                </w:p>
              </w:sdtContent>
            </w:sdt>
            <w:sdt>
              <w:sdtPr>
                <w:alias w:val="4.8.1 pp."/>
                <w:tag w:val="part_2126e5425b3c4d78a239810bb3576d36"/>
                <w:lock w:val="sdtLocked"/>
                <w:richText/>
              </w:sdtPr>
              <w:sdtContent>
                <w:p>
                  <w:pPr>
                    <w:tabs>
                      <w:tab w:val="right" w:leader="dot" w:pos="10195"/>
                    </w:tabs>
                    <w:jc w:val="both"/>
                    <w:rPr>
                      <w:rFonts w:ascii="Arial" w:hAnsi="Arial" w:cs="Arial"/>
                      <w:sz w:val="22"/>
                      <w:szCs w:val="22"/>
                      <w:lang w:eastAsia="lt-LT"/>
                    </w:rPr>
                  </w:pPr>
                  <w:sdt>
                    <w:sdtPr>
                      <w:alias w:val="Numeris"/>
                      <w:tag w:val="nr_2126e5425b3c4d78a239810bb3576d36"/>
                      <w:lock w:val="sdtLocked"/>
                      <w:richText/>
                    </w:sdtPr>
                    <w:sdtContent>
                      <w:r>
                        <w:rPr>
                          <w:rFonts w:ascii="Arial" w:hAnsi="Arial" w:cs="Arial"/>
                          <w:color w:val="6B9F25"/>
                          <w:sz w:val="22"/>
                          <w:szCs w:val="22"/>
                          <w:u w:val="single"/>
                        </w:rPr>
                        <w:t>4.8.1</w:t>
                      </w:r>
                    </w:sdtContent>
                  </w:sdt>
                  <w:r>
                    <w:rPr>
                      <w:rFonts w:ascii="Arial" w:hAnsi="Arial" w:cs="Arial"/>
                      <w:color w:val="6B9F25"/>
                      <w:sz w:val="22"/>
                      <w:szCs w:val="22"/>
                      <w:u w:val="single"/>
                    </w:rPr>
                    <w:t>. pav. Kambro vandeningo sluoksnio kraigo temperatūrų žemėlapis</w:t>
                  </w:r>
                  <w:r>
                    <w:rPr>
                      <w:rFonts w:ascii="Arial" w:hAnsi="Arial" w:cs="Arial"/>
                      <w:sz w:val="22"/>
                      <w:szCs w:val="22"/>
                    </w:rPr>
                    <w:tab/>
                    <w:t>48</w:t>
                  </w:r>
                </w:p>
                <w:p>
                  <w:pPr>
                    <w:rPr>
                      <w:sz w:val="10"/>
                      <w:szCs w:val="10"/>
                    </w:rPr>
                  </w:pPr>
                </w:p>
              </w:sdtContent>
            </w:sdt>
            <w:sdt>
              <w:sdtPr>
                <w:alias w:val="4.9.1 pp."/>
                <w:tag w:val="part_1b1cbc242e7041c4a72531356bace88a"/>
                <w:lock w:val="sdtLocked"/>
                <w:richText/>
              </w:sdtPr>
              <w:sdtContent>
                <w:p>
                  <w:pPr>
                    <w:tabs>
                      <w:tab w:val="right" w:leader="dot" w:pos="10195"/>
                    </w:tabs>
                    <w:jc w:val="both"/>
                    <w:rPr>
                      <w:rFonts w:ascii="Arial" w:hAnsi="Arial" w:cs="Arial"/>
                      <w:sz w:val="22"/>
                      <w:szCs w:val="22"/>
                      <w:lang w:eastAsia="lt-LT"/>
                    </w:rPr>
                  </w:pPr>
                  <w:sdt>
                    <w:sdtPr>
                      <w:alias w:val="Numeris"/>
                      <w:tag w:val="nr_1b1cbc242e7041c4a72531356bace88a"/>
                      <w:lock w:val="sdtLocked"/>
                      <w:richText/>
                    </w:sdtPr>
                    <w:sdtContent>
                      <w:r>
                        <w:rPr>
                          <w:rFonts w:ascii="Arial" w:hAnsi="Arial" w:cs="Arial"/>
                          <w:color w:val="6B9F25"/>
                          <w:sz w:val="22"/>
                          <w:szCs w:val="22"/>
                          <w:u w:val="single"/>
                        </w:rPr>
                        <w:t>4.9.1</w:t>
                      </w:r>
                    </w:sdtContent>
                  </w:sdt>
                  <w:r>
                    <w:rPr>
                      <w:rFonts w:ascii="Arial" w:hAnsi="Arial" w:cs="Arial"/>
                      <w:color w:val="6B9F25"/>
                      <w:sz w:val="22"/>
                      <w:szCs w:val="22"/>
                      <w:u w:val="single"/>
                    </w:rPr>
                    <w:t>. pav. Lietuvos hidrografinis žemėlapis</w:t>
                  </w:r>
                  <w:r>
                    <w:rPr>
                      <w:rFonts w:ascii="Arial" w:hAnsi="Arial" w:cs="Arial"/>
                      <w:sz w:val="22"/>
                      <w:szCs w:val="22"/>
                    </w:rPr>
                    <w:tab/>
                    <w:t>51</w:t>
                  </w:r>
                </w:p>
                <w:p>
                  <w:pPr>
                    <w:rPr>
                      <w:sz w:val="10"/>
                      <w:szCs w:val="10"/>
                    </w:rPr>
                  </w:pPr>
                </w:p>
              </w:sdtContent>
            </w:sdt>
            <w:sdt>
              <w:sdtPr>
                <w:alias w:val="5.3.1 pp."/>
                <w:tag w:val="part_e9c21b4fbe9b4723a6ff878858c5ed5a"/>
                <w:lock w:val="sdtLocked"/>
                <w:richText/>
              </w:sdtPr>
              <w:sdtContent>
                <w:p>
                  <w:pPr>
                    <w:tabs>
                      <w:tab w:val="right" w:leader="dot" w:pos="10195"/>
                    </w:tabs>
                    <w:jc w:val="both"/>
                    <w:rPr>
                      <w:rFonts w:ascii="Arial" w:hAnsi="Arial" w:cs="Arial"/>
                      <w:sz w:val="22"/>
                      <w:szCs w:val="22"/>
                      <w:lang w:eastAsia="lt-LT"/>
                    </w:rPr>
                  </w:pPr>
                  <w:sdt>
                    <w:sdtPr>
                      <w:alias w:val="Numeris"/>
                      <w:tag w:val="nr_e9c21b4fbe9b4723a6ff878858c5ed5a"/>
                      <w:lock w:val="sdtLocked"/>
                      <w:richText/>
                    </w:sdtPr>
                    <w:sdtContent>
                      <w:r>
                        <w:rPr>
                          <w:rFonts w:ascii="Arial" w:hAnsi="Arial" w:cs="Arial"/>
                          <w:color w:val="6B9F25"/>
                          <w:sz w:val="22"/>
                          <w:szCs w:val="22"/>
                          <w:u w:val="single"/>
                        </w:rPr>
                        <w:t>5.3.1</w:t>
                      </w:r>
                    </w:sdtContent>
                  </w:sdt>
                  <w:r>
                    <w:rPr>
                      <w:rFonts w:ascii="Arial" w:hAnsi="Arial" w:cs="Arial"/>
                      <w:color w:val="6B9F25"/>
                      <w:sz w:val="22"/>
                      <w:szCs w:val="22"/>
                      <w:u w:val="single"/>
                    </w:rPr>
                    <w:t>. pav. Prognozuojamas kuro suvartojimas – transportas, tne</w:t>
                  </w:r>
                  <w:r>
                    <w:rPr>
                      <w:rFonts w:ascii="Arial" w:hAnsi="Arial" w:cs="Arial"/>
                      <w:sz w:val="22"/>
                      <w:szCs w:val="22"/>
                    </w:rPr>
                    <w:tab/>
                    <w:t>59</w:t>
                  </w:r>
                </w:p>
                <w:p>
                  <w:pPr>
                    <w:rPr>
                      <w:sz w:val="10"/>
                      <w:szCs w:val="10"/>
                    </w:rPr>
                  </w:pPr>
                </w:p>
              </w:sdtContent>
            </w:sdt>
            <w:sdt>
              <w:sdtPr>
                <w:alias w:val="5.3.2 pp."/>
                <w:tag w:val="part_d4ef0ffb98ff40aca9540dd70dc4cd3d"/>
                <w:lock w:val="sdtLocked"/>
                <w:richText/>
              </w:sdtPr>
              <w:sdtContent>
                <w:p>
                  <w:pPr>
                    <w:tabs>
                      <w:tab w:val="right" w:leader="dot" w:pos="10195"/>
                    </w:tabs>
                    <w:jc w:val="both"/>
                    <w:rPr>
                      <w:rFonts w:ascii="Arial" w:hAnsi="Arial" w:cs="Arial"/>
                      <w:sz w:val="22"/>
                      <w:szCs w:val="22"/>
                      <w:lang w:eastAsia="lt-LT"/>
                    </w:rPr>
                  </w:pPr>
                  <w:sdt>
                    <w:sdtPr>
                      <w:alias w:val="Numeris"/>
                      <w:tag w:val="nr_d4ef0ffb98ff40aca9540dd70dc4cd3d"/>
                      <w:lock w:val="sdtLocked"/>
                      <w:richText/>
                    </w:sdtPr>
                    <w:sdtContent>
                      <w:r>
                        <w:rPr>
                          <w:rFonts w:ascii="Arial" w:hAnsi="Arial" w:cs="Arial"/>
                          <w:color w:val="6B9F25"/>
                          <w:sz w:val="22"/>
                          <w:szCs w:val="22"/>
                          <w:u w:val="single"/>
                        </w:rPr>
                        <w:t>5.3.2</w:t>
                      </w:r>
                    </w:sdtContent>
                  </w:sdt>
                  <w:r>
                    <w:rPr>
                      <w:rFonts w:ascii="Arial" w:hAnsi="Arial" w:cs="Arial"/>
                      <w:color w:val="6B9F25"/>
                      <w:sz w:val="22"/>
                      <w:szCs w:val="22"/>
                      <w:u w:val="single"/>
                    </w:rPr>
                    <w:t>. pav. Prognozuojamas kuro suvartojimas – žemės ūkis, tne</w:t>
                  </w:r>
                  <w:r>
                    <w:rPr>
                      <w:rFonts w:ascii="Arial" w:hAnsi="Arial" w:cs="Arial"/>
                      <w:sz w:val="22"/>
                      <w:szCs w:val="22"/>
                    </w:rPr>
                    <w:tab/>
                    <w:t>60</w:t>
                  </w:r>
                </w:p>
                <w:p>
                  <w:pPr>
                    <w:rPr>
                      <w:sz w:val="10"/>
                      <w:szCs w:val="10"/>
                    </w:rPr>
                  </w:pPr>
                </w:p>
              </w:sdtContent>
            </w:sdt>
            <w:sdt>
              <w:sdtPr>
                <w:alias w:val="5.3.3 pp."/>
                <w:tag w:val="part_0b7f445177e647ad8db1a47ea344452b"/>
                <w:lock w:val="sdtLocked"/>
                <w:richText/>
              </w:sdtPr>
              <w:sdtContent>
                <w:p>
                  <w:pPr>
                    <w:tabs>
                      <w:tab w:val="right" w:leader="dot" w:pos="10195"/>
                    </w:tabs>
                    <w:jc w:val="both"/>
                    <w:rPr>
                      <w:rFonts w:ascii="Arial" w:hAnsi="Arial" w:cs="Arial"/>
                      <w:sz w:val="22"/>
                      <w:szCs w:val="22"/>
                      <w:lang w:eastAsia="lt-LT"/>
                    </w:rPr>
                  </w:pPr>
                  <w:sdt>
                    <w:sdtPr>
                      <w:alias w:val="Numeris"/>
                      <w:tag w:val="nr_0b7f445177e647ad8db1a47ea344452b"/>
                      <w:lock w:val="sdtLocked"/>
                      <w:richText/>
                    </w:sdtPr>
                    <w:sdtContent>
                      <w:r>
                        <w:rPr>
                          <w:rFonts w:ascii="Arial" w:hAnsi="Arial" w:cs="Arial"/>
                          <w:color w:val="6B9F25"/>
                          <w:sz w:val="22"/>
                          <w:szCs w:val="22"/>
                          <w:u w:val="single"/>
                        </w:rPr>
                        <w:t>5.3.3</w:t>
                      </w:r>
                    </w:sdtContent>
                  </w:sdt>
                  <w:r>
                    <w:rPr>
                      <w:rFonts w:ascii="Arial" w:hAnsi="Arial" w:cs="Arial"/>
                      <w:color w:val="6B9F25"/>
                      <w:sz w:val="22"/>
                      <w:szCs w:val="22"/>
                      <w:u w:val="single"/>
                    </w:rPr>
                    <w:t>. pav. Prognozuojamas kuro suvartojimas – namų ūkiai, tne</w:t>
                  </w:r>
                  <w:r>
                    <w:rPr>
                      <w:rFonts w:ascii="Arial" w:hAnsi="Arial" w:cs="Arial"/>
                      <w:sz w:val="22"/>
                      <w:szCs w:val="22"/>
                    </w:rPr>
                    <w:tab/>
                    <w:t>61</w:t>
                  </w:r>
                </w:p>
                <w:p>
                  <w:pPr>
                    <w:rPr>
                      <w:sz w:val="10"/>
                      <w:szCs w:val="10"/>
                    </w:rPr>
                  </w:pPr>
                </w:p>
              </w:sdtContent>
            </w:sdt>
            <w:sdt>
              <w:sdtPr>
                <w:alias w:val="6.1 pp."/>
                <w:tag w:val="part_a6f6d5b3d1534dc0bf5920eff96bcf8b"/>
                <w:lock w:val="sdtLocked"/>
                <w:richText/>
              </w:sdtPr>
              <w:sdtContent>
                <w:p>
                  <w:pPr>
                    <w:tabs>
                      <w:tab w:val="right" w:leader="dot" w:pos="10195"/>
                    </w:tabs>
                    <w:jc w:val="both"/>
                    <w:rPr>
                      <w:rFonts w:ascii="Arial" w:hAnsi="Arial" w:cs="Arial"/>
                      <w:sz w:val="22"/>
                      <w:szCs w:val="22"/>
                      <w:lang w:eastAsia="lt-LT"/>
                    </w:rPr>
                  </w:pPr>
                  <w:sdt>
                    <w:sdtPr>
                      <w:alias w:val="Numeris"/>
                      <w:tag w:val="nr_a6f6d5b3d1534dc0bf5920eff96bcf8b"/>
                      <w:lock w:val="sdtLocked"/>
                      <w:richText/>
                    </w:sdtPr>
                    <w:sdtContent>
                      <w:r>
                        <w:rPr>
                          <w:rFonts w:ascii="Arial" w:hAnsi="Arial" w:cs="Arial"/>
                          <w:color w:val="6B9F25"/>
                          <w:sz w:val="22"/>
                          <w:szCs w:val="22"/>
                          <w:u w:val="single"/>
                        </w:rPr>
                        <w:t>6.1</w:t>
                      </w:r>
                    </w:sdtContent>
                  </w:sdt>
                  <w:r>
                    <w:rPr>
                      <w:rFonts w:ascii="Arial" w:hAnsi="Arial" w:cs="Arial"/>
                      <w:color w:val="6B9F25"/>
                      <w:sz w:val="22"/>
                      <w:szCs w:val="22"/>
                      <w:u w:val="single"/>
                    </w:rPr>
                    <w:t>. pav. AIE dalies bendrame kuro balanse planiniai rodikliai</w:t>
                  </w:r>
                  <w:r>
                    <w:rPr>
                      <w:rFonts w:ascii="Arial" w:hAnsi="Arial" w:cs="Arial"/>
                      <w:sz w:val="22"/>
                      <w:szCs w:val="22"/>
                    </w:rPr>
                    <w:tab/>
                    <w:t>62</w:t>
                  </w:r>
                </w:p>
                <w:p>
                  <w:pPr>
                    <w:rPr>
                      <w:sz w:val="10"/>
                      <w:szCs w:val="10"/>
                    </w:rPr>
                  </w:pPr>
                </w:p>
                <w:p>
                  <w:pPr>
                    <w:tabs>
                      <w:tab w:val="right" w:leader="dot" w:pos="10195"/>
                    </w:tabs>
                    <w:spacing w:line="259" w:lineRule="auto"/>
                    <w:jc w:val="center"/>
                    <w:rPr>
                      <w:rFonts w:ascii="Arial" w:eastAsia="Calibri" w:hAnsi="Arial" w:cs="Arial"/>
                      <w:b/>
                      <w:color w:val="002060"/>
                      <w:sz w:val="22"/>
                      <w:szCs w:val="22"/>
                    </w:rPr>
                  </w:pPr>
                  <w:r>
                    <w:rPr>
                      <w:rFonts w:ascii="Arial" w:eastAsia="Calibri" w:hAnsi="Arial" w:cs="Arial"/>
                      <w:b/>
                      <w:color w:val="002060"/>
                      <w:sz w:val="22"/>
                      <w:szCs w:val="22"/>
                    </w:rPr>
                    <w:br w:type="page"/>
                  </w:r>
                </w:p>
                <w:p>
                  <w:pPr>
                    <w:rPr>
                      <w:sz w:val="20"/>
                    </w:rPr>
                  </w:pPr>
                </w:p>
              </w:sdtContent>
            </w:sdt>
          </w:sdtContent>
        </w:sdt>
        <w:sdt>
          <w:sdtPr>
            <w:alias w:val="skirsnis"/>
            <w:tag w:val="part_c3ed85bc421d4ffdaf746a17ebd6b3a3"/>
            <w:lock w:val="sdtLocked"/>
            <w:richText/>
          </w:sdtPr>
          <w:sdtContent>
            <w:p>
              <w:pPr>
                <w:keepNext/>
                <w:keepLines/>
                <w:jc w:val="center"/>
                <w:rPr>
                  <w:rFonts w:ascii="Arial" w:hAnsi="Arial" w:cs="Arial"/>
                  <w:b/>
                  <w:caps/>
                  <w:color w:val="002060"/>
                  <w:sz w:val="28"/>
                  <w:szCs w:val="32"/>
                </w:rPr>
              </w:pPr>
              <w:sdt>
                <w:sdtPr>
                  <w:alias w:val="Pavadinimas"/>
                  <w:tag w:val="title_c3ed85bc421d4ffdaf746a17ebd6b3a3"/>
                  <w:lock w:val="sdtLocked"/>
                  <w:richText/>
                </w:sdtPr>
                <w:sdtContent>
                  <w:r>
                    <w:rPr>
                      <w:rFonts w:ascii="Arial" w:hAnsi="Arial" w:cs="Arial"/>
                      <w:b/>
                      <w:caps/>
                      <w:color w:val="002060"/>
                      <w:sz w:val="28"/>
                      <w:szCs w:val="32"/>
                    </w:rPr>
                    <w:t xml:space="preserve">Įvadas </w:t>
                  </w:r>
                </w:sdtContent>
              </w:sdt>
            </w:p>
            <w:p>
              <w:pPr>
                <w:rPr>
                  <w:sz w:val="10"/>
                  <w:szCs w:val="10"/>
                </w:rPr>
              </w:pPr>
            </w:p>
            <w:p>
              <w:pPr>
                <w:ind w:firstLine="567"/>
                <w:jc w:val="both"/>
                <w:rPr>
                  <w:rFonts w:ascii="Arial" w:hAnsi="Arial" w:cs="Arial"/>
                  <w:sz w:val="22"/>
                  <w:szCs w:val="22"/>
                </w:rPr>
              </w:pPr>
              <w:r>
                <w:rPr>
                  <w:rFonts w:ascii="Arial" w:hAnsi="Arial" w:cs="Arial"/>
                  <w:sz w:val="22"/>
                  <w:szCs w:val="22"/>
                </w:rPr>
                <w:t xml:space="preserve">Vienas pagrindinių iššūkių XXI amžiuje, yra tai, kaip pasiekti pusiausvyrą švelninat neigiamą poveikį aplinkai ir siekiant tvaraus ekonomikos augimo. Kaip nurodė Pasaulio išteklių institutas </w:t>
              </w:r>
              <w:r>
                <w:rPr>
                  <w:rFonts w:ascii="Arial" w:hAnsi="Arial" w:cs="Arial"/>
                  <w:i/>
                  <w:iCs/>
                  <w:sz w:val="22"/>
                  <w:szCs w:val="22"/>
                </w:rPr>
                <w:t>(ang. WRI)</w:t>
              </w:r>
              <w:r>
                <w:rPr>
                  <w:rFonts w:ascii="Arial" w:hAnsi="Arial" w:cs="Arial"/>
                  <w:sz w:val="22"/>
                  <w:szCs w:val="22"/>
                </w:rPr>
                <w:t xml:space="preserve">, daugiau nei trečdalį viso pasaulio šiltnamio efektą sukeliančių dujų išmeta tradiciniai energijos šaltiniai. Todėl energetikos politikoje vis svarbesnė vieta skiriama atsinaujinančių energijos šaltinių plėtrai. Bendras pasaulio valstybių siekis yra sumažinti tradicinių energijos šaltinių naudojimą ir išmetamų teršalų kiekį elektros energijos gamyboje. Šiai dienai permainos Europos Sąjungos energetikos raidoje labai ženklios – energetinis saugumas, energetikos rinkų integracija, diversifikacija, vartojimo efektyvumas, technologijos ir inovacijos yra nebeatsiejami ateities energetikos palydovai, lemiantys pokyčių būtinybę šioje srityje. </w:t>
              </w:r>
            </w:p>
            <w:p>
              <w:pPr>
                <w:rPr>
                  <w:sz w:val="10"/>
                  <w:szCs w:val="10"/>
                </w:rPr>
              </w:pPr>
            </w:p>
            <w:p>
              <w:pPr>
                <w:ind w:firstLine="567"/>
                <w:jc w:val="both"/>
                <w:rPr>
                  <w:rFonts w:ascii="Arial" w:hAnsi="Arial" w:cs="Arial"/>
                  <w:sz w:val="22"/>
                  <w:szCs w:val="22"/>
                </w:rPr>
              </w:pPr>
              <w:r>
                <w:rPr>
                  <w:rFonts w:ascii="Arial" w:hAnsi="Arial" w:cs="Arial"/>
                  <w:sz w:val="22"/>
                  <w:szCs w:val="22"/>
                </w:rPr>
                <w:t xml:space="preserve">Atsinaujinančių išteklių energijos </w:t>
              </w:r>
              <w:r>
                <w:rPr>
                  <w:rFonts w:ascii="Arial" w:hAnsi="Arial" w:cs="Arial"/>
                  <w:i/>
                  <w:iCs/>
                  <w:sz w:val="22"/>
                  <w:szCs w:val="22"/>
                </w:rPr>
                <w:t>(toliau – AIE)</w:t>
              </w:r>
              <w:r>
                <w:rPr>
                  <w:rFonts w:ascii="Arial" w:hAnsi="Arial" w:cs="Arial"/>
                  <w:sz w:val="22"/>
                  <w:szCs w:val="22"/>
                </w:rPr>
                <w:t xml:space="preserve"> sąvoka yra apibrėžiama Lietuvos Respublikos (toliau – LR) atsinaujinančių išteklių energetikos įstatymo 2 str. 2 dalyje nurodant, kad tai energija iš atsinaujinančių neiškastinių išteklių: vėjo, saulės energija, aplinkos energija, geoterminiai, hidroterminiai ištekliai ir vandenynų energija, hidroenergija, biomasė, biodujos, įskaitant sąvartynų ir nuotekų perdirbimo įrenginių dujas, taip pat kitų atsinaujinančių neiškastinių išteklių, kurių panaudojimas technologiškai yra galimas dabar arba bus galimas ateityje, energija. Tai gamtos ištekliai, kurių atsiradimą ir atsinaujinimą lemia gamtos procesai. </w:t>
              </w:r>
            </w:p>
            <w:p>
              <w:pPr>
                <w:rPr>
                  <w:sz w:val="10"/>
                  <w:szCs w:val="10"/>
                </w:rPr>
              </w:pPr>
            </w:p>
            <w:p>
              <w:pPr>
                <w:ind w:firstLine="567"/>
                <w:jc w:val="both"/>
                <w:rPr>
                  <w:rFonts w:ascii="Arial" w:hAnsi="Arial" w:cs="Arial"/>
                  <w:sz w:val="22"/>
                  <w:szCs w:val="22"/>
                </w:rPr>
              </w:pPr>
              <w:r>
                <w:rPr>
                  <w:rFonts w:ascii="Arial" w:hAnsi="Arial" w:cs="Arial"/>
                  <w:sz w:val="22"/>
                  <w:szCs w:val="22"/>
                </w:rPr>
                <w:t xml:space="preserve">AIE naudojimo skatinimas nacionaliniu lygiu numatytas Lietuvos Respublikos atsinaujinančių išteklių energetikos įstatyme, o ilgalaikė AIE naudojimo plėtra numatyta Nacionalinėje energetikos strategijoje. Atsinaujinantys energijos ištekliai, jų efektyvus naudojimas ir plėtra yra vienas iš esminių darnios nacionalinės energetikos strategijos tikslų, kurių įgyvendinimas mažina priklausomumą nuo iškastinio kuro importo, didina energijos tiekimo patikimumą ir mažina šiltnamio reiškinį sukeliančių dujų emisiją į atmosferą. Lietuvoje iki 2030 m. numatoma pasiekti 45 proc. atsinaujinančių energijos išteklių galutiniame energijos suvartojime (viena didžiausių ambicijų AIE plėtros srityje ES mastu), tarp jų 45 proc. elektros ir 90 proc. energijos centralizuoto šilumos tiekimo sektoriuje bus pagaminama iš AIE. Taip pat ne mažiau kaip 30 proc. vartotojų patys pasigamins elektros savo poreikiams. Vietinės elektros energijos gamybos dalis Lietuvoje padidės nuo 35 proc. iki 70 proc., o AIE dalis transporte išaugs iki 15 proc. ir Lietuva taps energetikos inovacijų lydere regione. </w:t>
              </w:r>
            </w:p>
            <w:p>
              <w:pPr>
                <w:rPr>
                  <w:sz w:val="10"/>
                  <w:szCs w:val="10"/>
                </w:rPr>
              </w:pPr>
            </w:p>
            <w:p>
              <w:pPr>
                <w:ind w:firstLine="567"/>
                <w:jc w:val="both"/>
                <w:rPr>
                  <w:rFonts w:ascii="Arial" w:hAnsi="Arial" w:cs="Arial"/>
                  <w:sz w:val="22"/>
                  <w:szCs w:val="22"/>
                </w:rPr>
              </w:pPr>
              <w:r>
                <w:rPr>
                  <w:rFonts w:ascii="Arial" w:hAnsi="Arial" w:cs="Arial"/>
                  <w:sz w:val="22"/>
                  <w:szCs w:val="22"/>
                </w:rPr>
                <w:t xml:space="preserve">Atsinaujinančių energijos išteklių naudojimas, jų plėtojimas ir veiksmingas naudojimas yra vienas svarbiausių energetikos tikslų. Tai yra pasaulio ateitis, nuo kurios priklausys gyvenamosios aplinkos kokybė, socialinė ir ekonominė aplinka. Todėl siekiant formuoti tvarią energetinę infrastruktūrą yra labai svarbus institucijų įsitraukimas į procesą, tinkamų sąlygų sudarymas, suprantant atsinaujinančių energijos išteklių svarbą ir poveikį būsimoms kartoms. </w:t>
              </w:r>
            </w:p>
            <w:p>
              <w:pPr>
                <w:rPr>
                  <w:sz w:val="10"/>
                  <w:szCs w:val="10"/>
                </w:rPr>
              </w:pPr>
            </w:p>
            <w:p>
              <w:pPr>
                <w:ind w:firstLine="567"/>
                <w:jc w:val="both"/>
                <w:rPr>
                  <w:rFonts w:ascii="Arial" w:hAnsi="Arial" w:cs="Arial"/>
                  <w:sz w:val="22"/>
                  <w:szCs w:val="22"/>
                </w:rPr>
              </w:pPr>
              <w:r>
                <w:rPr>
                  <w:rFonts w:ascii="Arial" w:hAnsi="Arial" w:cs="Arial"/>
                  <w:sz w:val="22"/>
                  <w:szCs w:val="22"/>
                </w:rPr>
                <w:t>Pagal LR atsinaujinančių išteklių energetikos įstatymą savivaldybėms AIE plėtros procese tenka svarbus vaidmuo – jos tampa vienomis svarbiausių institucijų, kurios atsakingos už AIE plėtrą. Įstatyme numatyta, kad viena iš savivaldybės funkcijų, susijusių su AIE plėtra, yra rengti ir tvirtinti bei įgyvendinti AIE naudojimo plėtros veiksmų planą, kurio pagrindais bus rengiama AIE plėtros finansavimo programa, lėšų panaudojimo tvarkos aprašas ir planuojamos lėšos konkretiems AIE finansavimo programų projektams savivaldybių teritorijoje finansuoti.</w:t>
              </w:r>
            </w:p>
            <w:p>
              <w:pPr>
                <w:rPr>
                  <w:sz w:val="10"/>
                  <w:szCs w:val="10"/>
                </w:rPr>
              </w:pPr>
            </w:p>
            <w:p>
              <w:pPr>
                <w:ind w:firstLine="567"/>
                <w:jc w:val="both"/>
                <w:rPr>
                  <w:rFonts w:ascii="Arial" w:hAnsi="Arial" w:cs="Arial"/>
                  <w:sz w:val="22"/>
                  <w:szCs w:val="22"/>
                </w:rPr>
              </w:pPr>
              <w:r>
                <w:rPr>
                  <w:rFonts w:ascii="Arial" w:hAnsi="Arial" w:cs="Arial"/>
                  <w:sz w:val="22"/>
                  <w:szCs w:val="22"/>
                </w:rPr>
                <w:t>Energijos gamybos ir naudojimo situacija skirtingose savivaldybėse yra nevienoda, todėl rengiant AIE naudojimo plėtros planą, Joniškio rajono savivaldybėje, buvo atlikta AIE naudojimo esamos būklės analizė (išanalizuotas šilumos ir elektros energijos bei transporto degalų suvartojimas pagal tiekimo rūšį ir galutinio vartojimo sektorius), taip pat nustatyta atsinaujinančių energijos išteklių dalis kiekvienos energijos rūšies suvartojime, identifikuotas AIE potencialas bei plėtros galimybės. AIE planas parengtas vadovaujantis Atsinaujinančių išteklių energijos naudojimo plėtros veiksmų planų rengimo metodika, kurią skelbia Lietuvos savivaldybių asociacija.</w:t>
              </w:r>
            </w:p>
            <w:p>
              <w:pPr>
                <w:rPr>
                  <w:sz w:val="10"/>
                  <w:szCs w:val="10"/>
                </w:rPr>
              </w:pPr>
            </w:p>
            <w:p>
              <w:pPr>
                <w:ind w:firstLine="567"/>
                <w:jc w:val="both"/>
                <w:rPr>
                  <w:rFonts w:ascii="Arial" w:hAnsi="Arial" w:cs="Arial"/>
                  <w:sz w:val="22"/>
                  <w:szCs w:val="22"/>
                </w:rPr>
              </w:pPr>
              <w:r>
                <w:rPr>
                  <w:rFonts w:ascii="Arial" w:hAnsi="Arial" w:cs="Arial"/>
                  <w:sz w:val="22"/>
                  <w:szCs w:val="22"/>
                </w:rPr>
                <w:br w:type="page"/>
              </w:r>
            </w:p>
            <w:p>
              <w:pPr>
                <w:rPr>
                  <w:sz w:val="20"/>
                </w:rPr>
              </w:pPr>
            </w:p>
          </w:sdtContent>
        </w:sdt>
        <w:sdt>
          <w:sdtPr>
            <w:alias w:val="skirsnis"/>
            <w:tag w:val="part_21a85c26cff74fd590c2516aa51fb9f5"/>
            <w:lock w:val="sdtLocked"/>
            <w:richText/>
          </w:sdtPr>
          <w:sdtContent>
            <w:p>
              <w:pPr>
                <w:keepNext/>
                <w:keepLines/>
                <w:jc w:val="center"/>
                <w:rPr>
                  <w:rFonts w:ascii="Arial" w:hAnsi="Arial" w:cs="Arial"/>
                  <w:b/>
                  <w:caps/>
                  <w:color w:val="002060"/>
                  <w:sz w:val="28"/>
                  <w:szCs w:val="32"/>
                </w:rPr>
              </w:pPr>
              <w:sdt>
                <w:sdtPr>
                  <w:alias w:val="Pavadinimas"/>
                  <w:tag w:val="title_21a85c26cff74fd590c2516aa51fb9f5"/>
                  <w:lock w:val="sdtLocked"/>
                  <w:richText/>
                </w:sdtPr>
                <w:sdtContent>
                  <w:r>
                    <w:rPr>
                      <w:rFonts w:ascii="Arial" w:hAnsi="Arial" w:cs="Arial"/>
                      <w:b/>
                      <w:caps/>
                      <w:color w:val="002060"/>
                      <w:sz w:val="28"/>
                      <w:szCs w:val="32"/>
                    </w:rPr>
                    <w:t>Santrauka</w:t>
                  </w:r>
                </w:sdtContent>
              </w:sdt>
            </w:p>
            <w:p>
              <w:pPr>
                <w:rPr>
                  <w:sz w:val="10"/>
                  <w:szCs w:val="10"/>
                </w:rPr>
              </w:pPr>
            </w:p>
            <w:p>
              <w:pPr>
                <w:ind w:firstLine="567"/>
                <w:jc w:val="both"/>
                <w:rPr>
                  <w:rFonts w:ascii="Arial" w:hAnsi="Arial" w:cs="Arial"/>
                  <w:sz w:val="22"/>
                  <w:szCs w:val="22"/>
                </w:rPr>
              </w:pPr>
              <w:r>
                <w:rPr>
                  <w:rFonts w:ascii="Arial" w:hAnsi="Arial" w:cs="Arial"/>
                  <w:sz w:val="22"/>
                  <w:szCs w:val="22"/>
                </w:rPr>
                <w:t xml:space="preserve">Kaip nurodė Pasaulio išteklių institutas (ang. WRI), daugiau nei trečdalį viso pasaulio šiltnamio efektą sukeliančių dujų išmeta tradiciniai energijos šaltiniai. Todėl bendras pasaulio valstybių siekis yra sumažinti tradicinių energijos šaltinių naudojimą ir išmetamų teršalų kiekį elektros energijos gamyboje. Lietuvoje Iki 2030 m. numatoma pasiekti 45 proc. atsinaujinančių energijos išteklių galutiniame energijos suvartojime (viena didžiausių ambicijų AEI plėtros srityje ES mastu), tarp jų 45 proc. elektros ir 90 proc. energijos centralizuoto šilumos tiekimo sektoriuje bus pagamina iš AEI. Taip pat ne mažiau kaip 30 proc. vartotojų patys pasigamins elektros savo poreikiams. Vietinės elektros energijos gamybos dalis Lietuvoje padidės nuo 35 proc. iki 70 proc., o AEI dalis transporte išaugs iki 15 proc. ir Lietuva taps energetikos inovacijų lydere regione. </w:t>
              </w:r>
            </w:p>
            <w:p>
              <w:pPr>
                <w:rPr>
                  <w:sz w:val="10"/>
                  <w:szCs w:val="10"/>
                </w:rPr>
              </w:pPr>
            </w:p>
            <w:p>
              <w:pPr>
                <w:ind w:firstLine="567"/>
                <w:jc w:val="both"/>
                <w:rPr>
                  <w:rFonts w:ascii="Arial" w:hAnsi="Arial" w:cs="Arial"/>
                  <w:sz w:val="22"/>
                  <w:szCs w:val="22"/>
                </w:rPr>
              </w:pPr>
              <w:r>
                <w:rPr>
                  <w:rFonts w:ascii="Arial" w:hAnsi="Arial" w:cs="Arial"/>
                  <w:sz w:val="22"/>
                  <w:szCs w:val="22"/>
                </w:rPr>
                <w:t>Pagal LR atsinaujinančių išteklių energetikos įstatymą savivaldybėms AEI plėtros procese tenka svarbus vaidmuo – jos tampa vienomis svarbiausių institucijų, kurios atsakingos už AEI plėtrą. Įstatyme numatyta, kad viena iš savivaldybės funkcijų, susijusių su AEI plėtra, yra rengti ir tvirtinti bei įgyvendinti AEI naudojimo plėtros veiksmų planą, kurio pagrindais bus rengiama AEI plėtros finansavimo programa, lėšų panaudojimo tvarkos aprašas ir planuojamos lėšos konkretiems AEI finansavimo programų projektams savivaldybių teritorijoje finansuoti.</w:t>
              </w:r>
            </w:p>
            <w:p>
              <w:pPr>
                <w:rPr>
                  <w:sz w:val="10"/>
                  <w:szCs w:val="10"/>
                </w:rPr>
              </w:pPr>
            </w:p>
            <w:p>
              <w:pPr>
                <w:ind w:firstLine="567"/>
                <w:jc w:val="both"/>
                <w:rPr>
                  <w:rFonts w:ascii="Arial" w:hAnsi="Arial" w:cs="Arial"/>
                  <w:sz w:val="22"/>
                  <w:szCs w:val="22"/>
                </w:rPr>
              </w:pPr>
              <w:r>
                <w:rPr>
                  <w:rFonts w:ascii="Arial" w:hAnsi="Arial" w:cs="Arial"/>
                  <w:sz w:val="22"/>
                  <w:szCs w:val="22"/>
                </w:rPr>
                <w:t>Joniškio rajono savivaldybės AEI plėtros veiksmų planą sudaro 11 skyrių.</w:t>
              </w:r>
            </w:p>
            <w:p>
              <w:pPr>
                <w:rPr>
                  <w:sz w:val="10"/>
                  <w:szCs w:val="10"/>
                </w:rPr>
              </w:pPr>
            </w:p>
            <w:p>
              <w:pPr>
                <w:ind w:firstLine="567"/>
                <w:jc w:val="both"/>
                <w:rPr>
                  <w:rFonts w:ascii="Arial" w:hAnsi="Arial" w:cs="Arial"/>
                  <w:sz w:val="22"/>
                  <w:szCs w:val="22"/>
                </w:rPr>
              </w:pPr>
              <w:r>
                <w:rPr>
                  <w:rFonts w:ascii="Arial" w:hAnsi="Arial" w:cs="Arial"/>
                  <w:sz w:val="22"/>
                  <w:szCs w:val="22"/>
                </w:rPr>
                <w:t>1 skyriuje „Esamos būklės analizė“ aprašoma savivaldybės geografinė padėtis, klimatinės sąlygos. Pateikiami duomenys apie energijos suvartojimą savivaldybėje skirtinguose ūkio sektoriuose, pagal atskiras vartotojų grupes.</w:t>
              </w:r>
            </w:p>
            <w:p>
              <w:pPr>
                <w:rPr>
                  <w:sz w:val="10"/>
                  <w:szCs w:val="10"/>
                </w:rPr>
              </w:pPr>
            </w:p>
            <w:p>
              <w:pPr>
                <w:ind w:firstLine="567"/>
                <w:jc w:val="both"/>
                <w:rPr>
                  <w:rFonts w:ascii="Arial" w:hAnsi="Arial" w:cs="Arial"/>
                  <w:sz w:val="22"/>
                  <w:szCs w:val="22"/>
                </w:rPr>
              </w:pPr>
              <w:r>
                <w:rPr>
                  <w:rFonts w:ascii="Arial" w:hAnsi="Arial" w:cs="Arial"/>
                  <w:sz w:val="22"/>
                  <w:szCs w:val="22"/>
                </w:rPr>
                <w:t xml:space="preserve">2 skyriuje nustatytas bendrasis galutinis energijos suvartojimas Joniškio rajono savivaldybėje – 19 794,0 tne. </w:t>
              </w:r>
            </w:p>
            <w:p>
              <w:pPr>
                <w:rPr>
                  <w:sz w:val="10"/>
                  <w:szCs w:val="10"/>
                </w:rPr>
              </w:pPr>
            </w:p>
            <w:p>
              <w:pPr>
                <w:ind w:firstLine="567"/>
                <w:jc w:val="both"/>
                <w:rPr>
                  <w:rFonts w:ascii="Arial" w:hAnsi="Arial" w:cs="Arial"/>
                  <w:sz w:val="22"/>
                  <w:szCs w:val="22"/>
                </w:rPr>
              </w:pPr>
              <w:r>
                <w:rPr>
                  <w:rFonts w:ascii="Arial" w:hAnsi="Arial" w:cs="Arial"/>
                  <w:sz w:val="22"/>
                  <w:szCs w:val="22"/>
                </w:rPr>
                <w:t xml:space="preserve">3 skyriuje „AIE dalies energijos vartojime nustatymas“ įvertinama AEI dalis galutinės energijos suvartojime. Joniškio rajono savivaldybėje ši dalis sudaro 60,6 proc. </w:t>
              </w:r>
            </w:p>
            <w:p>
              <w:pPr>
                <w:rPr>
                  <w:sz w:val="10"/>
                  <w:szCs w:val="10"/>
                </w:rPr>
              </w:pPr>
            </w:p>
            <w:p>
              <w:pPr>
                <w:ind w:firstLine="567"/>
                <w:jc w:val="both"/>
                <w:rPr>
                  <w:rFonts w:ascii="Arial" w:hAnsi="Arial" w:cs="Arial"/>
                  <w:sz w:val="22"/>
                  <w:szCs w:val="22"/>
                </w:rPr>
              </w:pPr>
              <w:r>
                <w:rPr>
                  <w:rFonts w:ascii="Arial" w:hAnsi="Arial" w:cs="Arial"/>
                  <w:sz w:val="22"/>
                  <w:szCs w:val="22"/>
                </w:rPr>
                <w:t xml:space="preserve">4 skyriuje „Joniškio rajono savivaldybės atsinaujinančių išteklių energijos potencialo įvertinimas“ yra nustatytas AIE naudojimo potencialas pagal atskiras AIE rūšis: medienos ir šiaudų kurą, biodujas, komunalines atliekas, saulės, vėjo, hidroenergijos, hidroterminės ir geoterminės energijos išteklius. Suminis, pagal skyriuje aprašytas prielaidas įvertintas savivaldybės teritorijoje esančių AEI techninis potencialas siekia apie 444 ktne. Šis skaičius parodo AEI kiekį, kuris galėtų būti įsisavintas pasinaudojant tik Joniškio rajono savivaldybės teritorijoje esančiais ištekliais. Šis potencialas daug kartų viršija savivaldybės metinius energijos poreikius. </w:t>
              </w:r>
            </w:p>
            <w:p>
              <w:pPr>
                <w:rPr>
                  <w:sz w:val="10"/>
                  <w:szCs w:val="10"/>
                </w:rPr>
              </w:pPr>
            </w:p>
            <w:p>
              <w:pPr>
                <w:ind w:firstLine="567"/>
                <w:jc w:val="both"/>
                <w:rPr>
                  <w:rFonts w:ascii="Arial" w:hAnsi="Arial" w:cs="Arial"/>
                  <w:sz w:val="22"/>
                  <w:szCs w:val="22"/>
                </w:rPr>
              </w:pPr>
              <w:r>
                <w:rPr>
                  <w:rFonts w:ascii="Arial" w:hAnsi="Arial" w:cs="Arial"/>
                  <w:sz w:val="22"/>
                  <w:szCs w:val="22"/>
                </w:rPr>
                <w:t xml:space="preserve">5 skyriuje „Savivaldybės energijos poreikių prognozė iki 2030 metų be papildomų priemonių“ pagal skyriuje aprašytas prielaidas atlikta Joniškio rajono savivaldybės energijos poreikių prognozė rodo, kad savivaldybės metiniai poreikiai didės nuo 19 028,0 tne (neskaitant energijos nuostolių tinkle) iki 19 492,1 tne. </w:t>
              </w:r>
            </w:p>
            <w:p>
              <w:pPr>
                <w:rPr>
                  <w:sz w:val="10"/>
                  <w:szCs w:val="10"/>
                </w:rPr>
              </w:pPr>
            </w:p>
            <w:p>
              <w:pPr>
                <w:ind w:firstLine="567"/>
                <w:jc w:val="both"/>
                <w:rPr>
                  <w:rFonts w:ascii="Arial" w:hAnsi="Arial" w:cs="Arial"/>
                  <w:sz w:val="22"/>
                  <w:szCs w:val="22"/>
                </w:rPr>
              </w:pPr>
              <w:r>
                <w:rPr>
                  <w:rFonts w:ascii="Arial" w:hAnsi="Arial" w:cs="Arial"/>
                  <w:sz w:val="22"/>
                  <w:szCs w:val="22"/>
                </w:rPr>
                <w:t xml:space="preserve">6 skyriuje „Siektino AEI dalies galutiniame vartojime rodiklio nustatymas“ nustatytas siektinas AEI dalies galutiniame vartojime rodiklis, kuris yra 72,3 proc. </w:t>
              </w:r>
            </w:p>
            <w:p>
              <w:pPr>
                <w:rPr>
                  <w:sz w:val="10"/>
                  <w:szCs w:val="10"/>
                </w:rPr>
              </w:pPr>
            </w:p>
            <w:p>
              <w:pPr>
                <w:ind w:firstLine="567"/>
                <w:jc w:val="both"/>
                <w:rPr>
                  <w:rFonts w:ascii="Arial" w:hAnsi="Arial" w:cs="Arial"/>
                  <w:sz w:val="22"/>
                  <w:szCs w:val="22"/>
                </w:rPr>
              </w:pPr>
              <w:r>
                <w:rPr>
                  <w:rFonts w:ascii="Arial" w:hAnsi="Arial" w:cs="Arial"/>
                  <w:sz w:val="22"/>
                  <w:szCs w:val="22"/>
                </w:rPr>
                <w:t xml:space="preserve">7 skyriuje „AEI dalies galutiniame vartojime didinimo priemonės“ pateikiamos siūlomos priemonės nustatytam AEI naudojimo planiniam rodikliui iki 2030 m. pasiekti. Tarp pagrindinių priemonių yra saulės energijos panaudojimas karšto vandens gamybai saulės kolektoriuose bei elektros energijos gamybai saulės šviesos elektrinėse, įrengtose ant savivaldybei priklausančių pastatų stogų. Taip pat pateiktos papildomos priemonės, kurių poveikis planiniam rodikliui nevertintas. </w:t>
              </w:r>
            </w:p>
            <w:p>
              <w:pPr>
                <w:rPr>
                  <w:sz w:val="10"/>
                  <w:szCs w:val="10"/>
                </w:rPr>
              </w:pPr>
            </w:p>
            <w:p>
              <w:pPr>
                <w:ind w:firstLine="567"/>
                <w:jc w:val="both"/>
                <w:rPr>
                  <w:rFonts w:ascii="Arial" w:hAnsi="Arial" w:cs="Arial"/>
                  <w:sz w:val="22"/>
                  <w:szCs w:val="22"/>
                </w:rPr>
              </w:pPr>
              <w:r>
                <w:rPr>
                  <w:rFonts w:ascii="Arial" w:hAnsi="Arial" w:cs="Arial"/>
                  <w:sz w:val="22"/>
                  <w:szCs w:val="22"/>
                </w:rPr>
                <w:t>8 skyriuje „Savivaldybei siūlomi AEI koncepciniai scenarijai, vertinimo kriterijai, lyginamosios analizės rodikliai“ pateikiamas trijų koncepcinių scenarijų vertinimas: bazinis scenarijus „veiklos kaip įprasta“ atveju, antrasis, siūlomas scenarijus, kai įgyvendinami AEI naudojantys projektai savivaldybei priklausančiuose pastatuose ir trečiasis koncepcinis scenarijus, kuriame daromas poveikis namų ūkiams ir savivaldybei priklausančiuose pastatuose.</w:t>
              </w:r>
            </w:p>
            <w:p>
              <w:pPr>
                <w:rPr>
                  <w:sz w:val="10"/>
                  <w:szCs w:val="10"/>
                </w:rPr>
              </w:pPr>
            </w:p>
            <w:p>
              <w:pPr>
                <w:ind w:firstLine="567"/>
                <w:jc w:val="both"/>
                <w:rPr>
                  <w:rFonts w:ascii="Arial" w:hAnsi="Arial" w:cs="Arial"/>
                  <w:sz w:val="22"/>
                  <w:szCs w:val="22"/>
                </w:rPr>
              </w:pPr>
              <w:r>
                <w:rPr>
                  <w:rFonts w:ascii="Arial" w:hAnsi="Arial" w:cs="Arial"/>
                  <w:sz w:val="22"/>
                  <w:szCs w:val="22"/>
                </w:rPr>
                <w:t>9 skyriuje „AEI dalies galutiniame vartojime neapibrėžtumo bei rizikos veiksnių analizė, jų poveikio įvertinimas“ pripažįstama neapibrėžtis, atsirandanti tiek dėl duomenų trūkumo, tiek dėl skaičiavimų metodo taikymo. Aprašyti ir įvertinti rizikos veiksniai, galimi siekiant AEI rodiklio pagal siūlomą koncepcinį scenarijų.</w:t>
              </w:r>
            </w:p>
            <w:p>
              <w:pPr>
                <w:rPr>
                  <w:sz w:val="10"/>
                  <w:szCs w:val="10"/>
                </w:rPr>
              </w:pPr>
            </w:p>
            <w:p>
              <w:pPr>
                <w:ind w:firstLine="567"/>
                <w:jc w:val="both"/>
                <w:rPr>
                  <w:rFonts w:ascii="Arial" w:hAnsi="Arial" w:cs="Arial"/>
                  <w:sz w:val="22"/>
                  <w:szCs w:val="22"/>
                </w:rPr>
              </w:pPr>
              <w:r>
                <w:rPr>
                  <w:rFonts w:ascii="Arial" w:hAnsi="Arial" w:cs="Arial"/>
                  <w:sz w:val="22"/>
                  <w:szCs w:val="22"/>
                </w:rPr>
                <w:t>10 skyriuje „Projektų finansavimo gairės ir jų atrankos kriterijai“ pateikiami bendrieji reikalavimai projektų finansavimo gairėms ir projektų atrankos kriterijai, skirti padėti Joniškio rajono savivaldybei sudarant savivaldybės atsinaujinančių išteklių energijos naudojimo plėtros finansavimo programą ir jos lėšų panaudojimo tvarkos aprašą.</w:t>
                <w:br w:type="page"/>
              </w:r>
            </w:p>
            <w:p>
              <w:pPr>
                <w:rPr>
                  <w:sz w:val="20"/>
                </w:rPr>
              </w:pPr>
            </w:p>
          </w:sdtContent>
        </w:sdt>
        <w:sdt>
          <w:sdtPr>
            <w:alias w:val="skirsnis"/>
            <w:tag w:val="part_d5fc7d1157204a3e99ba27546196b215"/>
            <w:lock w:val="sdtLocked"/>
            <w:richText/>
          </w:sdtPr>
          <w:sdtContent>
            <w:p>
              <w:pPr>
                <w:keepNext/>
                <w:keepLines/>
                <w:jc w:val="center"/>
                <w:rPr>
                  <w:rFonts w:ascii="Arial" w:hAnsi="Arial" w:cs="Arial"/>
                  <w:b/>
                  <w:caps/>
                  <w:color w:val="002060"/>
                  <w:sz w:val="28"/>
                  <w:szCs w:val="32"/>
                </w:rPr>
              </w:pPr>
              <w:sdt>
                <w:sdtPr>
                  <w:alias w:val="Pavadinimas"/>
                  <w:tag w:val="title_d5fc7d1157204a3e99ba27546196b215"/>
                  <w:lock w:val="sdtLocked"/>
                  <w:richText/>
                </w:sdtPr>
                <w:sdtContent>
                  <w:r>
                    <w:rPr>
                      <w:rFonts w:ascii="Arial" w:hAnsi="Arial" w:cs="Arial"/>
                      <w:b/>
                      <w:caps/>
                      <w:color w:val="002060"/>
                      <w:sz w:val="28"/>
                      <w:szCs w:val="32"/>
                    </w:rPr>
                    <w:t>Extended summary</w:t>
                  </w:r>
                </w:sdtContent>
              </w:sdt>
            </w:p>
            <w:p>
              <w:pPr>
                <w:rPr>
                  <w:sz w:val="10"/>
                  <w:szCs w:val="10"/>
                </w:rPr>
              </w:pPr>
            </w:p>
            <w:p>
              <w:pPr>
                <w:ind w:firstLine="567"/>
                <w:jc w:val="both"/>
                <w:rPr>
                  <w:rFonts w:ascii="Arial" w:hAnsi="Arial" w:cs="Arial"/>
                  <w:sz w:val="22"/>
                  <w:szCs w:val="22"/>
                </w:rPr>
              </w:pPr>
              <w:r>
                <w:rPr>
                  <w:rFonts w:ascii="Arial" w:hAnsi="Arial" w:cs="Arial"/>
                  <w:sz w:val="22"/>
                  <w:szCs w:val="22"/>
                </w:rPr>
                <w:t xml:space="preserve">Renewable energy development is the most important priority of Lithuanian state energy policy. In Lithuania by 2030, a 45 % share of renewable energy in final energy consumption is expected to be achieved (one of the biggest ambitions for the development of RES in the EU), of which 45 % in electricity and 90 % in district heating will come from RES. Also, at least 30 % of consumers will generate electricity for their own use. The share of domestic electricity production in Lithuania will increase from 35 % to 70 %, while the share of RES in transport will increase to 15 % and Lithuania will become the leader in energy innovation in the region. </w:t>
              </w:r>
            </w:p>
            <w:p>
              <w:pPr>
                <w:rPr>
                  <w:sz w:val="10"/>
                  <w:szCs w:val="10"/>
                </w:rPr>
              </w:pPr>
            </w:p>
            <w:p>
              <w:pPr>
                <w:ind w:firstLine="567"/>
                <w:jc w:val="both"/>
                <w:rPr>
                  <w:rFonts w:ascii="Arial" w:hAnsi="Arial" w:cs="Arial"/>
                  <w:sz w:val="22"/>
                  <w:szCs w:val="22"/>
                </w:rPr>
              </w:pPr>
              <w:r>
                <w:rPr>
                  <w:rFonts w:ascii="Arial" w:hAnsi="Arial" w:cs="Arial"/>
                  <w:sz w:val="22"/>
                  <w:szCs w:val="22"/>
                </w:rPr>
                <w:t xml:space="preserve">The Law on Energy from renewable sources Act of Republic of Lithuania defines that more responsibilities are to the municipalities – they become important institutions in enhancing use of renewable energy (here in after – RE). For each municipality Law on Energy from Renewable Source sets a requirement to prepare and adopt Renewable Energy Action Plan in accordance with the requirements of the Law. </w:t>
              </w:r>
            </w:p>
            <w:p>
              <w:pPr>
                <w:rPr>
                  <w:sz w:val="10"/>
                  <w:szCs w:val="10"/>
                </w:rPr>
              </w:pPr>
            </w:p>
            <w:p>
              <w:pPr>
                <w:ind w:firstLine="567"/>
                <w:jc w:val="both"/>
                <w:rPr>
                  <w:rFonts w:ascii="Arial" w:hAnsi="Arial" w:cs="Arial"/>
                  <w:sz w:val="22"/>
                  <w:szCs w:val="22"/>
                </w:rPr>
              </w:pPr>
              <w:r>
                <w:rPr>
                  <w:rFonts w:ascii="Arial" w:hAnsi="Arial" w:cs="Arial"/>
                  <w:sz w:val="22"/>
                  <w:szCs w:val="22"/>
                </w:rPr>
                <w:t>Renewable Energy Action Plan of Joniskis district municipality consists of 12 chapters. In Chapters 1-2 „Assessment of the current condition of renewable energy resources in Joniskis district municipality” geographical location and climate conditions of the municipality are presented. Information on energy consumption in different sectors of economy is given. Calculated final energy consumption in the municipality is 19 794,0 toe.</w:t>
              </w:r>
            </w:p>
            <w:p>
              <w:pPr>
                <w:rPr>
                  <w:sz w:val="10"/>
                  <w:szCs w:val="10"/>
                </w:rPr>
              </w:pPr>
            </w:p>
            <w:p>
              <w:pPr>
                <w:ind w:firstLine="567"/>
                <w:jc w:val="both"/>
                <w:rPr>
                  <w:rFonts w:ascii="Arial" w:hAnsi="Arial" w:cs="Arial"/>
                  <w:sz w:val="22"/>
                  <w:szCs w:val="22"/>
                </w:rPr>
              </w:pPr>
              <w:r>
                <w:rPr>
                  <w:rFonts w:ascii="Arial" w:hAnsi="Arial" w:cs="Arial"/>
                  <w:sz w:val="22"/>
                  <w:szCs w:val="22"/>
                </w:rPr>
                <w:t>In Chapter 3 „Determination of RE share“ current share of energy from renewable sources in gross final energy consumption is evaluated and equals 60,6 per cent.</w:t>
              </w:r>
            </w:p>
            <w:p>
              <w:pPr>
                <w:rPr>
                  <w:sz w:val="10"/>
                  <w:szCs w:val="10"/>
                </w:rPr>
              </w:pPr>
            </w:p>
            <w:p>
              <w:pPr>
                <w:ind w:firstLine="567"/>
                <w:jc w:val="both"/>
                <w:rPr>
                  <w:rFonts w:ascii="Arial" w:hAnsi="Arial" w:cs="Arial"/>
                  <w:sz w:val="22"/>
                  <w:szCs w:val="22"/>
                </w:rPr>
              </w:pPr>
              <w:r>
                <w:rPr>
                  <w:rFonts w:ascii="Arial" w:hAnsi="Arial" w:cs="Arial"/>
                  <w:sz w:val="22"/>
                  <w:szCs w:val="22"/>
                </w:rPr>
                <w:t xml:space="preserve">In Chapter 4 „RE Potential in Joniskis district municipality“ RE potential by different energy sources is evaluated: solid biomass, straw, biogas, municipal waste, solar, wind, hydro, hydrothermal, and geothermal. Total evaluated potential amounts to 444 ktoe. This number shows how much energy can be produced from RE only by sources available in the territory of the municipality. Potential is much higher than the yearly energy consumption of the municipality. </w:t>
              </w:r>
            </w:p>
            <w:p>
              <w:pPr>
                <w:rPr>
                  <w:sz w:val="10"/>
                  <w:szCs w:val="10"/>
                </w:rPr>
              </w:pPr>
            </w:p>
            <w:p>
              <w:pPr>
                <w:ind w:firstLine="567"/>
                <w:jc w:val="both"/>
                <w:rPr>
                  <w:rFonts w:ascii="Arial" w:hAnsi="Arial" w:cs="Arial"/>
                  <w:sz w:val="22"/>
                  <w:szCs w:val="22"/>
                </w:rPr>
              </w:pPr>
              <w:r>
                <w:rPr>
                  <w:rFonts w:ascii="Arial" w:hAnsi="Arial" w:cs="Arial"/>
                  <w:sz w:val="22"/>
                  <w:szCs w:val="22"/>
                </w:rPr>
                <w:t>In Chapter 5 „Energy Consumption Forecast till 2030 without Additional Measures“ energy consumption forecasting was performed that showed slight increase in annual energy consumption from 19 028,0 toe up to 19 492,1 toe in the year 2030.</w:t>
              </w:r>
            </w:p>
            <w:p>
              <w:pPr>
                <w:rPr>
                  <w:sz w:val="10"/>
                  <w:szCs w:val="10"/>
                </w:rPr>
              </w:pPr>
            </w:p>
            <w:p>
              <w:pPr>
                <w:ind w:firstLine="567"/>
                <w:jc w:val="both"/>
                <w:rPr>
                  <w:rFonts w:ascii="Arial" w:hAnsi="Arial" w:cs="Arial"/>
                  <w:sz w:val="22"/>
                  <w:szCs w:val="22"/>
                </w:rPr>
              </w:pPr>
              <w:r>
                <w:rPr>
                  <w:rFonts w:ascii="Arial" w:hAnsi="Arial" w:cs="Arial"/>
                  <w:sz w:val="22"/>
                  <w:szCs w:val="22"/>
                </w:rPr>
                <w:t>Chapter 6 „Municipality Overall Targets for the Share of Energy from Renewable Sources in Gross Final Consumption“ sets recommended municipality targets for the share of energy from renewable sources in gross final consumption. The target for the share of RES in final consumption is set at 72,3 %.</w:t>
              </w:r>
            </w:p>
            <w:p>
              <w:pPr>
                <w:rPr>
                  <w:sz w:val="10"/>
                  <w:szCs w:val="10"/>
                </w:rPr>
              </w:pPr>
            </w:p>
            <w:p>
              <w:pPr>
                <w:ind w:firstLine="567"/>
                <w:jc w:val="both"/>
                <w:rPr>
                  <w:rFonts w:ascii="Arial" w:hAnsi="Arial" w:cs="Arial"/>
                  <w:sz w:val="22"/>
                  <w:szCs w:val="22"/>
                </w:rPr>
              </w:pPr>
              <w:r>
                <w:rPr>
                  <w:rFonts w:ascii="Arial" w:hAnsi="Arial" w:cs="Arial"/>
                  <w:sz w:val="22"/>
                  <w:szCs w:val="22"/>
                </w:rPr>
                <w:t>Chapter 7 „Measures to Increase RE Share in Gross Final Consumption“ presents measures to reach the RE target. The use of solar energy for hot water and electricity production, installed on the roofs of the municipality owned buildings are among the main suggested measures. Additionally, measures, with impact not accounted to the RE target, are suggested in this chapter.</w:t>
              </w:r>
            </w:p>
            <w:p>
              <w:pPr>
                <w:rPr>
                  <w:sz w:val="10"/>
                  <w:szCs w:val="10"/>
                </w:rPr>
              </w:pPr>
            </w:p>
            <w:p>
              <w:pPr>
                <w:ind w:firstLine="567"/>
                <w:jc w:val="both"/>
                <w:rPr>
                  <w:rFonts w:ascii="Arial" w:hAnsi="Arial" w:cs="Arial"/>
                  <w:sz w:val="22"/>
                  <w:szCs w:val="22"/>
                </w:rPr>
              </w:pPr>
              <w:r>
                <w:rPr>
                  <w:rFonts w:ascii="Arial" w:hAnsi="Arial" w:cs="Arial"/>
                  <w:sz w:val="22"/>
                  <w:szCs w:val="22"/>
                </w:rPr>
                <w:t>Chapter 8 „Proposed scenarios, evaluation criterions and comparative analysis criterions“ 3 scenarios are analyzed: „business as usual“ scenario, the second, suggested scenario, when RE projects in municipality owned buildings are implemented.</w:t>
              </w:r>
            </w:p>
            <w:p>
              <w:pPr>
                <w:rPr>
                  <w:sz w:val="10"/>
                  <w:szCs w:val="10"/>
                </w:rPr>
              </w:pPr>
            </w:p>
            <w:p>
              <w:pPr>
                <w:ind w:firstLine="567"/>
                <w:jc w:val="both"/>
                <w:rPr>
                  <w:rFonts w:ascii="Arial" w:hAnsi="Arial" w:cs="Arial"/>
                  <w:sz w:val="22"/>
                  <w:szCs w:val="22"/>
                </w:rPr>
              </w:pPr>
              <w:r>
                <w:rPr>
                  <w:rFonts w:ascii="Arial" w:hAnsi="Arial" w:cs="Arial"/>
                  <w:sz w:val="22"/>
                  <w:szCs w:val="22"/>
                </w:rPr>
                <w:t xml:space="preserve">Chapter 9 „Uncertainty and risk analysis“ contains uncertainty analysis due to lack of data, or calculation methodology. Risk analysis for proposed scenario is performed. </w:t>
              </w:r>
            </w:p>
            <w:p>
              <w:pPr>
                <w:rPr>
                  <w:sz w:val="10"/>
                  <w:szCs w:val="10"/>
                </w:rPr>
              </w:pPr>
            </w:p>
            <w:p>
              <w:pPr>
                <w:ind w:firstLine="567"/>
                <w:jc w:val="both"/>
                <w:rPr>
                  <w:rFonts w:ascii="Arial" w:hAnsi="Arial" w:cs="Arial"/>
                  <w:sz w:val="22"/>
                  <w:szCs w:val="22"/>
                </w:rPr>
              </w:pPr>
              <w:r>
                <w:rPr>
                  <w:rFonts w:ascii="Arial" w:hAnsi="Arial" w:cs="Arial"/>
                  <w:sz w:val="22"/>
                  <w:szCs w:val="22"/>
                </w:rPr>
                <w:t>Chapter 10 „Project Financing Guidelines and Project Selection Criterions“ contains general requirements for project financing guidelines. Project Selection Criterions are suggested in order to help municipality in preparation of RE development projects financing program and the order of usage of its funds.</w:t>
              </w:r>
            </w:p>
            <w:p>
              <w:pPr>
                <w:rPr>
                  <w:sz w:val="10"/>
                  <w:szCs w:val="10"/>
                </w:rPr>
              </w:pPr>
            </w:p>
            <w:p>
              <w:pPr>
                <w:spacing w:line="259" w:lineRule="auto"/>
                <w:rPr>
                  <w:rFonts w:ascii="Arial" w:hAnsi="Arial" w:cs="Arial"/>
                  <w:sz w:val="22"/>
                  <w:szCs w:val="22"/>
                </w:rPr>
              </w:pPr>
              <w:r>
                <w:rPr>
                  <w:rFonts w:ascii="Arial" w:hAnsi="Arial" w:cs="Arial"/>
                  <w:sz w:val="22"/>
                  <w:szCs w:val="22"/>
                </w:rPr>
                <w:br w:type="page"/>
              </w:r>
            </w:p>
            <w:p>
              <w:pPr>
                <w:rPr>
                  <w:sz w:val="20"/>
                </w:rPr>
              </w:pPr>
            </w:p>
            <w:sdt>
              <w:sdtPr>
                <w:alias w:val="1 p."/>
                <w:tag w:val="part_7e21cb26bd8e413b8f3344401d2fa77d"/>
                <w:lock w:val="sdtLocked"/>
                <w:richText/>
              </w:sdtPr>
              <w:sdtContent>
                <w:p>
                  <w:pPr>
                    <w:keepNext/>
                    <w:keepLines/>
                    <w:jc w:val="center"/>
                    <w:rPr>
                      <w:rFonts w:ascii="Arial" w:hAnsi="Arial" w:cs="Arial"/>
                      <w:b/>
                      <w:caps/>
                      <w:color w:val="002060"/>
                      <w:sz w:val="28"/>
                      <w:szCs w:val="32"/>
                    </w:rPr>
                  </w:pPr>
                  <w:sdt>
                    <w:sdtPr>
                      <w:alias w:val="Numeris"/>
                      <w:tag w:val="nr_7e21cb26bd8e413b8f3344401d2fa77d"/>
                      <w:lock w:val="sdtLocked"/>
                      <w:richText/>
                    </w:sdtPr>
                    <w:sdtContent>
                      <w:r>
                        <w:rPr>
                          <w:rFonts w:ascii="Arial" w:hAnsi="Arial" w:cs="Arial"/>
                          <w:b/>
                          <w:caps/>
                          <w:color w:val="002060"/>
                          <w:sz w:val="28"/>
                          <w:szCs w:val="32"/>
                        </w:rPr>
                        <w:t>1</w:t>
                      </w:r>
                    </w:sdtContent>
                  </w:sdt>
                  <w:r>
                    <w:rPr>
                      <w:rFonts w:ascii="Arial" w:hAnsi="Arial" w:cs="Arial"/>
                      <w:b/>
                      <w:caps/>
                      <w:color w:val="002060"/>
                      <w:sz w:val="28"/>
                      <w:szCs w:val="32"/>
                    </w:rPr>
                    <w:t>. Atsinaujinančių energijos išteklių esamos būklės įvertinimas</w:t>
                  </w:r>
                </w:p>
                <w:p>
                  <w:pPr>
                    <w:rPr>
                      <w:sz w:val="10"/>
                      <w:szCs w:val="10"/>
                    </w:rPr>
                  </w:pPr>
                </w:p>
                <w:sdt>
                  <w:sdtPr>
                    <w:alias w:val="1.1 pp."/>
                    <w:tag w:val="part_2ac22c8fd4ea4ebebe4bf506290fd4db"/>
                    <w:lock w:val="sdtLocked"/>
                    <w:richText/>
                  </w:sdtPr>
                  <w:sdtContent>
                    <w:p>
                      <w:pPr>
                        <w:keepNext/>
                        <w:keepLines/>
                        <w:spacing w:line="259" w:lineRule="auto"/>
                        <w:jc w:val="center"/>
                        <w:outlineLvl w:val="1"/>
                        <w:rPr>
                          <w:rFonts w:ascii="Arial" w:hAnsi="Arial" w:cs="Arial"/>
                          <w:b/>
                          <w:color w:val="002060"/>
                          <w:szCs w:val="26"/>
                        </w:rPr>
                      </w:pPr>
                      <w:sdt>
                        <w:sdtPr>
                          <w:alias w:val="Numeris"/>
                          <w:tag w:val="nr_2ac22c8fd4ea4ebebe4bf506290fd4db"/>
                          <w:lock w:val="sdtLocked"/>
                          <w:richText/>
                        </w:sdtPr>
                        <w:sdtContent>
                          <w:r>
                            <w:rPr>
                              <w:rFonts w:ascii="Arial" w:hAnsi="Arial" w:cs="Arial"/>
                              <w:b/>
                              <w:color w:val="002060"/>
                              <w:szCs w:val="26"/>
                            </w:rPr>
                            <w:t>1.1</w:t>
                          </w:r>
                        </w:sdtContent>
                      </w:sdt>
                      <w:r>
                        <w:rPr>
                          <w:rFonts w:ascii="Arial" w:hAnsi="Arial" w:cs="Arial"/>
                          <w:b/>
                          <w:color w:val="002060"/>
                          <w:szCs w:val="26"/>
                        </w:rPr>
                        <w:t>. Savivaldybės geografinė padėtis</w:t>
                      </w:r>
                    </w:p>
                    <w:p>
                      <w:pPr>
                        <w:rPr>
                          <w:sz w:val="14"/>
                          <w:szCs w:val="14"/>
                        </w:rPr>
                      </w:pPr>
                    </w:p>
                    <w:p>
                      <w:pPr>
                        <w:ind w:firstLine="567"/>
                        <w:jc w:val="both"/>
                        <w:rPr>
                          <w:rFonts w:ascii="Arial" w:hAnsi="Arial" w:cs="Arial"/>
                          <w:sz w:val="22"/>
                          <w:szCs w:val="22"/>
                        </w:rPr>
                      </w:pPr>
                      <w:r>
                        <w:rPr>
                          <w:rFonts w:ascii="Arial" w:hAnsi="Arial" w:cs="Arial"/>
                          <w:sz w:val="22"/>
                          <w:szCs w:val="22"/>
                        </w:rPr>
                        <w:t xml:space="preserve">Joniškio rajonas – šiaurės Lietuvos kraštas, esantis prie pat Latvijos sienos. Didžioji dalis yra Žiemgalos žemumoje. Rajono administracinis centras – Joniškis, 37 km nuo Šiaulių, atstumai iki didžiųjų Lietuvos miestų dideli: iki Vilniaus – 229 km, iki Kauno – 218 km, Klaipėdos – 215 km. </w:t>
                      </w:r>
                    </w:p>
                    <w:p>
                      <w:pPr>
                        <w:rPr>
                          <w:sz w:val="10"/>
                          <w:szCs w:val="10"/>
                        </w:rPr>
                      </w:pPr>
                    </w:p>
                    <w:p>
                      <w:pPr>
                        <w:jc w:val="center"/>
                        <w:rPr>
                          <w:rFonts w:ascii="Arial" w:hAnsi="Arial" w:cs="Arial"/>
                          <w:sz w:val="22"/>
                          <w:szCs w:val="22"/>
                        </w:rPr>
                      </w:pPr>
                      <w:r>
                        <w:rPr>
                          <w:rFonts w:ascii="Arial" w:hAnsi="Arial" w:cs="Arial"/>
                          <w:sz w:val="22"/>
                          <w:szCs w:val="22"/>
                          <w:lang w:val="en-US"/>
                        </w:rPr>
                        <w:drawing>
                          <wp:inline distT="0" distB="0" distL="0" distR="0" wp14:anchorId="2D1374F7" wp14:editId="3DD5A40B">
                            <wp:extent cx="3253154" cy="2486488"/>
                            <wp:effectExtent l="0" t="0" r="4445" b="9525"/>
                            <wp:docPr id="5" name="Paveikslėlis 5"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5" descr="Paveikslėlis, kuriame yra žemėlapis  Automatiškai sugeneruotas aprašyma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72830" cy="2501527"/>
                                    </a:xfrm>
                                    <a:prstGeom prst="rect">
                                      <a:avLst/>
                                    </a:prstGeom>
                                  </pic:spPr>
                                </pic:pic>
                              </a:graphicData>
                            </a:graphic>
                          </wp:inline>
                        </w:drawing>
                      </w:r>
                    </w:p>
                    <w:p>
                      <w:pPr>
                        <w:rPr>
                          <w:sz w:val="10"/>
                          <w:szCs w:val="10"/>
                        </w:rPr>
                      </w:pPr>
                    </w:p>
                    <w:sdt>
                      <w:sdtPr>
                        <w:alias w:val="1.1.1 pp."/>
                        <w:tag w:val="part_b558d735dc4d43f689d0f48a7dd261f6"/>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b558d735dc4d43f689d0f48a7dd261f6"/>
                              <w:lock w:val="sdtLocked"/>
                              <w:richText/>
                            </w:sdtPr>
                            <w:sdtContent>
                              <w:r>
                                <w:rPr>
                                  <w:rFonts w:ascii="Arial" w:eastAsia="Calibri" w:hAnsi="Arial" w:cs="Arial"/>
                                  <w:b/>
                                  <w:color w:val="002060"/>
                                  <w:sz w:val="22"/>
                                  <w:szCs w:val="22"/>
                                </w:rPr>
                                <w:t>1.1.1</w:t>
                              </w:r>
                            </w:sdtContent>
                          </w:sdt>
                          <w:r>
                            <w:rPr>
                              <w:rFonts w:ascii="Arial" w:eastAsia="Calibri" w:hAnsi="Arial" w:cs="Arial"/>
                              <w:b/>
                              <w:color w:val="002060"/>
                              <w:sz w:val="22"/>
                              <w:szCs w:val="22"/>
                            </w:rPr>
                            <w:t>. pav. Joniškio rajono savivaldybės geografinė padėtis</w:t>
                          </w:r>
                        </w:p>
                        <w:p>
                          <w:pPr>
                            <w:rPr>
                              <w:sz w:val="10"/>
                              <w:szCs w:val="10"/>
                            </w:rPr>
                          </w:pPr>
                        </w:p>
                        <w:p>
                          <w:pPr>
                            <w:jc w:val="center"/>
                            <w:rPr>
                              <w:rFonts w:ascii="Arial" w:hAnsi="Arial" w:cs="Arial"/>
                              <w:i/>
                              <w:iCs/>
                              <w:sz w:val="18"/>
                              <w:szCs w:val="18"/>
                            </w:rPr>
                          </w:pPr>
                          <w:r>
                            <w:rPr>
                              <w:rFonts w:ascii="Arial" w:hAnsi="Arial" w:cs="Arial"/>
                              <w:i/>
                              <w:iCs/>
                              <w:sz w:val="18"/>
                              <w:szCs w:val="18"/>
                            </w:rPr>
                            <w:t>Šaltinis: sudaryta autorių</w:t>
                          </w:r>
                        </w:p>
                        <w:p>
                          <w:pPr>
                            <w:rPr>
                              <w:sz w:val="10"/>
                              <w:szCs w:val="10"/>
                            </w:rPr>
                          </w:pPr>
                        </w:p>
                        <w:p>
                          <w:pPr>
                            <w:ind w:firstLine="567"/>
                            <w:jc w:val="both"/>
                            <w:rPr>
                              <w:rFonts w:ascii="Arial" w:hAnsi="Arial" w:cs="Arial"/>
                              <w:sz w:val="22"/>
                              <w:szCs w:val="22"/>
                            </w:rPr>
                          </w:pPr>
                          <w:r>
                            <w:rPr>
                              <w:rFonts w:ascii="Arial" w:hAnsi="Arial" w:cs="Arial"/>
                              <w:sz w:val="22"/>
                              <w:szCs w:val="22"/>
                            </w:rPr>
                            <w:t>Didžioji rajono dalis išsidėsčiusi pietinėje Žiemgalos žemumos dalyje. Rajono teritorija teka upės: Mūša, Platonis, Vilkija, Audruvis, Sidabra, Švėtė. Iš viso rajone priskaičiuojamos 49 upės ir upeliai. Svarbūs gamtosauginiai objektai – Pabalių botaninis, Vilkijos hidrografinis, Mūšos tyrelio telmologinis draustiniai, Žagarės regioninis ir Skaistgirio parkai. Yra 28 tvenkiniai (didžiausi – Žvelgaičių, Ramoškių, Beržėnų). Didesni miškai yra Tyrelio, Žagarės, Reibinių, Satkūnų, Didmiškio.</w:t>
                          </w:r>
                        </w:p>
                        <w:p>
                          <w:pPr>
                            <w:rPr>
                              <w:sz w:val="10"/>
                              <w:szCs w:val="10"/>
                            </w:rPr>
                          </w:pPr>
                        </w:p>
                        <w:p>
                          <w:pPr>
                            <w:ind w:firstLine="567"/>
                            <w:jc w:val="both"/>
                            <w:rPr>
                              <w:rFonts w:ascii="Arial" w:hAnsi="Arial" w:cs="Arial"/>
                              <w:sz w:val="22"/>
                              <w:szCs w:val="22"/>
                            </w:rPr>
                          </w:pPr>
                          <w:r>
                            <w:rPr>
                              <w:rFonts w:ascii="Arial" w:hAnsi="Arial" w:cs="Arial"/>
                              <w:sz w:val="22"/>
                              <w:szCs w:val="22"/>
                            </w:rPr>
                            <w:t>Joniškio rajonas – tipiškas žemės ūkio rajonas. Žemės ūkio naudmenos užima net 72,2 proc. teritorijos, miškingumas nedidelis – 18 proc., keliai užima 1,7 proc., užstatyta teritorija – 2,3 proc., vandenys – 2 proc., kita žemė – 1,9 proc. Rajonas taip pat išsiskiria ir durpynais bei dolomitų atsargomis. Yra svarbus žemės ūkio produktų perdirbimo centras.</w:t>
                          </w:r>
                        </w:p>
                        <w:p>
                          <w:pPr>
                            <w:rPr>
                              <w:sz w:val="10"/>
                              <w:szCs w:val="10"/>
                            </w:rPr>
                          </w:pPr>
                        </w:p>
                        <w:p>
                          <w:pPr>
                            <w:ind w:firstLine="567"/>
                            <w:jc w:val="both"/>
                            <w:rPr>
                              <w:rFonts w:ascii="Arial" w:hAnsi="Arial" w:cs="Arial"/>
                              <w:b/>
                              <w:sz w:val="22"/>
                              <w:szCs w:val="22"/>
                            </w:rPr>
                          </w:pPr>
                          <w:r>
                            <w:rPr>
                              <w:rFonts w:ascii="Arial" w:hAnsi="Arial" w:cs="Arial"/>
                              <w:sz w:val="22"/>
                              <w:szCs w:val="22"/>
                            </w:rPr>
                            <w:t>Rajone yra 2 miestai – Joniškis ir Žagarė, ir 2 miesteliai – Kriukai ir Skaistgirys. Savivaldybė yra suskirstyta į 10 seniūnijų: Joniškio, Žagarės, Gaižaičių, Skaistgirio, Saugėlaukio, Rudiškių, Satkūnų, Kepalių, Gataučių, Kriukų, seniūnijos padalintos į 56 seniūnaitijas. Per rajoną eina svarbus tarptautinių pervežimų kelias Ryga – Kaliningradas, geležinkelis Talinas – Varšuva. Joniškio rajono šiaurine dalimi tęsiasi 68 km Lietuvos Respublikos valstybinė siena su Latvijos Respublika. Rajone yra du sienos kirtimo punktai: Kalvių ir Žagarės. Atstumas tarp šių postų apie 30 km. Joniškio krašte jaučiama pietinės Latvijos ekonomikos ir etnografijos įtaka.</w:t>
                          </w:r>
                        </w:p>
                        <w:p>
                          <w:pPr>
                            <w:rPr>
                              <w:sz w:val="10"/>
                              <w:szCs w:val="10"/>
                            </w:rPr>
                          </w:pPr>
                        </w:p>
                      </w:sdtContent>
                    </w:sdt>
                  </w:sdtContent>
                </w:sdt>
                <w:sdt>
                  <w:sdtPr>
                    <w:alias w:val="1.2 pp."/>
                    <w:tag w:val="part_d502af952e2b42e4a1b496b535e31a3b"/>
                    <w:lock w:val="sdtLocked"/>
                    <w:richText/>
                  </w:sdtPr>
                  <w:sdtContent>
                    <w:p>
                      <w:pPr>
                        <w:keepNext/>
                        <w:keepLines/>
                        <w:spacing w:line="259" w:lineRule="auto"/>
                        <w:jc w:val="center"/>
                        <w:outlineLvl w:val="1"/>
                        <w:rPr>
                          <w:rFonts w:ascii="Arial" w:hAnsi="Arial" w:cs="Arial"/>
                          <w:b/>
                          <w:color w:val="002060"/>
                          <w:szCs w:val="26"/>
                        </w:rPr>
                      </w:pPr>
                      <w:sdt>
                        <w:sdtPr>
                          <w:alias w:val="Numeris"/>
                          <w:tag w:val="nr_d502af952e2b42e4a1b496b535e31a3b"/>
                          <w:lock w:val="sdtLocked"/>
                          <w:richText/>
                        </w:sdtPr>
                        <w:sdtContent>
                          <w:r>
                            <w:rPr>
                              <w:rFonts w:ascii="Arial" w:hAnsi="Arial" w:cs="Arial"/>
                              <w:b/>
                              <w:color w:val="002060"/>
                              <w:szCs w:val="26"/>
                            </w:rPr>
                            <w:t>1.2</w:t>
                          </w:r>
                        </w:sdtContent>
                      </w:sdt>
                      <w:r>
                        <w:rPr>
                          <w:rFonts w:ascii="Arial" w:hAnsi="Arial" w:cs="Arial"/>
                          <w:b/>
                          <w:color w:val="002060"/>
                          <w:szCs w:val="26"/>
                        </w:rPr>
                        <w:t>. Savivaldybės klimatinės sąlygos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Meteorologinės sąlygos yra svarbus veiksnys atsinaujinančių išteklių panaudojimo atžvilgiu, todėl yra pateikiami meteorologiniai parametrai. Pagrindiniai klimatą apibūdinantys meteorologiniai dydžiai yra vidutinė metinė temperatūra, krituliai, vyraujantys vėjai bei saulės spindėjimo trukmė. </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savivaldybės klimatą apibūdinantys meteorologiniai dydžiai – vyraujantys vėjai, saulės spindėjimo trukmė pateikti sekančiuose paveiksluose.</w:t>
                      </w:r>
                    </w:p>
                    <w:p>
                      <w:pPr>
                        <w:rPr>
                          <w:sz w:val="14"/>
                          <w:szCs w:val="14"/>
                        </w:rPr>
                      </w:pPr>
                    </w:p>
                    <w:p>
                      <w:pPr>
                        <w:spacing w:line="259" w:lineRule="auto"/>
                        <w:jc w:val="center"/>
                        <w:rPr>
                          <w:rFonts w:ascii="Arial" w:hAnsi="Arial" w:cs="Arial"/>
                          <w:sz w:val="22"/>
                          <w:szCs w:val="22"/>
                        </w:rPr>
                      </w:pPr>
                      <w:r>
                        <w:rPr>
                          <w:rFonts w:ascii="Arial" w:hAnsi="Arial" w:cs="Arial"/>
                          <w:sz w:val="22"/>
                          <w:szCs w:val="22"/>
                          <w:lang w:val="en-US"/>
                        </w:rPr>
                        <w:drawing>
                          <wp:inline distT="0" distB="0" distL="0" distR="0" wp14:anchorId="51C2D581" wp14:editId="3A8591A7">
                            <wp:extent cx="5834465" cy="2453331"/>
                            <wp:effectExtent l="76200" t="38100" r="71120" b="118745"/>
                            <wp:docPr id="21" name="Paveikslėlis 21"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aveikslėlis 21" descr="Paveikslėlis, kuriame yra žemėlapis  Automatiškai sugeneruotas aprašyma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79371" cy="2472214"/>
                                    </a:xfrm>
                                    <a:prstGeom prst="rect">
                                      <a:avLst/>
                                    </a:prstGeom>
                                    <a:ln>
                                      <a:solidFill>
                                        <a:schemeClr val="bg2">
                                          <a:lumMod val="75000"/>
                                        </a:schemeClr>
                                      </a:solidFill>
                                    </a:ln>
                                    <a:effectLst>
                                      <a:outerShdw blurRad="50800" dist="38100" dir="5400000" algn="t" rotWithShape="0">
                                        <a:prstClr val="black">
                                          <a:alpha val="40000"/>
                                        </a:prstClr>
                                      </a:outerShdw>
                                    </a:effectLst>
                                  </pic:spPr>
                                </pic:pic>
                              </a:graphicData>
                            </a:graphic>
                          </wp:inline>
                        </w:drawing>
                      </w:r>
                    </w:p>
                    <w:p>
                      <w:pPr>
                        <w:rPr>
                          <w:sz w:val="14"/>
                          <w:szCs w:val="14"/>
                        </w:rPr>
                      </w:pPr>
                    </w:p>
                    <w:sdt>
                      <w:sdtPr>
                        <w:alias w:val="1.2.1 pp."/>
                        <w:tag w:val="part_0abfb39d31a24565a3b944c1f87d47c7"/>
                        <w:lock w:val="sdtLocked"/>
                        <w:richText/>
                      </w:sdtPr>
                      <w:sdtContent>
                        <w:p>
                          <w:pPr>
                            <w:tabs>
                              <w:tab w:val="right" w:leader="dot" w:pos="10195"/>
                            </w:tabs>
                            <w:spacing w:line="259" w:lineRule="auto"/>
                            <w:ind w:firstLine="62"/>
                            <w:jc w:val="center"/>
                            <w:rPr>
                              <w:rFonts w:ascii="Arial" w:eastAsia="Calibri" w:hAnsi="Arial" w:cs="Arial"/>
                              <w:b/>
                              <w:color w:val="002060"/>
                              <w:sz w:val="22"/>
                              <w:szCs w:val="22"/>
                            </w:rPr>
                          </w:pPr>
                          <w:sdt>
                            <w:sdtPr>
                              <w:alias w:val="Numeris"/>
                              <w:tag w:val="nr_0abfb39d31a24565a3b944c1f87d47c7"/>
                              <w:lock w:val="sdtLocked"/>
                              <w:richText/>
                            </w:sdtPr>
                            <w:sdtContent>
                              <w:r>
                                <w:rPr>
                                  <w:rFonts w:ascii="Arial" w:eastAsia="Calibri" w:hAnsi="Arial" w:cs="Arial"/>
                                  <w:b/>
                                  <w:color w:val="002060"/>
                                  <w:sz w:val="22"/>
                                  <w:szCs w:val="22"/>
                                </w:rPr>
                                <w:t>1.2.1</w:t>
                              </w:r>
                            </w:sdtContent>
                          </w:sdt>
                          <w:r>
                            <w:rPr>
                              <w:rFonts w:ascii="Arial" w:eastAsia="Calibri" w:hAnsi="Arial" w:cs="Arial"/>
                              <w:b/>
                              <w:color w:val="002060"/>
                              <w:sz w:val="22"/>
                              <w:szCs w:val="22"/>
                            </w:rPr>
                            <w:t>. pav. Lietuvos Respublikos vėjo greičio ir saulės spindėjimo trukmės žemėlapiai</w:t>
                          </w:r>
                        </w:p>
                        <w:p>
                          <w:pPr>
                            <w:rPr>
                              <w:sz w:val="10"/>
                              <w:szCs w:val="10"/>
                            </w:rPr>
                          </w:pPr>
                        </w:p>
                        <w:p>
                          <w:pPr>
                            <w:spacing w:line="259" w:lineRule="auto"/>
                            <w:jc w:val="center"/>
                            <w:rPr>
                              <w:rFonts w:ascii="Arial" w:hAnsi="Arial" w:cs="Arial"/>
                              <w:i/>
                              <w:iCs/>
                              <w:sz w:val="18"/>
                              <w:szCs w:val="18"/>
                            </w:rPr>
                          </w:pPr>
                          <w:r>
                            <w:rPr>
                              <w:rFonts w:ascii="Arial" w:hAnsi="Arial" w:cs="Arial"/>
                              <w:i/>
                              <w:iCs/>
                              <w:sz w:val="18"/>
                              <w:szCs w:val="18"/>
                            </w:rPr>
                            <w:t>Šaltinis: Lietuvos hidrometeorologijos tarnybos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Pagrindiniai klimatą apibūdinantys meteorologiniai dydžiai yra vidutinė metinė temperatūra, krituliai, vyraujantys vėjai bei saulės spindėjimo trukmė. Lietuvos hidrometeorologijos tarnybos duomenimis, vidutinė metinė oro temperatūra Joniškio rajono savivaldybėje yra apie 7,0–7,5 </w:t>
                          </w:r>
                          <w:r>
                            <w:rPr>
                              <w:rFonts w:ascii="Arial" w:hAnsi="Arial" w:cs="Arial"/>
                              <w:sz w:val="20"/>
                            </w:rPr>
                            <w:t>°C</w:t>
                          </w:r>
                          <w:r>
                            <w:rPr>
                              <w:rFonts w:ascii="Arial" w:hAnsi="Arial" w:cs="Arial"/>
                              <w:sz w:val="22"/>
                            </w:rPr>
                            <w:t>, vidutinis metinis kritulių kiekis yra nuo 600 iki 650 mm, vidutinis metinis vėjo greitis nuo 2,5 iki 3,0 m/s, vidutinė metinė saulės spindėjimo trukmė yra 1 800–1 900 val.</w:t>
                          </w:r>
                        </w:p>
                        <w:p>
                          <w:pPr>
                            <w:rPr>
                              <w:sz w:val="14"/>
                              <w:szCs w:val="14"/>
                            </w:rPr>
                          </w:pPr>
                        </w:p>
                      </w:sdtContent>
                    </w:sdt>
                  </w:sdtContent>
                </w:sdt>
                <w:sdt>
                  <w:sdtPr>
                    <w:alias w:val="1.3 pp."/>
                    <w:tag w:val="part_d4596e1864fe499baa6828571f450004"/>
                    <w:lock w:val="sdtLocked"/>
                    <w:richText/>
                  </w:sdtPr>
                  <w:sdtContent>
                    <w:p>
                      <w:pPr>
                        <w:keepNext/>
                        <w:keepLines/>
                        <w:spacing w:line="259" w:lineRule="auto"/>
                        <w:jc w:val="center"/>
                        <w:outlineLvl w:val="1"/>
                        <w:rPr>
                          <w:rFonts w:ascii="Arial" w:eastAsia="Calibri" w:hAnsi="Arial" w:cs="Arial"/>
                          <w:b/>
                          <w:color w:val="002060"/>
                          <w:szCs w:val="26"/>
                        </w:rPr>
                      </w:pPr>
                      <w:sdt>
                        <w:sdtPr>
                          <w:alias w:val="Numeris"/>
                          <w:tag w:val="nr_d4596e1864fe499baa6828571f450004"/>
                          <w:lock w:val="sdtLocked"/>
                          <w:richText/>
                        </w:sdtPr>
                        <w:sdtContent>
                          <w:r>
                            <w:rPr>
                              <w:rFonts w:ascii="Arial" w:eastAsia="Calibri" w:hAnsi="Arial" w:cs="Arial"/>
                              <w:b/>
                              <w:color w:val="002060"/>
                              <w:szCs w:val="26"/>
                            </w:rPr>
                            <w:t>1.3</w:t>
                          </w:r>
                        </w:sdtContent>
                      </w:sdt>
                      <w:r>
                        <w:rPr>
                          <w:rFonts w:ascii="Arial" w:eastAsia="Calibri" w:hAnsi="Arial" w:cs="Arial"/>
                          <w:b/>
                          <w:color w:val="002060"/>
                          <w:szCs w:val="26"/>
                        </w:rPr>
                        <w:t xml:space="preserve">. Duomenys apie energijos </w:t>
                      </w:r>
                      <w:r>
                        <w:rPr>
                          <w:rFonts w:ascii="Arial" w:hAnsi="Arial" w:cs="Arial"/>
                          <w:b/>
                          <w:color w:val="002060"/>
                          <w:szCs w:val="26"/>
                        </w:rPr>
                        <w:t>vartotojus</w:t>
                      </w:r>
                      <w:r>
                        <w:rPr>
                          <w:rFonts w:ascii="Arial" w:eastAsia="Calibri" w:hAnsi="Arial" w:cs="Arial"/>
                          <w:b/>
                          <w:color w:val="002060"/>
                          <w:szCs w:val="26"/>
                        </w:rPr>
                        <w:t xml:space="preserve"> savivaldybėje</w:t>
                      </w:r>
                    </w:p>
                    <w:p>
                      <w:pPr>
                        <w:rPr>
                          <w:sz w:val="14"/>
                          <w:szCs w:val="14"/>
                        </w:rPr>
                      </w:pPr>
                    </w:p>
                    <w:p>
                      <w:pPr>
                        <w:spacing w:line="259" w:lineRule="auto"/>
                        <w:ind w:firstLine="567"/>
                        <w:jc w:val="both"/>
                        <w:rPr>
                          <w:rFonts w:ascii="Arial" w:hAnsi="Arial" w:cs="Arial"/>
                          <w:sz w:val="22"/>
                        </w:rPr>
                      </w:pPr>
                      <w:r>
                        <w:rPr>
                          <w:rFonts w:ascii="Arial" w:hAnsi="Arial" w:cs="Arial"/>
                          <w:sz w:val="22"/>
                        </w:rPr>
                        <w:t>Lietuvos Respublikos Seimo 2012 m. birželio 26 d. nutarimu Nr. XI-2133 buvo patvirtinta Nacionalinė energetinės nepriklausomybės strategija</w:t>
                      </w:r>
                      <w:r>
                        <w:rPr>
                          <w:rFonts w:ascii="Arial" w:hAnsi="Arial" w:cs="Arial"/>
                          <w:sz w:val="22"/>
                          <w:vertAlign w:val="superscript"/>
                        </w:rPr>
                        <w:footnoteReference w:id="1"/>
                      </w:r>
                      <w:r>
                        <w:rPr>
                          <w:rFonts w:ascii="Arial" w:hAnsi="Arial" w:cs="Arial"/>
                          <w:sz w:val="22"/>
                        </w:rPr>
                        <w:t xml:space="preserve"> (toliau – NENS), pagal kurią Lietuvos energetikos tikslas yra gyventojų ir verslo energetikos poreikių užtikrinimas. Šios strategijos siekis yra energetinės nepriklausomybės didinimas, subalansuota ir tvari atsinaujinančių išteklių plėtra, energetikos infrastruktūros modernizavimas, energijos vartojimo efektyvumo didinimas, perėjimas nuo iškastinių prie atsinaujinančių energijos išteklių. Vienas iš svarbiausių siekių yra energetinio efektyvumo didinimas. Siekiant įvertinti energetinio efektyvumo didinimo potencialą Joniškio rajono savivaldybėje, pirmiausia šioje dalyje atliekama energijos vartotojų analizė. </w:t>
                      </w:r>
                    </w:p>
                    <w:p>
                      <w:pPr>
                        <w:rPr>
                          <w:sz w:val="14"/>
                          <w:szCs w:val="14"/>
                        </w:rPr>
                      </w:pPr>
                    </w:p>
                    <w:sdt>
                      <w:sdtPr>
                        <w:alias w:val="1.3.1 pp."/>
                        <w:tag w:val="part_08ca999b4fb94319a6ecd32f89f7c164"/>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08ca999b4fb94319a6ecd32f89f7c164"/>
                              <w:lock w:val="sdtLocked"/>
                              <w:richText/>
                            </w:sdtPr>
                            <w:sdtContent>
                              <w:r>
                                <w:rPr>
                                  <w:rFonts w:ascii="Arial" w:hAnsi="Arial" w:cs="Arial"/>
                                  <w:b/>
                                  <w:color w:val="002060"/>
                                  <w:sz w:val="22"/>
                                  <w:szCs w:val="24"/>
                                </w:rPr>
                                <w:t>1.3.1</w:t>
                              </w:r>
                            </w:sdtContent>
                          </w:sdt>
                          <w:r>
                            <w:rPr>
                              <w:rFonts w:ascii="Arial" w:hAnsi="Arial" w:cs="Arial"/>
                              <w:b/>
                              <w:color w:val="002060"/>
                              <w:sz w:val="22"/>
                              <w:szCs w:val="24"/>
                            </w:rPr>
                            <w:t>. Gyventojai</w:t>
                          </w:r>
                        </w:p>
                        <w:p>
                          <w:pPr>
                            <w:rPr>
                              <w:sz w:val="14"/>
                              <w:szCs w:val="14"/>
                            </w:rPr>
                          </w:pPr>
                        </w:p>
                        <w:p>
                          <w:pPr>
                            <w:spacing w:line="259" w:lineRule="auto"/>
                            <w:ind w:firstLine="567"/>
                            <w:jc w:val="both"/>
                            <w:rPr>
                              <w:rFonts w:ascii="Arial" w:eastAsia="Calibri" w:hAnsi="Arial" w:cs="Arial"/>
                              <w:sz w:val="22"/>
                            </w:rPr>
                          </w:pPr>
                          <w:r>
                            <w:rPr>
                              <w:rFonts w:ascii="Arial" w:hAnsi="Arial" w:cs="Arial"/>
                              <w:sz w:val="22"/>
                            </w:rPr>
                            <w:t xml:space="preserve">Viena didžiausių problemų, kurias patiria Lietuva, taip pat ir Joniškio rajono savivaldybė, yra mažėjantys demografiniai rodikliai: mažėjantis gyventojų skaičius, didėjanti emigracija ir senėjanti visuomenė. </w:t>
                          </w:r>
                          <w:r>
                            <w:rPr>
                              <w:rFonts w:ascii="Arial" w:eastAsia="Calibri" w:hAnsi="Arial" w:cs="Arial"/>
                              <w:sz w:val="22"/>
                            </w:rPr>
                            <w:t xml:space="preserve">Remiantis Lietuvos statistikos departamento duomenimis, laikotarpyje nuo 2018 m. pradžios iki 2022 m. pradžios, gyventojų skaičius </w:t>
                          </w:r>
                          <w:r>
                            <w:rPr>
                              <w:rFonts w:ascii="Arial" w:hAnsi="Arial" w:cs="Arial"/>
                              <w:sz w:val="20"/>
                            </w:rPr>
                            <w:t>Joniškio rajono</w:t>
                          </w:r>
                          <w:r>
                            <w:rPr>
                              <w:rFonts w:ascii="Arial" w:eastAsia="Calibri" w:hAnsi="Arial" w:cs="Arial"/>
                              <w:sz w:val="22"/>
                            </w:rPr>
                            <w:t xml:space="preserve"> savivaldybėje sumažėjo 3,17 proc. Šiaulių apskrityje analizuojamu laikotarpiu gyventojų mažėjimas buvo lėtesnis – 1,63 proc., šalyje gyventojų mažėjimas siekė 0,10 proc. </w:t>
                          </w:r>
                        </w:p>
                        <w:p>
                          <w:pPr>
                            <w:rPr>
                              <w:sz w:val="14"/>
                              <w:szCs w:val="14"/>
                            </w:rPr>
                          </w:pPr>
                        </w:p>
                        <w:sdt>
                          <w:sdtPr>
                            <w:alias w:val="1.3.1.1 pp."/>
                            <w:tag w:val="part_400ecf97607647649c92385225bf8d0e"/>
                            <w:lock w:val="sdtLocked"/>
                            <w:richText/>
                          </w:sdtPr>
                          <w:sdtContent>
                            <w:p>
                              <w:pPr>
                                <w:keepNext/>
                                <w:keepLines/>
                                <w:spacing w:line="259" w:lineRule="auto"/>
                                <w:jc w:val="center"/>
                                <w:outlineLvl w:val="4"/>
                                <w:rPr>
                                  <w:rFonts w:ascii="Arial" w:hAnsi="Arial" w:cs="Arial"/>
                                  <w:b/>
                                  <w:color w:val="219969"/>
                                  <w:sz w:val="22"/>
                                  <w:szCs w:val="22"/>
                                </w:rPr>
                              </w:pPr>
                              <w:r>
                                <w:rPr>
                                  <w:rFonts w:ascii="Arial" w:hAnsi="Arial" w:cs="Arial"/>
                                  <w:b/>
                                  <w:color w:val="219969"/>
                                  <w:sz w:val="22"/>
                                  <w:szCs w:val="22"/>
                                  <w:lang w:val="en-US"/>
                                </w:rPr>
                                <w:drawing>
                                  <wp:inline distT="0" distB="0" distL="0" distR="0" wp14:anchorId="20FF4B5A" wp14:editId="71C2A6C0">
                                    <wp:extent cx="6480175" cy="2020570"/>
                                    <wp:effectExtent l="0" t="0" r="0" b="0"/>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6480175" cy="2020570"/>
                                            </a:xfrm>
                                            <a:prstGeom prst="rect">
                                              <a:avLst/>
                                            </a:prstGeom>
                                          </pic:spPr>
                                        </pic:pic>
                                      </a:graphicData>
                                    </a:graphic>
                                  </wp:inline>
                                </w:drawing>
                              </w:r>
                              <w:sdt>
                                <w:sdtPr>
                                  <w:alias w:val="Numeris"/>
                                  <w:tag w:val="nr_400ecf97607647649c92385225bf8d0e"/>
                                  <w:lock w:val="sdtLocked"/>
                                  <w:richText/>
                                </w:sdtPr>
                                <w:sdtContent>
                                  <w:r>
                                    <w:rPr>
                                      <w:rFonts w:ascii="Arial" w:eastAsia="Calibri" w:hAnsi="Arial" w:cs="Arial"/>
                                      <w:b/>
                                      <w:color w:val="002060"/>
                                      <w:sz w:val="22"/>
                                      <w:szCs w:val="22"/>
                                    </w:rPr>
                                    <w:t>1.3.1.1</w:t>
                                  </w:r>
                                </w:sdtContent>
                              </w:sdt>
                              <w:r>
                                <w:rPr>
                                  <w:rFonts w:ascii="Arial" w:eastAsia="Calibri" w:hAnsi="Arial" w:cs="Arial"/>
                                  <w:b/>
                                  <w:color w:val="002060"/>
                                  <w:sz w:val="22"/>
                                  <w:szCs w:val="22"/>
                                </w:rPr>
                                <w:t>. lentelė. Gyventojų skaičius 2018–2022 m. pradžioje</w:t>
                              </w:r>
                            </w:p>
                            <w:p>
                              <w:pPr>
                                <w:rPr>
                                  <w:sz w:val="14"/>
                                  <w:szCs w:val="14"/>
                                </w:rPr>
                              </w:pPr>
                            </w:p>
                            <w:p>
                              <w:pPr>
                                <w:spacing w:line="259" w:lineRule="auto"/>
                                <w:jc w:val="center"/>
                                <w:rPr>
                                  <w:rFonts w:ascii="Arial" w:hAnsi="Arial" w:cs="Arial"/>
                                  <w:i/>
                                  <w:iCs/>
                                  <w:sz w:val="18"/>
                                  <w:szCs w:val="18"/>
                                </w:rPr>
                              </w:pPr>
                              <w:r>
                                <w:rPr>
                                  <w:rFonts w:ascii="Arial" w:hAnsi="Arial" w:cs="Arial"/>
                                  <w:i/>
                                  <w:iCs/>
                                  <w:sz w:val="18"/>
                                  <w:szCs w:val="18"/>
                                </w:rPr>
                                <w:t>Šaltinis: Lietuvos statistikos departamento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Analizuojamu laikotarpiu didžiausią įtaką Joniškio savivaldybės gyventojų skaičiaus mažėjimui turėjo neigiami migracijos rodikliai. Dėl neigiamos migracijos 2017-2021 m. Joniškio gyventojų skaičius sumažėjo 1 327 gyventojais arba vidutiniškai 265 gyventojais kasmet. Daugiausia gyventojų sumažėjo 2017 m. (631 gyventoju). Analizuojamo laikotarpio pradžioje Lietuvoje bei Šiaulių apskrityje taip pat buvo fiksuojami neigiami migracijos rodikliai, tačiau nuo 2019 m., tiek šalyje, tiek Šiaulių apskrityje yra fiksuojami teigiami migracijos rodikliai, t.y. į teritoriją atvykstančių gyventi žmonių skaičius yra didesnis nei išvykstančiųjų. Detalūs vidaus ir tarptautinės migracijos duomenys pateikiami 1.3.1.2. lentelėje. Verta atkreipti dėmesį, jog viena iš priežasčių, daranti įtaką gerėjantiems migracijos rodikliams paskutiniaisiais metais - pandeminė situacija šalyje bei visame pasaulyje, skatinanti lietuvius grįžti iš emigracijos, kuomet užsienio šalys taiko ribojimus į šalį atvykstantiems imigrantams. </w:t>
                              </w:r>
                            </w:p>
                            <w:p>
                              <w:pPr>
                                <w:rPr>
                                  <w:sz w:val="14"/>
                                  <w:szCs w:val="14"/>
                                </w:rPr>
                              </w:pPr>
                            </w:p>
                          </w:sdtContent>
                        </w:sdt>
                        <w:sdt>
                          <w:sdtPr>
                            <w:alias w:val="1.3.1.2 pp."/>
                            <w:tag w:val="part_b526780216714e8cbd62593ce9c52f5b"/>
                            <w:lock w:val="sdtLocked"/>
                            <w:richText/>
                          </w:sdtPr>
                          <w:sdtContent>
                            <w:p>
                              <w:pPr>
                                <w:spacing w:line="259" w:lineRule="auto"/>
                                <w:jc w:val="center"/>
                                <w:rPr>
                                  <w:rFonts w:ascii="Arial" w:eastAsia="Calibri" w:hAnsi="Arial" w:cs="Arial"/>
                                  <w:b/>
                                  <w:color w:val="002060"/>
                                  <w:sz w:val="22"/>
                                  <w:szCs w:val="32"/>
                                </w:rPr>
                              </w:pPr>
                              <w:sdt>
                                <w:sdtPr>
                                  <w:alias w:val="Numeris"/>
                                  <w:tag w:val="nr_b526780216714e8cbd62593ce9c52f5b"/>
                                  <w:lock w:val="sdtLocked"/>
                                  <w:richText/>
                                </w:sdtPr>
                                <w:sdtContent>
                                  <w:r>
                                    <w:rPr>
                                      <w:rFonts w:ascii="Arial" w:eastAsia="Calibri" w:hAnsi="Arial" w:cs="Arial"/>
                                      <w:b/>
                                      <w:color w:val="002060"/>
                                      <w:sz w:val="22"/>
                                      <w:szCs w:val="32"/>
                                    </w:rPr>
                                    <w:t>1.3.1.2</w:t>
                                  </w:r>
                                </w:sdtContent>
                              </w:sdt>
                              <w:r>
                                <w:rPr>
                                  <w:rFonts w:ascii="Arial" w:eastAsia="Calibri" w:hAnsi="Arial" w:cs="Arial"/>
                                  <w:b/>
                                  <w:color w:val="002060"/>
                                  <w:sz w:val="22"/>
                                  <w:szCs w:val="32"/>
                                </w:rPr>
                                <w:t>. lentelė. Vidaus ir tarptautinė migracija 2017-2021 m.</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284"/>
                                <w:gridCol w:w="939"/>
                                <w:gridCol w:w="939"/>
                                <w:gridCol w:w="939"/>
                                <w:gridCol w:w="939"/>
                                <w:gridCol w:w="939"/>
                              </w:tblGrid>
                              <w:tr>
                                <w:trPr>
                                  <w:trHeight w:hRule="exact" w:val="284"/>
                                  <w:jc w:val="center"/>
                                </w:trPr>
                                <w:tc>
                                  <w:tcPr>
                                    <w:tcW w:w="0" w:type="auto"/>
                                    <w:noWrap/>
                                    <w:hideMark/>
                                  </w:tcPr>
                                  <w:p>
                                    <w:pPr>
                                      <w:spacing w:line="259" w:lineRule="auto"/>
                                      <w:ind w:firstLine="57"/>
                                      <w:jc w:val="both"/>
                                      <w:rPr>
                                        <w:rFonts w:ascii="Arial" w:hAnsi="Arial" w:cs="Arial"/>
                                        <w:sz w:val="20"/>
                                        <w:szCs w:val="16"/>
                                        <w:lang w:eastAsia="lt-LT"/>
                                      </w:rPr>
                                    </w:pPr>
                                  </w:p>
                                </w:tc>
                                <w:tc>
                                  <w:tcPr>
                                    <w:tcW w:w="0" w:type="auto"/>
                                    <w:hideMark/>
                                  </w:tcPr>
                                  <w:p>
                                    <w:pPr>
                                      <w:spacing w:line="259" w:lineRule="auto"/>
                                      <w:jc w:val="center"/>
                                      <w:rPr>
                                        <w:rFonts w:ascii="Arial" w:eastAsia="SegoeUI" w:hAnsi="Arial" w:cs="Arial"/>
                                        <w:sz w:val="20"/>
                                        <w:szCs w:val="16"/>
                                        <w:lang w:eastAsia="lt-LT"/>
                                      </w:rPr>
                                    </w:pPr>
                                    <w:r>
                                      <w:rPr>
                                        <w:rFonts w:ascii="Arial" w:eastAsia="SegoeUI" w:hAnsi="Arial" w:cs="Arial"/>
                                        <w:sz w:val="20"/>
                                        <w:szCs w:val="16"/>
                                        <w:lang w:eastAsia="lt-LT"/>
                                      </w:rPr>
                                      <w:t>2017</w:t>
                                    </w:r>
                                  </w:p>
                                </w:tc>
                                <w:tc>
                                  <w:tcPr>
                                    <w:tcW w:w="0" w:type="auto"/>
                                    <w:hideMark/>
                                  </w:tcPr>
                                  <w:p>
                                    <w:pPr>
                                      <w:spacing w:line="259" w:lineRule="auto"/>
                                      <w:jc w:val="center"/>
                                      <w:rPr>
                                        <w:rFonts w:ascii="Arial" w:eastAsia="SegoeUI" w:hAnsi="Arial" w:cs="Arial"/>
                                        <w:sz w:val="20"/>
                                        <w:szCs w:val="16"/>
                                        <w:lang w:eastAsia="lt-LT"/>
                                      </w:rPr>
                                    </w:pPr>
                                    <w:r>
                                      <w:rPr>
                                        <w:rFonts w:ascii="Arial" w:eastAsia="SegoeUI" w:hAnsi="Arial" w:cs="Arial"/>
                                        <w:sz w:val="20"/>
                                        <w:szCs w:val="16"/>
                                        <w:lang w:eastAsia="lt-LT"/>
                                      </w:rPr>
                                      <w:t>2018</w:t>
                                    </w:r>
                                  </w:p>
                                </w:tc>
                                <w:tc>
                                  <w:tcPr>
                                    <w:tcW w:w="0" w:type="auto"/>
                                    <w:hideMark/>
                                  </w:tcPr>
                                  <w:p>
                                    <w:pPr>
                                      <w:spacing w:line="259" w:lineRule="auto"/>
                                      <w:jc w:val="center"/>
                                      <w:rPr>
                                        <w:rFonts w:ascii="Arial" w:eastAsia="SegoeUI" w:hAnsi="Arial" w:cs="Arial"/>
                                        <w:sz w:val="20"/>
                                        <w:szCs w:val="16"/>
                                        <w:lang w:eastAsia="lt-LT"/>
                                      </w:rPr>
                                    </w:pPr>
                                    <w:r>
                                      <w:rPr>
                                        <w:rFonts w:ascii="Arial" w:eastAsia="SegoeUI" w:hAnsi="Arial" w:cs="Arial"/>
                                        <w:sz w:val="20"/>
                                        <w:szCs w:val="16"/>
                                        <w:lang w:eastAsia="lt-LT"/>
                                      </w:rPr>
                                      <w:t>2019</w:t>
                                    </w:r>
                                  </w:p>
                                </w:tc>
                                <w:tc>
                                  <w:tcPr>
                                    <w:tcW w:w="0" w:type="auto"/>
                                    <w:hideMark/>
                                  </w:tcPr>
                                  <w:p>
                                    <w:pPr>
                                      <w:spacing w:line="259" w:lineRule="auto"/>
                                      <w:jc w:val="center"/>
                                      <w:rPr>
                                        <w:rFonts w:ascii="Arial" w:eastAsia="SegoeUI" w:hAnsi="Arial" w:cs="Arial"/>
                                        <w:sz w:val="20"/>
                                        <w:szCs w:val="16"/>
                                        <w:lang w:eastAsia="lt-LT"/>
                                      </w:rPr>
                                    </w:pPr>
                                    <w:r>
                                      <w:rPr>
                                        <w:rFonts w:ascii="Arial" w:eastAsia="SegoeUI" w:hAnsi="Arial" w:cs="Arial"/>
                                        <w:sz w:val="20"/>
                                        <w:szCs w:val="16"/>
                                        <w:lang w:eastAsia="lt-LT"/>
                                      </w:rPr>
                                      <w:t>2020</w:t>
                                    </w:r>
                                  </w:p>
                                </w:tc>
                                <w:tc>
                                  <w:tcPr>
                                    <w:tcW w:w="0" w:type="auto"/>
                                  </w:tcPr>
                                  <w:p>
                                    <w:pPr>
                                      <w:spacing w:line="259" w:lineRule="auto"/>
                                      <w:jc w:val="center"/>
                                      <w:rPr>
                                        <w:rFonts w:ascii="Arial" w:eastAsia="SegoeUI" w:hAnsi="Arial" w:cs="Arial"/>
                                        <w:sz w:val="20"/>
                                        <w:szCs w:val="16"/>
                                        <w:lang w:eastAsia="lt-LT"/>
                                      </w:rPr>
                                    </w:pPr>
                                    <w:r>
                                      <w:rPr>
                                        <w:rFonts w:ascii="Arial" w:eastAsia="SegoeUI" w:hAnsi="Arial" w:cs="Arial"/>
                                        <w:sz w:val="20"/>
                                        <w:szCs w:val="16"/>
                                        <w:lang w:eastAsia="lt-LT"/>
                                      </w:rPr>
                                      <w:t>2021</w:t>
                                    </w:r>
                                  </w:p>
                                </w:tc>
                              </w:tr>
                              <w:tr>
                                <w:trPr>
                                  <w:trHeight w:hRule="exact" w:val="284"/>
                                  <w:jc w:val="center"/>
                                </w:trPr>
                                <w:tc>
                                  <w:tcPr>
                                    <w:tcW w:w="0" w:type="auto"/>
                                    <w:gridSpan w:val="6"/>
                                    <w:noWrap/>
                                    <w:hideMark/>
                                  </w:tcPr>
                                  <w:p>
                                    <w:pPr>
                                      <w:spacing w:line="259" w:lineRule="auto"/>
                                      <w:jc w:val="center"/>
                                      <w:rPr>
                                        <w:rFonts w:ascii="Arial" w:hAnsi="Arial" w:cs="Arial"/>
                                        <w:sz w:val="20"/>
                                        <w:lang w:eastAsia="lt-LT"/>
                                      </w:rPr>
                                    </w:pPr>
                                    <w:r>
                                      <w:rPr>
                                        <w:rFonts w:ascii="Arial" w:hAnsi="Arial" w:cs="Arial"/>
                                        <w:sz w:val="20"/>
                                        <w:lang w:eastAsia="lt-LT"/>
                                      </w:rPr>
                                      <w:t>Lietuvos Respublika</w:t>
                                    </w: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Atvykusieji ir imigrantai</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89 785</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105 090</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113 232</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113 691</w:t>
                                    </w:r>
                                  </w:p>
                                </w:tc>
                                <w:tc>
                                  <w:tcPr>
                                    <w:tcW w:w="0" w:type="auto"/>
                                  </w:tcPr>
                                  <w:p>
                                    <w:pPr>
                                      <w:spacing w:line="259" w:lineRule="auto"/>
                                      <w:jc w:val="center"/>
                                      <w:rPr>
                                        <w:rFonts w:ascii="Arial" w:eastAsia="SegoeUI" w:hAnsi="Arial" w:cs="Arial"/>
                                        <w:sz w:val="20"/>
                                        <w:lang w:eastAsia="lt-LT"/>
                                      </w:rPr>
                                    </w:pPr>
                                    <w:r>
                                      <w:rPr>
                                        <w:rFonts w:ascii="Arial" w:eastAsia="SegoeUI" w:hAnsi="Arial" w:cs="Arial"/>
                                        <w:color w:val="1C1C1C"/>
                                        <w:sz w:val="20"/>
                                      </w:rPr>
                                      <w:t>109 601</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Išvykusieji ir emigrantai</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117 342</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108 382</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102 438</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93 698</w:t>
                                    </w:r>
                                  </w:p>
                                </w:tc>
                                <w:tc>
                                  <w:tcPr>
                                    <w:tcW w:w="0" w:type="auto"/>
                                  </w:tcPr>
                                  <w:p>
                                    <w:pPr>
                                      <w:spacing w:line="259" w:lineRule="auto"/>
                                      <w:jc w:val="center"/>
                                      <w:rPr>
                                        <w:rFonts w:ascii="Arial" w:eastAsia="SegoeUI" w:hAnsi="Arial" w:cs="Arial"/>
                                        <w:sz w:val="20"/>
                                        <w:lang w:eastAsia="lt-LT"/>
                                      </w:rPr>
                                    </w:pPr>
                                    <w:r>
                                      <w:rPr>
                                        <w:rFonts w:ascii="Arial" w:eastAsia="SegoeUI" w:hAnsi="Arial" w:cs="Arial"/>
                                        <w:color w:val="1C1C1C"/>
                                        <w:sz w:val="20"/>
                                      </w:rPr>
                                      <w:t>89 948</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hAnsi="Arial" w:cs="Arial"/>
                                        <w:i/>
                                        <w:iCs/>
                                        <w:sz w:val="20"/>
                                        <w:lang w:eastAsia="lt-LT"/>
                                      </w:rPr>
                                      <w:t>Bendra migracijos neto</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-27 557</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-3 292</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10 794</w:t>
                                    </w:r>
                                  </w:p>
                                </w:tc>
                                <w:tc>
                                  <w:tcPr>
                                    <w:tcW w:w="0" w:type="auto"/>
                                    <w:hideMark/>
                                  </w:tcPr>
                                  <w:p>
                                    <w:pPr>
                                      <w:spacing w:line="259" w:lineRule="auto"/>
                                      <w:jc w:val="center"/>
                                      <w:rPr>
                                        <w:rFonts w:ascii="Arial" w:eastAsia="SegoeUI" w:hAnsi="Arial" w:cs="Arial"/>
                                        <w:sz w:val="20"/>
                                        <w:lang w:eastAsia="lt-LT"/>
                                      </w:rPr>
                                    </w:pPr>
                                    <w:r>
                                      <w:rPr>
                                        <w:rFonts w:ascii="Arial" w:eastAsia="SegoeUI" w:hAnsi="Arial" w:cs="Arial"/>
                                        <w:sz w:val="20"/>
                                        <w:lang w:eastAsia="lt-LT"/>
                                      </w:rPr>
                                      <w:t>19 993</w:t>
                                    </w:r>
                                  </w:p>
                                </w:tc>
                                <w:tc>
                                  <w:tcPr>
                                    <w:tcW w:w="0" w:type="auto"/>
                                  </w:tcPr>
                                  <w:p>
                                    <w:pPr>
                                      <w:spacing w:line="259" w:lineRule="auto"/>
                                      <w:jc w:val="center"/>
                                      <w:rPr>
                                        <w:rFonts w:ascii="Arial" w:eastAsia="SegoeUI" w:hAnsi="Arial" w:cs="Arial"/>
                                        <w:color w:val="1C1C1C"/>
                                        <w:sz w:val="20"/>
                                      </w:rPr>
                                    </w:pPr>
                                    <w:r>
                                      <w:rPr>
                                        <w:rFonts w:ascii="Arial" w:eastAsia="SegoeUI" w:hAnsi="Arial" w:cs="Arial"/>
                                        <w:color w:val="1C1C1C"/>
                                        <w:sz w:val="20"/>
                                      </w:rPr>
                                      <w:t>19 653</w:t>
                                    </w:r>
                                  </w:p>
                                  <w:p>
                                    <w:pPr>
                                      <w:rPr>
                                        <w:sz w:val="14"/>
                                        <w:szCs w:val="14"/>
                                      </w:rPr>
                                    </w:pPr>
                                  </w:p>
                                  <w:p>
                                    <w:pPr>
                                      <w:spacing w:line="259" w:lineRule="auto"/>
                                      <w:jc w:val="center"/>
                                      <w:rPr>
                                        <w:rFonts w:ascii="Arial" w:eastAsia="SegoeUI" w:hAnsi="Arial" w:cs="Arial"/>
                                        <w:sz w:val="20"/>
                                        <w:lang w:eastAsia="lt-LT"/>
                                      </w:rPr>
                                    </w:pPr>
                                  </w:p>
                                </w:tc>
                              </w:tr>
                              <w:tr>
                                <w:trPr>
                                  <w:trHeight w:hRule="exact" w:val="284"/>
                                  <w:jc w:val="center"/>
                                </w:trPr>
                                <w:tc>
                                  <w:tcPr>
                                    <w:tcW w:w="0" w:type="auto"/>
                                    <w:gridSpan w:val="6"/>
                                    <w:noWrap/>
                                    <w:hideMark/>
                                  </w:tcPr>
                                  <w:p>
                                    <w:pPr>
                                      <w:spacing w:line="259" w:lineRule="auto"/>
                                      <w:jc w:val="center"/>
                                      <w:rPr>
                                        <w:rFonts w:ascii="Arial" w:hAnsi="Arial" w:cs="Arial"/>
                                        <w:sz w:val="20"/>
                                        <w:lang w:eastAsia="lt-LT"/>
                                      </w:rPr>
                                    </w:pPr>
                                    <w:r>
                                      <w:rPr>
                                        <w:rFonts w:ascii="Arial" w:hAnsi="Arial" w:cs="Arial"/>
                                        <w:sz w:val="20"/>
                                        <w:lang w:eastAsia="lt-LT"/>
                                      </w:rPr>
                                      <w:t>Šiaulių apskritis</w:t>
                                    </w: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Atvykusieji ir imigrantai</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9 994</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11 316</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12 121</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11 557</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11 540</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Išvykusieji ir emigrantai</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13 325</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12 519</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11 698</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10 717</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9 597</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hAnsi="Arial" w:cs="Arial"/>
                                        <w:i/>
                                        <w:iCs/>
                                        <w:sz w:val="20"/>
                                        <w:lang w:eastAsia="lt-LT"/>
                                      </w:rPr>
                                      <w:t>Bendra migracijos neto</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-3 331</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-1 203</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423</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840</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1 943</w:t>
                                    </w:r>
                                  </w:p>
                                </w:tc>
                              </w:tr>
                              <w:tr>
                                <w:trPr>
                                  <w:trHeight w:hRule="exact" w:val="284"/>
                                  <w:jc w:val="center"/>
                                </w:trPr>
                                <w:tc>
                                  <w:tcPr>
                                    <w:tcW w:w="0" w:type="auto"/>
                                    <w:gridSpan w:val="6"/>
                                    <w:hideMark/>
                                  </w:tcPr>
                                  <w:p>
                                    <w:pPr>
                                      <w:spacing w:line="259" w:lineRule="auto"/>
                                      <w:jc w:val="center"/>
                                      <w:rPr>
                                        <w:rFonts w:ascii="Arial" w:hAnsi="Arial" w:cs="Arial"/>
                                        <w:sz w:val="20"/>
                                        <w:lang w:eastAsia="lt-LT"/>
                                      </w:rPr>
                                    </w:pPr>
                                    <w:r>
                                      <w:rPr>
                                        <w:rFonts w:ascii="Arial" w:hAnsi="Arial" w:cs="Arial"/>
                                        <w:sz w:val="20"/>
                                        <w:lang w:eastAsia="lt-LT"/>
                                      </w:rPr>
                                      <w:t>Joniškio r. sav.</w:t>
                                    </w: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p>
                                    <w:pPr>
                                      <w:rPr>
                                        <w:sz w:val="14"/>
                                        <w:szCs w:val="14"/>
                                      </w:rPr>
                                    </w:pPr>
                                  </w:p>
                                  <w:p>
                                    <w:pPr>
                                      <w:spacing w:line="259" w:lineRule="auto"/>
                                      <w:ind w:firstLine="57"/>
                                      <w:jc w:val="both"/>
                                      <w:rPr>
                                        <w:rFonts w:ascii="Arial" w:hAnsi="Arial" w:cs="Arial"/>
                                        <w:sz w:val="20"/>
                                        <w:lang w:eastAsia="lt-LT"/>
                                      </w:rPr>
                                    </w:pP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Atvykusieji ir imigrantai</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576</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795</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763</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702</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714</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eastAsia="Calibri" w:hAnsi="Arial" w:cs="Arial"/>
                                        <w:i/>
                                        <w:iCs/>
                                        <w:sz w:val="20"/>
                                        <w:lang w:eastAsia="lt-LT"/>
                                      </w:rPr>
                                      <w:t>Išvykusieji ir emigrantai</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1 207</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1 051</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964</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815</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840</w:t>
                                    </w:r>
                                  </w:p>
                                </w:tc>
                              </w:tr>
                              <w:tr>
                                <w:trPr>
                                  <w:trHeight w:hRule="exact" w:val="284"/>
                                  <w:jc w:val="center"/>
                                </w:trPr>
                                <w:tc>
                                  <w:tcPr>
                                    <w:tcW w:w="0" w:type="auto"/>
                                    <w:hideMark/>
                                  </w:tcPr>
                                  <w:p>
                                    <w:pPr>
                                      <w:spacing w:line="259" w:lineRule="auto"/>
                                      <w:jc w:val="both"/>
                                      <w:rPr>
                                        <w:rFonts w:ascii="Arial" w:hAnsi="Arial" w:cs="Arial"/>
                                        <w:i/>
                                        <w:iCs/>
                                        <w:sz w:val="20"/>
                                        <w:lang w:eastAsia="lt-LT"/>
                                      </w:rPr>
                                    </w:pPr>
                                    <w:r>
                                      <w:rPr>
                                        <w:rFonts w:ascii="Arial" w:hAnsi="Arial" w:cs="Arial"/>
                                        <w:i/>
                                        <w:iCs/>
                                        <w:sz w:val="20"/>
                                        <w:lang w:eastAsia="lt-LT"/>
                                      </w:rPr>
                                      <w:t>Bendra migracijos neto</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-631</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-256</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-201</w:t>
                                    </w:r>
                                  </w:p>
                                </w:tc>
                                <w:tc>
                                  <w:tcPr>
                                    <w:tcW w:w="0" w:type="auto"/>
                                    <w:hideMark/>
                                  </w:tcPr>
                                  <w:p>
                                    <w:pPr>
                                      <w:spacing w:line="259" w:lineRule="auto"/>
                                      <w:jc w:val="center"/>
                                      <w:rPr>
                                        <w:rFonts w:ascii="Arial" w:eastAsia="SegoeUI" w:hAnsi="Arial" w:cs="Arial"/>
                                        <w:sz w:val="20"/>
                                        <w:lang w:eastAsia="lt-LT"/>
                                      </w:rPr>
                                    </w:pPr>
                                    <w:r>
                                      <w:rPr>
                                        <w:rFonts w:ascii="Arial" w:hAnsi="Arial" w:cs="Arial"/>
                                        <w:color w:val="1C1C1C"/>
                                        <w:sz w:val="20"/>
                                      </w:rPr>
                                      <w:t>-113</w:t>
                                    </w:r>
                                  </w:p>
                                </w:tc>
                                <w:tc>
                                  <w:tcPr>
                                    <w:tcW w:w="0" w:type="auto"/>
                                  </w:tcPr>
                                  <w:p>
                                    <w:pPr>
                                      <w:spacing w:line="259" w:lineRule="auto"/>
                                      <w:jc w:val="center"/>
                                      <w:rPr>
                                        <w:rFonts w:ascii="Arial" w:eastAsia="SegoeUI" w:hAnsi="Arial" w:cs="Arial"/>
                                        <w:sz w:val="20"/>
                                        <w:lang w:eastAsia="lt-LT"/>
                                      </w:rPr>
                                    </w:pPr>
                                    <w:r>
                                      <w:rPr>
                                        <w:rFonts w:ascii="Arial" w:hAnsi="Arial" w:cs="Arial"/>
                                        <w:color w:val="1C1C1C"/>
                                        <w:sz w:val="20"/>
                                      </w:rPr>
                                      <w:t>-126</w:t>
                                    </w:r>
                                  </w:p>
                                </w:tc>
                              </w:tr>
                            </w:tbl>
                            <w:p>
                              <w:pPr>
                                <w:spacing w:line="259" w:lineRule="auto"/>
                                <w:jc w:val="center"/>
                                <w:rPr>
                                  <w:rFonts w:ascii="Arial" w:hAnsi="Arial" w:cs="Arial"/>
                                  <w:i/>
                                  <w:iCs/>
                                  <w:sz w:val="18"/>
                                  <w:szCs w:val="18"/>
                                </w:rPr>
                              </w:pPr>
                              <w:r>
                                <w:rPr>
                                  <w:rFonts w:ascii="Arial" w:hAnsi="Arial" w:cs="Arial"/>
                                  <w:i/>
                                  <w:iCs/>
                                  <w:sz w:val="18"/>
                                  <w:szCs w:val="18"/>
                                </w:rPr>
                                <w:t>Šaltinis: Lietuvos statistikos departamento duomenys</w:t>
                              </w:r>
                            </w:p>
                            <w:p>
                              <w:pPr>
                                <w:rPr>
                                  <w:sz w:val="14"/>
                                  <w:szCs w:val="14"/>
                                </w:rPr>
                              </w:pPr>
                            </w:p>
                            <w:p>
                              <w:pPr>
                                <w:spacing w:line="259" w:lineRule="auto"/>
                                <w:ind w:firstLine="567"/>
                                <w:jc w:val="both"/>
                                <w:rPr>
                                  <w:rFonts w:ascii="Arial" w:hAnsi="Arial" w:cs="Arial"/>
                                  <w:sz w:val="22"/>
                                </w:rPr>
                              </w:pPr>
                              <w:r>
                                <w:rPr>
                                  <w:rFonts w:ascii="Arial" w:hAnsi="Arial" w:cs="Arial"/>
                                  <w:sz w:val="22"/>
                                </w:rPr>
                                <w:t>Apibendrinant demografinę Joniškio rajono situaciją, galima teigti, kad, kaip ir visoje šalyje fiksuojami neigiami gyventojų prieaugio pokyčiai, t. y. gyventojų mažėja tiek dėl vidaus ir tarptautinės migracijos, tiek dėl neigiamos natūralios gyventojų kaitos, tiek dėl gyventojų senėjimo procesų. Tačiau atkreiptinas dėmesys, kad tiek Lietuvoje, tiek Šiaulių apskrityje, neto migracija nuo 2019 m. yra teigiama, todėl gyventojų skaičiaus mažėjimas yra įtakojamas kitų veiksnių. Joniškio rajono savivaldybėje taip pat galima pastebėti gerėjančių demografinės situacijos požymių, kadangi per paskutiniuosius 5-erius metus neigiama neto migracija sumažėjo 80,03 proc.</w:t>
                              </w:r>
                            </w:p>
                            <w:p>
                              <w:pPr>
                                <w:rPr>
                                  <w:sz w:val="14"/>
                                  <w:szCs w:val="14"/>
                                </w:rPr>
                              </w:pPr>
                            </w:p>
                            <w:p>
                              <w:pPr>
                                <w:spacing w:line="259" w:lineRule="auto"/>
                                <w:ind w:firstLine="567"/>
                                <w:jc w:val="both"/>
                                <w:rPr>
                                  <w:rFonts w:ascii="Arial" w:hAnsi="Arial" w:cs="Arial"/>
                                  <w:sz w:val="22"/>
                                </w:rPr>
                              </w:pPr>
                              <w:r>
                                <w:rPr>
                                  <w:rFonts w:ascii="Arial" w:hAnsi="Arial" w:cs="Arial"/>
                                  <w:sz w:val="22"/>
                                </w:rPr>
                                <w:t>Siekiant įvertinti viešosios paslaugos ateities prognozę, atsižvelgiant į pagrindinius viešosios paslaugos naudos gavėjus toliau yra pasirenkamas veiksnys – Joniškio rajono savivaldybės gyventojų skaičius. Vadovaujantis Lietuvos statistikos departamento duomenimis, 2018–2022 m. deklaruotų gyventojų skaičius Joniškio rajono savivaldybėje sumažėjo 685 gyventojais, vadinasi vidutinis metinis gyventojų skaičiaus mažėjimo tempas yra apie 137 gyventojai/metus. Atliekant prognozę AIE plano apimtyse nustatytam ataskaitiniam laikotarpiui skaičiuojant iki 2040 m., vertinami trys scenarijai: optimistinis, pesimistinis ir labiausiai tikėtinas (žr. 1.3.1. pav.).</w:t>
                              </w:r>
                            </w:p>
                            <w:p>
                              <w:pPr>
                                <w:rPr>
                                  <w:sz w:val="14"/>
                                  <w:szCs w:val="14"/>
                                </w:rPr>
                              </w:pPr>
                            </w:p>
                            <w:p>
                              <w:pPr>
                                <w:spacing w:line="259" w:lineRule="auto"/>
                                <w:jc w:val="center"/>
                                <w:rPr>
                                  <w:rFonts w:ascii="Arial" w:hAnsi="Arial" w:cs="Arial"/>
                                  <w:sz w:val="22"/>
                                  <w:szCs w:val="22"/>
                                </w:rPr>
                              </w:pPr>
                              <w:r>
                                <w:rPr>
                                  <w:rFonts w:ascii="Arial" w:hAnsi="Arial" w:cs="Arial"/>
                                  <w:sz w:val="22"/>
                                  <w:szCs w:val="22"/>
                                  <w:lang w:val="en-US"/>
                                </w:rPr>
                                <w:drawing>
                                  <wp:inline distT="0" distB="0" distL="0" distR="0" wp14:anchorId="45DF2386" wp14:editId="3E032E1D">
                                    <wp:extent cx="4572000" cy="2743200"/>
                                    <wp:effectExtent l="0" t="0" r="0" b="0"/>
                                    <wp:docPr id="35" name="Diagrama 35">
                                      <a:extLst xmlns:a="http://schemas.openxmlformats.org/drawingml/2006/main">
                                        <a:ext uri="{FF2B5EF4-FFF2-40B4-BE49-F238E27FC236}">
                                          <a16:creationId xmlns:a16="http://schemas.microsoft.com/office/drawing/2014/main" id="{7934DB5C-F485-44B4-80AC-608B80995B6C}"/>
                                        </a:ext>
                                      </a:extLst>
                                    </wp:docPr>
                                    <wp:cNvGraphicFramePr/>
                                    <a:graphic xmlns:a="http://schemas.openxmlformats.org/drawingml/2006/main">
                                      <a:graphicData uri="http://schemas.openxmlformats.org/drawingml/2006/chart">
                                        <c:chart xmlns:c="http://schemas.openxmlformats.org/drawingml/2006/chart" r:id="rId14"/>
                                      </a:graphicData>
                                    </a:graphic>
                                  </wp:inline>
                                </w:drawing>
                              </w:r>
                            </w:p>
                            <w:p>
                              <w:pPr>
                                <w:rPr>
                                  <w:sz w:val="14"/>
                                  <w:szCs w:val="14"/>
                                </w:rPr>
                              </w:pPr>
                            </w:p>
                          </w:sdtContent>
                        </w:sdt>
                      </w:sdtContent>
                    </w:sdt>
                    <w:sdt>
                      <w:sdtPr>
                        <w:alias w:val="1.3.1 pp."/>
                        <w:tag w:val="part_6c3c7a10c5a84c209a2767153a98ca9a"/>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6c3c7a10c5a84c209a2767153a98ca9a"/>
                              <w:lock w:val="sdtLocked"/>
                              <w:richText/>
                            </w:sdtPr>
                            <w:sdtContent>
                              <w:r>
                                <w:rPr>
                                  <w:rFonts w:ascii="Arial" w:eastAsia="Calibri" w:hAnsi="Arial" w:cs="Arial"/>
                                  <w:b/>
                                  <w:color w:val="002060"/>
                                  <w:sz w:val="22"/>
                                  <w:szCs w:val="22"/>
                                </w:rPr>
                                <w:t>1.3.1</w:t>
                              </w:r>
                            </w:sdtContent>
                          </w:sdt>
                          <w:r>
                            <w:rPr>
                              <w:rFonts w:ascii="Arial" w:eastAsia="Calibri" w:hAnsi="Arial" w:cs="Arial"/>
                              <w:b/>
                              <w:color w:val="002060"/>
                              <w:sz w:val="22"/>
                              <w:szCs w:val="22"/>
                            </w:rPr>
                            <w:t>. pav. Paslaugos paklausos prognozė (gyventojų skaičius)</w:t>
                          </w:r>
                        </w:p>
                        <w:p>
                          <w:pPr>
                            <w:rPr>
                              <w:sz w:val="10"/>
                              <w:szCs w:val="10"/>
                            </w:rPr>
                          </w:pPr>
                        </w:p>
                        <w:p>
                          <w:pPr>
                            <w:tabs>
                              <w:tab w:val="left" w:pos="8430"/>
                            </w:tabs>
                            <w:spacing w:line="259" w:lineRule="auto"/>
                            <w:jc w:val="center"/>
                            <w:rPr>
                              <w:rFonts w:ascii="Arial" w:eastAsia="Cambria" w:hAnsi="Arial" w:cs="Arial"/>
                              <w:i/>
                              <w:sz w:val="18"/>
                              <w:szCs w:val="18"/>
                            </w:rPr>
                          </w:pPr>
                          <w:r>
                            <w:rPr>
                              <w:rFonts w:ascii="Arial" w:eastAsia="Cambria" w:hAnsi="Arial" w:cs="Arial"/>
                              <w:i/>
                              <w:sz w:val="18"/>
                              <w:szCs w:val="18"/>
                            </w:rPr>
                            <w:t>Šaltinis: sudaryta autorių</w:t>
                          </w:r>
                        </w:p>
                        <w:p>
                          <w:pPr>
                            <w:rPr>
                              <w:sz w:val="14"/>
                              <w:szCs w:val="14"/>
                            </w:rPr>
                          </w:pPr>
                        </w:p>
                        <w:p>
                          <w:pPr>
                            <w:spacing w:line="259" w:lineRule="auto"/>
                            <w:ind w:firstLine="567"/>
                            <w:jc w:val="both"/>
                            <w:rPr>
                              <w:rFonts w:ascii="Arial" w:hAnsi="Arial" w:cs="Arial"/>
                              <w:sz w:val="22"/>
                              <w:lang w:eastAsia="lt-LT"/>
                            </w:rPr>
                          </w:pPr>
                          <w:r>
                            <w:rPr>
                              <w:rFonts w:ascii="Arial" w:hAnsi="Arial" w:cs="Arial"/>
                              <w:i/>
                              <w:sz w:val="22"/>
                              <w:lang w:eastAsia="lt-LT"/>
                            </w:rPr>
                            <w:t>Optimistinis scenarijus.</w:t>
                          </w:r>
                          <w:r>
                            <w:rPr>
                              <w:rFonts w:ascii="Arial" w:hAnsi="Arial" w:cs="Arial"/>
                              <w:i/>
                              <w:sz w:val="22"/>
                            </w:rPr>
                            <w:t xml:space="preserve"> </w:t>
                          </w:r>
                          <w:r>
                            <w:rPr>
                              <w:rFonts w:ascii="Arial" w:hAnsi="Arial" w:cs="Arial"/>
                              <w:sz w:val="22"/>
                              <w:lang w:eastAsia="lt-LT"/>
                            </w:rPr>
                            <w:t>Vadovaujantis 2018-2022 m. tendencijomis, daroma prielaida, kad gyventojų skaičius</w:t>
                          </w:r>
                          <w:r>
                            <w:rPr>
                              <w:rFonts w:ascii="Arial" w:hAnsi="Arial" w:cs="Arial"/>
                              <w:sz w:val="22"/>
                            </w:rPr>
                            <w:t xml:space="preserve"> Joniškio rajono savivaldybėje, prognozuojamame</w:t>
                          </w:r>
                          <w:r>
                            <w:rPr>
                              <w:rFonts w:ascii="Arial" w:hAnsi="Arial" w:cs="Arial"/>
                              <w:sz w:val="22"/>
                              <w:lang w:eastAsia="lt-LT"/>
                            </w:rPr>
                            <w:t xml:space="preserve"> laikotarpyje didėtų vidutiniškai apie 2,67 proc. per metus (didžiausias augimas per vienerius metus (2019-2020 m. pradžia)). Vienintelio šio scenarijaus atveju gyventojų skaičius augtų. Optimistinis scenarijus yra įmanomas, tačiau mažai tikėtinas dėl bendrų šalies ir Joniškio rajono savivaldybės demografinių tendencijų.</w:t>
                          </w:r>
                        </w:p>
                        <w:p>
                          <w:pPr>
                            <w:rPr>
                              <w:sz w:val="14"/>
                              <w:szCs w:val="14"/>
                            </w:rPr>
                          </w:pPr>
                        </w:p>
                        <w:p>
                          <w:pPr>
                            <w:spacing w:line="259" w:lineRule="auto"/>
                            <w:ind w:firstLine="567"/>
                            <w:jc w:val="both"/>
                            <w:rPr>
                              <w:rFonts w:ascii="Arial" w:hAnsi="Arial" w:cs="Arial"/>
                              <w:sz w:val="22"/>
                              <w:lang w:eastAsia="lt-LT"/>
                            </w:rPr>
                          </w:pPr>
                          <w:r>
                            <w:rPr>
                              <w:rFonts w:ascii="Arial" w:hAnsi="Arial" w:cs="Arial"/>
                              <w:i/>
                              <w:sz w:val="22"/>
                              <w:lang w:eastAsia="lt-LT"/>
                            </w:rPr>
                            <w:t>Pesimistinis scenarijus</w:t>
                          </w:r>
                          <w:r>
                            <w:rPr>
                              <w:rFonts w:ascii="Arial" w:hAnsi="Arial" w:cs="Arial"/>
                              <w:sz w:val="22"/>
                              <w:lang w:eastAsia="lt-LT"/>
                            </w:rPr>
                            <w:t>. Šio scenarijaus atveju daroma prielaida, kad gyventojų skaičiaus</w:t>
                          </w:r>
                          <w:r>
                            <w:rPr>
                              <w:rFonts w:ascii="Arial" w:hAnsi="Arial" w:cs="Arial"/>
                              <w:sz w:val="22"/>
                            </w:rPr>
                            <w:t xml:space="preserve"> Joniškio rajono savivaldybėje mažės </w:t>
                          </w:r>
                          <w:r>
                            <w:rPr>
                              <w:rFonts w:ascii="Arial" w:hAnsi="Arial" w:cs="Arial"/>
                              <w:sz w:val="22"/>
                              <w:lang w:eastAsia="lt-LT"/>
                            </w:rPr>
                            <w:t>apie 2,17 proc. kasmet (didžiausias kritimas analizuojamu 2018-2022 m. laikotarpiu per vienerius metus – 2017-2018 m. pradžia). Scenarijus yra įmanomas, tačiau atsižvelgiant į 2020–2021 m. išvykusių ir atvykusių gyventojų skaičiaus balansą Joniškio rajono savivaldybėje šis scenarijus, tikėtina, neišsipildys.</w:t>
                          </w:r>
                        </w:p>
                        <w:p>
                          <w:pPr>
                            <w:rPr>
                              <w:sz w:val="14"/>
                              <w:szCs w:val="14"/>
                            </w:rPr>
                          </w:pPr>
                        </w:p>
                        <w:p>
                          <w:pPr>
                            <w:spacing w:line="259" w:lineRule="auto"/>
                            <w:ind w:firstLine="567"/>
                            <w:jc w:val="both"/>
                            <w:rPr>
                              <w:rFonts w:ascii="Arial" w:hAnsi="Arial" w:cs="Arial"/>
                              <w:sz w:val="22"/>
                              <w:lang w:eastAsia="lt-LT"/>
                            </w:rPr>
                          </w:pPr>
                          <w:r>
                            <w:rPr>
                              <w:rFonts w:ascii="Arial" w:hAnsi="Arial" w:cs="Arial"/>
                              <w:i/>
                              <w:sz w:val="22"/>
                              <w:lang w:eastAsia="lt-LT"/>
                            </w:rPr>
                            <w:t>Labiausiai tikėtinas scenarijus</w:t>
                          </w:r>
                          <w:r>
                            <w:rPr>
                              <w:rFonts w:ascii="Arial" w:hAnsi="Arial" w:cs="Arial"/>
                              <w:sz w:val="22"/>
                              <w:lang w:eastAsia="lt-LT"/>
                            </w:rPr>
                            <w:t>.</w:t>
                          </w:r>
                          <w:r>
                            <w:rPr>
                              <w:rFonts w:ascii="Arial" w:hAnsi="Arial" w:cs="Arial"/>
                              <w:sz w:val="22"/>
                            </w:rPr>
                            <w:t xml:space="preserve"> </w:t>
                          </w:r>
                          <w:r>
                            <w:rPr>
                              <w:rFonts w:ascii="Arial" w:hAnsi="Arial" w:cs="Arial"/>
                              <w:sz w:val="22"/>
                              <w:lang w:eastAsia="lt-LT"/>
                            </w:rPr>
                            <w:t xml:space="preserve">Vadovaujantis 2018-2022 m. tendencijomis, daroma prielaida, kad gyventojų skaičius </w:t>
                          </w:r>
                          <w:r>
                            <w:rPr>
                              <w:rFonts w:ascii="Arial" w:hAnsi="Arial" w:cs="Arial"/>
                              <w:sz w:val="22"/>
                            </w:rPr>
                            <w:t>Joniškio rajono savivaldybėje prognozuojamame</w:t>
                          </w:r>
                          <w:r>
                            <w:rPr>
                              <w:rFonts w:ascii="Arial" w:hAnsi="Arial" w:cs="Arial"/>
                              <w:sz w:val="22"/>
                              <w:lang w:eastAsia="lt-LT"/>
                            </w:rPr>
                            <w:t xml:space="preserve"> laikotarpyje bus panašus kaip ir analizuojamu laikotarpiu, t. y. gyventojų skaičius mažės vidutiniškai 0,79 proc. per metus (vidutinis sumažėjimas 2018-2022 m. laikotarpiu per vienerius metus).</w:t>
                          </w:r>
                        </w:p>
                        <w:p>
                          <w:pPr>
                            <w:rPr>
                              <w:sz w:val="14"/>
                              <w:szCs w:val="14"/>
                            </w:rPr>
                          </w:pPr>
                        </w:p>
                      </w:sdtContent>
                    </w:sdt>
                    <w:sdt>
                      <w:sdtPr>
                        <w:alias w:val="1.3.2 pp."/>
                        <w:tag w:val="part_060388fc31b847e99d4943c63ae089dd"/>
                        <w:lock w:val="sdtLocked"/>
                        <w:richText/>
                      </w:sdtPr>
                      <w:sdtContent>
                        <w:p>
                          <w:pPr>
                            <w:keepNext/>
                            <w:keepLines/>
                            <w:spacing w:line="259" w:lineRule="auto"/>
                            <w:jc w:val="center"/>
                            <w:outlineLvl w:val="2"/>
                            <w:rPr>
                              <w:rFonts w:ascii="Arial" w:eastAsia="SegoeUI" w:hAnsi="Arial" w:cs="Arial"/>
                              <w:b/>
                              <w:color w:val="002060"/>
                              <w:sz w:val="22"/>
                              <w:szCs w:val="24"/>
                            </w:rPr>
                          </w:pPr>
                          <w:sdt>
                            <w:sdtPr>
                              <w:alias w:val="Numeris"/>
                              <w:tag w:val="nr_060388fc31b847e99d4943c63ae089dd"/>
                              <w:lock w:val="sdtLocked"/>
                              <w:richText/>
                            </w:sdtPr>
                            <w:sdtContent>
                              <w:r>
                                <w:rPr>
                                  <w:rFonts w:ascii="Arial" w:eastAsia="SegoeUI" w:hAnsi="Arial" w:cs="Arial"/>
                                  <w:b/>
                                  <w:color w:val="002060"/>
                                  <w:sz w:val="22"/>
                                  <w:szCs w:val="24"/>
                                </w:rPr>
                                <w:t>1.3.2</w:t>
                              </w:r>
                            </w:sdtContent>
                          </w:sdt>
                          <w:r>
                            <w:rPr>
                              <w:rFonts w:ascii="Arial" w:eastAsia="SegoeUI" w:hAnsi="Arial" w:cs="Arial"/>
                              <w:b/>
                              <w:color w:val="002060"/>
                              <w:sz w:val="22"/>
                              <w:szCs w:val="24"/>
                            </w:rPr>
                            <w:t>. Namų ūkių sektorius</w:t>
                          </w:r>
                        </w:p>
                        <w:p>
                          <w:pPr>
                            <w:rPr>
                              <w:sz w:val="14"/>
                              <w:szCs w:val="14"/>
                            </w:rPr>
                          </w:pPr>
                        </w:p>
                        <w:p>
                          <w:pPr>
                            <w:spacing w:line="259" w:lineRule="auto"/>
                            <w:ind w:firstLine="567"/>
                            <w:jc w:val="both"/>
                            <w:rPr>
                              <w:rFonts w:ascii="Arial" w:hAnsi="Arial" w:cs="Arial"/>
                              <w:sz w:val="22"/>
                            </w:rPr>
                          </w:pPr>
                          <w:r>
                            <w:rPr>
                              <w:rFonts w:ascii="Arial" w:hAnsi="Arial" w:cs="Arial"/>
                              <w:sz w:val="22"/>
                            </w:rPr>
                            <w:t>Energinis efektyvumas yra laikomas vienu pagrindinių ES klimato politikos tikslų.</w:t>
                          </w:r>
                          <w:r>
                            <w:rPr>
                              <w:rFonts w:ascii="Arial" w:hAnsi="Arial" w:cs="Arial"/>
                              <w:color w:val="3E762A"/>
                              <w:sz w:val="22"/>
                            </w:rPr>
                            <w:t xml:space="preserve"> </w:t>
                          </w:r>
                          <w:r>
                            <w:rPr>
                              <w:rFonts w:ascii="Arial" w:hAnsi="Arial" w:cs="Arial"/>
                              <w:sz w:val="22"/>
                            </w:rPr>
                            <w:t>Seni, nekokybiški ir neekonomiški daugiabučiai yra problema tiek gyventojams, kurie išleidžia nemažą dalį savo pajamų šildymui, tiek valstybei, siekiančiai energijos efektyvumo ir nepriklausomybės didinimo. Lietuvoje yra apie 38 000 daugiabučių namų, kuriuose gyvena daugiau kaip pusė šalies gyventojų. Didelė dalis (35 000 vnt., arba 90 proc.) šių namų pastatyti iki 1993 m. ir yra energetiškai neefektyvūs. Jų šiluminės energijos normatyvinės sąnaudos yra du kartus didesnės nei daugiabučių namų, pastatytų po 1993 m.</w:t>
                          </w:r>
                          <w:r>
                            <w:rPr>
                              <w:rFonts w:ascii="Arial" w:hAnsi="Arial" w:cs="Arial"/>
                              <w:sz w:val="22"/>
                              <w:vertAlign w:val="superscript"/>
                            </w:rPr>
                            <w:footnoteReference w:id="2"/>
                          </w:r>
                          <w:r>
                            <w:rPr>
                              <w:rFonts w:ascii="Arial" w:hAnsi="Arial" w:cs="Arial"/>
                              <w:sz w:val="22"/>
                            </w:rPr>
                            <w:t xml:space="preserve"> Siekiant ES tikslų ir reikalavimų iki 2050 m. pastatai turi būti pertvarkyti į beveik nulinės energijos pastatus. Tokiu būdu, siekiant sumažinti taršą, turi būti vykdomas sklandus modernizavimo procesas. </w:t>
                          </w:r>
                        </w:p>
                        <w:p>
                          <w:pPr>
                            <w:rPr>
                              <w:sz w:val="14"/>
                              <w:szCs w:val="14"/>
                            </w:rPr>
                          </w:pPr>
                        </w:p>
                        <w:p>
                          <w:pPr>
                            <w:spacing w:line="259" w:lineRule="auto"/>
                            <w:ind w:firstLine="567"/>
                            <w:jc w:val="both"/>
                            <w:rPr>
                              <w:rFonts w:ascii="Arial" w:eastAsia="SegoeUI" w:hAnsi="Arial" w:cs="Arial"/>
                              <w:sz w:val="22"/>
                            </w:rPr>
                          </w:pPr>
                          <w:r>
                            <w:rPr>
                              <w:rFonts w:ascii="Arial" w:eastAsia="SegoeUI" w:hAnsi="Arial" w:cs="Arial"/>
                              <w:sz w:val="22"/>
                            </w:rPr>
                            <w:t xml:space="preserve">Visi namų ūkiai Lietuvoje skirstomi į 1-2 butų gyvenamuosius namus, daugiabučius namus ir namus įvairioms socialinėms grupėms. Nekilnojamojo turto registro duomenys apie gyvenamuosius pastatus </w:t>
                          </w:r>
                          <w:r>
                            <w:rPr>
                              <w:rFonts w:ascii="Arial" w:hAnsi="Arial" w:cs="Arial"/>
                              <w:sz w:val="22"/>
                            </w:rPr>
                            <w:t>Joniškio rajono</w:t>
                          </w:r>
                          <w:r>
                            <w:rPr>
                              <w:rFonts w:ascii="Arial" w:eastAsia="SegoeUI" w:hAnsi="Arial" w:cs="Arial"/>
                              <w:sz w:val="22"/>
                            </w:rPr>
                            <w:t xml:space="preserve"> savivaldybėje, jų plotus ir pasiskirstymą pagal statybos metus pateikti </w:t>
                          </w:r>
                          <w:r>
                            <w:rPr>
                              <w:rFonts w:ascii="Arial" w:eastAsia="SegoeUI" w:hAnsi="Arial" w:cs="Arial"/>
                              <w:bCs/>
                              <w:sz w:val="22"/>
                            </w:rPr>
                            <w:t>1.3.2.1.</w:t>
                          </w:r>
                          <w:r>
                            <w:rPr>
                              <w:rFonts w:ascii="Arial" w:eastAsia="SegoeUI" w:hAnsi="Arial" w:cs="Arial"/>
                              <w:sz w:val="22"/>
                            </w:rPr>
                            <w:t xml:space="preserve"> lentelėje.</w:t>
                          </w:r>
                        </w:p>
                        <w:p>
                          <w:pPr>
                            <w:rPr>
                              <w:sz w:val="14"/>
                              <w:szCs w:val="14"/>
                            </w:rPr>
                          </w:pPr>
                        </w:p>
                        <w:sdt>
                          <w:sdtPr>
                            <w:alias w:val="1.3.2.1 pp."/>
                            <w:tag w:val="part_cf2c49fead2f4834bdbd73e6d04e94ee"/>
                            <w:lock w:val="sdtLocked"/>
                            <w:richText/>
                          </w:sdtPr>
                          <w:sdtContent>
                            <w:p>
                              <w:pPr>
                                <w:spacing w:line="259" w:lineRule="auto"/>
                                <w:jc w:val="center"/>
                                <w:rPr>
                                  <w:rFonts w:ascii="Arial" w:eastAsia="Calibri" w:hAnsi="Arial" w:cs="Arial"/>
                                  <w:b/>
                                  <w:color w:val="002060"/>
                                  <w:sz w:val="22"/>
                                  <w:szCs w:val="32"/>
                                </w:rPr>
                              </w:pPr>
                              <w:sdt>
                                <w:sdtPr>
                                  <w:alias w:val="Numeris"/>
                                  <w:tag w:val="nr_cf2c49fead2f4834bdbd73e6d04e94ee"/>
                                  <w:lock w:val="sdtLocked"/>
                                  <w:richText/>
                                </w:sdtPr>
                                <w:sdtContent>
                                  <w:r>
                                    <w:rPr>
                                      <w:rFonts w:ascii="Arial" w:eastAsia="Calibri" w:hAnsi="Arial" w:cs="Arial"/>
                                      <w:b/>
                                      <w:color w:val="002060"/>
                                      <w:sz w:val="22"/>
                                      <w:szCs w:val="32"/>
                                    </w:rPr>
                                    <w:t>1.3.2.1</w:t>
                                  </w:r>
                                </w:sdtContent>
                              </w:sdt>
                              <w:r>
                                <w:rPr>
                                  <w:rFonts w:ascii="Arial" w:eastAsia="Calibri" w:hAnsi="Arial" w:cs="Arial"/>
                                  <w:b/>
                                  <w:color w:val="002060"/>
                                  <w:sz w:val="22"/>
                                  <w:szCs w:val="32"/>
                                </w:rPr>
                                <w:t>. lentelė. Gyvenamųjų pastatų, Joniškio rajono savivaldybėje, pasiskirstymas pagal jų plotus ir statybos metus</w:t>
                              </w:r>
                            </w:p>
                            <w:p>
                              <w:pPr>
                                <w:rPr>
                                  <w:sz w:val="10"/>
                                  <w:szCs w:val="10"/>
                                </w:rPr>
                              </w:pPr>
                            </w:p>
                            <w:tbl>
                              <w:tblPr>
                                <w:tblW w:w="0" w:type="auto"/>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494"/>
                                <w:gridCol w:w="1261"/>
                                <w:gridCol w:w="1258"/>
                                <w:gridCol w:w="1392"/>
                                <w:gridCol w:w="1557"/>
                                <w:gridCol w:w="1217"/>
                                <w:gridCol w:w="1016"/>
                              </w:tblGrid>
                              <w:tr>
                                <w:trPr>
                                  <w:trHeight w:val="255"/>
                                </w:trPr>
                                <w:tc>
                                  <w:tcPr>
                                    <w:tcW w:w="3763" w:type="dxa"/>
                                    <w:gridSpan w:val="2"/>
                                    <w:hideMark/>
                                  </w:tcPr>
                                  <w:p>
                                    <w:pPr>
                                      <w:ind w:firstLine="57"/>
                                      <w:jc w:val="both"/>
                                      <w:rPr>
                                        <w:rFonts w:ascii="Arial" w:hAnsi="Arial" w:cs="Arial"/>
                                        <w:spacing w:val="-10"/>
                                        <w:kern w:val="28"/>
                                        <w:sz w:val="20"/>
                                        <w:szCs w:val="56"/>
                                        <w:lang w:eastAsia="lt-LT"/>
                                      </w:rPr>
                                    </w:pPr>
                                  </w:p>
                                </w:tc>
                                <w:tc>
                                  <w:tcPr>
                                    <w:tcW w:w="5437" w:type="dxa"/>
                                    <w:gridSpan w:val="4"/>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Statybos metai</w:t>
                                    </w:r>
                                  </w:p>
                                </w:tc>
                                <w:tc>
                                  <w:tcPr>
                                    <w:tcW w:w="0" w:type="auto"/>
                                    <w:vMerge w:val="restart"/>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Viso</w:t>
                                    </w:r>
                                  </w:p>
                                </w:tc>
                              </w:tr>
                              <w:tr>
                                <w:trPr>
                                  <w:trHeight w:val="255"/>
                                </w:trPr>
                                <w:tc>
                                  <w:tcPr>
                                    <w:tcW w:w="3763" w:type="dxa"/>
                                    <w:gridSpan w:val="2"/>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Pastato tipas</w:t>
                                    </w:r>
                                  </w:p>
                                </w:tc>
                                <w:tc>
                                  <w:tcPr>
                                    <w:tcW w:w="1260" w:type="dxa"/>
                                    <w:hideMark/>
                                  </w:tcPr>
                                  <w:p>
                                    <w:pPr>
                                      <w:jc w:val="center"/>
                                      <w:rPr>
                                        <w:rFonts w:ascii="Arial" w:hAnsi="Arial" w:cs="Arial"/>
                                        <w:b/>
                                        <w:bCs/>
                                        <w:spacing w:val="-10"/>
                                        <w:kern w:val="28"/>
                                        <w:sz w:val="20"/>
                                        <w:szCs w:val="56"/>
                                        <w:lang w:eastAsia="lt-LT"/>
                                      </w:rPr>
                                    </w:pPr>
                                    <w:r>
                                      <w:rPr>
                                        <w:rFonts w:ascii="Arial" w:eastAsia="SegoeUI" w:hAnsi="Arial" w:cs="Arial"/>
                                        <w:b/>
                                        <w:bCs/>
                                        <w:spacing w:val="-10"/>
                                        <w:kern w:val="28"/>
                                        <w:sz w:val="20"/>
                                        <w:szCs w:val="56"/>
                                        <w:lang w:eastAsia="lt-LT"/>
                                      </w:rPr>
                                      <w:t>iki 1940</w:t>
                                    </w:r>
                                  </w:p>
                                </w:tc>
                                <w:tc>
                                  <w:tcPr>
                                    <w:tcW w:w="1396" w:type="dxa"/>
                                    <w:hideMark/>
                                  </w:tcPr>
                                  <w:p>
                                    <w:pPr>
                                      <w:jc w:val="center"/>
                                      <w:rPr>
                                        <w:rFonts w:ascii="Arial" w:hAnsi="Arial" w:cs="Arial"/>
                                        <w:b/>
                                        <w:bCs/>
                                        <w:spacing w:val="-10"/>
                                        <w:kern w:val="28"/>
                                        <w:sz w:val="20"/>
                                        <w:szCs w:val="56"/>
                                        <w:lang w:eastAsia="lt-LT"/>
                                      </w:rPr>
                                    </w:pPr>
                                    <w:r>
                                      <w:rPr>
                                        <w:rFonts w:ascii="Arial" w:eastAsia="SegoeUI" w:hAnsi="Arial" w:cs="Arial"/>
                                        <w:b/>
                                        <w:bCs/>
                                        <w:spacing w:val="-10"/>
                                        <w:kern w:val="28"/>
                                        <w:sz w:val="20"/>
                                        <w:szCs w:val="56"/>
                                        <w:lang w:eastAsia="lt-LT"/>
                                      </w:rPr>
                                      <w:t>1941-1960</w:t>
                                    </w:r>
                                  </w:p>
                                </w:tc>
                                <w:tc>
                                  <w:tcPr>
                                    <w:tcW w:w="1561" w:type="dxa"/>
                                    <w:hideMark/>
                                  </w:tcPr>
                                  <w:p>
                                    <w:pPr>
                                      <w:jc w:val="center"/>
                                      <w:rPr>
                                        <w:rFonts w:ascii="Arial" w:hAnsi="Arial" w:cs="Arial"/>
                                        <w:b/>
                                        <w:bCs/>
                                        <w:spacing w:val="-10"/>
                                        <w:kern w:val="28"/>
                                        <w:sz w:val="20"/>
                                        <w:szCs w:val="56"/>
                                        <w:lang w:eastAsia="lt-LT"/>
                                      </w:rPr>
                                    </w:pPr>
                                    <w:r>
                                      <w:rPr>
                                        <w:rFonts w:ascii="Arial" w:eastAsia="SegoeUI" w:hAnsi="Arial" w:cs="Arial"/>
                                        <w:b/>
                                        <w:bCs/>
                                        <w:spacing w:val="-10"/>
                                        <w:kern w:val="28"/>
                                        <w:sz w:val="20"/>
                                        <w:szCs w:val="56"/>
                                        <w:lang w:eastAsia="lt-LT"/>
                                      </w:rPr>
                                      <w:t>1961-1990</w:t>
                                    </w:r>
                                  </w:p>
                                </w:tc>
                                <w:tc>
                                  <w:tcPr>
                                    <w:tcW w:w="1220" w:type="dxa"/>
                                    <w:hideMark/>
                                  </w:tcPr>
                                  <w:p>
                                    <w:pPr>
                                      <w:jc w:val="center"/>
                                      <w:rPr>
                                        <w:rFonts w:ascii="Arial" w:hAnsi="Arial" w:cs="Arial"/>
                                        <w:b/>
                                        <w:bCs/>
                                        <w:spacing w:val="-10"/>
                                        <w:kern w:val="28"/>
                                        <w:sz w:val="20"/>
                                        <w:szCs w:val="56"/>
                                        <w:lang w:eastAsia="lt-LT"/>
                                      </w:rPr>
                                    </w:pPr>
                                    <w:r>
                                      <w:rPr>
                                        <w:rFonts w:ascii="Arial" w:eastAsia="SegoeUI" w:hAnsi="Arial" w:cs="Arial"/>
                                        <w:b/>
                                        <w:bCs/>
                                        <w:spacing w:val="-10"/>
                                        <w:kern w:val="28"/>
                                        <w:sz w:val="20"/>
                                        <w:szCs w:val="56"/>
                                        <w:lang w:eastAsia="lt-LT"/>
                                      </w:rPr>
                                      <w:t>po 1991</w:t>
                                    </w:r>
                                  </w:p>
                                </w:tc>
                                <w:tc>
                                  <w:tcPr>
                                    <w:tcW w:w="0" w:type="auto"/>
                                    <w:vMerge/>
                                    <w:hideMark/>
                                  </w:tcPr>
                                  <w:p>
                                    <w:pPr>
                                      <w:jc w:val="both"/>
                                      <w:rPr>
                                        <w:rFonts w:ascii="Arial" w:hAnsi="Arial" w:cs="Arial"/>
                                        <w:spacing w:val="-10"/>
                                        <w:kern w:val="28"/>
                                        <w:sz w:val="20"/>
                                        <w:szCs w:val="56"/>
                                        <w:lang w:eastAsia="lt-LT"/>
                                      </w:rPr>
                                    </w:pPr>
                                  </w:p>
                                </w:tc>
                              </w:tr>
                              <w:tr>
                                <w:trPr>
                                  <w:trHeight w:val="255"/>
                                </w:trPr>
                                <w:tc>
                                  <w:tcPr>
                                    <w:tcW w:w="2500" w:type="dxa"/>
                                    <w:vMerge w:val="restart"/>
                                    <w:hideMark/>
                                  </w:tcPr>
                                  <w:p>
                                    <w:pPr>
                                      <w:rPr>
                                        <w:rFonts w:ascii="Arial" w:hAnsi="Arial" w:cs="Arial"/>
                                        <w:spacing w:val="-10"/>
                                        <w:kern w:val="28"/>
                                        <w:sz w:val="20"/>
                                        <w:szCs w:val="56"/>
                                        <w:lang w:eastAsia="lt-LT"/>
                                      </w:rPr>
                                    </w:pPr>
                                    <w:r>
                                      <w:rPr>
                                        <w:rFonts w:ascii="Arial" w:hAnsi="Arial" w:cs="Arial"/>
                                        <w:spacing w:val="-10"/>
                                        <w:kern w:val="28"/>
                                        <w:sz w:val="20"/>
                                        <w:szCs w:val="56"/>
                                        <w:lang w:eastAsia="lt-LT"/>
                                      </w:rPr>
                                      <w:t>1-2 butų gyvenamieji namai</w:t>
                                    </w:r>
                                  </w:p>
                                </w:tc>
                                <w:tc>
                                  <w:tcPr>
                                    <w:tcW w:w="1263" w:type="dxa"/>
                                    <w:hideMark/>
                                  </w:tcPr>
                                  <w:p>
                                    <w:pPr>
                                      <w:jc w:val="both"/>
                                      <w:rPr>
                                        <w:rFonts w:ascii="Arial" w:hAnsi="Arial" w:cs="Arial"/>
                                        <w:spacing w:val="-10"/>
                                        <w:kern w:val="28"/>
                                        <w:sz w:val="20"/>
                                        <w:szCs w:val="56"/>
                                        <w:lang w:eastAsia="lt-LT"/>
                                      </w:rPr>
                                    </w:pPr>
                                    <w:r>
                                      <w:rPr>
                                        <w:rFonts w:ascii="Arial" w:eastAsia="SegoeUI" w:hAnsi="Arial" w:cs="Arial"/>
                                        <w:spacing w:val="-10"/>
                                        <w:kern w:val="28"/>
                                        <w:sz w:val="20"/>
                                        <w:szCs w:val="56"/>
                                        <w:lang w:eastAsia="lt-LT"/>
                                      </w:rPr>
                                      <w:t>Skaičius</w:t>
                                    </w:r>
                                  </w:p>
                                </w:tc>
                                <w:tc>
                                  <w:tcPr>
                                    <w:tcW w:w="126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1 727</w:t>
                                    </w:r>
                                  </w:p>
                                </w:tc>
                                <w:tc>
                                  <w:tcPr>
                                    <w:tcW w:w="1396"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972</w:t>
                                    </w:r>
                                  </w:p>
                                </w:tc>
                                <w:tc>
                                  <w:tcPr>
                                    <w:tcW w:w="1561"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4 291</w:t>
                                    </w:r>
                                  </w:p>
                                </w:tc>
                                <w:tc>
                                  <w:tcPr>
                                    <w:tcW w:w="122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319</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7 309</w:t>
                                    </w:r>
                                  </w:p>
                                </w:tc>
                              </w:tr>
                              <w:tr>
                                <w:trPr>
                                  <w:trHeight w:val="255"/>
                                </w:trPr>
                                <w:tc>
                                  <w:tcPr>
                                    <w:tcW w:w="2500" w:type="dxa"/>
                                    <w:vMerge/>
                                    <w:hideMark/>
                                  </w:tcPr>
                                  <w:p>
                                    <w:pPr>
                                      <w:rPr>
                                        <w:rFonts w:ascii="Arial" w:hAnsi="Arial" w:cs="Arial"/>
                                        <w:spacing w:val="-10"/>
                                        <w:kern w:val="28"/>
                                        <w:sz w:val="20"/>
                                        <w:szCs w:val="56"/>
                                        <w:lang w:eastAsia="lt-LT"/>
                                      </w:rPr>
                                    </w:pPr>
                                  </w:p>
                                </w:tc>
                                <w:tc>
                                  <w:tcPr>
                                    <w:tcW w:w="1263" w:type="dxa"/>
                                    <w:hideMark/>
                                  </w:tcPr>
                                  <w:p>
                                    <w:pPr>
                                      <w:jc w:val="both"/>
                                      <w:rPr>
                                        <w:rFonts w:ascii="Arial" w:hAnsi="Arial" w:cs="Arial"/>
                                        <w:spacing w:val="-10"/>
                                        <w:kern w:val="28"/>
                                        <w:sz w:val="20"/>
                                        <w:szCs w:val="56"/>
                                        <w:lang w:eastAsia="lt-LT"/>
                                      </w:rPr>
                                    </w:pPr>
                                    <w:r>
                                      <w:rPr>
                                        <w:rFonts w:ascii="Arial" w:eastAsia="SegoeUI" w:hAnsi="Arial" w:cs="Arial"/>
                                        <w:spacing w:val="-10"/>
                                        <w:kern w:val="28"/>
                                        <w:sz w:val="20"/>
                                        <w:szCs w:val="56"/>
                                        <w:lang w:eastAsia="lt-LT"/>
                                      </w:rPr>
                                      <w:t>Plotas, m</w:t>
                                    </w:r>
                                    <w:r>
                                      <w:rPr>
                                        <w:rFonts w:ascii="Arial" w:eastAsia="SegoeUI" w:hAnsi="Arial" w:cs="Arial"/>
                                        <w:spacing w:val="-10"/>
                                        <w:kern w:val="28"/>
                                        <w:sz w:val="20"/>
                                        <w:szCs w:val="56"/>
                                        <w:vertAlign w:val="superscript"/>
                                        <w:lang w:eastAsia="lt-LT"/>
                                      </w:rPr>
                                      <w:t>2</w:t>
                                    </w:r>
                                  </w:p>
                                </w:tc>
                                <w:tc>
                                  <w:tcPr>
                                    <w:tcW w:w="126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151 514</w:t>
                                    </w:r>
                                  </w:p>
                                </w:tc>
                                <w:tc>
                                  <w:tcPr>
                                    <w:tcW w:w="1396"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70 447</w:t>
                                    </w:r>
                                  </w:p>
                                </w:tc>
                                <w:tc>
                                  <w:tcPr>
                                    <w:tcW w:w="1561"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463 945</w:t>
                                    </w:r>
                                  </w:p>
                                </w:tc>
                                <w:tc>
                                  <w:tcPr>
                                    <w:tcW w:w="122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61 227</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747 133</w:t>
                                    </w:r>
                                  </w:p>
                                </w:tc>
                              </w:tr>
                              <w:tr>
                                <w:trPr>
                                  <w:trHeight w:val="255"/>
                                </w:trPr>
                                <w:tc>
                                  <w:tcPr>
                                    <w:tcW w:w="2500" w:type="dxa"/>
                                    <w:vMerge w:val="restart"/>
                                    <w:hideMark/>
                                  </w:tcPr>
                                  <w:p>
                                    <w:pPr>
                                      <w:rPr>
                                        <w:rFonts w:ascii="Arial" w:hAnsi="Arial" w:cs="Arial"/>
                                        <w:spacing w:val="-10"/>
                                        <w:kern w:val="28"/>
                                        <w:sz w:val="20"/>
                                        <w:szCs w:val="56"/>
                                        <w:lang w:eastAsia="lt-LT"/>
                                      </w:rPr>
                                    </w:pPr>
                                    <w:r>
                                      <w:rPr>
                                        <w:rFonts w:ascii="Arial" w:hAnsi="Arial" w:cs="Arial"/>
                                        <w:spacing w:val="-10"/>
                                        <w:kern w:val="28"/>
                                        <w:sz w:val="20"/>
                                        <w:szCs w:val="56"/>
                                        <w:lang w:eastAsia="lt-LT"/>
                                      </w:rPr>
                                      <w:t>3 ir daugiau butų (daugiabučiai) gyv. namai</w:t>
                                    </w:r>
                                  </w:p>
                                </w:tc>
                                <w:tc>
                                  <w:tcPr>
                                    <w:tcW w:w="1263" w:type="dxa"/>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Skaičius</w:t>
                                    </w:r>
                                  </w:p>
                                </w:tc>
                                <w:tc>
                                  <w:tcPr>
                                    <w:tcW w:w="126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99</w:t>
                                    </w:r>
                                  </w:p>
                                </w:tc>
                                <w:tc>
                                  <w:tcPr>
                                    <w:tcW w:w="1396"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30</w:t>
                                    </w:r>
                                  </w:p>
                                </w:tc>
                                <w:tc>
                                  <w:tcPr>
                                    <w:tcW w:w="1561"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228</w:t>
                                    </w:r>
                                  </w:p>
                                </w:tc>
                                <w:tc>
                                  <w:tcPr>
                                    <w:tcW w:w="122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18</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375</w:t>
                                    </w:r>
                                  </w:p>
                                </w:tc>
                              </w:tr>
                              <w:tr>
                                <w:trPr>
                                  <w:trHeight w:val="255"/>
                                </w:trPr>
                                <w:tc>
                                  <w:tcPr>
                                    <w:tcW w:w="2500" w:type="dxa"/>
                                    <w:vMerge/>
                                    <w:hideMark/>
                                  </w:tcPr>
                                  <w:p>
                                    <w:pPr>
                                      <w:rPr>
                                        <w:rFonts w:ascii="Arial" w:hAnsi="Arial" w:cs="Arial"/>
                                        <w:spacing w:val="-10"/>
                                        <w:kern w:val="28"/>
                                        <w:sz w:val="20"/>
                                        <w:szCs w:val="56"/>
                                        <w:lang w:eastAsia="lt-LT"/>
                                      </w:rPr>
                                    </w:pPr>
                                  </w:p>
                                </w:tc>
                                <w:tc>
                                  <w:tcPr>
                                    <w:tcW w:w="1263" w:type="dxa"/>
                                    <w:hideMark/>
                                  </w:tcPr>
                                  <w:p>
                                    <w:pPr>
                                      <w:rPr>
                                        <w:rFonts w:ascii="Arial" w:hAnsi="Arial" w:cs="Arial"/>
                                        <w:spacing w:val="-10"/>
                                        <w:kern w:val="28"/>
                                        <w:sz w:val="20"/>
                                        <w:szCs w:val="56"/>
                                        <w:lang w:eastAsia="lt-LT"/>
                                      </w:rPr>
                                    </w:pPr>
                                    <w:r>
                                      <w:rPr>
                                        <w:rFonts w:ascii="Arial" w:hAnsi="Arial" w:cs="Arial"/>
                                        <w:spacing w:val="-10"/>
                                        <w:kern w:val="28"/>
                                        <w:sz w:val="20"/>
                                        <w:szCs w:val="56"/>
                                        <w:lang w:eastAsia="lt-LT"/>
                                      </w:rPr>
                                      <w:t>Plotas, m</w:t>
                                    </w:r>
                                    <w:r>
                                      <w:rPr>
                                        <w:rFonts w:ascii="Arial" w:hAnsi="Arial" w:cs="Arial"/>
                                        <w:spacing w:val="-10"/>
                                        <w:kern w:val="28"/>
                                        <w:sz w:val="20"/>
                                        <w:szCs w:val="56"/>
                                        <w:vertAlign w:val="superscript"/>
                                        <w:lang w:eastAsia="lt-LT"/>
                                      </w:rPr>
                                      <w:t>2</w:t>
                                    </w:r>
                                  </w:p>
                                </w:tc>
                                <w:tc>
                                  <w:tcPr>
                                    <w:tcW w:w="126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20 928</w:t>
                                    </w:r>
                                  </w:p>
                                </w:tc>
                                <w:tc>
                                  <w:tcPr>
                                    <w:tcW w:w="1396"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9 172</w:t>
                                    </w:r>
                                  </w:p>
                                </w:tc>
                                <w:tc>
                                  <w:tcPr>
                                    <w:tcW w:w="1561"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196 670</w:t>
                                    </w:r>
                                  </w:p>
                                </w:tc>
                                <w:tc>
                                  <w:tcPr>
                                    <w:tcW w:w="1220" w:type="dxa"/>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18 080</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244 850</w:t>
                                    </w:r>
                                  </w:p>
                                </w:tc>
                              </w:tr>
                              <w:tr>
                                <w:trPr>
                                  <w:trHeight w:val="255"/>
                                </w:trPr>
                                <w:tc>
                                  <w:tcPr>
                                    <w:tcW w:w="2500" w:type="dxa"/>
                                    <w:vMerge w:val="restart"/>
                                    <w:hideMark/>
                                  </w:tcPr>
                                  <w:p>
                                    <w:pPr>
                                      <w:rPr>
                                        <w:rFonts w:ascii="Arial" w:hAnsi="Arial" w:cs="Arial"/>
                                        <w:spacing w:val="-10"/>
                                        <w:kern w:val="28"/>
                                        <w:sz w:val="20"/>
                                        <w:szCs w:val="56"/>
                                        <w:lang w:eastAsia="lt-LT"/>
                                      </w:rPr>
                                    </w:pPr>
                                    <w:r>
                                      <w:rPr>
                                        <w:rFonts w:ascii="Arial" w:hAnsi="Arial" w:cs="Arial"/>
                                        <w:spacing w:val="-10"/>
                                        <w:kern w:val="28"/>
                                        <w:sz w:val="20"/>
                                        <w:szCs w:val="56"/>
                                        <w:lang w:eastAsia="lt-LT"/>
                                      </w:rPr>
                                      <w:t>Gyvenamieji namai įvairioms soc. grupėms</w:t>
                                    </w:r>
                                  </w:p>
                                </w:tc>
                                <w:tc>
                                  <w:tcPr>
                                    <w:tcW w:w="1263" w:type="dxa"/>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Skaičius</w:t>
                                    </w:r>
                                  </w:p>
                                </w:tc>
                                <w:tc>
                                  <w:tcPr>
                                    <w:tcW w:w="1260"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5</w:t>
                                    </w:r>
                                  </w:p>
                                </w:tc>
                                <w:tc>
                                  <w:tcPr>
                                    <w:tcW w:w="1396"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1</w:t>
                                    </w:r>
                                  </w:p>
                                </w:tc>
                                <w:tc>
                                  <w:tcPr>
                                    <w:tcW w:w="1561"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15</w:t>
                                    </w:r>
                                  </w:p>
                                </w:tc>
                                <w:tc>
                                  <w:tcPr>
                                    <w:tcW w:w="1220"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21</w:t>
                                    </w:r>
                                  </w:p>
                                </w:tc>
                              </w:tr>
                              <w:tr>
                                <w:trPr>
                                  <w:trHeight w:val="255"/>
                                </w:trPr>
                                <w:tc>
                                  <w:tcPr>
                                    <w:tcW w:w="2500" w:type="dxa"/>
                                    <w:vMerge/>
                                    <w:hideMark/>
                                  </w:tcPr>
                                  <w:p>
                                    <w:pPr>
                                      <w:rPr>
                                        <w:rFonts w:ascii="Arial" w:hAnsi="Arial" w:cs="Arial"/>
                                        <w:spacing w:val="-10"/>
                                        <w:kern w:val="28"/>
                                        <w:sz w:val="20"/>
                                        <w:szCs w:val="56"/>
                                        <w:lang w:eastAsia="lt-LT"/>
                                      </w:rPr>
                                    </w:pPr>
                                  </w:p>
                                </w:tc>
                                <w:tc>
                                  <w:tcPr>
                                    <w:tcW w:w="1263" w:type="dxa"/>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Plotas, m</w:t>
                                    </w:r>
                                    <w:r>
                                      <w:rPr>
                                        <w:rFonts w:ascii="Arial" w:hAnsi="Arial" w:cs="Arial"/>
                                        <w:spacing w:val="-10"/>
                                        <w:kern w:val="28"/>
                                        <w:sz w:val="20"/>
                                        <w:szCs w:val="56"/>
                                        <w:vertAlign w:val="superscript"/>
                                        <w:lang w:eastAsia="lt-LT"/>
                                      </w:rPr>
                                      <w:t>2</w:t>
                                    </w:r>
                                  </w:p>
                                </w:tc>
                                <w:tc>
                                  <w:tcPr>
                                    <w:tcW w:w="1260"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2 081</w:t>
                                    </w:r>
                                  </w:p>
                                </w:tc>
                                <w:tc>
                                  <w:tcPr>
                                    <w:tcW w:w="1396"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568</w:t>
                                    </w:r>
                                  </w:p>
                                </w:tc>
                                <w:tc>
                                  <w:tcPr>
                                    <w:tcW w:w="1561"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21 883</w:t>
                                    </w:r>
                                  </w:p>
                                </w:tc>
                                <w:tc>
                                  <w:tcPr>
                                    <w:tcW w:w="1220" w:type="dxa"/>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w:t>
                                    </w:r>
                                  </w:p>
                                </w:tc>
                                <w:tc>
                                  <w:tcPr>
                                    <w:tcW w:w="0" w:type="auto"/>
                                  </w:tcPr>
                                  <w:p>
                                    <w:pPr>
                                      <w:jc w:val="center"/>
                                      <w:rPr>
                                        <w:rFonts w:ascii="Arial" w:hAnsi="Arial" w:cs="Arial"/>
                                        <w:spacing w:val="-10"/>
                                        <w:kern w:val="28"/>
                                        <w:sz w:val="20"/>
                                        <w:szCs w:val="56"/>
                                        <w:lang w:eastAsia="lt-LT"/>
                                      </w:rPr>
                                    </w:pPr>
                                    <w:r>
                                      <w:rPr>
                                        <w:rFonts w:ascii="Arial" w:hAnsi="Arial" w:cs="Arial"/>
                                        <w:color w:val="000000"/>
                                        <w:spacing w:val="-10"/>
                                        <w:kern w:val="28"/>
                                        <w:sz w:val="20"/>
                                        <w:szCs w:val="56"/>
                                      </w:rPr>
                                      <w:t>24 532</w:t>
                                    </w:r>
                                  </w:p>
                                </w:tc>
                              </w:tr>
                              <w:tr>
                                <w:trPr>
                                  <w:trHeight w:val="255"/>
                                </w:trPr>
                                <w:tc>
                                  <w:tcPr>
                                    <w:tcW w:w="2500" w:type="dxa"/>
                                    <w:vMerge w:val="restart"/>
                                    <w:hideMark/>
                                  </w:tcPr>
                                  <w:p>
                                    <w:pPr>
                                      <w:jc w:val="right"/>
                                      <w:rPr>
                                        <w:rFonts w:ascii="Arial" w:hAnsi="Arial" w:cs="Arial"/>
                                        <w:spacing w:val="-10"/>
                                        <w:kern w:val="28"/>
                                        <w:sz w:val="20"/>
                                        <w:szCs w:val="56"/>
                                        <w:lang w:eastAsia="lt-LT"/>
                                      </w:rPr>
                                    </w:pPr>
                                    <w:r>
                                      <w:rPr>
                                        <w:rFonts w:ascii="Arial" w:hAnsi="Arial" w:cs="Arial"/>
                                        <w:spacing w:val="-10"/>
                                        <w:kern w:val="28"/>
                                        <w:sz w:val="20"/>
                                        <w:szCs w:val="56"/>
                                        <w:lang w:eastAsia="lt-LT"/>
                                      </w:rPr>
                                      <w:t>Iš viso</w:t>
                                    </w:r>
                                  </w:p>
                                </w:tc>
                                <w:tc>
                                  <w:tcPr>
                                    <w:tcW w:w="1263" w:type="dxa"/>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Skaičius</w:t>
                                    </w:r>
                                  </w:p>
                                </w:tc>
                                <w:tc>
                                  <w:tcPr>
                                    <w:tcW w:w="1260"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1 831</w:t>
                                    </w:r>
                                  </w:p>
                                </w:tc>
                                <w:tc>
                                  <w:tcPr>
                                    <w:tcW w:w="1396"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1 003</w:t>
                                    </w:r>
                                  </w:p>
                                </w:tc>
                                <w:tc>
                                  <w:tcPr>
                                    <w:tcW w:w="1561"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4 534</w:t>
                                    </w:r>
                                  </w:p>
                                </w:tc>
                                <w:tc>
                                  <w:tcPr>
                                    <w:tcW w:w="1220"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337</w:t>
                                    </w:r>
                                  </w:p>
                                </w:tc>
                                <w:tc>
                                  <w:tcPr>
                                    <w:tcW w:w="0" w:type="auto"/>
                                  </w:tcPr>
                                  <w:p>
                                    <w:pPr>
                                      <w:jc w:val="center"/>
                                      <w:rPr>
                                        <w:rFonts w:ascii="Arial" w:hAnsi="Arial" w:cs="Arial"/>
                                        <w:b/>
                                        <w:bCs/>
                                        <w:spacing w:val="-10"/>
                                        <w:kern w:val="28"/>
                                        <w:sz w:val="20"/>
                                        <w:szCs w:val="56"/>
                                        <w:highlight w:val="yellow"/>
                                        <w:lang w:eastAsia="lt-LT"/>
                                      </w:rPr>
                                    </w:pPr>
                                    <w:r>
                                      <w:rPr>
                                        <w:rFonts w:ascii="Arial" w:hAnsi="Arial" w:cs="Arial"/>
                                        <w:b/>
                                        <w:bCs/>
                                        <w:color w:val="000000"/>
                                        <w:spacing w:val="-10"/>
                                        <w:kern w:val="28"/>
                                        <w:sz w:val="20"/>
                                        <w:szCs w:val="56"/>
                                      </w:rPr>
                                      <w:t>7 705</w:t>
                                    </w:r>
                                  </w:p>
                                </w:tc>
                              </w:tr>
                              <w:tr>
                                <w:trPr>
                                  <w:trHeight w:val="255"/>
                                </w:trPr>
                                <w:tc>
                                  <w:tcPr>
                                    <w:tcW w:w="2500" w:type="dxa"/>
                                    <w:vMerge/>
                                    <w:hideMark/>
                                  </w:tcPr>
                                  <w:p>
                                    <w:pPr>
                                      <w:jc w:val="both"/>
                                      <w:rPr>
                                        <w:rFonts w:ascii="Arial" w:hAnsi="Arial" w:cs="Arial"/>
                                        <w:spacing w:val="-10"/>
                                        <w:kern w:val="28"/>
                                        <w:sz w:val="20"/>
                                        <w:szCs w:val="56"/>
                                        <w:lang w:eastAsia="lt-LT"/>
                                      </w:rPr>
                                    </w:pPr>
                                  </w:p>
                                </w:tc>
                                <w:tc>
                                  <w:tcPr>
                                    <w:tcW w:w="1263" w:type="dxa"/>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Plotas, m</w:t>
                                    </w:r>
                                    <w:r>
                                      <w:rPr>
                                        <w:rFonts w:ascii="Arial" w:hAnsi="Arial" w:cs="Arial"/>
                                        <w:spacing w:val="-10"/>
                                        <w:kern w:val="28"/>
                                        <w:sz w:val="20"/>
                                        <w:szCs w:val="56"/>
                                        <w:vertAlign w:val="superscript"/>
                                        <w:lang w:eastAsia="lt-LT"/>
                                      </w:rPr>
                                      <w:t>2</w:t>
                                    </w:r>
                                  </w:p>
                                </w:tc>
                                <w:tc>
                                  <w:tcPr>
                                    <w:tcW w:w="1260"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174 523</w:t>
                                    </w:r>
                                  </w:p>
                                </w:tc>
                                <w:tc>
                                  <w:tcPr>
                                    <w:tcW w:w="1396"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80 187</w:t>
                                    </w:r>
                                  </w:p>
                                </w:tc>
                                <w:tc>
                                  <w:tcPr>
                                    <w:tcW w:w="1561"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682 498</w:t>
                                    </w:r>
                                  </w:p>
                                </w:tc>
                                <w:tc>
                                  <w:tcPr>
                                    <w:tcW w:w="1220" w:type="dxa"/>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79 307</w:t>
                                    </w:r>
                                  </w:p>
                                </w:tc>
                                <w:tc>
                                  <w:tcPr>
                                    <w:tcW w:w="0" w:type="auto"/>
                                  </w:tcPr>
                                  <w:p>
                                    <w:pPr>
                                      <w:jc w:val="center"/>
                                      <w:rPr>
                                        <w:rFonts w:ascii="Arial" w:hAnsi="Arial" w:cs="Arial"/>
                                        <w:b/>
                                        <w:bCs/>
                                        <w:spacing w:val="-10"/>
                                        <w:kern w:val="28"/>
                                        <w:sz w:val="20"/>
                                        <w:szCs w:val="56"/>
                                        <w:lang w:eastAsia="lt-LT"/>
                                      </w:rPr>
                                    </w:pPr>
                                    <w:r>
                                      <w:rPr>
                                        <w:rFonts w:ascii="Arial" w:hAnsi="Arial" w:cs="Arial"/>
                                        <w:b/>
                                        <w:bCs/>
                                        <w:color w:val="000000"/>
                                        <w:spacing w:val="-10"/>
                                        <w:kern w:val="28"/>
                                        <w:sz w:val="20"/>
                                        <w:szCs w:val="56"/>
                                      </w:rPr>
                                      <w:t xml:space="preserve">1 016 515 </w:t>
                                    </w:r>
                                  </w:p>
                                </w:tc>
                              </w:tr>
                            </w:tbl>
                            <w:p>
                              <w:pPr>
                                <w:spacing w:line="259" w:lineRule="auto"/>
                                <w:jc w:val="center"/>
                                <w:rPr>
                                  <w:rFonts w:ascii="Arial" w:hAnsi="Arial" w:cs="Arial"/>
                                  <w:i/>
                                  <w:iCs/>
                                  <w:sz w:val="18"/>
                                  <w:szCs w:val="18"/>
                                </w:rPr>
                              </w:pPr>
                              <w:r>
                                <w:rPr>
                                  <w:rFonts w:ascii="Arial" w:hAnsi="Arial" w:cs="Arial"/>
                                  <w:i/>
                                  <w:iCs/>
                                  <w:sz w:val="18"/>
                                  <w:szCs w:val="18"/>
                                </w:rPr>
                                <w:t>Šaltinis: VĮ Registrų centro duomenys</w:t>
                              </w:r>
                              <w:r>
                                <w:rPr>
                                  <w:rFonts w:ascii="Arial" w:hAnsi="Arial" w:cs="Arial"/>
                                  <w:i/>
                                  <w:iCs/>
                                  <w:sz w:val="18"/>
                                  <w:szCs w:val="18"/>
                                  <w:vertAlign w:val="superscript"/>
                                </w:rPr>
                                <w:footnoteReference w:id="3"/>
                              </w:r>
                            </w:p>
                            <w:p>
                              <w:pPr>
                                <w:rPr>
                                  <w:sz w:val="14"/>
                                  <w:szCs w:val="14"/>
                                </w:rPr>
                              </w:pPr>
                            </w:p>
                            <w:p>
                              <w:pPr>
                                <w:spacing w:line="259" w:lineRule="auto"/>
                                <w:ind w:firstLine="567"/>
                                <w:jc w:val="both"/>
                                <w:rPr>
                                  <w:rFonts w:ascii="Arial" w:hAnsi="Arial" w:cs="Arial"/>
                                  <w:sz w:val="22"/>
                                </w:rPr>
                              </w:pPr>
                              <w:r>
                                <w:rPr>
                                  <w:rFonts w:ascii="Arial" w:hAnsi="Arial" w:cs="Arial"/>
                                  <w:sz w:val="22"/>
                                </w:rPr>
                                <w:t>Bendras visų gyvenamųjų namų plotas siekia daugiau kaip 1 mln. m</w:t>
                              </w:r>
                              <w:r>
                                <w:rPr>
                                  <w:rFonts w:ascii="Arial" w:hAnsi="Arial" w:cs="Arial"/>
                                  <w:sz w:val="22"/>
                                  <w:vertAlign w:val="superscript"/>
                                </w:rPr>
                                <w:t>2</w:t>
                              </w:r>
                              <w:r>
                                <w:rPr>
                                  <w:rFonts w:ascii="Arial" w:hAnsi="Arial" w:cs="Arial"/>
                                  <w:sz w:val="22"/>
                                </w:rPr>
                                <w:t xml:space="preserve">. Joniškio rajono savivaldybėje pagal namų skaičių, o taip pat ir pagal plotą, daugiausiai vyrauja 1-2 butų gyvenamieji namai. Gyvenamojo ploto pasiskirstymas pagal pastato tipą grafiškai pavaizduotas 1.3.2.1. paveiksle. </w:t>
                              </w:r>
                            </w:p>
                            <w:p>
                              <w:pPr>
                                <w:rPr>
                                  <w:sz w:val="14"/>
                                  <w:szCs w:val="14"/>
                                </w:rPr>
                              </w:pPr>
                            </w:p>
                            <w:p>
                              <w:pPr>
                                <w:spacing w:line="259" w:lineRule="auto"/>
                                <w:jc w:val="center"/>
                                <w:rPr>
                                  <w:rFonts w:ascii="Arial" w:hAnsi="Arial" w:cs="Arial"/>
                                  <w:sz w:val="22"/>
                                  <w:szCs w:val="22"/>
                                  <w:highlight w:val="yellow"/>
                                </w:rPr>
                              </w:pPr>
                              <w:r>
                                <w:rPr>
                                  <w:rFonts w:ascii="Arial" w:hAnsi="Arial" w:cs="Arial"/>
                                  <w:sz w:val="22"/>
                                  <w:szCs w:val="22"/>
                                  <w:lang w:val="en-US"/>
                                </w:rPr>
                                <w:drawing>
                                  <wp:inline distT="0" distB="0" distL="0" distR="0" wp14:anchorId="7DB6D688" wp14:editId="0A99B26C">
                                    <wp:extent cx="4511040" cy="2200044"/>
                                    <wp:effectExtent l="0" t="0" r="3810" b="0"/>
                                    <wp:docPr id="38" name="Paveikslėlis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542733" cy="2215501"/>
                                            </a:xfrm>
                                            <a:prstGeom prst="rect">
                                              <a:avLst/>
                                            </a:prstGeom>
                                          </pic:spPr>
                                        </pic:pic>
                                      </a:graphicData>
                                    </a:graphic>
                                  </wp:inline>
                                </w:drawing>
                              </w:r>
                            </w:p>
                            <w:p>
                              <w:pPr>
                                <w:rPr>
                                  <w:sz w:val="14"/>
                                  <w:szCs w:val="14"/>
                                </w:rPr>
                              </w:pPr>
                            </w:p>
                          </w:sdtContent>
                        </w:sdt>
                        <w:sdt>
                          <w:sdtPr>
                            <w:alias w:val="1.3.2.1 pp."/>
                            <w:tag w:val="part_97afd8cd2ab24742b2efe9ed6437de2f"/>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97afd8cd2ab24742b2efe9ed6437de2f"/>
                                  <w:lock w:val="sdtLocked"/>
                                  <w:richText/>
                                </w:sdtPr>
                                <w:sdtContent>
                                  <w:r>
                                    <w:rPr>
                                      <w:rFonts w:ascii="Arial" w:eastAsia="Calibri" w:hAnsi="Arial" w:cs="Arial"/>
                                      <w:b/>
                                      <w:color w:val="002060"/>
                                      <w:sz w:val="22"/>
                                      <w:szCs w:val="22"/>
                                    </w:rPr>
                                    <w:t>1.3.2.1</w:t>
                                  </w:r>
                                </w:sdtContent>
                              </w:sdt>
                              <w:r>
                                <w:rPr>
                                  <w:rFonts w:ascii="Arial" w:eastAsia="Calibri" w:hAnsi="Arial" w:cs="Arial"/>
                                  <w:b/>
                                  <w:color w:val="002060"/>
                                  <w:sz w:val="22"/>
                                  <w:szCs w:val="22"/>
                                </w:rPr>
                                <w:t>. pav. Gyvenamosios paskirties pastatai Joniškio rajono savivaldybėje</w:t>
                              </w:r>
                            </w:p>
                            <w:p>
                              <w:pPr>
                                <w:rPr>
                                  <w:sz w:val="10"/>
                                  <w:szCs w:val="10"/>
                                </w:rPr>
                              </w:pPr>
                            </w:p>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p>
                              <w:pPr>
                                <w:spacing w:line="259" w:lineRule="auto"/>
                                <w:ind w:firstLine="567"/>
                                <w:jc w:val="both"/>
                                <w:rPr>
                                  <w:rFonts w:ascii="Arial" w:hAnsi="Arial" w:cs="Arial"/>
                                  <w:sz w:val="22"/>
                                </w:rPr>
                              </w:pPr>
                              <w:r>
                                <w:rPr>
                                  <w:rFonts w:ascii="Arial" w:hAnsi="Arial" w:cs="Arial"/>
                                  <w:sz w:val="22"/>
                                </w:rPr>
                                <w:t>Remiantis statistikos departamento duomenimis, gyvenamasis fondas (naudingasis plotas) 2021 m. pabaigoje Joniškio rajono savivaldybėje sudarė 853,3 tūkst. m</w:t>
                              </w:r>
                              <w:r>
                                <w:rPr>
                                  <w:rFonts w:ascii="Arial" w:hAnsi="Arial" w:cs="Arial"/>
                                  <w:sz w:val="22"/>
                                  <w:vertAlign w:val="superscript"/>
                                </w:rPr>
                                <w:t>2</w:t>
                              </w:r>
                              <w:r>
                                <w:rPr>
                                  <w:rFonts w:ascii="Arial" w:hAnsi="Arial" w:cs="Arial"/>
                                  <w:sz w:val="22"/>
                                </w:rPr>
                                <w:t>. Lyginant 2017-2021 m. gyvenamasis fondas (naudingasis plotas) padidėjo 4,1 proc.</w:t>
                              </w:r>
                            </w:p>
                            <w:p>
                              <w:pPr>
                                <w:rPr>
                                  <w:sz w:val="14"/>
                                  <w:szCs w:val="14"/>
                                </w:rPr>
                              </w:pPr>
                            </w:p>
                          </w:sdtContent>
                        </w:sdt>
                        <w:sdt>
                          <w:sdtPr>
                            <w:alias w:val="1.3.2.2 pp."/>
                            <w:tag w:val="part_e8d9799cb5714e778a5d63af12fddedc"/>
                            <w:lock w:val="sdtLocked"/>
                            <w:richText/>
                          </w:sdtPr>
                          <w:sdtContent>
                            <w:p>
                              <w:pPr>
                                <w:spacing w:line="259" w:lineRule="auto"/>
                                <w:ind w:firstLine="567"/>
                                <w:jc w:val="both"/>
                                <w:rPr>
                                  <w:rFonts w:ascii="Arial" w:eastAsia="SegoeUI" w:hAnsi="Arial" w:cs="Arial"/>
                                  <w:sz w:val="22"/>
                                </w:rPr>
                              </w:pPr>
                              <w:sdt>
                                <w:sdtPr>
                                  <w:alias w:val="Numeris"/>
                                  <w:tag w:val="nr_e8d9799cb5714e778a5d63af12fddedc"/>
                                  <w:lock w:val="sdtLocked"/>
                                  <w:richText/>
                                </w:sdtPr>
                                <w:sdtContent>
                                  <w:r>
                                    <w:rPr>
                                      <w:rFonts w:ascii="Arial" w:eastAsia="SegoeUI" w:hAnsi="Arial" w:cs="Arial"/>
                                      <w:bCs/>
                                      <w:sz w:val="22"/>
                                    </w:rPr>
                                    <w:t>1.3.2.2</w:t>
                                  </w:r>
                                </w:sdtContent>
                              </w:sdt>
                              <w:r>
                                <w:rPr>
                                  <w:rFonts w:ascii="Arial" w:eastAsia="SegoeUI" w:hAnsi="Arial" w:cs="Arial"/>
                                  <w:bCs/>
                                  <w:sz w:val="22"/>
                                </w:rPr>
                                <w:t xml:space="preserve">. </w:t>
                              </w:r>
                              <w:r>
                                <w:rPr>
                                  <w:rFonts w:ascii="Arial" w:eastAsia="SegoeUI" w:hAnsi="Arial" w:cs="Arial"/>
                                  <w:sz w:val="22"/>
                                </w:rPr>
                                <w:t xml:space="preserve">pav. pateikti duomenys apie gyvenamųjų namų pasiskirstymą pagal statybos metus rodo, jog mieste daugiausia 1961-1990 m. statytų gyvenamųjų namų (prastos šiluminės izoliacijos), kurie nuo visų gyvenamųjų namų bendro ploto sudaro 70,29 proc. Iš jų dauguma 3 ir daugiau butų gyvenamieji namai – 76,14 proc. Gyvenamojo ploto pasiskirstymas pagal pastato statybos pabaigos metus grafiškai pavaizduotas </w:t>
                              </w:r>
                              <w:r>
                                <w:rPr>
                                  <w:rFonts w:ascii="Arial" w:hAnsi="Arial" w:cs="Arial"/>
                                  <w:sz w:val="22"/>
                                </w:rPr>
                                <w:t xml:space="preserve">1.3.2.2. </w:t>
                              </w:r>
                              <w:r>
                                <w:rPr>
                                  <w:rFonts w:ascii="Arial" w:eastAsia="SegoeUI" w:hAnsi="Arial" w:cs="Arial"/>
                                  <w:sz w:val="22"/>
                                </w:rPr>
                                <w:t>paveiksle.</w:t>
                              </w:r>
                            </w:p>
                            <w:p>
                              <w:pPr>
                                <w:rPr>
                                  <w:sz w:val="14"/>
                                  <w:szCs w:val="14"/>
                                </w:rPr>
                              </w:pPr>
                            </w:p>
                            <w:p>
                              <w:pPr>
                                <w:spacing w:line="259" w:lineRule="auto"/>
                                <w:jc w:val="center"/>
                                <w:rPr>
                                  <w:rFonts w:ascii="Arial" w:eastAsia="SegoeUI" w:hAnsi="Arial" w:cs="Arial"/>
                                  <w:sz w:val="22"/>
                                  <w:szCs w:val="22"/>
                                  <w:highlight w:val="yellow"/>
                                </w:rPr>
                              </w:pPr>
                              <w:r>
                                <w:rPr>
                                  <w:rFonts w:ascii="Arial" w:hAnsi="Arial" w:cs="Arial"/>
                                  <w:sz w:val="22"/>
                                  <w:szCs w:val="22"/>
                                  <w:lang w:val="en-US"/>
                                </w:rPr>
                                <w:drawing>
                                  <wp:inline distT="0" distB="0" distL="0" distR="0" wp14:anchorId="2D26C5F3" wp14:editId="35248E59">
                                    <wp:extent cx="6035040" cy="3045611"/>
                                    <wp:effectExtent l="0" t="0" r="3810" b="254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6037049" cy="3046625"/>
                                            </a:xfrm>
                                            <a:prstGeom prst="rect">
                                              <a:avLst/>
                                            </a:prstGeom>
                                          </pic:spPr>
                                        </pic:pic>
                                      </a:graphicData>
                                    </a:graphic>
                                  </wp:inline>
                                </w:drawing>
                              </w:r>
                            </w:p>
                            <w:p>
                              <w:pPr>
                                <w:rPr>
                                  <w:sz w:val="14"/>
                                  <w:szCs w:val="14"/>
                                </w:rPr>
                              </w:pPr>
                            </w:p>
                          </w:sdtContent>
                        </w:sdt>
                        <w:sdt>
                          <w:sdtPr>
                            <w:alias w:val="1.3.2.2 pp."/>
                            <w:tag w:val="part_f279818e664c4ed9abde83cda7430c1c"/>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f279818e664c4ed9abde83cda7430c1c"/>
                                  <w:lock w:val="sdtLocked"/>
                                  <w:richText/>
                                </w:sdtPr>
                                <w:sdtContent>
                                  <w:r>
                                    <w:rPr>
                                      <w:rFonts w:ascii="Arial" w:eastAsia="Calibri" w:hAnsi="Arial" w:cs="Arial"/>
                                      <w:b/>
                                      <w:color w:val="002060"/>
                                      <w:sz w:val="22"/>
                                      <w:szCs w:val="22"/>
                                    </w:rPr>
                                    <w:t>1.3.2.2</w:t>
                                  </w:r>
                                </w:sdtContent>
                              </w:sdt>
                              <w:r>
                                <w:rPr>
                                  <w:rFonts w:ascii="Arial" w:eastAsia="Calibri" w:hAnsi="Arial" w:cs="Arial"/>
                                  <w:b/>
                                  <w:color w:val="002060"/>
                                  <w:sz w:val="22"/>
                                  <w:szCs w:val="22"/>
                                </w:rPr>
                                <w:t>. pav. Gyvenamojo ploto pasiskirstymas Joniškio rajono savivaldybėje pagal statybos metus</w:t>
                              </w:r>
                            </w:p>
                            <w:p>
                              <w:pPr>
                                <w:rPr>
                                  <w:sz w:val="10"/>
                                  <w:szCs w:val="10"/>
                                </w:rPr>
                              </w:pPr>
                            </w:p>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Nekilnojamojo turto registro duomenys apie Joniškio rajono savivaldybės gyvenamuosius pastatus pagal jų sienų statybai naudotas medžiagas pateikti </w:t>
                              </w:r>
                              <w:r>
                                <w:rPr>
                                  <w:rFonts w:ascii="Arial" w:eastAsia="SegoeUI" w:hAnsi="Arial" w:cs="Arial"/>
                                  <w:bCs/>
                                  <w:sz w:val="22"/>
                                </w:rPr>
                                <w:t xml:space="preserve">1.3.2.2. </w:t>
                              </w:r>
                              <w:r>
                                <w:rPr>
                                  <w:rFonts w:ascii="Arial" w:hAnsi="Arial" w:cs="Arial"/>
                                  <w:sz w:val="22"/>
                                </w:rPr>
                                <w:t>lentelėje.</w:t>
                              </w:r>
                            </w:p>
                            <w:p>
                              <w:pPr>
                                <w:rPr>
                                  <w:sz w:val="14"/>
                                  <w:szCs w:val="14"/>
                                </w:rPr>
                              </w:pPr>
                            </w:p>
                          </w:sdtContent>
                        </w:sdt>
                        <w:sdt>
                          <w:sdtPr>
                            <w:alias w:val="1.3.2.2 pp."/>
                            <w:tag w:val="part_3e2c863c67524a428c039c986357f985"/>
                            <w:lock w:val="sdtLocked"/>
                            <w:richText/>
                          </w:sdtPr>
                          <w:sdtContent>
                            <w:p>
                              <w:pPr>
                                <w:spacing w:line="259" w:lineRule="auto"/>
                                <w:jc w:val="center"/>
                                <w:rPr>
                                  <w:rFonts w:ascii="Arial" w:eastAsia="Calibri" w:hAnsi="Arial" w:cs="Arial"/>
                                  <w:b/>
                                  <w:bCs/>
                                  <w:color w:val="002060"/>
                                  <w:sz w:val="22"/>
                                  <w:szCs w:val="32"/>
                                </w:rPr>
                              </w:pPr>
                              <w:sdt>
                                <w:sdtPr>
                                  <w:alias w:val="Numeris"/>
                                  <w:tag w:val="nr_3e2c863c67524a428c039c986357f985"/>
                                  <w:lock w:val="sdtLocked"/>
                                  <w:richText/>
                                </w:sdtPr>
                                <w:sdtContent>
                                  <w:r>
                                    <w:rPr>
                                      <w:rFonts w:ascii="Arial" w:eastAsia="SegoeUI" w:hAnsi="Arial" w:cs="Arial"/>
                                      <w:b/>
                                      <w:bCs/>
                                      <w:color w:val="002060"/>
                                      <w:sz w:val="22"/>
                                      <w:szCs w:val="32"/>
                                    </w:rPr>
                                    <w:t>1</w:t>
                                  </w:r>
                                  <w:r>
                                    <w:rPr>
                                      <w:rFonts w:ascii="Arial" w:eastAsia="Calibri" w:hAnsi="Arial" w:cs="Arial"/>
                                      <w:b/>
                                      <w:bCs/>
                                      <w:color w:val="002060"/>
                                      <w:sz w:val="22"/>
                                      <w:szCs w:val="32"/>
                                    </w:rPr>
                                    <w:t>.3.2.2</w:t>
                                  </w:r>
                                </w:sdtContent>
                              </w:sdt>
                              <w:r>
                                <w:rPr>
                                  <w:rFonts w:ascii="Arial" w:eastAsia="Calibri" w:hAnsi="Arial" w:cs="Arial"/>
                                  <w:b/>
                                  <w:bCs/>
                                  <w:color w:val="002060"/>
                                  <w:sz w:val="22"/>
                                  <w:szCs w:val="32"/>
                                </w:rPr>
                                <w:t>. lentelė. Gyvenamųjų pastatų Joniškio rajono savivaldybėje pasiskirstymas pagal jų sienų statybai naudotas medžiagas</w:t>
                              </w:r>
                            </w:p>
                            <w:p>
                              <w:pPr>
                                <w:rPr>
                                  <w:sz w:val="10"/>
                                  <w:szCs w:val="10"/>
                                </w:rPr>
                              </w:pPr>
                            </w:p>
                            <w:tbl>
                              <w:tblPr>
                                <w:tblW w:w="10768" w:type="dxa"/>
                                <w:jc w:val="center"/>
                                <w:tblBorders>
                                  <w:top w:val="single" w:sz="4" w:space="0" w:color="4472C4"/>
                                  <w:left w:val="single" w:sz="4" w:space="0" w:color="4472C4"/>
                                  <w:bottom w:val="single" w:sz="4" w:space="0" w:color="4472C4"/>
                                  <w:right w:val="single" w:sz="4" w:space="0" w:color="4472C4"/>
                                </w:tblBorders>
                                <w:tblLayout w:type="fixed"/>
                                <w:tblLook w:val="04A0" w:firstRow="1" w:lastRow="0" w:firstColumn="1" w:lastColumn="0" w:noHBand="0" w:noVBand="1"/>
                              </w:tblPr>
                              <w:tblGrid>
                                <w:gridCol w:w="2972"/>
                                <w:gridCol w:w="1134"/>
                                <w:gridCol w:w="1134"/>
                                <w:gridCol w:w="1276"/>
                                <w:gridCol w:w="1207"/>
                                <w:gridCol w:w="919"/>
                                <w:gridCol w:w="992"/>
                                <w:gridCol w:w="1134"/>
                              </w:tblGrid>
                              <w:tr>
                                <w:trPr>
                                  <w:trHeight w:val="300"/>
                                  <w:jc w:val="center"/>
                                </w:trPr>
                                <w:tc>
                                  <w:tcPr>
                                    <w:tcW w:w="4106" w:type="dxa"/>
                                    <w:gridSpan w:val="2"/>
                                    <w:hideMark/>
                                  </w:tcPr>
                                  <w:p>
                                    <w:pPr>
                                      <w:rPr>
                                        <w:sz w:val="10"/>
                                        <w:szCs w:val="10"/>
                                      </w:rPr>
                                    </w:pPr>
                                  </w:p>
                                  <w:p>
                                    <w:pPr>
                                      <w:spacing w:line="259" w:lineRule="auto"/>
                                      <w:jc w:val="center"/>
                                      <w:rPr>
                                        <w:rFonts w:ascii="Arial" w:hAnsi="Arial" w:cs="Arial"/>
                                        <w:b/>
                                        <w:color w:val="FFFFFF"/>
                                        <w:sz w:val="20"/>
                                        <w:szCs w:val="16"/>
                                        <w:lang w:eastAsia="lt-LT"/>
                                      </w:rPr>
                                    </w:pPr>
                                  </w:p>
                                </w:tc>
                                <w:tc>
                                  <w:tcPr>
                                    <w:tcW w:w="5528" w:type="dxa"/>
                                    <w:gridSpan w:val="5"/>
                                    <w:hideMark/>
                                  </w:tcPr>
                                  <w:p>
                                    <w:pPr>
                                      <w:rPr>
                                        <w:sz w:val="10"/>
                                        <w:szCs w:val="10"/>
                                      </w:rPr>
                                    </w:pPr>
                                  </w:p>
                                  <w:p>
                                    <w:pPr>
                                      <w:spacing w:line="259" w:lineRule="auto"/>
                                      <w:jc w:val="center"/>
                                      <w:rPr>
                                        <w:rFonts w:ascii="Arial" w:hAnsi="Arial" w:cs="Arial"/>
                                        <w:b/>
                                        <w:color w:val="FFFFFF"/>
                                        <w:sz w:val="20"/>
                                        <w:szCs w:val="16"/>
                                        <w:lang w:eastAsia="lt-LT"/>
                                      </w:rPr>
                                    </w:pPr>
                                    <w:r>
                                      <w:rPr>
                                        <w:rFonts w:ascii="Arial" w:hAnsi="Arial" w:cs="Arial"/>
                                        <w:b/>
                                        <w:color w:val="FFFFFF"/>
                                        <w:sz w:val="20"/>
                                        <w:szCs w:val="16"/>
                                        <w:lang w:eastAsia="lt-LT"/>
                                      </w:rPr>
                                      <w:t>Sienų medžiaga</w:t>
                                    </w:r>
                                  </w:p>
                                </w:tc>
                                <w:tc>
                                  <w:tcPr>
                                    <w:tcW w:w="1134" w:type="dxa"/>
                                    <w:vMerge w:val="restart"/>
                                    <w:hideMark/>
                                  </w:tcPr>
                                  <w:p>
                                    <w:pPr>
                                      <w:rPr>
                                        <w:sz w:val="10"/>
                                        <w:szCs w:val="10"/>
                                      </w:rPr>
                                    </w:pPr>
                                  </w:p>
                                  <w:p>
                                    <w:pPr>
                                      <w:spacing w:line="259" w:lineRule="auto"/>
                                      <w:jc w:val="center"/>
                                      <w:rPr>
                                        <w:rFonts w:ascii="Arial" w:hAnsi="Arial" w:cs="Arial"/>
                                        <w:b/>
                                        <w:color w:val="FFFFFF"/>
                                        <w:sz w:val="20"/>
                                        <w:szCs w:val="16"/>
                                        <w:lang w:eastAsia="lt-LT"/>
                                      </w:rPr>
                                    </w:pPr>
                                    <w:r>
                                      <w:rPr>
                                        <w:rFonts w:ascii="Arial" w:hAnsi="Arial" w:cs="Arial"/>
                                        <w:b/>
                                        <w:color w:val="FFFFFF"/>
                                        <w:sz w:val="20"/>
                                        <w:szCs w:val="16"/>
                                        <w:lang w:eastAsia="lt-LT"/>
                                      </w:rPr>
                                      <w:t>Viso</w:t>
                                    </w:r>
                                  </w:p>
                                </w:tc>
                              </w:tr>
                              <w:tr>
                                <w:trPr>
                                  <w:trHeight w:val="491"/>
                                  <w:jc w:val="center"/>
                                </w:trPr>
                                <w:tc>
                                  <w:tcPr>
                                    <w:tcW w:w="4106" w:type="dxa"/>
                                    <w:gridSpan w:val="2"/>
                                    <w:hideMark/>
                                  </w:tcPr>
                                  <w:p>
                                    <w:pPr>
                                      <w:jc w:val="center"/>
                                      <w:rPr>
                                        <w:rFonts w:ascii="Arial" w:hAnsi="Arial" w:cs="Arial"/>
                                        <w:spacing w:val="-10"/>
                                        <w:kern w:val="28"/>
                                        <w:sz w:val="20"/>
                                        <w:lang w:eastAsia="lt-LT"/>
                                      </w:rPr>
                                    </w:pPr>
                                    <w:r>
                                      <w:rPr>
                                        <w:rFonts w:ascii="Arial" w:hAnsi="Arial" w:cs="Arial"/>
                                        <w:spacing w:val="-10"/>
                                        <w:kern w:val="28"/>
                                        <w:sz w:val="20"/>
                                        <w:lang w:eastAsia="lt-LT"/>
                                      </w:rPr>
                                      <w:t>Pastato tipas</w:t>
                                    </w:r>
                                  </w:p>
                                </w:tc>
                                <w:tc>
                                  <w:tcPr>
                                    <w:tcW w:w="1134" w:type="dxa"/>
                                    <w:hideMark/>
                                  </w:tcPr>
                                  <w:p>
                                    <w:pPr>
                                      <w:jc w:val="center"/>
                                      <w:rPr>
                                        <w:rFonts w:ascii="Arial" w:hAnsi="Arial" w:cs="Arial"/>
                                        <w:spacing w:val="-10"/>
                                        <w:kern w:val="28"/>
                                        <w:sz w:val="20"/>
                                        <w:lang w:eastAsia="lt-LT"/>
                                      </w:rPr>
                                    </w:pPr>
                                    <w:r>
                                      <w:rPr>
                                        <w:rFonts w:ascii="Arial" w:eastAsia="SegoeUI" w:hAnsi="Arial" w:cs="Arial"/>
                                        <w:spacing w:val="-10"/>
                                        <w:kern w:val="28"/>
                                        <w:sz w:val="20"/>
                                        <w:lang w:eastAsia="lt-LT"/>
                                      </w:rPr>
                                      <w:t>Plytų ir blokelių</w:t>
                                    </w:r>
                                  </w:p>
                                </w:tc>
                                <w:tc>
                                  <w:tcPr>
                                    <w:tcW w:w="1276" w:type="dxa"/>
                                    <w:hideMark/>
                                  </w:tcPr>
                                  <w:p>
                                    <w:pPr>
                                      <w:jc w:val="center"/>
                                      <w:rPr>
                                        <w:rFonts w:ascii="Arial" w:hAnsi="Arial" w:cs="Arial"/>
                                        <w:spacing w:val="-10"/>
                                        <w:kern w:val="28"/>
                                        <w:sz w:val="20"/>
                                        <w:lang w:eastAsia="lt-LT"/>
                                      </w:rPr>
                                    </w:pPr>
                                    <w:r>
                                      <w:rPr>
                                        <w:rFonts w:ascii="Arial" w:eastAsia="SegoeUI" w:hAnsi="Arial" w:cs="Arial"/>
                                        <w:spacing w:val="-10"/>
                                        <w:kern w:val="28"/>
                                        <w:sz w:val="20"/>
                                        <w:lang w:eastAsia="lt-LT"/>
                                      </w:rPr>
                                      <w:t>Gelžbetonio plokščių</w:t>
                                    </w:r>
                                  </w:p>
                                </w:tc>
                                <w:tc>
                                  <w:tcPr>
                                    <w:tcW w:w="1207" w:type="dxa"/>
                                    <w:hideMark/>
                                  </w:tcPr>
                                  <w:p>
                                    <w:pPr>
                                      <w:jc w:val="center"/>
                                      <w:rPr>
                                        <w:rFonts w:ascii="Arial" w:hAnsi="Arial" w:cs="Arial"/>
                                        <w:spacing w:val="-10"/>
                                        <w:kern w:val="28"/>
                                        <w:sz w:val="20"/>
                                        <w:lang w:eastAsia="lt-LT"/>
                                      </w:rPr>
                                    </w:pPr>
                                    <w:r>
                                      <w:rPr>
                                        <w:rFonts w:ascii="Arial" w:eastAsia="SegoeUI" w:hAnsi="Arial" w:cs="Arial"/>
                                        <w:spacing w:val="-10"/>
                                        <w:kern w:val="28"/>
                                        <w:sz w:val="20"/>
                                        <w:lang w:eastAsia="lt-LT"/>
                                      </w:rPr>
                                      <w:t>Monolitinio betono</w:t>
                                    </w:r>
                                  </w:p>
                                </w:tc>
                                <w:tc>
                                  <w:tcPr>
                                    <w:tcW w:w="919" w:type="dxa"/>
                                    <w:hideMark/>
                                  </w:tcPr>
                                  <w:p>
                                    <w:pPr>
                                      <w:jc w:val="center"/>
                                      <w:rPr>
                                        <w:rFonts w:ascii="Arial" w:hAnsi="Arial" w:cs="Arial"/>
                                        <w:spacing w:val="-10"/>
                                        <w:kern w:val="28"/>
                                        <w:sz w:val="20"/>
                                        <w:lang w:eastAsia="lt-LT"/>
                                      </w:rPr>
                                    </w:pPr>
                                    <w:r>
                                      <w:rPr>
                                        <w:rFonts w:ascii="Arial" w:eastAsia="SegoeUI" w:hAnsi="Arial" w:cs="Arial"/>
                                        <w:spacing w:val="-10"/>
                                        <w:kern w:val="28"/>
                                        <w:sz w:val="20"/>
                                        <w:lang w:eastAsia="lt-LT"/>
                                      </w:rPr>
                                      <w:t>Rąstų</w:t>
                                    </w:r>
                                  </w:p>
                                </w:tc>
                                <w:tc>
                                  <w:tcPr>
                                    <w:tcW w:w="992" w:type="dxa"/>
                                    <w:hideMark/>
                                  </w:tcPr>
                                  <w:p>
                                    <w:pPr>
                                      <w:jc w:val="center"/>
                                      <w:rPr>
                                        <w:rFonts w:ascii="Arial" w:hAnsi="Arial" w:cs="Arial"/>
                                        <w:spacing w:val="-10"/>
                                        <w:kern w:val="28"/>
                                        <w:sz w:val="20"/>
                                        <w:lang w:eastAsia="lt-LT"/>
                                      </w:rPr>
                                    </w:pPr>
                                    <w:r>
                                      <w:rPr>
                                        <w:rFonts w:ascii="Arial" w:eastAsia="SegoeUI" w:hAnsi="Arial" w:cs="Arial"/>
                                        <w:spacing w:val="-10"/>
                                        <w:kern w:val="28"/>
                                        <w:sz w:val="20"/>
                                        <w:lang w:eastAsia="lt-LT"/>
                                      </w:rPr>
                                      <w:t>Kita</w:t>
                                    </w:r>
                                  </w:p>
                                </w:tc>
                                <w:tc>
                                  <w:tcPr>
                                    <w:tcW w:w="1134" w:type="dxa"/>
                                    <w:vMerge/>
                                    <w:hideMark/>
                                  </w:tcPr>
                                  <w:p>
                                    <w:pPr>
                                      <w:jc w:val="center"/>
                                      <w:rPr>
                                        <w:rFonts w:ascii="Arial" w:hAnsi="Arial" w:cs="Arial"/>
                                        <w:spacing w:val="-10"/>
                                        <w:kern w:val="28"/>
                                        <w:sz w:val="20"/>
                                        <w:lang w:eastAsia="lt-LT"/>
                                      </w:rPr>
                                    </w:pPr>
                                  </w:p>
                                </w:tc>
                              </w:tr>
                              <w:tr>
                                <w:trPr>
                                  <w:trHeight w:hRule="exact" w:val="284"/>
                                  <w:jc w:val="center"/>
                                </w:trPr>
                                <w:tc>
                                  <w:tcPr>
                                    <w:tcW w:w="2972" w:type="dxa"/>
                                    <w:vMerge w:val="restart"/>
                                    <w:hideMark/>
                                  </w:tcPr>
                                  <w:p>
                                    <w:pPr>
                                      <w:rPr>
                                        <w:rFonts w:ascii="Arial" w:hAnsi="Arial" w:cs="Arial"/>
                                        <w:spacing w:val="-10"/>
                                        <w:kern w:val="28"/>
                                        <w:sz w:val="20"/>
                                        <w:lang w:eastAsia="lt-LT"/>
                                      </w:rPr>
                                    </w:pPr>
                                    <w:r>
                                      <w:rPr>
                                        <w:rFonts w:ascii="Arial" w:hAnsi="Arial" w:cs="Arial"/>
                                        <w:spacing w:val="-10"/>
                                        <w:kern w:val="28"/>
                                        <w:sz w:val="20"/>
                                        <w:lang w:eastAsia="lt-LT"/>
                                      </w:rPr>
                                      <w:t>1-2 butų gyvenamieji namai</w:t>
                                    </w:r>
                                  </w:p>
                                </w:tc>
                                <w:tc>
                                  <w:tcPr>
                                    <w:tcW w:w="1134" w:type="dxa"/>
                                    <w:hideMark/>
                                  </w:tcPr>
                                  <w:p>
                                    <w:pPr>
                                      <w:rPr>
                                        <w:rFonts w:ascii="Arial" w:hAnsi="Arial" w:cs="Arial"/>
                                        <w:spacing w:val="-10"/>
                                        <w:kern w:val="28"/>
                                        <w:sz w:val="20"/>
                                        <w:lang w:eastAsia="lt-LT"/>
                                      </w:rPr>
                                    </w:pPr>
                                    <w:r>
                                      <w:rPr>
                                        <w:rFonts w:ascii="Arial" w:eastAsia="SegoeUI" w:hAnsi="Arial" w:cs="Arial"/>
                                        <w:spacing w:val="-10"/>
                                        <w:kern w:val="28"/>
                                        <w:sz w:val="20"/>
                                        <w:lang w:eastAsia="lt-LT"/>
                                      </w:rPr>
                                      <w:t>Skaičius</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3 422</w:t>
                                    </w:r>
                                  </w:p>
                                </w:tc>
                                <w:tc>
                                  <w:tcPr>
                                    <w:tcW w:w="1276" w:type="dxa"/>
                                  </w:tcPr>
                                  <w:p>
                                    <w:pPr>
                                      <w:jc w:val="center"/>
                                      <w:rPr>
                                        <w:rFonts w:ascii="Arial" w:hAnsi="Arial" w:cs="Arial"/>
                                        <w:spacing w:val="-10"/>
                                        <w:kern w:val="28"/>
                                        <w:sz w:val="20"/>
                                        <w:lang w:eastAsia="lt-LT"/>
                                      </w:rPr>
                                    </w:pPr>
                                    <w:r>
                                      <w:rPr>
                                        <w:rFonts w:ascii="Arial" w:hAnsi="Arial" w:cs="Arial"/>
                                        <w:color w:val="000000"/>
                                        <w:spacing w:val="-10"/>
                                        <w:kern w:val="28"/>
                                        <w:sz w:val="20"/>
                                      </w:rPr>
                                      <w:t>93</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165</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2 665</w:t>
                                    </w:r>
                                  </w:p>
                                </w:tc>
                                <w:tc>
                                  <w:tcPr>
                                    <w:tcW w:w="992" w:type="dxa"/>
                                  </w:tcPr>
                                  <w:p>
                                    <w:pPr>
                                      <w:jc w:val="center"/>
                                      <w:rPr>
                                        <w:rFonts w:ascii="Arial" w:hAnsi="Arial" w:cs="Arial"/>
                                        <w:spacing w:val="-10"/>
                                        <w:kern w:val="28"/>
                                        <w:sz w:val="20"/>
                                        <w:lang w:eastAsia="lt-LT"/>
                                      </w:rPr>
                                    </w:pPr>
                                    <w:r>
                                      <w:rPr>
                                        <w:rFonts w:ascii="Arial" w:hAnsi="Arial" w:cs="Arial"/>
                                        <w:color w:val="000000"/>
                                        <w:spacing w:val="-10"/>
                                        <w:kern w:val="28"/>
                                        <w:sz w:val="20"/>
                                      </w:rPr>
                                      <w:t>964</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7 309</w:t>
                                    </w:r>
                                  </w:p>
                                </w:tc>
                              </w:tr>
                              <w:tr>
                                <w:trPr>
                                  <w:trHeight w:hRule="exact" w:val="284"/>
                                  <w:jc w:val="center"/>
                                </w:trPr>
                                <w:tc>
                                  <w:tcPr>
                                    <w:tcW w:w="2972" w:type="dxa"/>
                                    <w:vMerge/>
                                    <w:hideMark/>
                                  </w:tcPr>
                                  <w:p>
                                    <w:pPr>
                                      <w:rPr>
                                        <w:rFonts w:ascii="Arial" w:hAnsi="Arial" w:cs="Arial"/>
                                        <w:spacing w:val="-10"/>
                                        <w:kern w:val="28"/>
                                        <w:sz w:val="20"/>
                                        <w:lang w:eastAsia="lt-LT"/>
                                      </w:rPr>
                                    </w:pPr>
                                  </w:p>
                                </w:tc>
                                <w:tc>
                                  <w:tcPr>
                                    <w:tcW w:w="1134" w:type="dxa"/>
                                    <w:hideMark/>
                                  </w:tcPr>
                                  <w:p>
                                    <w:pPr>
                                      <w:rPr>
                                        <w:rFonts w:ascii="Arial" w:hAnsi="Arial" w:cs="Arial"/>
                                        <w:spacing w:val="-10"/>
                                        <w:kern w:val="28"/>
                                        <w:sz w:val="20"/>
                                        <w:lang w:eastAsia="lt-LT"/>
                                      </w:rPr>
                                    </w:pPr>
                                    <w:r>
                                      <w:rPr>
                                        <w:rFonts w:ascii="Arial" w:eastAsia="SegoeUI" w:hAnsi="Arial" w:cs="Arial"/>
                                        <w:spacing w:val="-10"/>
                                        <w:kern w:val="28"/>
                                        <w:sz w:val="20"/>
                                        <w:lang w:eastAsia="lt-LT"/>
                                      </w:rPr>
                                      <w:t>Plotas, m</w:t>
                                    </w:r>
                                    <w:r>
                                      <w:rPr>
                                        <w:rFonts w:ascii="Arial" w:eastAsia="SegoeUI" w:hAnsi="Arial" w:cs="Arial"/>
                                        <w:spacing w:val="-10"/>
                                        <w:kern w:val="28"/>
                                        <w:sz w:val="20"/>
                                        <w:vertAlign w:val="superscript"/>
                                        <w:lang w:eastAsia="lt-LT"/>
                                      </w:rPr>
                                      <w:t>2</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416 051</w:t>
                                    </w:r>
                                  </w:p>
                                </w:tc>
                                <w:tc>
                                  <w:tcPr>
                                    <w:tcW w:w="1276" w:type="dxa"/>
                                  </w:tcPr>
                                  <w:p>
                                    <w:pPr>
                                      <w:jc w:val="center"/>
                                      <w:rPr>
                                        <w:rFonts w:ascii="Arial" w:hAnsi="Arial" w:cs="Arial"/>
                                        <w:spacing w:val="-10"/>
                                        <w:kern w:val="28"/>
                                        <w:sz w:val="20"/>
                                        <w:lang w:eastAsia="lt-LT"/>
                                      </w:rPr>
                                    </w:pPr>
                                    <w:r>
                                      <w:rPr>
                                        <w:rFonts w:ascii="Arial" w:hAnsi="Arial" w:cs="Arial"/>
                                        <w:color w:val="000000"/>
                                        <w:spacing w:val="-10"/>
                                        <w:kern w:val="28"/>
                                        <w:sz w:val="20"/>
                                      </w:rPr>
                                      <w:t>14 224</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15 781</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211 430</w:t>
                                    </w:r>
                                  </w:p>
                                </w:tc>
                                <w:tc>
                                  <w:tcPr>
                                    <w:tcW w:w="992" w:type="dxa"/>
                                  </w:tcPr>
                                  <w:p>
                                    <w:pPr>
                                      <w:jc w:val="center"/>
                                      <w:rPr>
                                        <w:rFonts w:ascii="Arial" w:hAnsi="Arial" w:cs="Arial"/>
                                        <w:spacing w:val="-10"/>
                                        <w:kern w:val="28"/>
                                        <w:sz w:val="20"/>
                                        <w:lang w:eastAsia="lt-LT"/>
                                      </w:rPr>
                                    </w:pPr>
                                    <w:r>
                                      <w:rPr>
                                        <w:rFonts w:ascii="Arial" w:hAnsi="Arial" w:cs="Arial"/>
                                        <w:color w:val="000000"/>
                                        <w:spacing w:val="-10"/>
                                        <w:kern w:val="28"/>
                                        <w:sz w:val="20"/>
                                      </w:rPr>
                                      <w:t>89 647</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747 133</w:t>
                                    </w:r>
                                  </w:p>
                                </w:tc>
                              </w:tr>
                              <w:tr>
                                <w:trPr>
                                  <w:trHeight w:hRule="exact" w:val="284"/>
                                  <w:jc w:val="center"/>
                                </w:trPr>
                                <w:tc>
                                  <w:tcPr>
                                    <w:tcW w:w="2972" w:type="dxa"/>
                                    <w:vMerge w:val="restart"/>
                                    <w:hideMark/>
                                  </w:tcPr>
                                  <w:p>
                                    <w:pPr>
                                      <w:rPr>
                                        <w:rFonts w:ascii="Arial" w:hAnsi="Arial" w:cs="Arial"/>
                                        <w:spacing w:val="-10"/>
                                        <w:kern w:val="28"/>
                                        <w:sz w:val="20"/>
                                        <w:lang w:eastAsia="lt-LT"/>
                                      </w:rPr>
                                    </w:pPr>
                                    <w:r>
                                      <w:rPr>
                                        <w:rFonts w:ascii="Arial" w:hAnsi="Arial" w:cs="Arial"/>
                                        <w:spacing w:val="-10"/>
                                        <w:kern w:val="28"/>
                                        <w:sz w:val="20"/>
                                        <w:lang w:eastAsia="lt-LT"/>
                                      </w:rPr>
                                      <w:t>3 ir daugiau butų (daugiabučiai) gyv. namai</w:t>
                                    </w: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Skaičius</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285</w:t>
                                    </w:r>
                                  </w:p>
                                </w:tc>
                                <w:tc>
                                  <w:tcPr>
                                    <w:tcW w:w="1276" w:type="dxa"/>
                                  </w:tcPr>
                                  <w:p>
                                    <w:pPr>
                                      <w:jc w:val="center"/>
                                      <w:rPr>
                                        <w:rFonts w:ascii="Arial" w:hAnsi="Arial" w:cs="Arial"/>
                                        <w:spacing w:val="-10"/>
                                        <w:kern w:val="28"/>
                                        <w:sz w:val="20"/>
                                        <w:lang w:eastAsia="lt-LT"/>
                                      </w:rPr>
                                    </w:pPr>
                                    <w:r>
                                      <w:rPr>
                                        <w:rFonts w:ascii="Arial" w:hAnsi="Arial" w:cs="Arial"/>
                                        <w:color w:val="000000"/>
                                        <w:spacing w:val="-10"/>
                                        <w:kern w:val="28"/>
                                        <w:sz w:val="20"/>
                                      </w:rPr>
                                      <w:t>22</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2</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58</w:t>
                                    </w:r>
                                  </w:p>
                                </w:tc>
                                <w:tc>
                                  <w:tcPr>
                                    <w:tcW w:w="992" w:type="dxa"/>
                                  </w:tcPr>
                                  <w:p>
                                    <w:pPr>
                                      <w:jc w:val="center"/>
                                      <w:rPr>
                                        <w:rFonts w:ascii="Arial" w:hAnsi="Arial" w:cs="Arial"/>
                                        <w:spacing w:val="-10"/>
                                        <w:kern w:val="28"/>
                                        <w:sz w:val="20"/>
                                        <w:lang w:eastAsia="lt-LT"/>
                                      </w:rPr>
                                    </w:pPr>
                                    <w:r>
                                      <w:rPr>
                                        <w:rFonts w:ascii="Arial" w:hAnsi="Arial" w:cs="Arial"/>
                                        <w:color w:val="000000"/>
                                        <w:spacing w:val="-10"/>
                                        <w:kern w:val="28"/>
                                        <w:sz w:val="20"/>
                                      </w:rPr>
                                      <w:t>8</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375</w:t>
                                    </w:r>
                                  </w:p>
                                </w:tc>
                              </w:tr>
                              <w:tr>
                                <w:trPr>
                                  <w:trHeight w:hRule="exact" w:val="284"/>
                                  <w:jc w:val="center"/>
                                </w:trPr>
                                <w:tc>
                                  <w:tcPr>
                                    <w:tcW w:w="2972" w:type="dxa"/>
                                    <w:vMerge/>
                                    <w:hideMark/>
                                  </w:tcPr>
                                  <w:p>
                                    <w:pPr>
                                      <w:rPr>
                                        <w:rFonts w:ascii="Arial" w:hAnsi="Arial" w:cs="Arial"/>
                                        <w:spacing w:val="-10"/>
                                        <w:kern w:val="28"/>
                                        <w:sz w:val="20"/>
                                        <w:lang w:eastAsia="lt-LT"/>
                                      </w:rPr>
                                    </w:pP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Plotas, m</w:t>
                                    </w:r>
                                    <w:r>
                                      <w:rPr>
                                        <w:rFonts w:ascii="Arial" w:hAnsi="Arial" w:cs="Arial"/>
                                        <w:spacing w:val="-10"/>
                                        <w:kern w:val="28"/>
                                        <w:sz w:val="20"/>
                                        <w:vertAlign w:val="superscript"/>
                                        <w:lang w:eastAsia="lt-LT"/>
                                      </w:rPr>
                                      <w:t>2</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185 876</w:t>
                                    </w:r>
                                  </w:p>
                                </w:tc>
                                <w:tc>
                                  <w:tcPr>
                                    <w:tcW w:w="1276" w:type="dxa"/>
                                  </w:tcPr>
                                  <w:p>
                                    <w:pPr>
                                      <w:jc w:val="center"/>
                                      <w:rPr>
                                        <w:rFonts w:ascii="Arial" w:hAnsi="Arial" w:cs="Arial"/>
                                        <w:spacing w:val="-10"/>
                                        <w:kern w:val="28"/>
                                        <w:sz w:val="20"/>
                                        <w:lang w:eastAsia="lt-LT"/>
                                      </w:rPr>
                                    </w:pPr>
                                    <w:r>
                                      <w:rPr>
                                        <w:rFonts w:ascii="Arial" w:hAnsi="Arial" w:cs="Arial"/>
                                        <w:color w:val="000000"/>
                                        <w:spacing w:val="-10"/>
                                        <w:kern w:val="28"/>
                                        <w:sz w:val="20"/>
                                      </w:rPr>
                                      <w:t>42 302</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3 052</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11 750</w:t>
                                    </w:r>
                                  </w:p>
                                </w:tc>
                                <w:tc>
                                  <w:tcPr>
                                    <w:tcW w:w="992" w:type="dxa"/>
                                  </w:tcPr>
                                  <w:p>
                                    <w:pPr>
                                      <w:jc w:val="center"/>
                                      <w:rPr>
                                        <w:rFonts w:ascii="Arial" w:hAnsi="Arial" w:cs="Arial"/>
                                        <w:spacing w:val="-10"/>
                                        <w:kern w:val="28"/>
                                        <w:sz w:val="20"/>
                                        <w:lang w:eastAsia="lt-LT"/>
                                      </w:rPr>
                                    </w:pPr>
                                    <w:r>
                                      <w:rPr>
                                        <w:rFonts w:ascii="Arial" w:hAnsi="Arial" w:cs="Arial"/>
                                        <w:color w:val="000000"/>
                                        <w:spacing w:val="-10"/>
                                        <w:kern w:val="28"/>
                                        <w:sz w:val="20"/>
                                      </w:rPr>
                                      <w:t>1 871</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244 851</w:t>
                                    </w:r>
                                  </w:p>
                                </w:tc>
                              </w:tr>
                              <w:tr>
                                <w:trPr>
                                  <w:trHeight w:hRule="exact" w:val="284"/>
                                  <w:jc w:val="center"/>
                                </w:trPr>
                                <w:tc>
                                  <w:tcPr>
                                    <w:tcW w:w="2972" w:type="dxa"/>
                                    <w:vMerge w:val="restart"/>
                                    <w:hideMark/>
                                  </w:tcPr>
                                  <w:p>
                                    <w:pPr>
                                      <w:rPr>
                                        <w:rFonts w:ascii="Arial" w:hAnsi="Arial" w:cs="Arial"/>
                                        <w:spacing w:val="-10"/>
                                        <w:kern w:val="28"/>
                                        <w:sz w:val="20"/>
                                        <w:lang w:eastAsia="lt-LT"/>
                                      </w:rPr>
                                    </w:pPr>
                                    <w:r>
                                      <w:rPr>
                                        <w:rFonts w:ascii="Arial" w:hAnsi="Arial" w:cs="Arial"/>
                                        <w:spacing w:val="-10"/>
                                        <w:kern w:val="28"/>
                                        <w:sz w:val="20"/>
                                        <w:lang w:eastAsia="lt-LT"/>
                                      </w:rPr>
                                      <w:t>Gyvenamieji namai įvairioms soc. grupėms</w:t>
                                    </w: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Skaičius</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17</w:t>
                                    </w:r>
                                  </w:p>
                                </w:tc>
                                <w:tc>
                                  <w:tcPr>
                                    <w:tcW w:w="1276" w:type="dxa"/>
                                  </w:tcPr>
                                  <w:p>
                                    <w:pPr>
                                      <w:jc w:val="center"/>
                                      <w:rPr>
                                        <w:rFonts w:ascii="Arial" w:hAnsi="Arial" w:cs="Arial"/>
                                        <w:spacing w:val="-10"/>
                                        <w:kern w:val="28"/>
                                        <w:sz w:val="20"/>
                                        <w:lang w:eastAsia="lt-LT"/>
                                      </w:rPr>
                                    </w:pPr>
                                    <w:r>
                                      <w:rPr>
                                        <w:rFonts w:ascii="Arial" w:hAnsi="Arial" w:cs="Arial"/>
                                        <w:spacing w:val="-10"/>
                                        <w:kern w:val="28"/>
                                        <w:sz w:val="20"/>
                                        <w:lang w:eastAsia="lt-LT"/>
                                      </w:rPr>
                                      <w:t>2</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2</w:t>
                                    </w:r>
                                  </w:p>
                                </w:tc>
                                <w:tc>
                                  <w:tcPr>
                                    <w:tcW w:w="992" w:type="dxa"/>
                                  </w:tcPr>
                                  <w:p>
                                    <w:pPr>
                                      <w:jc w:val="center"/>
                                      <w:rPr>
                                        <w:rFonts w:ascii="Arial" w:hAnsi="Arial" w:cs="Arial"/>
                                        <w:spacing w:val="-10"/>
                                        <w:kern w:val="28"/>
                                        <w:sz w:val="20"/>
                                        <w:lang w:eastAsia="lt-LT"/>
                                      </w:rPr>
                                    </w:pPr>
                                    <w:r>
                                      <w:rPr>
                                        <w:rFonts w:ascii="Arial" w:hAnsi="Arial" w:cs="Arial"/>
                                        <w:spacing w:val="-10"/>
                                        <w:kern w:val="28"/>
                                        <w:sz w:val="20"/>
                                        <w:lang w:eastAsia="lt-LT"/>
                                      </w:rPr>
                                      <w:t>-</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szCs w:val="56"/>
                                      </w:rPr>
                                      <w:t>21</w:t>
                                    </w:r>
                                  </w:p>
                                </w:tc>
                              </w:tr>
                              <w:tr>
                                <w:trPr>
                                  <w:trHeight w:hRule="exact" w:val="284"/>
                                  <w:jc w:val="center"/>
                                </w:trPr>
                                <w:tc>
                                  <w:tcPr>
                                    <w:tcW w:w="2972" w:type="dxa"/>
                                    <w:vMerge/>
                                    <w:hideMark/>
                                  </w:tcPr>
                                  <w:p>
                                    <w:pPr>
                                      <w:rPr>
                                        <w:rFonts w:ascii="Arial" w:hAnsi="Arial" w:cs="Arial"/>
                                        <w:spacing w:val="-10"/>
                                        <w:kern w:val="28"/>
                                        <w:sz w:val="20"/>
                                        <w:lang w:eastAsia="lt-LT"/>
                                      </w:rPr>
                                    </w:pP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Plotas, m</w:t>
                                    </w:r>
                                    <w:r>
                                      <w:rPr>
                                        <w:rFonts w:ascii="Arial" w:hAnsi="Arial" w:cs="Arial"/>
                                        <w:spacing w:val="-10"/>
                                        <w:kern w:val="28"/>
                                        <w:sz w:val="20"/>
                                        <w:vertAlign w:val="superscript"/>
                                        <w:lang w:eastAsia="lt-LT"/>
                                      </w:rPr>
                                      <w:t>2</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rPr>
                                      <w:t>17 948</w:t>
                                    </w:r>
                                  </w:p>
                                </w:tc>
                                <w:tc>
                                  <w:tcPr>
                                    <w:tcW w:w="1276" w:type="dxa"/>
                                  </w:tcPr>
                                  <w:p>
                                    <w:pPr>
                                      <w:jc w:val="center"/>
                                      <w:rPr>
                                        <w:rFonts w:ascii="Arial" w:hAnsi="Arial" w:cs="Arial"/>
                                        <w:spacing w:val="-10"/>
                                        <w:kern w:val="28"/>
                                        <w:sz w:val="20"/>
                                        <w:lang w:eastAsia="lt-LT"/>
                                      </w:rPr>
                                    </w:pPr>
                                    <w:r>
                                      <w:rPr>
                                        <w:rFonts w:ascii="Arial" w:hAnsi="Arial" w:cs="Arial"/>
                                        <w:spacing w:val="-10"/>
                                        <w:kern w:val="28"/>
                                        <w:sz w:val="20"/>
                                        <w:lang w:eastAsia="lt-LT"/>
                                      </w:rPr>
                                      <w:t>5 637</w:t>
                                    </w:r>
                                  </w:p>
                                </w:tc>
                                <w:tc>
                                  <w:tcPr>
                                    <w:tcW w:w="1207" w:type="dxa"/>
                                  </w:tcPr>
                                  <w:p>
                                    <w:pPr>
                                      <w:jc w:val="center"/>
                                      <w:rPr>
                                        <w:rFonts w:ascii="Arial" w:hAnsi="Arial" w:cs="Arial"/>
                                        <w:spacing w:val="-10"/>
                                        <w:kern w:val="28"/>
                                        <w:sz w:val="20"/>
                                        <w:lang w:eastAsia="lt-LT"/>
                                      </w:rPr>
                                    </w:pPr>
                                    <w:r>
                                      <w:rPr>
                                        <w:rFonts w:ascii="Arial" w:hAnsi="Arial" w:cs="Arial"/>
                                        <w:color w:val="000000"/>
                                        <w:spacing w:val="-10"/>
                                        <w:kern w:val="28"/>
                                        <w:sz w:val="20"/>
                                      </w:rPr>
                                      <w:t>-</w:t>
                                    </w:r>
                                  </w:p>
                                </w:tc>
                                <w:tc>
                                  <w:tcPr>
                                    <w:tcW w:w="919" w:type="dxa"/>
                                  </w:tcPr>
                                  <w:p>
                                    <w:pPr>
                                      <w:jc w:val="center"/>
                                      <w:rPr>
                                        <w:rFonts w:ascii="Arial" w:hAnsi="Arial" w:cs="Arial"/>
                                        <w:spacing w:val="-10"/>
                                        <w:kern w:val="28"/>
                                        <w:sz w:val="20"/>
                                        <w:lang w:eastAsia="lt-LT"/>
                                      </w:rPr>
                                    </w:pPr>
                                    <w:r>
                                      <w:rPr>
                                        <w:rFonts w:ascii="Arial" w:hAnsi="Arial" w:cs="Arial"/>
                                        <w:color w:val="000000"/>
                                        <w:spacing w:val="-10"/>
                                        <w:kern w:val="28"/>
                                        <w:sz w:val="20"/>
                                      </w:rPr>
                                      <w:t>947</w:t>
                                    </w:r>
                                  </w:p>
                                </w:tc>
                                <w:tc>
                                  <w:tcPr>
                                    <w:tcW w:w="992" w:type="dxa"/>
                                  </w:tcPr>
                                  <w:p>
                                    <w:pPr>
                                      <w:jc w:val="center"/>
                                      <w:rPr>
                                        <w:rFonts w:ascii="Arial" w:hAnsi="Arial" w:cs="Arial"/>
                                        <w:spacing w:val="-10"/>
                                        <w:kern w:val="28"/>
                                        <w:sz w:val="20"/>
                                        <w:lang w:eastAsia="lt-LT"/>
                                      </w:rPr>
                                    </w:pPr>
                                    <w:r>
                                      <w:rPr>
                                        <w:rFonts w:ascii="Arial" w:hAnsi="Arial" w:cs="Arial"/>
                                        <w:spacing w:val="-10"/>
                                        <w:kern w:val="28"/>
                                        <w:sz w:val="20"/>
                                        <w:lang w:eastAsia="lt-LT"/>
                                      </w:rPr>
                                      <w:t>-</w:t>
                                    </w:r>
                                  </w:p>
                                </w:tc>
                                <w:tc>
                                  <w:tcPr>
                                    <w:tcW w:w="1134" w:type="dxa"/>
                                  </w:tcPr>
                                  <w:p>
                                    <w:pPr>
                                      <w:jc w:val="center"/>
                                      <w:rPr>
                                        <w:rFonts w:ascii="Arial" w:hAnsi="Arial" w:cs="Arial"/>
                                        <w:spacing w:val="-10"/>
                                        <w:kern w:val="28"/>
                                        <w:sz w:val="20"/>
                                        <w:lang w:eastAsia="lt-LT"/>
                                      </w:rPr>
                                    </w:pPr>
                                    <w:r>
                                      <w:rPr>
                                        <w:rFonts w:ascii="Arial" w:hAnsi="Arial" w:cs="Arial"/>
                                        <w:color w:val="000000"/>
                                        <w:spacing w:val="-10"/>
                                        <w:kern w:val="28"/>
                                        <w:sz w:val="20"/>
                                        <w:szCs w:val="56"/>
                                      </w:rPr>
                                      <w:t>24 532</w:t>
                                    </w:r>
                                  </w:p>
                                </w:tc>
                              </w:tr>
                              <w:tr>
                                <w:trPr>
                                  <w:trHeight w:hRule="exact" w:val="284"/>
                                  <w:jc w:val="center"/>
                                </w:trPr>
                                <w:tc>
                                  <w:tcPr>
                                    <w:tcW w:w="2972" w:type="dxa"/>
                                    <w:vMerge w:val="restart"/>
                                    <w:hideMark/>
                                  </w:tcPr>
                                  <w:p>
                                    <w:pPr>
                                      <w:jc w:val="right"/>
                                      <w:rPr>
                                        <w:rFonts w:ascii="Arial" w:hAnsi="Arial" w:cs="Arial"/>
                                        <w:spacing w:val="-10"/>
                                        <w:kern w:val="28"/>
                                        <w:sz w:val="20"/>
                                        <w:lang w:eastAsia="lt-LT"/>
                                      </w:rPr>
                                    </w:pPr>
                                    <w:r>
                                      <w:rPr>
                                        <w:rFonts w:ascii="Arial" w:hAnsi="Arial" w:cs="Arial"/>
                                        <w:spacing w:val="-10"/>
                                        <w:kern w:val="28"/>
                                        <w:sz w:val="20"/>
                                        <w:lang w:eastAsia="lt-LT"/>
                                      </w:rPr>
                                      <w:t>Iš viso</w:t>
                                    </w: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Skaičius</w:t>
                                    </w:r>
                                  </w:p>
                                </w:tc>
                                <w:tc>
                                  <w:tcPr>
                                    <w:tcW w:w="1134"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3 724</w:t>
                                    </w:r>
                                  </w:p>
                                </w:tc>
                                <w:tc>
                                  <w:tcPr>
                                    <w:tcW w:w="1276"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117</w:t>
                                    </w:r>
                                  </w:p>
                                </w:tc>
                                <w:tc>
                                  <w:tcPr>
                                    <w:tcW w:w="1207"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167</w:t>
                                    </w:r>
                                  </w:p>
                                </w:tc>
                                <w:tc>
                                  <w:tcPr>
                                    <w:tcW w:w="919"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2 725</w:t>
                                    </w:r>
                                  </w:p>
                                </w:tc>
                                <w:tc>
                                  <w:tcPr>
                                    <w:tcW w:w="992"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972</w:t>
                                    </w:r>
                                  </w:p>
                                </w:tc>
                                <w:tc>
                                  <w:tcPr>
                                    <w:tcW w:w="1134"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7 705</w:t>
                                    </w:r>
                                  </w:p>
                                </w:tc>
                              </w:tr>
                              <w:tr>
                                <w:trPr>
                                  <w:trHeight w:hRule="exact" w:val="284"/>
                                  <w:jc w:val="center"/>
                                </w:trPr>
                                <w:tc>
                                  <w:tcPr>
                                    <w:tcW w:w="2972" w:type="dxa"/>
                                    <w:vMerge/>
                                    <w:hideMark/>
                                  </w:tcPr>
                                  <w:p>
                                    <w:pPr>
                                      <w:jc w:val="both"/>
                                      <w:rPr>
                                        <w:rFonts w:ascii="Arial" w:hAnsi="Arial" w:cs="Arial"/>
                                        <w:spacing w:val="-10"/>
                                        <w:kern w:val="28"/>
                                        <w:sz w:val="20"/>
                                        <w:lang w:eastAsia="lt-LT"/>
                                      </w:rPr>
                                    </w:pPr>
                                  </w:p>
                                </w:tc>
                                <w:tc>
                                  <w:tcPr>
                                    <w:tcW w:w="1134" w:type="dxa"/>
                                    <w:hideMark/>
                                  </w:tcPr>
                                  <w:p>
                                    <w:pPr>
                                      <w:rPr>
                                        <w:rFonts w:ascii="Arial" w:hAnsi="Arial" w:cs="Arial"/>
                                        <w:spacing w:val="-10"/>
                                        <w:kern w:val="28"/>
                                        <w:sz w:val="20"/>
                                        <w:lang w:eastAsia="lt-LT"/>
                                      </w:rPr>
                                    </w:pPr>
                                    <w:r>
                                      <w:rPr>
                                        <w:rFonts w:ascii="Arial" w:hAnsi="Arial" w:cs="Arial"/>
                                        <w:spacing w:val="-10"/>
                                        <w:kern w:val="28"/>
                                        <w:sz w:val="20"/>
                                        <w:lang w:eastAsia="lt-LT"/>
                                      </w:rPr>
                                      <w:t>Plotas, m</w:t>
                                    </w:r>
                                    <w:r>
                                      <w:rPr>
                                        <w:rFonts w:ascii="Arial" w:hAnsi="Arial" w:cs="Arial"/>
                                        <w:spacing w:val="-10"/>
                                        <w:kern w:val="28"/>
                                        <w:sz w:val="20"/>
                                        <w:vertAlign w:val="superscript"/>
                                        <w:lang w:eastAsia="lt-LT"/>
                                      </w:rPr>
                                      <w:t>2</w:t>
                                    </w:r>
                                  </w:p>
                                </w:tc>
                                <w:tc>
                                  <w:tcPr>
                                    <w:tcW w:w="1134"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619 875</w:t>
                                    </w:r>
                                  </w:p>
                                </w:tc>
                                <w:tc>
                                  <w:tcPr>
                                    <w:tcW w:w="1276"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62 163</w:t>
                                    </w:r>
                                  </w:p>
                                </w:tc>
                                <w:tc>
                                  <w:tcPr>
                                    <w:tcW w:w="1207"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18 833</w:t>
                                    </w:r>
                                  </w:p>
                                </w:tc>
                                <w:tc>
                                  <w:tcPr>
                                    <w:tcW w:w="919"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224 127</w:t>
                                    </w:r>
                                  </w:p>
                                </w:tc>
                                <w:tc>
                                  <w:tcPr>
                                    <w:tcW w:w="992"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91 518</w:t>
                                    </w:r>
                                  </w:p>
                                </w:tc>
                                <w:tc>
                                  <w:tcPr>
                                    <w:tcW w:w="1134" w:type="dxa"/>
                                  </w:tcPr>
                                  <w:p>
                                    <w:pPr>
                                      <w:jc w:val="center"/>
                                      <w:rPr>
                                        <w:rFonts w:ascii="Arial" w:hAnsi="Arial" w:cs="Arial"/>
                                        <w:b/>
                                        <w:bCs/>
                                        <w:spacing w:val="-10"/>
                                        <w:kern w:val="28"/>
                                        <w:sz w:val="20"/>
                                        <w:lang w:eastAsia="lt-LT"/>
                                      </w:rPr>
                                    </w:pPr>
                                    <w:r>
                                      <w:rPr>
                                        <w:rFonts w:ascii="Arial" w:hAnsi="Arial" w:cs="Arial"/>
                                        <w:b/>
                                        <w:bCs/>
                                        <w:spacing w:val="-10"/>
                                        <w:kern w:val="28"/>
                                        <w:sz w:val="20"/>
                                        <w:lang w:eastAsia="lt-LT"/>
                                      </w:rPr>
                                      <w:t>1 016 516</w:t>
                                    </w:r>
                                  </w:p>
                                </w:tc>
                              </w:tr>
                            </w:tbl>
                            <w:p>
                              <w:pPr>
                                <w:spacing w:line="259" w:lineRule="auto"/>
                                <w:jc w:val="center"/>
                                <w:rPr>
                                  <w:rFonts w:ascii="Arial" w:hAnsi="Arial" w:cs="Arial"/>
                                  <w:i/>
                                  <w:iCs/>
                                  <w:sz w:val="18"/>
                                  <w:szCs w:val="18"/>
                                </w:rPr>
                              </w:pPr>
                              <w:r>
                                <w:rPr>
                                  <w:rFonts w:ascii="Arial" w:hAnsi="Arial" w:cs="Arial"/>
                                  <w:i/>
                                  <w:iCs/>
                                  <w:sz w:val="18"/>
                                  <w:szCs w:val="18"/>
                                </w:rPr>
                                <w:t>Šaltinis: VĮ Registrų centro duomenys</w:t>
                              </w:r>
                              <w:r>
                                <w:rPr>
                                  <w:rFonts w:ascii="Arial" w:hAnsi="Arial" w:cs="Arial"/>
                                  <w:i/>
                                  <w:iCs/>
                                  <w:sz w:val="18"/>
                                  <w:szCs w:val="18"/>
                                  <w:vertAlign w:val="superscript"/>
                                </w:rPr>
                                <w:footnoteReference w:id="4"/>
                              </w:r>
                            </w:p>
                            <w:p>
                              <w:pPr>
                                <w:rPr>
                                  <w:sz w:val="14"/>
                                  <w:szCs w:val="14"/>
                                </w:rPr>
                              </w:pPr>
                            </w:p>
                            <w:p>
                              <w:pPr>
                                <w:spacing w:line="259" w:lineRule="auto"/>
                                <w:ind w:firstLine="567"/>
                                <w:jc w:val="both"/>
                                <w:rPr>
                                  <w:rFonts w:ascii="Arial" w:hAnsi="Arial" w:cs="Arial"/>
                                  <w:sz w:val="22"/>
                                </w:rPr>
                              </w:pPr>
                              <w:r>
                                <w:rPr>
                                  <w:rFonts w:ascii="Arial" w:hAnsi="Arial" w:cs="Arial"/>
                                  <w:sz w:val="22"/>
                                </w:rPr>
                                <w:t>Atlikus duomenų apie gyvenamųjų namų sienų medžiagas analizę nustatyta, jog plytos ir blokeliai, kaip statybinė sienų medžiaga, vyrauja Joniškio rajono savivaldybės gyvenamuosiuose pastatuose – 61,0 proc. viso gyvenamųjų pastatų ploto. Rąstai, kaip statybinė sienų medžiaga, gyvenamuosiuose pastatuose sudaro – 22,1 proc. Taigi, gyvenamieji pastatai didžiąja dalimi pastatyti jų sienoms naudojant būtent šias medžiagas. Visas gyvenamojo ploto Joniškio rajono savivaldybėje pasiskirstymas pagal pastato sienoms naudotas medžiagas pavaizduotas 1.3.2.3. paveiksle.</w:t>
                              </w:r>
                            </w:p>
                            <w:p>
                              <w:pPr>
                                <w:rPr>
                                  <w:sz w:val="14"/>
                                  <w:szCs w:val="14"/>
                                </w:rPr>
                              </w:pPr>
                            </w:p>
                            <w:p>
                              <w:pPr>
                                <w:spacing w:line="259" w:lineRule="auto"/>
                                <w:jc w:val="center"/>
                                <w:rPr>
                                  <w:rFonts w:ascii="Arial" w:eastAsia="SegoeUI" w:hAnsi="Arial" w:cs="Arial"/>
                                  <w:sz w:val="22"/>
                                  <w:szCs w:val="22"/>
                                  <w:highlight w:val="yellow"/>
                                </w:rPr>
                              </w:pPr>
                              <w:r>
                                <w:rPr>
                                  <w:rFonts w:ascii="Arial" w:hAnsi="Arial" w:cs="Arial"/>
                                  <w:sz w:val="22"/>
                                  <w:szCs w:val="22"/>
                                  <w:lang w:val="en-US"/>
                                </w:rPr>
                                <w:drawing>
                                  <wp:inline distT="0" distB="0" distL="0" distR="0" wp14:anchorId="2DB64CC6" wp14:editId="66ADB45F">
                                    <wp:extent cx="3413760" cy="2032148"/>
                                    <wp:effectExtent l="0" t="0" r="0" b="6350"/>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427835" cy="2040527"/>
                                            </a:xfrm>
                                            <a:prstGeom prst="rect">
                                              <a:avLst/>
                                            </a:prstGeom>
                                          </pic:spPr>
                                        </pic:pic>
                                      </a:graphicData>
                                    </a:graphic>
                                  </wp:inline>
                                </w:drawing>
                              </w:r>
                            </w:p>
                            <w:p>
                              <w:pPr>
                                <w:rPr>
                                  <w:sz w:val="14"/>
                                  <w:szCs w:val="14"/>
                                </w:rPr>
                              </w:pPr>
                            </w:p>
                          </w:sdtContent>
                        </w:sdt>
                        <w:sdt>
                          <w:sdtPr>
                            <w:alias w:val="1.3.2.3 pp."/>
                            <w:tag w:val="part_4982cba4d65646f0b6709554422253a9"/>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4982cba4d65646f0b6709554422253a9"/>
                                  <w:lock w:val="sdtLocked"/>
                                  <w:richText/>
                                </w:sdtPr>
                                <w:sdtContent>
                                  <w:r>
                                    <w:rPr>
                                      <w:rFonts w:ascii="Arial" w:eastAsia="Calibri" w:hAnsi="Arial" w:cs="Arial"/>
                                      <w:b/>
                                      <w:color w:val="002060"/>
                                      <w:sz w:val="22"/>
                                      <w:szCs w:val="22"/>
                                    </w:rPr>
                                    <w:t>1.3.2.3</w:t>
                                  </w:r>
                                </w:sdtContent>
                              </w:sdt>
                              <w:r>
                                <w:rPr>
                                  <w:rFonts w:ascii="Arial" w:eastAsia="Calibri" w:hAnsi="Arial" w:cs="Arial"/>
                                  <w:b/>
                                  <w:color w:val="002060"/>
                                  <w:sz w:val="22"/>
                                  <w:szCs w:val="22"/>
                                </w:rPr>
                                <w:t>. pav. Gyvenamosios paskirties pastatai pagal statybines medžiagas Joniškio rajono savivaldybėje</w:t>
                              </w:r>
                            </w:p>
                            <w:p>
                              <w:pPr>
                                <w:rPr>
                                  <w:sz w:val="10"/>
                                  <w:szCs w:val="10"/>
                                </w:rPr>
                              </w:pPr>
                            </w:p>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nuosavybės teisę nagrinėjami pastatai priskiriami valstybės, savivaldybės, fizinių asmenų, juridinių asmenų ir kitai nuosavybei. Sekančioje lentelėje pateikiami duomenys apie valstybės ir savivaldybės nuosavybės pastatus. </w:t>
                              </w:r>
                            </w:p>
                            <w:p>
                              <w:pPr>
                                <w:rPr>
                                  <w:sz w:val="14"/>
                                  <w:szCs w:val="14"/>
                                </w:rPr>
                              </w:pPr>
                            </w:p>
                          </w:sdtContent>
                        </w:sdt>
                        <w:sdt>
                          <w:sdtPr>
                            <w:alias w:val="1.3.2.3 pp."/>
                            <w:tag w:val="part_a5e78ac8ef924546820e001281a22946"/>
                            <w:lock w:val="sdtLocked"/>
                            <w:richText/>
                          </w:sdtPr>
                          <w:sdtContent>
                            <w:p>
                              <w:pPr>
                                <w:spacing w:line="259" w:lineRule="auto"/>
                                <w:jc w:val="center"/>
                                <w:rPr>
                                  <w:rFonts w:ascii="Arial" w:eastAsia="Calibri" w:hAnsi="Arial" w:cs="Arial"/>
                                  <w:b/>
                                  <w:color w:val="002060"/>
                                  <w:sz w:val="22"/>
                                  <w:szCs w:val="32"/>
                                </w:rPr>
                              </w:pPr>
                              <w:sdt>
                                <w:sdtPr>
                                  <w:alias w:val="Numeris"/>
                                  <w:tag w:val="nr_a5e78ac8ef924546820e001281a22946"/>
                                  <w:lock w:val="sdtLocked"/>
                                  <w:richText/>
                                </w:sdtPr>
                                <w:sdtContent>
                                  <w:r>
                                    <w:rPr>
                                      <w:rFonts w:ascii="Arial" w:eastAsia="Calibri" w:hAnsi="Arial" w:cs="Arial"/>
                                      <w:b/>
                                      <w:bCs/>
                                      <w:color w:val="002060"/>
                                      <w:sz w:val="22"/>
                                      <w:szCs w:val="32"/>
                                    </w:rPr>
                                    <w:t>1.3.2.3</w:t>
                                  </w:r>
                                </w:sdtContent>
                              </w:sdt>
                              <w:r>
                                <w:rPr>
                                  <w:rFonts w:ascii="Arial" w:eastAsia="Calibri" w:hAnsi="Arial" w:cs="Arial"/>
                                  <w:b/>
                                  <w:bCs/>
                                  <w:color w:val="002060"/>
                                  <w:sz w:val="22"/>
                                  <w:szCs w:val="32"/>
                                </w:rPr>
                                <w:t>.</w:t>
                              </w:r>
                              <w:r>
                                <w:rPr>
                                  <w:rFonts w:ascii="Arial" w:eastAsia="Calibri" w:hAnsi="Arial" w:cs="Arial"/>
                                  <w:b/>
                                  <w:color w:val="002060"/>
                                  <w:sz w:val="22"/>
                                  <w:szCs w:val="32"/>
                                </w:rPr>
                                <w:t xml:space="preserve"> lentelė. Joniškio rajono savivaldybės pastatai pagal nuosavybės teisę</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5043"/>
                                <w:gridCol w:w="1107"/>
                                <w:gridCol w:w="1293"/>
                                <w:gridCol w:w="1270"/>
                                <w:gridCol w:w="1482"/>
                              </w:tblGrid>
                              <w:tr>
                                <w:trPr>
                                  <w:trHeight w:val="334"/>
                                  <w:jc w:val="center"/>
                                </w:trPr>
                                <w:tc>
                                  <w:tcPr>
                                    <w:tcW w:w="2473" w:type="pct"/>
                                    <w:hideMark/>
                                  </w:tcPr>
                                  <w:p>
                                    <w:pPr>
                                      <w:ind w:firstLine="57"/>
                                      <w:jc w:val="both"/>
                                      <w:rPr>
                                        <w:rFonts w:ascii="Arial" w:hAnsi="Arial" w:cs="Arial"/>
                                        <w:spacing w:val="-10"/>
                                        <w:kern w:val="28"/>
                                        <w:sz w:val="20"/>
                                        <w:szCs w:val="56"/>
                                        <w:lang w:eastAsia="lt-LT"/>
                                      </w:rPr>
                                    </w:pPr>
                                  </w:p>
                                </w:tc>
                                <w:tc>
                                  <w:tcPr>
                                    <w:tcW w:w="1177" w:type="pct"/>
                                    <w:gridSpan w:val="2"/>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Valstybės nuosavybė</w:t>
                                    </w:r>
                                  </w:p>
                                </w:tc>
                                <w:tc>
                                  <w:tcPr>
                                    <w:tcW w:w="1350" w:type="pct"/>
                                    <w:gridSpan w:val="2"/>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Savivaldybės nuosavybė</w:t>
                                    </w:r>
                                  </w:p>
                                </w:tc>
                              </w:tr>
                              <w:tr>
                                <w:trPr>
                                  <w:trHeight w:val="267"/>
                                  <w:jc w:val="center"/>
                                </w:trPr>
                                <w:tc>
                                  <w:tcPr>
                                    <w:tcW w:w="247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Pastato tipas</w:t>
                                    </w:r>
                                  </w:p>
                                </w:tc>
                                <w:tc>
                                  <w:tcPr>
                                    <w:tcW w:w="543"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Skaičius</w:t>
                                    </w:r>
                                  </w:p>
                                </w:tc>
                                <w:tc>
                                  <w:tcPr>
                                    <w:tcW w:w="634"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Plotas, m</w:t>
                                    </w:r>
                                    <w:r>
                                      <w:rPr>
                                        <w:rFonts w:ascii="Arial" w:hAnsi="Arial" w:cs="Arial"/>
                                        <w:spacing w:val="-10"/>
                                        <w:kern w:val="28"/>
                                        <w:sz w:val="20"/>
                                        <w:szCs w:val="56"/>
                                        <w:vertAlign w:val="superscript"/>
                                        <w:lang w:eastAsia="lt-LT"/>
                                      </w:rPr>
                                      <w:t>2</w:t>
                                    </w:r>
                                  </w:p>
                                </w:tc>
                                <w:tc>
                                  <w:tcPr>
                                    <w:tcW w:w="623"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Skaičius</w:t>
                                    </w:r>
                                  </w:p>
                                </w:tc>
                                <w:tc>
                                  <w:tcPr>
                                    <w:tcW w:w="727"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Plotas, m</w:t>
                                    </w:r>
                                    <w:r>
                                      <w:rPr>
                                        <w:rFonts w:ascii="Arial" w:hAnsi="Arial" w:cs="Arial"/>
                                        <w:spacing w:val="-10"/>
                                        <w:kern w:val="28"/>
                                        <w:sz w:val="20"/>
                                        <w:szCs w:val="56"/>
                                        <w:vertAlign w:val="superscript"/>
                                        <w:lang w:eastAsia="lt-LT"/>
                                      </w:rPr>
                                      <w:t>2</w:t>
                                    </w:r>
                                  </w:p>
                                </w:tc>
                              </w:tr>
                              <w:tr>
                                <w:trPr>
                                  <w:trHeight w:val="300"/>
                                  <w:jc w:val="center"/>
                                </w:trPr>
                                <w:tc>
                                  <w:tcPr>
                                    <w:tcW w:w="2473"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1-2 butų gyvenamieji namai</w:t>
                                    </w:r>
                                  </w:p>
                                </w:tc>
                                <w:tc>
                                  <w:tcPr>
                                    <w:tcW w:w="54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7</w:t>
                                    </w:r>
                                  </w:p>
                                </w:tc>
                                <w:tc>
                                  <w:tcPr>
                                    <w:tcW w:w="634"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747</w:t>
                                    </w:r>
                                  </w:p>
                                </w:tc>
                                <w:tc>
                                  <w:tcPr>
                                    <w:tcW w:w="62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37</w:t>
                                    </w:r>
                                  </w:p>
                                </w:tc>
                                <w:tc>
                                  <w:tcPr>
                                    <w:tcW w:w="727"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lang w:eastAsia="lt-LT"/>
                                      </w:rPr>
                                      <w:t>3 863</w:t>
                                    </w:r>
                                  </w:p>
                                </w:tc>
                              </w:tr>
                              <w:tr>
                                <w:trPr>
                                  <w:trHeight w:val="300"/>
                                  <w:jc w:val="center"/>
                                </w:trPr>
                                <w:tc>
                                  <w:tcPr>
                                    <w:tcW w:w="2473"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3 ir daugiau butų (daugiabučiai) gyvenamieji namai</w:t>
                                    </w:r>
                                  </w:p>
                                </w:tc>
                                <w:tc>
                                  <w:tcPr>
                                    <w:tcW w:w="54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w:t>
                                    </w:r>
                                  </w:p>
                                </w:tc>
                                <w:tc>
                                  <w:tcPr>
                                    <w:tcW w:w="634"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w:t>
                                    </w:r>
                                  </w:p>
                                </w:tc>
                                <w:tc>
                                  <w:tcPr>
                                    <w:tcW w:w="62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8</w:t>
                                    </w:r>
                                  </w:p>
                                </w:tc>
                                <w:tc>
                                  <w:tcPr>
                                    <w:tcW w:w="727"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4 889</w:t>
                                    </w:r>
                                  </w:p>
                                </w:tc>
                              </w:tr>
                              <w:tr>
                                <w:trPr>
                                  <w:trHeight w:val="300"/>
                                  <w:jc w:val="center"/>
                                </w:trPr>
                                <w:tc>
                                  <w:tcPr>
                                    <w:tcW w:w="2473" w:type="pct"/>
                                    <w:hideMark/>
                                  </w:tcPr>
                                  <w:p>
                                    <w:pPr>
                                      <w:jc w:val="both"/>
                                      <w:rPr>
                                        <w:rFonts w:ascii="Arial" w:hAnsi="Arial" w:cs="Arial"/>
                                        <w:spacing w:val="-10"/>
                                        <w:kern w:val="28"/>
                                        <w:sz w:val="20"/>
                                        <w:szCs w:val="56"/>
                                        <w:lang w:eastAsia="lt-LT"/>
                                      </w:rPr>
                                    </w:pPr>
                                    <w:r>
                                      <w:rPr>
                                        <w:rFonts w:ascii="Arial" w:hAnsi="Arial" w:cs="Arial"/>
                                        <w:spacing w:val="-10"/>
                                        <w:kern w:val="28"/>
                                        <w:sz w:val="20"/>
                                        <w:szCs w:val="56"/>
                                        <w:lang w:eastAsia="lt-LT"/>
                                      </w:rPr>
                                      <w:t>Gyvenamieji namai įvairioms soc. grupėms</w:t>
                                    </w:r>
                                  </w:p>
                                </w:tc>
                                <w:tc>
                                  <w:tcPr>
                                    <w:tcW w:w="54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2</w:t>
                                    </w:r>
                                  </w:p>
                                </w:tc>
                                <w:tc>
                                  <w:tcPr>
                                    <w:tcW w:w="634"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5 637</w:t>
                                    </w:r>
                                  </w:p>
                                </w:tc>
                                <w:tc>
                                  <w:tcPr>
                                    <w:tcW w:w="623"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6</w:t>
                                    </w:r>
                                  </w:p>
                                </w:tc>
                                <w:tc>
                                  <w:tcPr>
                                    <w:tcW w:w="727" w:type="pct"/>
                                    <w:hideMark/>
                                  </w:tcPr>
                                  <w:p>
                                    <w:pPr>
                                      <w:jc w:val="center"/>
                                      <w:rPr>
                                        <w:rFonts w:ascii="Arial" w:hAnsi="Arial" w:cs="Arial"/>
                                        <w:spacing w:val="-10"/>
                                        <w:kern w:val="28"/>
                                        <w:sz w:val="20"/>
                                        <w:szCs w:val="56"/>
                                        <w:lang w:eastAsia="lt-LT"/>
                                      </w:rPr>
                                    </w:pPr>
                                    <w:r>
                                      <w:rPr>
                                        <w:rFonts w:ascii="Arial" w:hAnsi="Arial" w:cs="Arial"/>
                                        <w:spacing w:val="-10"/>
                                        <w:kern w:val="28"/>
                                        <w:sz w:val="20"/>
                                        <w:szCs w:val="56"/>
                                      </w:rPr>
                                      <w:t>4 075</w:t>
                                    </w:r>
                                  </w:p>
                                </w:tc>
                              </w:tr>
                              <w:tr>
                                <w:trPr>
                                  <w:trHeight w:val="300"/>
                                  <w:jc w:val="center"/>
                                </w:trPr>
                                <w:tc>
                                  <w:tcPr>
                                    <w:tcW w:w="2473" w:type="pct"/>
                                    <w:hideMark/>
                                  </w:tcPr>
                                  <w:p>
                                    <w:pPr>
                                      <w:jc w:val="right"/>
                                      <w:rPr>
                                        <w:rFonts w:ascii="Arial" w:hAnsi="Arial" w:cs="Arial"/>
                                        <w:spacing w:val="-10"/>
                                        <w:kern w:val="28"/>
                                        <w:sz w:val="20"/>
                                        <w:szCs w:val="56"/>
                                        <w:lang w:eastAsia="lt-LT"/>
                                      </w:rPr>
                                    </w:pPr>
                                    <w:r>
                                      <w:rPr>
                                        <w:rFonts w:ascii="Arial" w:hAnsi="Arial" w:cs="Arial"/>
                                        <w:spacing w:val="-10"/>
                                        <w:kern w:val="28"/>
                                        <w:sz w:val="20"/>
                                        <w:szCs w:val="56"/>
                                        <w:lang w:eastAsia="lt-LT"/>
                                      </w:rPr>
                                      <w:t>Iš viso</w:t>
                                    </w:r>
                                  </w:p>
                                </w:tc>
                                <w:tc>
                                  <w:tcPr>
                                    <w:tcW w:w="543" w:type="pct"/>
                                    <w:hideMark/>
                                  </w:tcPr>
                                  <w:p>
                                    <w:pPr>
                                      <w:jc w:val="center"/>
                                      <w:rPr>
                                        <w:rFonts w:ascii="Arial" w:hAnsi="Arial" w:cs="Arial"/>
                                        <w:b/>
                                        <w:bCs/>
                                        <w:spacing w:val="-10"/>
                                        <w:kern w:val="28"/>
                                        <w:sz w:val="20"/>
                                        <w:szCs w:val="56"/>
                                        <w:lang w:eastAsia="lt-LT"/>
                                      </w:rPr>
                                    </w:pPr>
                                    <w:r>
                                      <w:rPr>
                                        <w:rFonts w:ascii="Arial" w:hAnsi="Arial" w:cs="Arial"/>
                                        <w:b/>
                                        <w:bCs/>
                                        <w:spacing w:val="-10"/>
                                        <w:kern w:val="28"/>
                                        <w:sz w:val="20"/>
                                        <w:szCs w:val="56"/>
                                      </w:rPr>
                                      <w:t>9</w:t>
                                    </w:r>
                                  </w:p>
                                </w:tc>
                                <w:tc>
                                  <w:tcPr>
                                    <w:tcW w:w="634" w:type="pct"/>
                                    <w:hideMark/>
                                  </w:tcPr>
                                  <w:p>
                                    <w:pPr>
                                      <w:jc w:val="center"/>
                                      <w:rPr>
                                        <w:rFonts w:ascii="Arial" w:hAnsi="Arial" w:cs="Arial"/>
                                        <w:b/>
                                        <w:bCs/>
                                        <w:spacing w:val="-10"/>
                                        <w:kern w:val="28"/>
                                        <w:sz w:val="20"/>
                                        <w:szCs w:val="56"/>
                                        <w:lang w:eastAsia="lt-LT"/>
                                      </w:rPr>
                                    </w:pPr>
                                    <w:r>
                                      <w:rPr>
                                        <w:rFonts w:ascii="Arial" w:hAnsi="Arial" w:cs="Arial"/>
                                        <w:b/>
                                        <w:bCs/>
                                        <w:spacing w:val="-10"/>
                                        <w:kern w:val="28"/>
                                        <w:sz w:val="20"/>
                                        <w:szCs w:val="56"/>
                                      </w:rPr>
                                      <w:t>6 384</w:t>
                                    </w:r>
                                  </w:p>
                                </w:tc>
                                <w:tc>
                                  <w:tcPr>
                                    <w:tcW w:w="623" w:type="pct"/>
                                    <w:hideMark/>
                                  </w:tcPr>
                                  <w:p>
                                    <w:pPr>
                                      <w:jc w:val="center"/>
                                      <w:rPr>
                                        <w:rFonts w:ascii="Arial" w:hAnsi="Arial" w:cs="Arial"/>
                                        <w:b/>
                                        <w:bCs/>
                                        <w:spacing w:val="-10"/>
                                        <w:kern w:val="28"/>
                                        <w:sz w:val="20"/>
                                        <w:szCs w:val="56"/>
                                        <w:lang w:eastAsia="lt-LT"/>
                                      </w:rPr>
                                    </w:pPr>
                                    <w:r>
                                      <w:rPr>
                                        <w:rFonts w:ascii="Arial" w:hAnsi="Arial" w:cs="Arial"/>
                                        <w:b/>
                                        <w:bCs/>
                                        <w:spacing w:val="-10"/>
                                        <w:kern w:val="28"/>
                                        <w:sz w:val="20"/>
                                        <w:szCs w:val="56"/>
                                      </w:rPr>
                                      <w:t>51</w:t>
                                    </w:r>
                                  </w:p>
                                </w:tc>
                                <w:tc>
                                  <w:tcPr>
                                    <w:tcW w:w="727" w:type="pct"/>
                                    <w:hideMark/>
                                  </w:tcPr>
                                  <w:p>
                                    <w:pPr>
                                      <w:jc w:val="center"/>
                                      <w:rPr>
                                        <w:rFonts w:ascii="Arial" w:hAnsi="Arial" w:cs="Arial"/>
                                        <w:b/>
                                        <w:bCs/>
                                        <w:spacing w:val="-10"/>
                                        <w:kern w:val="28"/>
                                        <w:sz w:val="20"/>
                                        <w:szCs w:val="56"/>
                                      </w:rPr>
                                    </w:pPr>
                                    <w:r>
                                      <w:rPr>
                                        <w:rFonts w:ascii="Arial" w:hAnsi="Arial" w:cs="Arial"/>
                                        <w:b/>
                                        <w:bCs/>
                                        <w:spacing w:val="-10"/>
                                        <w:kern w:val="28"/>
                                        <w:sz w:val="20"/>
                                        <w:szCs w:val="56"/>
                                      </w:rPr>
                                      <w:t>12 827</w:t>
                                    </w:r>
                                  </w:p>
                                </w:tc>
                              </w:tr>
                            </w:tbl>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sdtContent>
                        </w:sdt>
                      </w:sdtContent>
                    </w:sdt>
                    <w:sdt>
                      <w:sdtPr>
                        <w:alias w:val="1.3.3 pp."/>
                        <w:tag w:val="part_438c3069edb0473d8bf7c5f8ac760c32"/>
                        <w:lock w:val="sdtLocked"/>
                        <w:richText/>
                      </w:sdtPr>
                      <w:sdtContent>
                        <w:p>
                          <w:pPr>
                            <w:keepNext/>
                            <w:keepLines/>
                            <w:spacing w:line="259" w:lineRule="auto"/>
                            <w:jc w:val="center"/>
                            <w:outlineLvl w:val="2"/>
                            <w:rPr>
                              <w:rFonts w:ascii="Arial" w:eastAsia="SegoeUI" w:hAnsi="Arial" w:cs="Arial"/>
                              <w:b/>
                              <w:color w:val="002060"/>
                              <w:sz w:val="22"/>
                              <w:szCs w:val="24"/>
                            </w:rPr>
                          </w:pPr>
                          <w:sdt>
                            <w:sdtPr>
                              <w:alias w:val="Numeris"/>
                              <w:tag w:val="nr_438c3069edb0473d8bf7c5f8ac760c32"/>
                              <w:lock w:val="sdtLocked"/>
                              <w:richText/>
                            </w:sdtPr>
                            <w:sdtContent>
                              <w:r>
                                <w:rPr>
                                  <w:rFonts w:ascii="Arial" w:eastAsia="SegoeUI" w:hAnsi="Arial" w:cs="Arial"/>
                                  <w:b/>
                                  <w:color w:val="002060"/>
                                  <w:sz w:val="22"/>
                                  <w:szCs w:val="24"/>
                                </w:rPr>
                                <w:t>1.3.3</w:t>
                              </w:r>
                            </w:sdtContent>
                          </w:sdt>
                          <w:r>
                            <w:rPr>
                              <w:rFonts w:ascii="Arial" w:eastAsia="SegoeUI" w:hAnsi="Arial" w:cs="Arial"/>
                              <w:b/>
                              <w:color w:val="002060"/>
                              <w:sz w:val="22"/>
                              <w:szCs w:val="24"/>
                            </w:rPr>
                            <w:t xml:space="preserve">. </w:t>
                          </w:r>
                          <w:r>
                            <w:rPr>
                              <w:rFonts w:ascii="Arial" w:hAnsi="Arial" w:cs="Arial"/>
                              <w:b/>
                              <w:color w:val="002060"/>
                              <w:sz w:val="22"/>
                              <w:szCs w:val="24"/>
                            </w:rPr>
                            <w:t>Paslaugų</w:t>
                          </w:r>
                          <w:r>
                            <w:rPr>
                              <w:rFonts w:ascii="Arial" w:eastAsia="SegoeUI" w:hAnsi="Arial" w:cs="Arial"/>
                              <w:b/>
                              <w:color w:val="002060"/>
                              <w:sz w:val="22"/>
                              <w:szCs w:val="24"/>
                            </w:rPr>
                            <w:t xml:space="preserve"> sektorius</w:t>
                          </w:r>
                        </w:p>
                        <w:p>
                          <w:pPr>
                            <w:rPr>
                              <w:sz w:val="14"/>
                              <w:szCs w:val="14"/>
                            </w:rPr>
                          </w:pPr>
                        </w:p>
                        <w:p>
                          <w:pPr>
                            <w:spacing w:line="259" w:lineRule="auto"/>
                            <w:ind w:firstLine="567"/>
                            <w:jc w:val="both"/>
                            <w:rPr>
                              <w:rFonts w:ascii="Arial" w:hAnsi="Arial" w:cs="Arial"/>
                              <w:sz w:val="22"/>
                            </w:rPr>
                          </w:pPr>
                          <w:r>
                            <w:rPr>
                              <w:rFonts w:ascii="Arial" w:hAnsi="Arial" w:cs="Arial"/>
                              <w:sz w:val="22"/>
                            </w:rPr>
                            <w:t>Paslaugų sektorius apima įmones, kurios nepriskiriamos pramonės ir žemės ūkio sektoriams – tai paslaugas teikiančios verslo įmonės ir biudžetinės įstaigos (savivaldybės kontroliuojamos ir valstybinės). Šiam energijos naudojimo sektoriui yra priskiriami ir visi pastatai, už kurių eksploataciją bei šilumos poreikio patenkinimą yra atsakinga savivaldybė ir seniūnaitijos: tai ligoninės ar medicinos punktai, seniūnijos administraciniai pastatai, švietimo ir ugdymo įstaigos, religinės paskirties, sporto, kultūros ir kitų sričių įstaigų pastatai. Nekilnojamojo turto registro duomenys apie pastatų skaičių ir plotą pateikti 1.3.3.1. lentelėje.</w:t>
                          </w:r>
                        </w:p>
                        <w:p>
                          <w:pPr>
                            <w:rPr>
                              <w:sz w:val="14"/>
                              <w:szCs w:val="14"/>
                            </w:rPr>
                          </w:pPr>
                        </w:p>
                        <w:sdt>
                          <w:sdtPr>
                            <w:alias w:val="1.3.3.1 pp."/>
                            <w:tag w:val="part_308eea4e1adc4a20baf7bea9e635b3c8"/>
                            <w:lock w:val="sdtLocked"/>
                            <w:richText/>
                          </w:sdtPr>
                          <w:sdtContent>
                            <w:p>
                              <w:pPr>
                                <w:spacing w:line="259" w:lineRule="auto"/>
                                <w:jc w:val="center"/>
                                <w:rPr>
                                  <w:rFonts w:ascii="Arial" w:eastAsia="Calibri" w:hAnsi="Arial" w:cs="Arial"/>
                                  <w:b/>
                                  <w:color w:val="002060"/>
                                  <w:sz w:val="22"/>
                                  <w:szCs w:val="32"/>
                                </w:rPr>
                              </w:pPr>
                              <w:sdt>
                                <w:sdtPr>
                                  <w:alias w:val="Numeris"/>
                                  <w:tag w:val="nr_308eea4e1adc4a20baf7bea9e635b3c8"/>
                                  <w:lock w:val="sdtLocked"/>
                                  <w:richText/>
                                </w:sdtPr>
                                <w:sdtContent>
                                  <w:r>
                                    <w:rPr>
                                      <w:rFonts w:ascii="Arial" w:eastAsia="Calibri" w:hAnsi="Arial" w:cs="Arial"/>
                                      <w:b/>
                                      <w:color w:val="002060"/>
                                      <w:sz w:val="22"/>
                                      <w:szCs w:val="32"/>
                                    </w:rPr>
                                    <w:t>1.3.3.1</w:t>
                                  </w:r>
                                </w:sdtContent>
                              </w:sdt>
                              <w:r>
                                <w:rPr>
                                  <w:rFonts w:ascii="Arial" w:eastAsia="Calibri" w:hAnsi="Arial" w:cs="Arial"/>
                                  <w:b/>
                                  <w:color w:val="002060"/>
                                  <w:sz w:val="22"/>
                                  <w:szCs w:val="32"/>
                                </w:rPr>
                                <w:t>. lentelė. Joniškio rajono savivaldybėje įregistruoti paslaugų sektoriaus pastatai</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3345"/>
                                <w:gridCol w:w="961"/>
                                <w:gridCol w:w="1144"/>
                                <w:gridCol w:w="961"/>
                                <w:gridCol w:w="1205"/>
                                <w:gridCol w:w="1266"/>
                                <w:gridCol w:w="1313"/>
                              </w:tblGrid>
                              <w:tr>
                                <w:trPr>
                                  <w:trHeight w:val="359"/>
                                  <w:jc w:val="center"/>
                                </w:trPr>
                                <w:tc>
                                  <w:tcPr>
                                    <w:tcW w:w="2672" w:type="pct"/>
                                    <w:gridSpan w:val="3"/>
                                    <w:hideMark/>
                                  </w:tcPr>
                                  <w:p>
                                    <w:pPr>
                                      <w:ind w:firstLine="57"/>
                                      <w:jc w:val="both"/>
                                      <w:rPr>
                                        <w:rFonts w:ascii="Arial" w:hAnsi="Arial" w:cs="Arial"/>
                                        <w:color w:val="000000"/>
                                        <w:sz w:val="20"/>
                                        <w:lang w:eastAsia="lt-LT"/>
                                      </w:rPr>
                                    </w:pPr>
                                  </w:p>
                                </w:tc>
                                <w:tc>
                                  <w:tcPr>
                                    <w:tcW w:w="1062" w:type="pct"/>
                                    <w:gridSpan w:val="2"/>
                                    <w:hideMark/>
                                  </w:tcPr>
                                  <w:p>
                                    <w:pPr>
                                      <w:jc w:val="center"/>
                                      <w:rPr>
                                        <w:rFonts w:ascii="Arial" w:hAnsi="Arial" w:cs="Arial"/>
                                        <w:sz w:val="20"/>
                                        <w:lang w:eastAsia="lt-LT"/>
                                      </w:rPr>
                                    </w:pPr>
                                    <w:r>
                                      <w:rPr>
                                        <w:rFonts w:ascii="Arial" w:hAnsi="Arial" w:cs="Arial"/>
                                        <w:sz w:val="20"/>
                                        <w:lang w:eastAsia="lt-LT"/>
                                      </w:rPr>
                                      <w:t>Valstybės nuosavybė</w:t>
                                    </w:r>
                                  </w:p>
                                </w:tc>
                                <w:tc>
                                  <w:tcPr>
                                    <w:tcW w:w="1266" w:type="pct"/>
                                    <w:gridSpan w:val="2"/>
                                    <w:hideMark/>
                                  </w:tcPr>
                                  <w:p>
                                    <w:pPr>
                                      <w:jc w:val="center"/>
                                      <w:rPr>
                                        <w:rFonts w:ascii="Arial" w:hAnsi="Arial" w:cs="Arial"/>
                                        <w:sz w:val="20"/>
                                        <w:lang w:eastAsia="lt-LT"/>
                                      </w:rPr>
                                    </w:pPr>
                                    <w:r>
                                      <w:rPr>
                                        <w:rFonts w:ascii="Arial" w:hAnsi="Arial" w:cs="Arial"/>
                                        <w:sz w:val="20"/>
                                        <w:lang w:eastAsia="lt-LT"/>
                                      </w:rPr>
                                      <w:t>Savivaldybės nuosavybė</w:t>
                                    </w:r>
                                  </w:p>
                                </w:tc>
                              </w:tr>
                              <w:tr>
                                <w:trPr>
                                  <w:trHeight w:val="372"/>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Pastatų kategorija pagal paskirtį</w:t>
                                    </w:r>
                                  </w:p>
                                </w:tc>
                                <w:tc>
                                  <w:tcPr>
                                    <w:tcW w:w="471" w:type="pct"/>
                                    <w:hideMark/>
                                  </w:tcPr>
                                  <w:p>
                                    <w:pPr>
                                      <w:jc w:val="center"/>
                                      <w:rPr>
                                        <w:rFonts w:ascii="Arial" w:hAnsi="Arial" w:cs="Arial"/>
                                        <w:color w:val="000000"/>
                                        <w:sz w:val="20"/>
                                        <w:lang w:eastAsia="lt-LT"/>
                                      </w:rPr>
                                    </w:pPr>
                                    <w:r>
                                      <w:rPr>
                                        <w:rFonts w:ascii="Arial" w:eastAsia="SegoeUI" w:hAnsi="Arial" w:cs="Arial"/>
                                        <w:color w:val="000000"/>
                                        <w:sz w:val="20"/>
                                        <w:lang w:eastAsia="lt-LT"/>
                                      </w:rPr>
                                      <w:t>Skaičius</w:t>
                                    </w:r>
                                  </w:p>
                                </w:tc>
                                <w:tc>
                                  <w:tcPr>
                                    <w:tcW w:w="561" w:type="pct"/>
                                    <w:hideMark/>
                                  </w:tcPr>
                                  <w:p>
                                    <w:pPr>
                                      <w:jc w:val="center"/>
                                      <w:rPr>
                                        <w:rFonts w:ascii="Arial" w:hAnsi="Arial" w:cs="Arial"/>
                                        <w:color w:val="000000"/>
                                        <w:sz w:val="20"/>
                                        <w:lang w:eastAsia="lt-LT"/>
                                      </w:rPr>
                                    </w:pPr>
                                    <w:r>
                                      <w:rPr>
                                        <w:rFonts w:ascii="Arial" w:eastAsia="SegoeUI" w:hAnsi="Arial" w:cs="Arial"/>
                                        <w:color w:val="000000"/>
                                        <w:sz w:val="20"/>
                                        <w:lang w:eastAsia="lt-LT"/>
                                      </w:rPr>
                                      <w:t>Bendrasis plotas, m</w:t>
                                    </w:r>
                                    <w:r>
                                      <w:rPr>
                                        <w:rFonts w:ascii="Arial" w:eastAsia="SegoeUI" w:hAnsi="Arial" w:cs="Arial"/>
                                        <w:color w:val="000000"/>
                                        <w:sz w:val="20"/>
                                        <w:vertAlign w:val="superscript"/>
                                        <w:lang w:eastAsia="lt-LT"/>
                                      </w:rPr>
                                      <w:t>2</w:t>
                                    </w:r>
                                  </w:p>
                                </w:tc>
                                <w:tc>
                                  <w:tcPr>
                                    <w:tcW w:w="471" w:type="pct"/>
                                    <w:hideMark/>
                                  </w:tcPr>
                                  <w:p>
                                    <w:pPr>
                                      <w:jc w:val="center"/>
                                      <w:rPr>
                                        <w:rFonts w:ascii="Arial" w:hAnsi="Arial" w:cs="Arial"/>
                                        <w:color w:val="000000"/>
                                        <w:sz w:val="20"/>
                                        <w:lang w:eastAsia="lt-LT"/>
                                      </w:rPr>
                                    </w:pPr>
                                    <w:r>
                                      <w:rPr>
                                        <w:rFonts w:ascii="Arial" w:hAnsi="Arial" w:cs="Arial"/>
                                        <w:color w:val="000000"/>
                                        <w:sz w:val="20"/>
                                        <w:lang w:eastAsia="lt-LT"/>
                                      </w:rPr>
                                      <w:t>Skaičius</w:t>
                                    </w:r>
                                  </w:p>
                                </w:tc>
                                <w:tc>
                                  <w:tcPr>
                                    <w:tcW w:w="591" w:type="pct"/>
                                    <w:hideMark/>
                                  </w:tcPr>
                                  <w:p>
                                    <w:pPr>
                                      <w:jc w:val="center"/>
                                      <w:rPr>
                                        <w:rFonts w:ascii="Arial" w:hAnsi="Arial" w:cs="Arial"/>
                                        <w:color w:val="000000"/>
                                        <w:sz w:val="20"/>
                                        <w:lang w:eastAsia="lt-LT"/>
                                      </w:rPr>
                                    </w:pPr>
                                    <w:r>
                                      <w:rPr>
                                        <w:rFonts w:ascii="Arial" w:hAnsi="Arial" w:cs="Arial"/>
                                        <w:color w:val="000000"/>
                                        <w:sz w:val="20"/>
                                        <w:lang w:eastAsia="lt-LT"/>
                                      </w:rPr>
                                      <w:t>Bendrasis plotas, m</w:t>
                                    </w:r>
                                    <w:r>
                                      <w:rPr>
                                        <w:rFonts w:ascii="Arial" w:hAnsi="Arial" w:cs="Arial"/>
                                        <w:color w:val="000000"/>
                                        <w:sz w:val="20"/>
                                        <w:vertAlign w:val="superscript"/>
                                        <w:lang w:eastAsia="lt-LT"/>
                                      </w:rPr>
                                      <w:t>2</w:t>
                                    </w:r>
                                  </w:p>
                                </w:tc>
                                <w:tc>
                                  <w:tcPr>
                                    <w:tcW w:w="621" w:type="pct"/>
                                    <w:hideMark/>
                                  </w:tcPr>
                                  <w:p>
                                    <w:pPr>
                                      <w:jc w:val="center"/>
                                      <w:rPr>
                                        <w:rFonts w:ascii="Arial" w:hAnsi="Arial" w:cs="Arial"/>
                                        <w:color w:val="000000"/>
                                        <w:sz w:val="20"/>
                                        <w:lang w:eastAsia="lt-LT"/>
                                      </w:rPr>
                                    </w:pPr>
                                    <w:r>
                                      <w:rPr>
                                        <w:rFonts w:ascii="Arial" w:hAnsi="Arial" w:cs="Arial"/>
                                        <w:color w:val="000000"/>
                                        <w:sz w:val="20"/>
                                        <w:lang w:eastAsia="lt-LT"/>
                                      </w:rPr>
                                      <w:t>Skaičius</w:t>
                                    </w:r>
                                  </w:p>
                                </w:tc>
                                <w:tc>
                                  <w:tcPr>
                                    <w:tcW w:w="645" w:type="pct"/>
                                    <w:hideMark/>
                                  </w:tcPr>
                                  <w:p>
                                    <w:pPr>
                                      <w:jc w:val="center"/>
                                      <w:rPr>
                                        <w:rFonts w:ascii="Arial" w:hAnsi="Arial" w:cs="Arial"/>
                                        <w:color w:val="000000"/>
                                        <w:sz w:val="20"/>
                                        <w:lang w:eastAsia="lt-LT"/>
                                      </w:rPr>
                                    </w:pPr>
                                    <w:r>
                                      <w:rPr>
                                        <w:rFonts w:ascii="Arial" w:hAnsi="Arial" w:cs="Arial"/>
                                        <w:color w:val="000000"/>
                                        <w:sz w:val="20"/>
                                        <w:lang w:eastAsia="lt-LT"/>
                                      </w:rPr>
                                      <w:t>Bendrasis plotas, m</w:t>
                                    </w:r>
                                    <w:r>
                                      <w:rPr>
                                        <w:rFonts w:ascii="Arial" w:hAnsi="Arial" w:cs="Arial"/>
                                        <w:color w:val="000000"/>
                                        <w:sz w:val="20"/>
                                        <w:vertAlign w:val="superscript"/>
                                        <w:lang w:eastAsia="lt-LT"/>
                                      </w:rPr>
                                      <w:t>2</w:t>
                                    </w:r>
                                  </w:p>
                                </w:tc>
                              </w:tr>
                              <w:tr>
                                <w:trPr>
                                  <w:trHeight w:val="246"/>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Administracinės paskirties pastatai</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121</w:t>
                                    </w:r>
                                  </w:p>
                                </w:tc>
                                <w:tc>
                                  <w:tcPr>
                                    <w:tcW w:w="561" w:type="pct"/>
                                  </w:tcPr>
                                  <w:p>
                                    <w:pPr>
                                      <w:jc w:val="center"/>
                                      <w:rPr>
                                        <w:rFonts w:ascii="Arial" w:hAnsi="Arial" w:cs="Arial"/>
                                        <w:color w:val="000000"/>
                                        <w:sz w:val="20"/>
                                        <w:highlight w:val="yellow"/>
                                        <w:lang w:eastAsia="lt-LT"/>
                                      </w:rPr>
                                    </w:pPr>
                                    <w:r>
                                      <w:rPr>
                                        <w:rFonts w:ascii="Arial" w:hAnsi="Arial" w:cs="Arial"/>
                                        <w:color w:val="000000"/>
                                        <w:sz w:val="20"/>
                                        <w:lang w:eastAsia="lt-LT"/>
                                      </w:rPr>
                                      <w:t>53 659</w:t>
                                    </w:r>
                                  </w:p>
                                </w:tc>
                                <w:tc>
                                  <w:tcPr>
                                    <w:tcW w:w="471" w:type="pct"/>
                                    <w:hideMark/>
                                  </w:tcPr>
                                  <w:p>
                                    <w:pPr>
                                      <w:jc w:val="center"/>
                                      <w:rPr>
                                        <w:rFonts w:ascii="Arial" w:hAnsi="Arial" w:cs="Arial"/>
                                        <w:color w:val="000000"/>
                                        <w:sz w:val="20"/>
                                        <w:lang w:eastAsia="lt-LT"/>
                                      </w:rPr>
                                    </w:pPr>
                                    <w:r>
                                      <w:rPr>
                                        <w:rFonts w:ascii="Arial" w:hAnsi="Arial" w:cs="Arial"/>
                                        <w:sz w:val="20"/>
                                      </w:rPr>
                                      <w:t>15</w:t>
                                    </w:r>
                                  </w:p>
                                </w:tc>
                                <w:tc>
                                  <w:tcPr>
                                    <w:tcW w:w="591" w:type="pct"/>
                                    <w:hideMark/>
                                  </w:tcPr>
                                  <w:p>
                                    <w:pPr>
                                      <w:jc w:val="center"/>
                                      <w:rPr>
                                        <w:rFonts w:ascii="Arial" w:hAnsi="Arial" w:cs="Arial"/>
                                        <w:color w:val="000000"/>
                                        <w:sz w:val="20"/>
                                        <w:lang w:eastAsia="lt-LT"/>
                                      </w:rPr>
                                    </w:pPr>
                                    <w:r>
                                      <w:rPr>
                                        <w:rFonts w:ascii="Arial" w:hAnsi="Arial" w:cs="Arial"/>
                                        <w:sz w:val="20"/>
                                      </w:rPr>
                                      <w:t>7 953</w:t>
                                    </w:r>
                                  </w:p>
                                </w:tc>
                                <w:tc>
                                  <w:tcPr>
                                    <w:tcW w:w="621" w:type="pct"/>
                                    <w:hideMark/>
                                  </w:tcPr>
                                  <w:p>
                                    <w:pPr>
                                      <w:jc w:val="center"/>
                                      <w:rPr>
                                        <w:rFonts w:ascii="Arial" w:hAnsi="Arial" w:cs="Arial"/>
                                        <w:color w:val="000000"/>
                                        <w:sz w:val="20"/>
                                        <w:lang w:eastAsia="lt-LT"/>
                                      </w:rPr>
                                    </w:pPr>
                                    <w:r>
                                      <w:rPr>
                                        <w:rFonts w:ascii="Arial" w:hAnsi="Arial" w:cs="Arial"/>
                                        <w:sz w:val="20"/>
                                      </w:rPr>
                                      <w:t>21</w:t>
                                    </w:r>
                                  </w:p>
                                </w:tc>
                                <w:tc>
                                  <w:tcPr>
                                    <w:tcW w:w="645" w:type="pct"/>
                                    <w:hideMark/>
                                  </w:tcPr>
                                  <w:p>
                                    <w:pPr>
                                      <w:jc w:val="center"/>
                                      <w:rPr>
                                        <w:rFonts w:ascii="Arial" w:hAnsi="Arial" w:cs="Arial"/>
                                        <w:color w:val="000000"/>
                                        <w:sz w:val="20"/>
                                        <w:lang w:eastAsia="lt-LT"/>
                                      </w:rPr>
                                    </w:pPr>
                                    <w:r>
                                      <w:rPr>
                                        <w:rFonts w:ascii="Arial" w:hAnsi="Arial" w:cs="Arial"/>
                                        <w:color w:val="000000"/>
                                        <w:sz w:val="20"/>
                                        <w:lang w:eastAsia="lt-LT"/>
                                      </w:rPr>
                                      <w:t>13 264</w:t>
                                    </w:r>
                                  </w:p>
                                </w:tc>
                              </w:tr>
                              <w:tr>
                                <w:trPr>
                                  <w:trHeight w:val="420"/>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Viešbučiai, prekybos, paslaugų, maitinimo ir poilsio paskirties pastatai</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167</w:t>
                                    </w:r>
                                  </w:p>
                                </w:tc>
                                <w:tc>
                                  <w:tcPr>
                                    <w:tcW w:w="561" w:type="pct"/>
                                  </w:tcPr>
                                  <w:p>
                                    <w:pPr>
                                      <w:jc w:val="center"/>
                                      <w:rPr>
                                        <w:rFonts w:ascii="Arial" w:hAnsi="Arial" w:cs="Arial"/>
                                        <w:color w:val="000000"/>
                                        <w:sz w:val="20"/>
                                        <w:highlight w:val="yellow"/>
                                        <w:lang w:eastAsia="lt-LT"/>
                                      </w:rPr>
                                    </w:pPr>
                                    <w:r>
                                      <w:rPr>
                                        <w:rFonts w:ascii="Arial" w:hAnsi="Arial" w:cs="Arial"/>
                                        <w:color w:val="000000"/>
                                        <w:sz w:val="20"/>
                                        <w:lang w:eastAsia="lt-LT"/>
                                      </w:rPr>
                                      <w:t>59 220</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4</w:t>
                                    </w:r>
                                  </w:p>
                                </w:tc>
                                <w:tc>
                                  <w:tcPr>
                                    <w:tcW w:w="591" w:type="pct"/>
                                  </w:tcPr>
                                  <w:p>
                                    <w:pPr>
                                      <w:jc w:val="center"/>
                                      <w:rPr>
                                        <w:rFonts w:ascii="Arial" w:hAnsi="Arial" w:cs="Arial"/>
                                        <w:color w:val="000000"/>
                                        <w:sz w:val="20"/>
                                        <w:lang w:eastAsia="lt-LT"/>
                                      </w:rPr>
                                    </w:pPr>
                                    <w:r>
                                      <w:rPr>
                                        <w:rFonts w:ascii="Arial" w:hAnsi="Arial" w:cs="Arial"/>
                                        <w:color w:val="000000"/>
                                        <w:sz w:val="20"/>
                                        <w:lang w:eastAsia="lt-LT"/>
                                      </w:rPr>
                                      <w:t>2 182</w:t>
                                    </w:r>
                                  </w:p>
                                </w:tc>
                                <w:tc>
                                  <w:tcPr>
                                    <w:tcW w:w="621" w:type="pct"/>
                                  </w:tcPr>
                                  <w:p>
                                    <w:pPr>
                                      <w:jc w:val="center"/>
                                      <w:rPr>
                                        <w:rFonts w:ascii="Arial" w:hAnsi="Arial" w:cs="Arial"/>
                                        <w:color w:val="000000"/>
                                        <w:sz w:val="20"/>
                                        <w:lang w:eastAsia="lt-LT"/>
                                      </w:rPr>
                                    </w:pPr>
                                    <w:r>
                                      <w:rPr>
                                        <w:rFonts w:ascii="Arial" w:hAnsi="Arial" w:cs="Arial"/>
                                        <w:color w:val="000000"/>
                                        <w:sz w:val="20"/>
                                        <w:lang w:eastAsia="lt-LT"/>
                                      </w:rPr>
                                      <w:t>10</w:t>
                                    </w:r>
                                  </w:p>
                                </w:tc>
                                <w:tc>
                                  <w:tcPr>
                                    <w:tcW w:w="645" w:type="pct"/>
                                  </w:tcPr>
                                  <w:p>
                                    <w:pPr>
                                      <w:jc w:val="center"/>
                                      <w:rPr>
                                        <w:rFonts w:ascii="Arial" w:hAnsi="Arial" w:cs="Arial"/>
                                        <w:color w:val="000000"/>
                                        <w:sz w:val="20"/>
                                        <w:lang w:eastAsia="lt-LT"/>
                                      </w:rPr>
                                    </w:pPr>
                                    <w:r>
                                      <w:rPr>
                                        <w:rFonts w:ascii="Arial" w:hAnsi="Arial" w:cs="Arial"/>
                                        <w:color w:val="000000"/>
                                        <w:sz w:val="20"/>
                                        <w:lang w:eastAsia="lt-LT"/>
                                      </w:rPr>
                                      <w:t>3 258</w:t>
                                    </w:r>
                                  </w:p>
                                </w:tc>
                              </w:tr>
                              <w:tr>
                                <w:trPr>
                                  <w:trHeight w:val="420"/>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Kultūros, mokslo ir sporto paskirties pastatai</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97</w:t>
                                    </w:r>
                                  </w:p>
                                </w:tc>
                                <w:tc>
                                  <w:tcPr>
                                    <w:tcW w:w="561" w:type="pct"/>
                                  </w:tcPr>
                                  <w:p>
                                    <w:pPr>
                                      <w:jc w:val="center"/>
                                      <w:rPr>
                                        <w:rFonts w:ascii="Arial" w:hAnsi="Arial" w:cs="Arial"/>
                                        <w:color w:val="000000"/>
                                        <w:sz w:val="20"/>
                                        <w:highlight w:val="yellow"/>
                                        <w:lang w:eastAsia="lt-LT"/>
                                      </w:rPr>
                                    </w:pPr>
                                    <w:r>
                                      <w:rPr>
                                        <w:rFonts w:ascii="Arial" w:hAnsi="Arial" w:cs="Arial"/>
                                        <w:color w:val="000000"/>
                                        <w:sz w:val="20"/>
                                        <w:lang w:eastAsia="lt-LT"/>
                                      </w:rPr>
                                      <w:t>96 499</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7</w:t>
                                    </w:r>
                                  </w:p>
                                </w:tc>
                                <w:tc>
                                  <w:tcPr>
                                    <w:tcW w:w="591" w:type="pct"/>
                                  </w:tcPr>
                                  <w:p>
                                    <w:pPr>
                                      <w:jc w:val="center"/>
                                      <w:rPr>
                                        <w:rFonts w:ascii="Arial" w:hAnsi="Arial" w:cs="Arial"/>
                                        <w:color w:val="000000"/>
                                        <w:sz w:val="20"/>
                                        <w:lang w:eastAsia="lt-LT"/>
                                      </w:rPr>
                                    </w:pPr>
                                    <w:r>
                                      <w:rPr>
                                        <w:rFonts w:ascii="Arial" w:hAnsi="Arial" w:cs="Arial"/>
                                        <w:color w:val="000000"/>
                                        <w:sz w:val="20"/>
                                        <w:lang w:eastAsia="lt-LT"/>
                                      </w:rPr>
                                      <w:t>12 254</w:t>
                                    </w:r>
                                  </w:p>
                                </w:tc>
                                <w:tc>
                                  <w:tcPr>
                                    <w:tcW w:w="621" w:type="pct"/>
                                  </w:tcPr>
                                  <w:p>
                                    <w:pPr>
                                      <w:jc w:val="center"/>
                                      <w:rPr>
                                        <w:rFonts w:ascii="Arial" w:hAnsi="Arial" w:cs="Arial"/>
                                        <w:color w:val="000000"/>
                                        <w:sz w:val="20"/>
                                        <w:lang w:eastAsia="lt-LT"/>
                                      </w:rPr>
                                    </w:pPr>
                                    <w:r>
                                      <w:rPr>
                                        <w:rFonts w:ascii="Arial" w:hAnsi="Arial" w:cs="Arial"/>
                                        <w:color w:val="000000"/>
                                        <w:sz w:val="20"/>
                                        <w:lang w:eastAsia="lt-LT"/>
                                      </w:rPr>
                                      <w:t>66</w:t>
                                    </w:r>
                                  </w:p>
                                </w:tc>
                                <w:tc>
                                  <w:tcPr>
                                    <w:tcW w:w="645" w:type="pct"/>
                                  </w:tcPr>
                                  <w:p>
                                    <w:pPr>
                                      <w:jc w:val="center"/>
                                      <w:rPr>
                                        <w:rFonts w:ascii="Arial" w:hAnsi="Arial" w:cs="Arial"/>
                                        <w:color w:val="000000"/>
                                        <w:sz w:val="20"/>
                                        <w:lang w:eastAsia="lt-LT"/>
                                      </w:rPr>
                                    </w:pPr>
                                    <w:r>
                                      <w:rPr>
                                        <w:rFonts w:ascii="Arial" w:hAnsi="Arial" w:cs="Arial"/>
                                        <w:color w:val="000000"/>
                                        <w:sz w:val="20"/>
                                        <w:lang w:eastAsia="lt-LT"/>
                                      </w:rPr>
                                      <w:t>66 369</w:t>
                                    </w:r>
                                  </w:p>
                                </w:tc>
                              </w:tr>
                              <w:tr>
                                <w:trPr>
                                  <w:trHeight w:val="240"/>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Gydymo paskirties pastatai</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24</w:t>
                                    </w:r>
                                  </w:p>
                                </w:tc>
                                <w:tc>
                                  <w:tcPr>
                                    <w:tcW w:w="561" w:type="pct"/>
                                  </w:tcPr>
                                  <w:p>
                                    <w:pPr>
                                      <w:jc w:val="center"/>
                                      <w:rPr>
                                        <w:rFonts w:ascii="Arial" w:hAnsi="Arial" w:cs="Arial"/>
                                        <w:color w:val="000000"/>
                                        <w:sz w:val="20"/>
                                        <w:highlight w:val="yellow"/>
                                        <w:lang w:eastAsia="lt-LT"/>
                                      </w:rPr>
                                    </w:pPr>
                                    <w:r>
                                      <w:rPr>
                                        <w:rFonts w:ascii="Arial" w:hAnsi="Arial" w:cs="Arial"/>
                                        <w:color w:val="000000"/>
                                        <w:sz w:val="20"/>
                                        <w:lang w:eastAsia="lt-LT"/>
                                      </w:rPr>
                                      <w:t>25 034</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7</w:t>
                                    </w:r>
                                  </w:p>
                                </w:tc>
                                <w:tc>
                                  <w:tcPr>
                                    <w:tcW w:w="591" w:type="pct"/>
                                  </w:tcPr>
                                  <w:p>
                                    <w:pPr>
                                      <w:jc w:val="center"/>
                                      <w:rPr>
                                        <w:rFonts w:ascii="Arial" w:hAnsi="Arial" w:cs="Arial"/>
                                        <w:color w:val="000000"/>
                                        <w:sz w:val="20"/>
                                        <w:lang w:eastAsia="lt-LT"/>
                                      </w:rPr>
                                    </w:pPr>
                                    <w:r>
                                      <w:rPr>
                                        <w:rFonts w:ascii="Arial" w:hAnsi="Arial" w:cs="Arial"/>
                                        <w:color w:val="000000"/>
                                        <w:sz w:val="20"/>
                                        <w:lang w:eastAsia="lt-LT"/>
                                      </w:rPr>
                                      <w:t>6 813</w:t>
                                    </w:r>
                                  </w:p>
                                </w:tc>
                                <w:tc>
                                  <w:tcPr>
                                    <w:tcW w:w="621" w:type="pct"/>
                                  </w:tcPr>
                                  <w:p>
                                    <w:pPr>
                                      <w:jc w:val="center"/>
                                      <w:rPr>
                                        <w:rFonts w:ascii="Arial" w:hAnsi="Arial" w:cs="Arial"/>
                                        <w:color w:val="000000"/>
                                        <w:sz w:val="20"/>
                                        <w:lang w:eastAsia="lt-LT"/>
                                      </w:rPr>
                                    </w:pPr>
                                    <w:r>
                                      <w:rPr>
                                        <w:rFonts w:ascii="Arial" w:hAnsi="Arial" w:cs="Arial"/>
                                        <w:color w:val="000000"/>
                                        <w:sz w:val="20"/>
                                        <w:lang w:eastAsia="lt-LT"/>
                                      </w:rPr>
                                      <w:t>6</w:t>
                                    </w:r>
                                  </w:p>
                                </w:tc>
                                <w:tc>
                                  <w:tcPr>
                                    <w:tcW w:w="645" w:type="pct"/>
                                  </w:tcPr>
                                  <w:p>
                                    <w:pPr>
                                      <w:jc w:val="center"/>
                                      <w:rPr>
                                        <w:rFonts w:ascii="Arial" w:hAnsi="Arial" w:cs="Arial"/>
                                        <w:color w:val="000000"/>
                                        <w:sz w:val="20"/>
                                        <w:lang w:eastAsia="lt-LT"/>
                                      </w:rPr>
                                    </w:pPr>
                                    <w:r>
                                      <w:rPr>
                                        <w:rFonts w:ascii="Arial" w:hAnsi="Arial" w:cs="Arial"/>
                                        <w:color w:val="000000"/>
                                        <w:sz w:val="20"/>
                                        <w:lang w:eastAsia="lt-LT"/>
                                      </w:rPr>
                                      <w:t>11 302</w:t>
                                    </w:r>
                                  </w:p>
                                </w:tc>
                              </w:tr>
                              <w:tr>
                                <w:trPr>
                                  <w:trHeight w:val="420"/>
                                  <w:jc w:val="center"/>
                                </w:trPr>
                                <w:tc>
                                  <w:tcPr>
                                    <w:tcW w:w="1641" w:type="pct"/>
                                    <w:hideMark/>
                                  </w:tcPr>
                                  <w:p>
                                    <w:pPr>
                                      <w:rPr>
                                        <w:rFonts w:ascii="Arial" w:hAnsi="Arial" w:cs="Arial"/>
                                        <w:color w:val="000000"/>
                                        <w:sz w:val="20"/>
                                        <w:lang w:eastAsia="lt-LT"/>
                                      </w:rPr>
                                    </w:pPr>
                                    <w:r>
                                      <w:rPr>
                                        <w:rFonts w:ascii="Arial" w:hAnsi="Arial" w:cs="Arial"/>
                                        <w:color w:val="000000"/>
                                        <w:sz w:val="20"/>
                                        <w:lang w:eastAsia="lt-LT"/>
                                      </w:rPr>
                                      <w:t>Specialiosios, religinės ir kitos paskirties pastatai</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205</w:t>
                                    </w:r>
                                  </w:p>
                                </w:tc>
                                <w:tc>
                                  <w:tcPr>
                                    <w:tcW w:w="561" w:type="pct"/>
                                  </w:tcPr>
                                  <w:p>
                                    <w:pPr>
                                      <w:jc w:val="center"/>
                                      <w:rPr>
                                        <w:rFonts w:ascii="Arial" w:hAnsi="Arial" w:cs="Arial"/>
                                        <w:color w:val="000000"/>
                                        <w:sz w:val="20"/>
                                        <w:highlight w:val="yellow"/>
                                        <w:lang w:eastAsia="lt-LT"/>
                                      </w:rPr>
                                    </w:pPr>
                                    <w:r>
                                      <w:rPr>
                                        <w:rFonts w:ascii="Arial" w:hAnsi="Arial" w:cs="Arial"/>
                                        <w:color w:val="000000"/>
                                        <w:sz w:val="20"/>
                                        <w:lang w:eastAsia="lt-LT"/>
                                      </w:rPr>
                                      <w:t>25 963</w:t>
                                    </w:r>
                                  </w:p>
                                </w:tc>
                                <w:tc>
                                  <w:tcPr>
                                    <w:tcW w:w="471" w:type="pct"/>
                                  </w:tcPr>
                                  <w:p>
                                    <w:pPr>
                                      <w:jc w:val="center"/>
                                      <w:rPr>
                                        <w:rFonts w:ascii="Arial" w:hAnsi="Arial" w:cs="Arial"/>
                                        <w:color w:val="000000"/>
                                        <w:sz w:val="20"/>
                                        <w:lang w:eastAsia="lt-LT"/>
                                      </w:rPr>
                                    </w:pPr>
                                    <w:r>
                                      <w:rPr>
                                        <w:rFonts w:ascii="Arial" w:hAnsi="Arial" w:cs="Arial"/>
                                        <w:color w:val="000000"/>
                                        <w:sz w:val="20"/>
                                        <w:lang w:eastAsia="lt-LT"/>
                                      </w:rPr>
                                      <w:t>10</w:t>
                                    </w:r>
                                  </w:p>
                                </w:tc>
                                <w:tc>
                                  <w:tcPr>
                                    <w:tcW w:w="591" w:type="pct"/>
                                  </w:tcPr>
                                  <w:p>
                                    <w:pPr>
                                      <w:jc w:val="center"/>
                                      <w:rPr>
                                        <w:rFonts w:ascii="Arial" w:hAnsi="Arial" w:cs="Arial"/>
                                        <w:color w:val="000000"/>
                                        <w:sz w:val="20"/>
                                        <w:lang w:eastAsia="lt-LT"/>
                                      </w:rPr>
                                    </w:pPr>
                                    <w:r>
                                      <w:rPr>
                                        <w:rFonts w:ascii="Arial" w:hAnsi="Arial" w:cs="Arial"/>
                                        <w:color w:val="000000"/>
                                        <w:sz w:val="20"/>
                                        <w:lang w:eastAsia="lt-LT"/>
                                      </w:rPr>
                                      <w:t>2 659</w:t>
                                    </w:r>
                                  </w:p>
                                </w:tc>
                                <w:tc>
                                  <w:tcPr>
                                    <w:tcW w:w="621" w:type="pct"/>
                                  </w:tcPr>
                                  <w:p>
                                    <w:pPr>
                                      <w:jc w:val="center"/>
                                      <w:rPr>
                                        <w:rFonts w:ascii="Arial" w:hAnsi="Arial" w:cs="Arial"/>
                                        <w:color w:val="000000"/>
                                        <w:sz w:val="20"/>
                                        <w:lang w:eastAsia="lt-LT"/>
                                      </w:rPr>
                                    </w:pPr>
                                    <w:r>
                                      <w:rPr>
                                        <w:rFonts w:ascii="Arial" w:hAnsi="Arial" w:cs="Arial"/>
                                        <w:color w:val="000000"/>
                                        <w:sz w:val="20"/>
                                        <w:lang w:eastAsia="lt-LT"/>
                                      </w:rPr>
                                      <w:t>16</w:t>
                                    </w:r>
                                  </w:p>
                                </w:tc>
                                <w:tc>
                                  <w:tcPr>
                                    <w:tcW w:w="645" w:type="pct"/>
                                  </w:tcPr>
                                  <w:p>
                                    <w:pPr>
                                      <w:jc w:val="center"/>
                                      <w:rPr>
                                        <w:rFonts w:ascii="Arial" w:hAnsi="Arial" w:cs="Arial"/>
                                        <w:color w:val="000000"/>
                                        <w:sz w:val="20"/>
                                        <w:lang w:eastAsia="lt-LT"/>
                                      </w:rPr>
                                    </w:pPr>
                                    <w:r>
                                      <w:rPr>
                                        <w:rFonts w:ascii="Arial" w:hAnsi="Arial" w:cs="Arial"/>
                                        <w:color w:val="000000"/>
                                        <w:sz w:val="20"/>
                                        <w:lang w:eastAsia="lt-LT"/>
                                      </w:rPr>
                                      <w:t>2 374</w:t>
                                    </w:r>
                                  </w:p>
                                </w:tc>
                              </w:tr>
                              <w:tr>
                                <w:trPr>
                                  <w:trHeight w:val="207"/>
                                  <w:jc w:val="center"/>
                                </w:trPr>
                                <w:tc>
                                  <w:tcPr>
                                    <w:tcW w:w="1641" w:type="pct"/>
                                    <w:hideMark/>
                                  </w:tcPr>
                                  <w:p>
                                    <w:pPr>
                                      <w:jc w:val="right"/>
                                      <w:rPr>
                                        <w:rFonts w:ascii="Arial" w:hAnsi="Arial" w:cs="Arial"/>
                                        <w:color w:val="000000"/>
                                        <w:sz w:val="20"/>
                                        <w:lang w:eastAsia="lt-LT"/>
                                      </w:rPr>
                                    </w:pPr>
                                    <w:r>
                                      <w:rPr>
                                        <w:rFonts w:ascii="Arial" w:hAnsi="Arial" w:cs="Arial"/>
                                        <w:color w:val="000000"/>
                                        <w:sz w:val="20"/>
                                        <w:lang w:eastAsia="lt-LT"/>
                                      </w:rPr>
                                      <w:t>Iš viso</w:t>
                                    </w:r>
                                  </w:p>
                                </w:tc>
                                <w:tc>
                                  <w:tcPr>
                                    <w:tcW w:w="471" w:type="pct"/>
                                  </w:tcPr>
                                  <w:p>
                                    <w:pPr>
                                      <w:jc w:val="center"/>
                                      <w:rPr>
                                        <w:rFonts w:ascii="Arial" w:hAnsi="Arial" w:cs="Arial"/>
                                        <w:b/>
                                        <w:bCs/>
                                        <w:color w:val="000000"/>
                                        <w:sz w:val="20"/>
                                        <w:lang w:eastAsia="lt-LT"/>
                                      </w:rPr>
                                    </w:pPr>
                                    <w:r>
                                      <w:rPr>
                                        <w:rFonts w:ascii="Arial" w:hAnsi="Arial" w:cs="Arial"/>
                                        <w:b/>
                                        <w:bCs/>
                                        <w:color w:val="000000"/>
                                        <w:sz w:val="20"/>
                                        <w:lang w:eastAsia="lt-LT"/>
                                      </w:rPr>
                                      <w:t>614</w:t>
                                    </w:r>
                                  </w:p>
                                </w:tc>
                                <w:tc>
                                  <w:tcPr>
                                    <w:tcW w:w="561" w:type="pct"/>
                                  </w:tcPr>
                                  <w:p>
                                    <w:pPr>
                                      <w:jc w:val="center"/>
                                      <w:rPr>
                                        <w:rFonts w:ascii="Arial" w:hAnsi="Arial" w:cs="Arial"/>
                                        <w:b/>
                                        <w:bCs/>
                                        <w:color w:val="000000"/>
                                        <w:sz w:val="20"/>
                                        <w:lang w:eastAsia="lt-LT"/>
                                      </w:rPr>
                                    </w:pPr>
                                    <w:r>
                                      <w:rPr>
                                        <w:rFonts w:ascii="Arial" w:hAnsi="Arial" w:cs="Arial"/>
                                        <w:b/>
                                        <w:bCs/>
                                        <w:color w:val="000000"/>
                                        <w:sz w:val="20"/>
                                        <w:lang w:eastAsia="lt-LT"/>
                                      </w:rPr>
                                      <w:t>260 735</w:t>
                                    </w:r>
                                  </w:p>
                                </w:tc>
                                <w:tc>
                                  <w:tcPr>
                                    <w:tcW w:w="471" w:type="pct"/>
                                  </w:tcPr>
                                  <w:p>
                                    <w:pPr>
                                      <w:jc w:val="center"/>
                                      <w:rPr>
                                        <w:rFonts w:ascii="Arial" w:hAnsi="Arial" w:cs="Arial"/>
                                        <w:b/>
                                        <w:bCs/>
                                        <w:color w:val="000000"/>
                                        <w:sz w:val="20"/>
                                        <w:lang w:eastAsia="lt-LT"/>
                                      </w:rPr>
                                    </w:pPr>
                                    <w:r>
                                      <w:rPr>
                                        <w:rFonts w:ascii="Arial" w:hAnsi="Arial" w:cs="Arial"/>
                                        <w:b/>
                                        <w:bCs/>
                                        <w:color w:val="000000"/>
                                        <w:sz w:val="20"/>
                                        <w:lang w:eastAsia="lt-LT"/>
                                      </w:rPr>
                                      <w:t>43</w:t>
                                    </w:r>
                                  </w:p>
                                </w:tc>
                                <w:tc>
                                  <w:tcPr>
                                    <w:tcW w:w="591" w:type="pct"/>
                                  </w:tcPr>
                                  <w:p>
                                    <w:pPr>
                                      <w:jc w:val="center"/>
                                      <w:rPr>
                                        <w:rFonts w:ascii="Arial" w:hAnsi="Arial" w:cs="Arial"/>
                                        <w:b/>
                                        <w:bCs/>
                                        <w:color w:val="000000"/>
                                        <w:sz w:val="20"/>
                                        <w:lang w:eastAsia="lt-LT"/>
                                      </w:rPr>
                                    </w:pPr>
                                    <w:r>
                                      <w:rPr>
                                        <w:rFonts w:ascii="Arial" w:hAnsi="Arial" w:cs="Arial"/>
                                        <w:b/>
                                        <w:bCs/>
                                        <w:color w:val="000000"/>
                                        <w:sz w:val="20"/>
                                        <w:lang w:eastAsia="lt-LT"/>
                                      </w:rPr>
                                      <w:t>31 861</w:t>
                                    </w:r>
                                  </w:p>
                                </w:tc>
                                <w:tc>
                                  <w:tcPr>
                                    <w:tcW w:w="621" w:type="pct"/>
                                  </w:tcPr>
                                  <w:p>
                                    <w:pPr>
                                      <w:jc w:val="center"/>
                                      <w:rPr>
                                        <w:rFonts w:ascii="Arial" w:hAnsi="Arial" w:cs="Arial"/>
                                        <w:b/>
                                        <w:bCs/>
                                        <w:color w:val="000000"/>
                                        <w:sz w:val="20"/>
                                        <w:lang w:eastAsia="lt-LT"/>
                                      </w:rPr>
                                    </w:pPr>
                                    <w:r>
                                      <w:rPr>
                                        <w:rFonts w:ascii="Arial" w:hAnsi="Arial" w:cs="Arial"/>
                                        <w:b/>
                                        <w:bCs/>
                                        <w:color w:val="000000"/>
                                        <w:sz w:val="20"/>
                                        <w:lang w:eastAsia="lt-LT"/>
                                      </w:rPr>
                                      <w:t>119</w:t>
                                    </w:r>
                                  </w:p>
                                </w:tc>
                                <w:tc>
                                  <w:tcPr>
                                    <w:tcW w:w="645" w:type="pct"/>
                                  </w:tcPr>
                                  <w:p>
                                    <w:pPr>
                                      <w:jc w:val="center"/>
                                      <w:rPr>
                                        <w:rFonts w:ascii="Arial" w:hAnsi="Arial" w:cs="Arial"/>
                                        <w:b/>
                                        <w:bCs/>
                                        <w:color w:val="000000"/>
                                        <w:sz w:val="20"/>
                                        <w:lang w:eastAsia="lt-LT"/>
                                      </w:rPr>
                                    </w:pPr>
                                    <w:r>
                                      <w:rPr>
                                        <w:rFonts w:ascii="Arial" w:hAnsi="Arial" w:cs="Arial"/>
                                        <w:b/>
                                        <w:bCs/>
                                        <w:color w:val="000000"/>
                                        <w:sz w:val="20"/>
                                        <w:lang w:eastAsia="lt-LT"/>
                                      </w:rPr>
                                      <w:t>96 567</w:t>
                                    </w:r>
                                  </w:p>
                                </w:tc>
                              </w:tr>
                            </w:tbl>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p>
                              <w:pPr>
                                <w:spacing w:line="259" w:lineRule="auto"/>
                                <w:ind w:firstLine="567"/>
                                <w:jc w:val="both"/>
                                <w:rPr>
                                  <w:rFonts w:ascii="Arial" w:hAnsi="Arial" w:cs="Arial"/>
                                  <w:sz w:val="22"/>
                                </w:rPr>
                              </w:pPr>
                              <w:r>
                                <w:rPr>
                                  <w:rFonts w:ascii="Arial" w:hAnsi="Arial" w:cs="Arial"/>
                                  <w:sz w:val="22"/>
                                </w:rPr>
                                <w:t>Remiantis Joniškio rajono savivaldybės pateiktais duomenimis, visi (sertifikuoti) Savivaldybei priklausantys pastatai yra C energetinės klasės efektyvumo, tačiau verta pažymėti, jog dalis pastatų neturi energetinio naudingumo sertifikavimo, todėl ir energetinio naudingumo klasė pastatams nėra priskirta.</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savivaldybėje yra 25 savivaldybės įmonės, viešosios bei biudžetinės įstaigos (žr. 1.3.3.2. lentelė). </w:t>
                              </w:r>
                            </w:p>
                            <w:p>
                              <w:pPr>
                                <w:rPr>
                                  <w:sz w:val="14"/>
                                  <w:szCs w:val="14"/>
                                </w:rPr>
                              </w:pPr>
                            </w:p>
                          </w:sdtContent>
                        </w:sdt>
                        <w:sdt>
                          <w:sdtPr>
                            <w:alias w:val="1.3.3.2 pp."/>
                            <w:tag w:val="part_dcb17c072c06419c93a60ee1eff653cd"/>
                            <w:lock w:val="sdtLocked"/>
                            <w:richText/>
                          </w:sdtPr>
                          <w:sdtContent>
                            <w:p>
                              <w:pPr>
                                <w:spacing w:line="259" w:lineRule="auto"/>
                                <w:jc w:val="center"/>
                                <w:rPr>
                                  <w:rFonts w:ascii="Arial" w:eastAsia="Calibri" w:hAnsi="Arial" w:cs="Arial"/>
                                  <w:b/>
                                  <w:color w:val="002060"/>
                                  <w:sz w:val="22"/>
                                  <w:szCs w:val="32"/>
                                </w:rPr>
                              </w:pPr>
                              <w:sdt>
                                <w:sdtPr>
                                  <w:alias w:val="Numeris"/>
                                  <w:tag w:val="nr_dcb17c072c06419c93a60ee1eff653cd"/>
                                  <w:lock w:val="sdtLocked"/>
                                  <w:richText/>
                                </w:sdtPr>
                                <w:sdtContent>
                                  <w:r>
                                    <w:rPr>
                                      <w:rFonts w:ascii="Arial" w:eastAsia="Calibri" w:hAnsi="Arial" w:cs="Arial"/>
                                      <w:b/>
                                      <w:color w:val="002060"/>
                                      <w:sz w:val="22"/>
                                      <w:szCs w:val="32"/>
                                    </w:rPr>
                                    <w:t>1.3.3.2</w:t>
                                  </w:r>
                                </w:sdtContent>
                              </w:sdt>
                              <w:r>
                                <w:rPr>
                                  <w:rFonts w:ascii="Arial" w:eastAsia="Calibri" w:hAnsi="Arial" w:cs="Arial"/>
                                  <w:b/>
                                  <w:color w:val="002060"/>
                                  <w:sz w:val="22"/>
                                  <w:szCs w:val="32"/>
                                </w:rPr>
                                <w:t>. lentelė. Savivaldybės kontroliuojamos ir viešosios bei biudžetinės įstaigos Joniškio rajono savivaldybėje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4806"/>
                                <w:gridCol w:w="5389"/>
                              </w:tblGrid>
                              <w:tr>
                                <w:trPr>
                                  <w:trHeight w:hRule="exact" w:val="295"/>
                                  <w:jc w:val="center"/>
                                </w:trPr>
                                <w:tc>
                                  <w:tcPr>
                                    <w:tcW w:w="10195" w:type="dxa"/>
                                    <w:gridSpan w:val="2"/>
                                  </w:tcPr>
                                  <w:p>
                                    <w:pPr>
                                      <w:jc w:val="center"/>
                                      <w:rPr>
                                        <w:rFonts w:ascii="Arial" w:hAnsi="Arial" w:cs="Arial"/>
                                        <w:sz w:val="22"/>
                                      </w:rPr>
                                    </w:pPr>
                                    <w:r>
                                      <w:rPr>
                                        <w:rFonts w:ascii="Arial" w:hAnsi="Arial" w:cs="Arial"/>
                                        <w:sz w:val="20"/>
                                        <w:szCs w:val="16"/>
                                      </w:rPr>
                                      <w:t>Savivaldybės įmonės</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Algimanto Raudonikio meno mokykla</w:t>
                                    </w:r>
                                  </w:p>
                                </w:tc>
                                <w:tc>
                                  <w:tcPr>
                                    <w:tcW w:w="5389" w:type="dxa"/>
                                  </w:tcPr>
                                  <w:p>
                                    <w:pPr>
                                      <w:jc w:val="both"/>
                                      <w:rPr>
                                        <w:rFonts w:ascii="Arial" w:hAnsi="Arial" w:cs="Arial"/>
                                        <w:sz w:val="20"/>
                                      </w:rPr>
                                    </w:pPr>
                                    <w:r>
                                      <w:rPr>
                                        <w:rFonts w:ascii="Arial" w:hAnsi="Arial" w:cs="Arial"/>
                                        <w:sz w:val="20"/>
                                      </w:rPr>
                                      <w:t>Joniškio „Saulės" pagrindinė mokykla</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„Aušros“ gimnazija</w:t>
                                    </w:r>
                                  </w:p>
                                </w:tc>
                                <w:tc>
                                  <w:tcPr>
                                    <w:tcW w:w="5389" w:type="dxa"/>
                                  </w:tcPr>
                                  <w:p>
                                    <w:pPr>
                                      <w:jc w:val="both"/>
                                      <w:rPr>
                                        <w:rFonts w:ascii="Arial" w:hAnsi="Arial" w:cs="Arial"/>
                                        <w:sz w:val="20"/>
                                      </w:rPr>
                                    </w:pPr>
                                    <w:r>
                                      <w:rPr>
                                        <w:rFonts w:ascii="Arial" w:hAnsi="Arial" w:cs="Arial"/>
                                        <w:sz w:val="20"/>
                                      </w:rPr>
                                      <w:t>Joniškio vaikų darželis „Vyturėlis“</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istorijos ir kultūros muziejus</w:t>
                                    </w:r>
                                  </w:p>
                                </w:tc>
                                <w:tc>
                                  <w:tcPr>
                                    <w:tcW w:w="5389" w:type="dxa"/>
                                  </w:tcPr>
                                  <w:p>
                                    <w:pPr>
                                      <w:jc w:val="both"/>
                                      <w:rPr>
                                        <w:rFonts w:ascii="Arial" w:hAnsi="Arial" w:cs="Arial"/>
                                        <w:sz w:val="20"/>
                                      </w:rPr>
                                    </w:pPr>
                                    <w:r>
                                      <w:rPr>
                                        <w:rFonts w:ascii="Arial" w:hAnsi="Arial" w:cs="Arial"/>
                                        <w:sz w:val="20"/>
                                      </w:rPr>
                                      <w:t>Joniškio vaikų lopšelis-darželis „Ąžuoliukas“</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kultūros centras</w:t>
                                    </w:r>
                                  </w:p>
                                </w:tc>
                                <w:tc>
                                  <w:tcPr>
                                    <w:tcW w:w="5389" w:type="dxa"/>
                                  </w:tcPr>
                                  <w:p>
                                    <w:pPr>
                                      <w:jc w:val="both"/>
                                      <w:rPr>
                                        <w:rFonts w:ascii="Arial" w:hAnsi="Arial" w:cs="Arial"/>
                                        <w:sz w:val="20"/>
                                      </w:rPr>
                                    </w:pPr>
                                    <w:r>
                                      <w:rPr>
                                        <w:rFonts w:ascii="Arial" w:hAnsi="Arial" w:cs="Arial"/>
                                        <w:sz w:val="20"/>
                                      </w:rPr>
                                      <w:t>Joniškio vaikų lopšelis-darželis „Saulutė“</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Mato Slančiausko progimnazija</w:t>
                                    </w:r>
                                  </w:p>
                                </w:tc>
                                <w:tc>
                                  <w:tcPr>
                                    <w:tcW w:w="5389" w:type="dxa"/>
                                  </w:tcPr>
                                  <w:p>
                                    <w:pPr>
                                      <w:jc w:val="both"/>
                                      <w:rPr>
                                        <w:rFonts w:ascii="Arial" w:hAnsi="Arial" w:cs="Arial"/>
                                        <w:sz w:val="20"/>
                                      </w:rPr>
                                    </w:pPr>
                                    <w:r>
                                      <w:rPr>
                                        <w:rFonts w:ascii="Arial" w:hAnsi="Arial" w:cs="Arial"/>
                                        <w:sz w:val="20"/>
                                      </w:rPr>
                                      <w:t>UAB Joniškio autobusų parkas</w:t>
                                    </w:r>
                                  </w:p>
                                </w:tc>
                              </w:tr>
                              <w:tr>
                                <w:trPr>
                                  <w:trHeight w:hRule="exact" w:val="255"/>
                                  <w:jc w:val="center"/>
                                </w:trPr>
                                <w:tc>
                                  <w:tcPr>
                                    <w:tcW w:w="4806" w:type="dxa"/>
                                  </w:tcPr>
                                  <w:p>
                                    <w:pPr>
                                      <w:jc w:val="both"/>
                                      <w:rPr>
                                        <w:rFonts w:ascii="Arial" w:hAnsi="Arial" w:cs="Arial"/>
                                        <w:sz w:val="20"/>
                                      </w:rPr>
                                    </w:pPr>
                                    <w:r>
                                      <w:rPr>
                                        <w:rFonts w:ascii="Arial" w:hAnsi="Arial" w:cs="Arial"/>
                                        <w:sz w:val="20"/>
                                      </w:rPr>
                                      <w:t xml:space="preserve">Joniškio r. savivaldybės Jono Avyžiaus viešoji biblioteka </w:t>
                                    </w:r>
                                  </w:p>
                                </w:tc>
                                <w:tc>
                                  <w:tcPr>
                                    <w:tcW w:w="5389" w:type="dxa"/>
                                  </w:tcPr>
                                  <w:p>
                                    <w:pPr>
                                      <w:jc w:val="both"/>
                                      <w:rPr>
                                        <w:rFonts w:ascii="Arial" w:hAnsi="Arial" w:cs="Arial"/>
                                        <w:sz w:val="20"/>
                                      </w:rPr>
                                    </w:pPr>
                                    <w:r>
                                      <w:rPr>
                                        <w:rFonts w:ascii="Arial" w:hAnsi="Arial" w:cs="Arial"/>
                                        <w:sz w:val="20"/>
                                      </w:rPr>
                                      <w:t>UAB Joniškio butų ūkis</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rajono savivaldybės priešgaisrinė tarnyba</w:t>
                                    </w:r>
                                  </w:p>
                                </w:tc>
                                <w:tc>
                                  <w:tcPr>
                                    <w:tcW w:w="5389" w:type="dxa"/>
                                  </w:tcPr>
                                  <w:p>
                                    <w:pPr>
                                      <w:jc w:val="both"/>
                                      <w:rPr>
                                        <w:rFonts w:ascii="Arial" w:hAnsi="Arial" w:cs="Arial"/>
                                        <w:sz w:val="20"/>
                                      </w:rPr>
                                    </w:pPr>
                                    <w:r>
                                      <w:rPr>
                                        <w:rFonts w:ascii="Arial" w:hAnsi="Arial" w:cs="Arial"/>
                                        <w:sz w:val="20"/>
                                      </w:rPr>
                                      <w:t>UAB Joniškio vandenys</w:t>
                                    </w:r>
                                  </w:p>
                                </w:tc>
                              </w:tr>
                              <w:tr>
                                <w:trPr>
                                  <w:trHeight w:hRule="exact" w:val="255"/>
                                  <w:jc w:val="center"/>
                                </w:trPr>
                                <w:tc>
                                  <w:tcPr>
                                    <w:tcW w:w="4806" w:type="dxa"/>
                                  </w:tcPr>
                                  <w:p>
                                    <w:pPr>
                                      <w:jc w:val="both"/>
                                      <w:rPr>
                                        <w:rFonts w:ascii="Arial" w:hAnsi="Arial" w:cs="Arial"/>
                                        <w:sz w:val="20"/>
                                      </w:rPr>
                                    </w:pPr>
                                    <w:r>
                                      <w:rPr>
                                        <w:rFonts w:ascii="Arial" w:hAnsi="Arial" w:cs="Arial"/>
                                        <w:sz w:val="20"/>
                                      </w:rPr>
                                      <w:t>Joniškio rajono visuomenės sveikatos biuras</w:t>
                                    </w:r>
                                  </w:p>
                                </w:tc>
                                <w:tc>
                                  <w:tcPr>
                                    <w:tcW w:w="5389" w:type="dxa"/>
                                  </w:tcPr>
                                  <w:p>
                                    <w:pPr>
                                      <w:jc w:val="both"/>
                                      <w:rPr>
                                        <w:rFonts w:ascii="Arial" w:hAnsi="Arial" w:cs="Arial"/>
                                        <w:sz w:val="20"/>
                                      </w:rPr>
                                    </w:pPr>
                                    <w:r>
                                      <w:rPr>
                                        <w:rFonts w:ascii="Arial" w:hAnsi="Arial" w:cs="Arial"/>
                                        <w:sz w:val="20"/>
                                      </w:rPr>
                                      <w:t>VšĮ Joniškio ligoninė</w:t>
                                    </w:r>
                                  </w:p>
                                </w:tc>
                              </w:tr>
                              <w:tr>
                                <w:trPr>
                                  <w:trHeight w:hRule="exact" w:val="255"/>
                                  <w:jc w:val="center"/>
                                </w:trPr>
                                <w:tc>
                                  <w:tcPr>
                                    <w:tcW w:w="4806" w:type="dxa"/>
                                  </w:tcPr>
                                  <w:p>
                                    <w:pPr>
                                      <w:jc w:val="both"/>
                                      <w:rPr>
                                        <w:rFonts w:ascii="Arial" w:hAnsi="Arial" w:cs="Arial"/>
                                        <w:sz w:val="20"/>
                                      </w:rPr>
                                    </w:pPr>
                                    <w:r>
                                      <w:rPr>
                                        <w:rFonts w:ascii="Arial" w:hAnsi="Arial" w:cs="Arial"/>
                                        <w:sz w:val="20"/>
                                      </w:rPr>
                                      <w:t xml:space="preserve">Joniškio rajono vaiko ir šeimos gerovės centras </w:t>
                                    </w:r>
                                  </w:p>
                                </w:tc>
                                <w:tc>
                                  <w:tcPr>
                                    <w:tcW w:w="5389" w:type="dxa"/>
                                  </w:tcPr>
                                  <w:p>
                                    <w:pPr>
                                      <w:jc w:val="both"/>
                                      <w:rPr>
                                        <w:rFonts w:ascii="Arial" w:hAnsi="Arial" w:cs="Arial"/>
                                        <w:sz w:val="20"/>
                                      </w:rPr>
                                    </w:pPr>
                                    <w:r>
                                      <w:rPr>
                                        <w:rFonts w:ascii="Arial" w:hAnsi="Arial" w:cs="Arial"/>
                                        <w:sz w:val="20"/>
                                      </w:rPr>
                                      <w:t>VšĮ Joniškio pirminės sveikatos priežiūros centras</w:t>
                                    </w:r>
                                  </w:p>
                                </w:tc>
                              </w:tr>
                              <w:tr>
                                <w:trPr>
                                  <w:trHeight w:hRule="exact" w:val="255"/>
                                  <w:jc w:val="center"/>
                                </w:trPr>
                                <w:tc>
                                  <w:tcPr>
                                    <w:tcW w:w="4806" w:type="dxa"/>
                                  </w:tcPr>
                                  <w:p>
                                    <w:pPr>
                                      <w:jc w:val="both"/>
                                      <w:rPr>
                                        <w:rFonts w:ascii="Arial" w:hAnsi="Arial" w:cs="Arial"/>
                                        <w:sz w:val="20"/>
                                      </w:rPr>
                                    </w:pPr>
                                    <w:r>
                                      <w:rPr>
                                        <w:rFonts w:ascii="Arial" w:hAnsi="Arial" w:cs="Arial"/>
                                        <w:sz w:val="20"/>
                                      </w:rPr>
                                      <w:t xml:space="preserve">Joniškio r. pagrindinė mokykla </w:t>
                                    </w:r>
                                  </w:p>
                                </w:tc>
                                <w:tc>
                                  <w:tcPr>
                                    <w:tcW w:w="5389" w:type="dxa"/>
                                  </w:tcPr>
                                  <w:p>
                                    <w:pPr>
                                      <w:jc w:val="both"/>
                                      <w:rPr>
                                        <w:rFonts w:ascii="Arial" w:hAnsi="Arial" w:cs="Arial"/>
                                        <w:b/>
                                        <w:bCs/>
                                        <w:color w:val="FFFFFF"/>
                                        <w:sz w:val="20"/>
                                      </w:rPr>
                                    </w:pPr>
                                    <w:r>
                                      <w:rPr>
                                        <w:rFonts w:ascii="Arial" w:hAnsi="Arial" w:cs="Arial"/>
                                        <w:sz w:val="20"/>
                                      </w:rPr>
                                      <w:t>VšĮ Joniškio psichikos sveikatos centras</w:t>
                                    </w:r>
                                  </w:p>
                                </w:tc>
                              </w:tr>
                              <w:tr>
                                <w:trPr>
                                  <w:trHeight w:hRule="exact" w:val="255"/>
                                  <w:jc w:val="center"/>
                                </w:trPr>
                                <w:tc>
                                  <w:tcPr>
                                    <w:tcW w:w="4806" w:type="dxa"/>
                                  </w:tcPr>
                                  <w:p>
                                    <w:pPr>
                                      <w:rPr>
                                        <w:rFonts w:ascii="Arial" w:hAnsi="Arial" w:cs="Arial"/>
                                        <w:sz w:val="20"/>
                                      </w:rPr>
                                    </w:pPr>
                                    <w:r>
                                      <w:rPr>
                                        <w:rFonts w:ascii="Arial" w:hAnsi="Arial" w:cs="Arial"/>
                                        <w:sz w:val="20"/>
                                      </w:rPr>
                                      <w:t xml:space="preserve">Joniškio r. Skaistgirio gimnazija </w:t>
                                    </w:r>
                                  </w:p>
                                </w:tc>
                                <w:tc>
                                  <w:tcPr>
                                    <w:tcW w:w="5389" w:type="dxa"/>
                                  </w:tcPr>
                                  <w:p>
                                    <w:pPr>
                                      <w:rPr>
                                        <w:rFonts w:ascii="Arial" w:hAnsi="Arial" w:cs="Arial"/>
                                        <w:sz w:val="20"/>
                                      </w:rPr>
                                    </w:pPr>
                                    <w:r>
                                      <w:rPr>
                                        <w:rFonts w:ascii="Arial" w:hAnsi="Arial" w:cs="Arial"/>
                                        <w:sz w:val="20"/>
                                      </w:rPr>
                                      <w:t>VšĮ Joniškio turizmo ir verslo informacijos centras</w:t>
                                    </w:r>
                                  </w:p>
                                </w:tc>
                              </w:tr>
                              <w:tr>
                                <w:trPr>
                                  <w:trHeight w:hRule="exact" w:val="255"/>
                                  <w:jc w:val="center"/>
                                </w:trPr>
                                <w:tc>
                                  <w:tcPr>
                                    <w:tcW w:w="4806" w:type="dxa"/>
                                  </w:tcPr>
                                  <w:p>
                                    <w:pPr>
                                      <w:rPr>
                                        <w:rFonts w:ascii="Arial" w:hAnsi="Arial" w:cs="Arial"/>
                                        <w:sz w:val="20"/>
                                      </w:rPr>
                                    </w:pPr>
                                    <w:r>
                                      <w:rPr>
                                        <w:rFonts w:ascii="Arial" w:hAnsi="Arial" w:cs="Arial"/>
                                        <w:sz w:val="20"/>
                                      </w:rPr>
                                      <w:t xml:space="preserve">Joniškio r. Žagarės gimnazija </w:t>
                                    </w:r>
                                  </w:p>
                                </w:tc>
                                <w:tc>
                                  <w:tcPr>
                                    <w:tcW w:w="5389" w:type="dxa"/>
                                  </w:tcPr>
                                  <w:p>
                                    <w:pPr>
                                      <w:rPr>
                                        <w:rFonts w:ascii="Arial" w:hAnsi="Arial" w:cs="Arial"/>
                                        <w:sz w:val="20"/>
                                      </w:rPr>
                                    </w:pPr>
                                    <w:r>
                                      <w:rPr>
                                        <w:rFonts w:ascii="Arial" w:hAnsi="Arial" w:cs="Arial"/>
                                        <w:sz w:val="20"/>
                                      </w:rPr>
                                      <w:t>Žagarės kultūros centras</w:t>
                                    </w:r>
                                  </w:p>
                                </w:tc>
                              </w:tr>
                              <w:tr>
                                <w:trPr>
                                  <w:trHeight w:hRule="exact" w:val="255"/>
                                  <w:jc w:val="center"/>
                                </w:trPr>
                                <w:tc>
                                  <w:tcPr>
                                    <w:tcW w:w="10195" w:type="dxa"/>
                                    <w:gridSpan w:val="2"/>
                                  </w:tcPr>
                                  <w:p>
                                    <w:pPr>
                                      <w:jc w:val="center"/>
                                      <w:rPr>
                                        <w:rFonts w:ascii="Arial" w:hAnsi="Arial" w:cs="Arial"/>
                                        <w:sz w:val="20"/>
                                      </w:rPr>
                                    </w:pPr>
                                    <w:r>
                                      <w:rPr>
                                        <w:rFonts w:ascii="Arial" w:hAnsi="Arial" w:cs="Arial"/>
                                        <w:sz w:val="20"/>
                                      </w:rPr>
                                      <w:t>Žagarės specialioji mokykla</w:t>
                                    </w:r>
                                  </w:p>
                                </w:tc>
                              </w:tr>
                            </w:tbl>
                            <w:p>
                              <w:pPr>
                                <w:spacing w:line="259" w:lineRule="auto"/>
                                <w:jc w:val="center"/>
                                <w:rPr>
                                  <w:rFonts w:ascii="Arial" w:hAnsi="Arial" w:cs="Arial"/>
                                  <w:i/>
                                  <w:iCs/>
                                  <w:sz w:val="18"/>
                                  <w:szCs w:val="18"/>
                                </w:rPr>
                              </w:pPr>
                              <w:r>
                                <w:rPr>
                                  <w:rFonts w:ascii="Arial" w:hAnsi="Arial" w:cs="Arial"/>
                                  <w:i/>
                                  <w:iCs/>
                                  <w:sz w:val="18"/>
                                  <w:szCs w:val="18"/>
                                </w:rPr>
                                <w:t>Šaltinis: Joniškio rajono savivaldybės administracija</w:t>
                              </w:r>
                            </w:p>
                            <w:p>
                              <w:pPr>
                                <w:rPr>
                                  <w:sz w:val="14"/>
                                  <w:szCs w:val="14"/>
                                </w:rPr>
                              </w:pPr>
                            </w:p>
                          </w:sdtContent>
                        </w:sdt>
                      </w:sdtContent>
                    </w:sdt>
                    <w:sdt>
                      <w:sdtPr>
                        <w:alias w:val="1.3.4 pp."/>
                        <w:tag w:val="part_080515abedfb475782f701e46a7eb72c"/>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080515abedfb475782f701e46a7eb72c"/>
                              <w:lock w:val="sdtLocked"/>
                              <w:richText/>
                            </w:sdtPr>
                            <w:sdtContent>
                              <w:r>
                                <w:rPr>
                                  <w:rFonts w:ascii="Arial" w:hAnsi="Arial" w:cs="Arial"/>
                                  <w:b/>
                                  <w:color w:val="002060"/>
                                  <w:sz w:val="22"/>
                                  <w:szCs w:val="24"/>
                                </w:rPr>
                                <w:t>1.3.4</w:t>
                              </w:r>
                            </w:sdtContent>
                          </w:sdt>
                          <w:r>
                            <w:rPr>
                              <w:rFonts w:ascii="Arial" w:hAnsi="Arial" w:cs="Arial"/>
                              <w:b/>
                              <w:color w:val="002060"/>
                              <w:sz w:val="22"/>
                              <w:szCs w:val="24"/>
                            </w:rPr>
                            <w:t>. Žemės ūkio sektorius</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savivaldybėje žemės ūkio naudmenos užima 72,6 proc. visos savivaldybės ploto. Lietuvos statistikos departamento duomenimis, 2022 m. pradžioje Joniškio rajono savivaldybėje buvo auginami 9 287 galvijai, 29 463 kiaulės, 1 465 avys, 197 ožkos, 444 arkliai, 155 613 paukščiai, 738 triušiai bei 2 160 bičių šeimų.</w:t>
                          </w:r>
                        </w:p>
                        <w:p>
                          <w:pPr>
                            <w:rPr>
                              <w:sz w:val="14"/>
                              <w:szCs w:val="14"/>
                            </w:rPr>
                          </w:pPr>
                        </w:p>
                        <w:p>
                          <w:pPr>
                            <w:spacing w:line="259" w:lineRule="auto"/>
                            <w:ind w:firstLine="567"/>
                            <w:jc w:val="both"/>
                            <w:rPr>
                              <w:rFonts w:ascii="Arial" w:hAnsi="Arial" w:cs="Arial"/>
                              <w:sz w:val="22"/>
                            </w:rPr>
                          </w:pPr>
                          <w:r>
                            <w:rPr>
                              <w:rFonts w:ascii="Arial" w:hAnsi="Arial" w:cs="Arial"/>
                              <w:sz w:val="22"/>
                            </w:rPr>
                            <w:t>Bendrosios žemės ūkio produkcijos, kurią sudaro augalininkystės bei gyvulininkystės produkcija, apimtys 2021 m. siekė 129,0 mln. Eur. 2021 m. Joniškio rajono savivaldybėje 81,2 proc. bendrosios žemės ūkio produkcijos sudarė augalininkystės produktai.</w:t>
                          </w:r>
                        </w:p>
                        <w:p>
                          <w:pPr>
                            <w:rPr>
                              <w:sz w:val="14"/>
                              <w:szCs w:val="14"/>
                            </w:rPr>
                          </w:pPr>
                        </w:p>
                        <w:p>
                          <w:pPr>
                            <w:spacing w:line="259" w:lineRule="auto"/>
                            <w:ind w:firstLine="567"/>
                            <w:jc w:val="both"/>
                            <w:rPr>
                              <w:rFonts w:ascii="Arial" w:eastAsia="SegoeUI" w:hAnsi="Arial" w:cs="Arial"/>
                              <w:sz w:val="22"/>
                            </w:rPr>
                          </w:pPr>
                          <w:r>
                            <w:rPr>
                              <w:rFonts w:ascii="Arial" w:eastAsia="SegoeUI" w:hAnsi="Arial" w:cs="Arial"/>
                              <w:sz w:val="22"/>
                            </w:rPr>
                            <w:t xml:space="preserve">Žemės ūkio, miškininkystės ir žuvininkystės srityje </w:t>
                          </w:r>
                          <w:r>
                            <w:rPr>
                              <w:rFonts w:ascii="Arial" w:hAnsi="Arial" w:cs="Arial"/>
                              <w:sz w:val="22"/>
                            </w:rPr>
                            <w:t xml:space="preserve">Joniškio </w:t>
                          </w:r>
                          <w:r>
                            <w:rPr>
                              <w:rFonts w:ascii="Arial" w:eastAsia="SegoeUI" w:hAnsi="Arial" w:cs="Arial"/>
                              <w:sz w:val="22"/>
                            </w:rPr>
                            <w:t xml:space="preserve">rajono savivaldybėje (2022 metų duomenimis) veikia 63 subjektai. Nekilnojamojo turto registro 2018 m. sausio 1 d. duomenimis, </w:t>
                          </w:r>
                          <w:r>
                            <w:rPr>
                              <w:rFonts w:ascii="Arial" w:hAnsi="Arial" w:cs="Arial"/>
                              <w:sz w:val="22"/>
                            </w:rPr>
                            <w:t xml:space="preserve">Joniškio </w:t>
                          </w:r>
                          <w:r>
                            <w:rPr>
                              <w:rFonts w:ascii="Arial" w:eastAsia="SegoeUI" w:hAnsi="Arial" w:cs="Arial"/>
                              <w:sz w:val="22"/>
                            </w:rPr>
                            <w:t>rajono savivaldybėje buvo registruoti 332 žemės ūkio (fermų, ūkio, šiltnamių) paskirties pastatai, kurių bendras plotas sudarė 338 027 m</w:t>
                          </w:r>
                          <w:r>
                            <w:rPr>
                              <w:rFonts w:ascii="Arial" w:eastAsia="SegoeUI" w:hAnsi="Arial" w:cs="Arial"/>
                              <w:sz w:val="22"/>
                              <w:vertAlign w:val="superscript"/>
                            </w:rPr>
                            <w:t>2</w:t>
                          </w:r>
                          <w:r>
                            <w:rPr>
                              <w:rFonts w:ascii="Arial" w:eastAsia="SegoeUI" w:hAnsi="Arial" w:cs="Arial"/>
                              <w:sz w:val="22"/>
                            </w:rPr>
                            <w:t xml:space="preserve">. </w:t>
                          </w:r>
                        </w:p>
                        <w:p>
                          <w:pPr>
                            <w:rPr>
                              <w:sz w:val="14"/>
                              <w:szCs w:val="14"/>
                            </w:rPr>
                          </w:pPr>
                        </w:p>
                      </w:sdtContent>
                    </w:sdt>
                    <w:sdt>
                      <w:sdtPr>
                        <w:alias w:val="1.3.5 pp."/>
                        <w:tag w:val="part_51b54b9b2c754e4fad4e97e80b5b2fa8"/>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51b54b9b2c754e4fad4e97e80b5b2fa8"/>
                              <w:lock w:val="sdtLocked"/>
                              <w:richText/>
                            </w:sdtPr>
                            <w:sdtContent>
                              <w:r>
                                <w:rPr>
                                  <w:rFonts w:ascii="Arial" w:hAnsi="Arial" w:cs="Arial"/>
                                  <w:b/>
                                  <w:color w:val="002060"/>
                                  <w:sz w:val="22"/>
                                  <w:szCs w:val="24"/>
                                </w:rPr>
                                <w:t>1.3.5</w:t>
                              </w:r>
                            </w:sdtContent>
                          </w:sdt>
                          <w:r>
                            <w:rPr>
                              <w:rFonts w:ascii="Arial" w:hAnsi="Arial" w:cs="Arial"/>
                              <w:b/>
                              <w:color w:val="002060"/>
                              <w:sz w:val="22"/>
                              <w:szCs w:val="24"/>
                            </w:rPr>
                            <w:t>. Pramonės ir statybos sektorius</w:t>
                          </w:r>
                        </w:p>
                        <w:p>
                          <w:pPr>
                            <w:rPr>
                              <w:sz w:val="14"/>
                              <w:szCs w:val="14"/>
                            </w:rPr>
                          </w:pPr>
                        </w:p>
                        <w:p>
                          <w:pPr>
                            <w:spacing w:line="259" w:lineRule="auto"/>
                            <w:ind w:firstLine="567"/>
                            <w:jc w:val="both"/>
                            <w:rPr>
                              <w:rFonts w:ascii="Arial" w:eastAsia="SegoeUI" w:hAnsi="Arial" w:cs="Arial"/>
                              <w:sz w:val="22"/>
                            </w:rPr>
                          </w:pPr>
                          <w:r>
                            <w:rPr>
                              <w:rFonts w:ascii="Arial" w:hAnsi="Arial" w:cs="Arial"/>
                              <w:sz w:val="22"/>
                            </w:rPr>
                            <w:t xml:space="preserve">Pramonės sektoriui priskiriamos įmonės, pagal tarptautinę energetikos metodologiją priklausančios šioms EVRK 2 red. veiklos rūšims (išskyrus veiklos rūšis, priklausančias energetikos sektoriui): 1) kasyba ir karjerų eksploatavimas; 2) apdirbamoji gamyba. Pagal AIE planų rengimo metodiką prie pramonės sektoriaus priskiriamas ir statybos sektorius. Atsižvelgiant į tokį suskirstymą, Joniškio rajono savivaldybėje 2022 m. pradžioje veikė 44 statybos įmonės ir sudarė 6,8 proc. visų Joniškio rajono savivaldybėje veikiančių ūkio subjektų. Taip pat veikė 37 pramonės įmonės. Taigi, bendrai pagal AIE rengimo metodiką Joniškio rajono savivaldybėje veikė 81 pramonės sektoriaus įmonė (žr. </w:t>
                          </w:r>
                          <w:r>
                            <w:rPr>
                              <w:rFonts w:ascii="Arial" w:eastAsia="SegoeUI" w:hAnsi="Arial" w:cs="Arial"/>
                              <w:sz w:val="22"/>
                            </w:rPr>
                            <w:t>1.3.5.1.</w:t>
                          </w:r>
                          <w:r>
                            <w:rPr>
                              <w:rFonts w:ascii="Arial" w:hAnsi="Arial" w:cs="Arial"/>
                              <w:sz w:val="22"/>
                            </w:rPr>
                            <w:t xml:space="preserve"> lentelę). </w:t>
                          </w:r>
                          <w:r>
                            <w:rPr>
                              <w:rFonts w:ascii="Arial" w:eastAsia="SegoeUI" w:hAnsi="Arial" w:cs="Arial"/>
                              <w:sz w:val="22"/>
                            </w:rPr>
                            <w:t xml:space="preserve">Statistikos departamento duomenimis 2022 metų pradžioje Joniškio rajono savivaldybėje pagal skirtingas ekonomines veiklos rūšis veiklą vykdė 648 ūkio subjektai. </w:t>
                          </w:r>
                        </w:p>
                        <w:p>
                          <w:pPr>
                            <w:rPr>
                              <w:sz w:val="14"/>
                              <w:szCs w:val="14"/>
                            </w:rPr>
                          </w:pPr>
                        </w:p>
                        <w:p>
                          <w:pPr>
                            <w:spacing w:line="259" w:lineRule="auto"/>
                            <w:jc w:val="both"/>
                            <w:rPr>
                              <w:rFonts w:ascii="Arial" w:eastAsia="SegoeUI" w:hAnsi="Arial" w:cs="Arial"/>
                              <w:sz w:val="22"/>
                            </w:rPr>
                          </w:pPr>
                        </w:p>
                        <w:p>
                          <w:pPr>
                            <w:rPr>
                              <w:sz w:val="14"/>
                              <w:szCs w:val="14"/>
                            </w:rPr>
                          </w:pPr>
                        </w:p>
                        <w:sdt>
                          <w:sdtPr>
                            <w:alias w:val="1.3.5.1 pp."/>
                            <w:tag w:val="part_2c5828afb9244a18ba7a34678c9c7116"/>
                            <w:lock w:val="sdtLocked"/>
                            <w:richText/>
                          </w:sdtPr>
                          <w:sdtContent>
                            <w:p>
                              <w:pPr>
                                <w:spacing w:line="259" w:lineRule="auto"/>
                                <w:jc w:val="center"/>
                                <w:rPr>
                                  <w:rFonts w:ascii="Arial" w:eastAsia="Calibri" w:hAnsi="Arial" w:cs="Arial"/>
                                  <w:b/>
                                  <w:color w:val="002060"/>
                                  <w:sz w:val="22"/>
                                  <w:szCs w:val="32"/>
                                </w:rPr>
                              </w:pPr>
                              <w:sdt>
                                <w:sdtPr>
                                  <w:alias w:val="Numeris"/>
                                  <w:tag w:val="nr_2c5828afb9244a18ba7a34678c9c7116"/>
                                  <w:lock w:val="sdtLocked"/>
                                  <w:richText/>
                                </w:sdtPr>
                                <w:sdtContent>
                                  <w:r>
                                    <w:rPr>
                                      <w:rFonts w:ascii="Arial" w:eastAsia="Calibri" w:hAnsi="Arial" w:cs="Arial"/>
                                      <w:b/>
                                      <w:color w:val="002060"/>
                                      <w:sz w:val="22"/>
                                      <w:szCs w:val="32"/>
                                    </w:rPr>
                                    <w:t>1.3.5.1</w:t>
                                  </w:r>
                                </w:sdtContent>
                              </w:sdt>
                              <w:r>
                                <w:rPr>
                                  <w:rFonts w:ascii="Arial" w:eastAsia="Calibri" w:hAnsi="Arial" w:cs="Arial"/>
                                  <w:b/>
                                  <w:color w:val="002060"/>
                                  <w:sz w:val="22"/>
                                  <w:szCs w:val="32"/>
                                </w:rPr>
                                <w:t>. lentelė. Pramonės ir statybos sektoriaus įmonių skaičius Joniškio rajono savivaldybėje 2017–2022 m.</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3151"/>
                                <w:gridCol w:w="661"/>
                                <w:gridCol w:w="661"/>
                                <w:gridCol w:w="661"/>
                                <w:gridCol w:w="661"/>
                                <w:gridCol w:w="661"/>
                              </w:tblGrid>
                              <w:tr>
                                <w:trPr>
                                  <w:trHeight w:hRule="exact" w:val="284"/>
                                  <w:jc w:val="center"/>
                                </w:trPr>
                                <w:tc>
                                  <w:tcPr>
                                    <w:tcW w:w="0" w:type="auto"/>
                                    <w:hideMark/>
                                  </w:tcPr>
                                  <w:p>
                                    <w:pPr>
                                      <w:spacing w:line="259" w:lineRule="auto"/>
                                      <w:ind w:firstLine="62"/>
                                      <w:rPr>
                                        <w:rFonts w:ascii="Arial" w:hAnsi="Arial" w:cs="Arial"/>
                                        <w:sz w:val="22"/>
                                        <w:lang w:eastAsia="lt-LT"/>
                                      </w:rPr>
                                    </w:pPr>
                                  </w:p>
                                </w:tc>
                                <w:tc>
                                  <w:tcPr>
                                    <w:tcW w:w="0" w:type="auto"/>
                                  </w:tcPr>
                                  <w:p>
                                    <w:pPr>
                                      <w:spacing w:line="259" w:lineRule="auto"/>
                                      <w:jc w:val="center"/>
                                      <w:rPr>
                                        <w:rFonts w:ascii="Arial" w:hAnsi="Arial" w:cs="Arial"/>
                                        <w:sz w:val="20"/>
                                        <w:lang w:eastAsia="lt-LT"/>
                                      </w:rPr>
                                    </w:pPr>
                                    <w:r>
                                      <w:rPr>
                                        <w:rFonts w:ascii="Arial" w:hAnsi="Arial" w:cs="Arial"/>
                                        <w:sz w:val="20"/>
                                      </w:rPr>
                                      <w:t>2018</w:t>
                                    </w:r>
                                  </w:p>
                                </w:tc>
                                <w:tc>
                                  <w:tcPr>
                                    <w:tcW w:w="0" w:type="auto"/>
                                    <w:hideMark/>
                                  </w:tcPr>
                                  <w:p>
                                    <w:pPr>
                                      <w:spacing w:line="259" w:lineRule="auto"/>
                                      <w:jc w:val="center"/>
                                      <w:rPr>
                                        <w:rFonts w:ascii="Arial" w:hAnsi="Arial" w:cs="Arial"/>
                                        <w:sz w:val="20"/>
                                        <w:lang w:eastAsia="lt-LT"/>
                                      </w:rPr>
                                    </w:pPr>
                                    <w:r>
                                      <w:rPr>
                                        <w:rFonts w:ascii="Arial" w:hAnsi="Arial" w:cs="Arial"/>
                                        <w:sz w:val="20"/>
                                      </w:rPr>
                                      <w:t>2019</w:t>
                                    </w:r>
                                  </w:p>
                                </w:tc>
                                <w:tc>
                                  <w:tcPr>
                                    <w:tcW w:w="0" w:type="auto"/>
                                    <w:hideMark/>
                                  </w:tcPr>
                                  <w:p>
                                    <w:pPr>
                                      <w:spacing w:line="259" w:lineRule="auto"/>
                                      <w:jc w:val="center"/>
                                      <w:rPr>
                                        <w:rFonts w:ascii="Arial" w:hAnsi="Arial" w:cs="Arial"/>
                                        <w:sz w:val="20"/>
                                        <w:lang w:eastAsia="lt-LT"/>
                                      </w:rPr>
                                    </w:pPr>
                                    <w:r>
                                      <w:rPr>
                                        <w:rFonts w:ascii="Arial" w:hAnsi="Arial" w:cs="Arial"/>
                                        <w:sz w:val="20"/>
                                      </w:rPr>
                                      <w:t>2020</w:t>
                                    </w:r>
                                  </w:p>
                                </w:tc>
                                <w:tc>
                                  <w:tcPr>
                                    <w:tcW w:w="0" w:type="auto"/>
                                    <w:hideMark/>
                                  </w:tcPr>
                                  <w:p>
                                    <w:pPr>
                                      <w:spacing w:line="259" w:lineRule="auto"/>
                                      <w:jc w:val="center"/>
                                      <w:rPr>
                                        <w:rFonts w:ascii="Arial" w:hAnsi="Arial" w:cs="Arial"/>
                                        <w:sz w:val="20"/>
                                        <w:lang w:eastAsia="lt-LT"/>
                                      </w:rPr>
                                    </w:pPr>
                                    <w:r>
                                      <w:rPr>
                                        <w:rFonts w:ascii="Arial" w:hAnsi="Arial" w:cs="Arial"/>
                                        <w:sz w:val="20"/>
                                      </w:rPr>
                                      <w:t>2021</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2022</w:t>
                                    </w:r>
                                  </w:p>
                                </w:tc>
                              </w:tr>
                              <w:tr>
                                <w:trPr>
                                  <w:trHeight w:hRule="exact" w:val="284"/>
                                  <w:jc w:val="center"/>
                                </w:trPr>
                                <w:tc>
                                  <w:tcPr>
                                    <w:tcW w:w="0" w:type="auto"/>
                                    <w:hideMark/>
                                  </w:tcPr>
                                  <w:p>
                                    <w:pPr>
                                      <w:spacing w:line="259" w:lineRule="auto"/>
                                      <w:rPr>
                                        <w:rFonts w:ascii="Arial" w:hAnsi="Arial" w:cs="Arial"/>
                                        <w:sz w:val="20"/>
                                        <w:lang w:eastAsia="lt-LT"/>
                                      </w:rPr>
                                    </w:pPr>
                                    <w:r>
                                      <w:rPr>
                                        <w:rFonts w:ascii="Arial" w:hAnsi="Arial" w:cs="Arial"/>
                                        <w:sz w:val="20"/>
                                        <w:lang w:eastAsia="lt-LT"/>
                                      </w:rPr>
                                      <w:t>Kasyba ir karjerų eksploatavimas</w:t>
                                    </w:r>
                                  </w:p>
                                </w:tc>
                                <w:tc>
                                  <w:tcPr>
                                    <w:tcW w:w="0" w:type="auto"/>
                                  </w:tcPr>
                                  <w:p>
                                    <w:pPr>
                                      <w:spacing w:line="259" w:lineRule="auto"/>
                                      <w:jc w:val="center"/>
                                      <w:rPr>
                                        <w:rFonts w:ascii="Arial" w:hAnsi="Arial" w:cs="Arial"/>
                                        <w:sz w:val="20"/>
                                        <w:lang w:eastAsia="lt-LT"/>
                                      </w:rPr>
                                    </w:pPr>
                                    <w:r>
                                      <w:rPr>
                                        <w:rFonts w:ascii="Arial" w:hAnsi="Arial" w:cs="Arial"/>
                                        <w:sz w:val="20"/>
                                        <w:lang w:eastAsia="lt-LT"/>
                                      </w:rPr>
                                      <w:t>2</w:t>
                                    </w:r>
                                  </w:p>
                                </w:tc>
                                <w:tc>
                                  <w:tcPr>
                                    <w:tcW w:w="0" w:type="auto"/>
                                  </w:tcPr>
                                  <w:p>
                                    <w:pPr>
                                      <w:spacing w:line="259" w:lineRule="auto"/>
                                      <w:jc w:val="center"/>
                                      <w:rPr>
                                        <w:rFonts w:ascii="Arial" w:hAnsi="Arial" w:cs="Arial"/>
                                        <w:sz w:val="20"/>
                                        <w:lang w:eastAsia="lt-LT"/>
                                      </w:rPr>
                                    </w:pPr>
                                    <w:r>
                                      <w:rPr>
                                        <w:rFonts w:ascii="Arial" w:hAnsi="Arial" w:cs="Arial"/>
                                        <w:sz w:val="20"/>
                                        <w:lang w:eastAsia="lt-LT"/>
                                      </w:rPr>
                                      <w:t>2</w:t>
                                    </w:r>
                                  </w:p>
                                </w:tc>
                                <w:tc>
                                  <w:tcPr>
                                    <w:tcW w:w="0" w:type="auto"/>
                                  </w:tcPr>
                                  <w:p>
                                    <w:pPr>
                                      <w:spacing w:line="259" w:lineRule="auto"/>
                                      <w:jc w:val="center"/>
                                      <w:rPr>
                                        <w:rFonts w:ascii="Arial" w:hAnsi="Arial" w:cs="Arial"/>
                                        <w:sz w:val="20"/>
                                        <w:lang w:eastAsia="lt-LT"/>
                                      </w:rPr>
                                    </w:pPr>
                                    <w:r>
                                      <w:rPr>
                                        <w:rFonts w:ascii="Arial" w:hAnsi="Arial" w:cs="Arial"/>
                                        <w:sz w:val="20"/>
                                        <w:lang w:eastAsia="lt-LT"/>
                                      </w:rPr>
                                      <w:t>2</w:t>
                                    </w:r>
                                  </w:p>
                                </w:tc>
                                <w:tc>
                                  <w:tcPr>
                                    <w:tcW w:w="0" w:type="auto"/>
                                  </w:tcPr>
                                  <w:p>
                                    <w:pPr>
                                      <w:spacing w:line="259" w:lineRule="auto"/>
                                      <w:jc w:val="center"/>
                                      <w:rPr>
                                        <w:rFonts w:ascii="Arial" w:hAnsi="Arial" w:cs="Arial"/>
                                        <w:sz w:val="20"/>
                                        <w:lang w:eastAsia="lt-LT"/>
                                      </w:rPr>
                                    </w:pPr>
                                    <w:r>
                                      <w:rPr>
                                        <w:rFonts w:ascii="Arial" w:hAnsi="Arial" w:cs="Arial"/>
                                        <w:sz w:val="20"/>
                                        <w:lang w:eastAsia="lt-LT"/>
                                      </w:rPr>
                                      <w:t>2</w:t>
                                    </w:r>
                                  </w:p>
                                </w:tc>
                                <w:tc>
                                  <w:tcPr>
                                    <w:tcW w:w="0" w:type="auto"/>
                                  </w:tcPr>
                                  <w:p>
                                    <w:pPr>
                                      <w:spacing w:line="259" w:lineRule="auto"/>
                                      <w:jc w:val="center"/>
                                      <w:rPr>
                                        <w:rFonts w:ascii="Arial" w:hAnsi="Arial" w:cs="Arial"/>
                                        <w:sz w:val="20"/>
                                        <w:lang w:eastAsia="lt-LT"/>
                                      </w:rPr>
                                    </w:pPr>
                                    <w:r>
                                      <w:rPr>
                                        <w:rFonts w:ascii="Arial" w:hAnsi="Arial" w:cs="Arial"/>
                                        <w:sz w:val="20"/>
                                        <w:lang w:eastAsia="lt-LT"/>
                                      </w:rPr>
                                      <w:t>2</w:t>
                                    </w:r>
                                  </w:p>
                                </w:tc>
                              </w:tr>
                              <w:tr>
                                <w:trPr>
                                  <w:trHeight w:hRule="exact" w:val="284"/>
                                  <w:jc w:val="center"/>
                                </w:trPr>
                                <w:tc>
                                  <w:tcPr>
                                    <w:tcW w:w="0" w:type="auto"/>
                                    <w:hideMark/>
                                  </w:tcPr>
                                  <w:p>
                                    <w:pPr>
                                      <w:spacing w:line="259" w:lineRule="auto"/>
                                      <w:rPr>
                                        <w:rFonts w:ascii="Arial" w:hAnsi="Arial" w:cs="Arial"/>
                                        <w:sz w:val="20"/>
                                        <w:lang w:eastAsia="lt-LT"/>
                                      </w:rPr>
                                    </w:pPr>
                                    <w:r>
                                      <w:rPr>
                                        <w:rFonts w:ascii="Arial" w:hAnsi="Arial" w:cs="Arial"/>
                                        <w:sz w:val="20"/>
                                        <w:lang w:eastAsia="lt-LT"/>
                                      </w:rPr>
                                      <w:t>Apdirbamoji gamyba</w:t>
                                    </w:r>
                                  </w:p>
                                </w:tc>
                                <w:tc>
                                  <w:tcPr>
                                    <w:tcW w:w="0" w:type="auto"/>
                                  </w:tcPr>
                                  <w:p>
                                    <w:pPr>
                                      <w:spacing w:line="259" w:lineRule="auto"/>
                                      <w:jc w:val="center"/>
                                      <w:rPr>
                                        <w:rFonts w:ascii="Arial" w:hAnsi="Arial" w:cs="Arial"/>
                                        <w:sz w:val="20"/>
                                        <w:lang w:eastAsia="lt-LT"/>
                                      </w:rPr>
                                    </w:pPr>
                                    <w:r>
                                      <w:rPr>
                                        <w:rFonts w:ascii="Arial" w:hAnsi="Arial" w:cs="Arial"/>
                                        <w:sz w:val="20"/>
                                      </w:rPr>
                                      <w:t>37</w:t>
                                    </w:r>
                                  </w:p>
                                </w:tc>
                                <w:tc>
                                  <w:tcPr>
                                    <w:tcW w:w="0" w:type="auto"/>
                                  </w:tcPr>
                                  <w:p>
                                    <w:pPr>
                                      <w:spacing w:line="259" w:lineRule="auto"/>
                                      <w:jc w:val="center"/>
                                      <w:rPr>
                                        <w:rFonts w:ascii="Arial" w:hAnsi="Arial" w:cs="Arial"/>
                                        <w:sz w:val="20"/>
                                        <w:lang w:eastAsia="lt-LT"/>
                                      </w:rPr>
                                    </w:pPr>
                                    <w:r>
                                      <w:rPr>
                                        <w:rFonts w:ascii="Arial" w:hAnsi="Arial" w:cs="Arial"/>
                                        <w:sz w:val="20"/>
                                      </w:rPr>
                                      <w:t>33</w:t>
                                    </w:r>
                                  </w:p>
                                </w:tc>
                                <w:tc>
                                  <w:tcPr>
                                    <w:tcW w:w="0" w:type="auto"/>
                                  </w:tcPr>
                                  <w:p>
                                    <w:pPr>
                                      <w:spacing w:line="259" w:lineRule="auto"/>
                                      <w:jc w:val="center"/>
                                      <w:rPr>
                                        <w:rFonts w:ascii="Arial" w:hAnsi="Arial" w:cs="Arial"/>
                                        <w:sz w:val="20"/>
                                        <w:lang w:eastAsia="lt-LT"/>
                                      </w:rPr>
                                    </w:pPr>
                                    <w:r>
                                      <w:rPr>
                                        <w:rFonts w:ascii="Arial" w:hAnsi="Arial" w:cs="Arial"/>
                                        <w:sz w:val="20"/>
                                      </w:rPr>
                                      <w:t>41</w:t>
                                    </w:r>
                                  </w:p>
                                </w:tc>
                                <w:tc>
                                  <w:tcPr>
                                    <w:tcW w:w="0" w:type="auto"/>
                                  </w:tcPr>
                                  <w:p>
                                    <w:pPr>
                                      <w:spacing w:line="259" w:lineRule="auto"/>
                                      <w:jc w:val="center"/>
                                      <w:rPr>
                                        <w:rFonts w:ascii="Arial" w:hAnsi="Arial" w:cs="Arial"/>
                                        <w:sz w:val="20"/>
                                        <w:lang w:eastAsia="lt-LT"/>
                                      </w:rPr>
                                    </w:pPr>
                                    <w:r>
                                      <w:rPr>
                                        <w:rFonts w:ascii="Arial" w:hAnsi="Arial" w:cs="Arial"/>
                                        <w:sz w:val="20"/>
                                      </w:rPr>
                                      <w:t>35</w:t>
                                    </w:r>
                                  </w:p>
                                </w:tc>
                                <w:tc>
                                  <w:tcPr>
                                    <w:tcW w:w="0" w:type="auto"/>
                                  </w:tcPr>
                                  <w:p>
                                    <w:pPr>
                                      <w:spacing w:line="259" w:lineRule="auto"/>
                                      <w:jc w:val="center"/>
                                      <w:rPr>
                                        <w:rFonts w:ascii="Arial" w:hAnsi="Arial" w:cs="Arial"/>
                                        <w:sz w:val="20"/>
                                        <w:lang w:eastAsia="lt-LT"/>
                                      </w:rPr>
                                    </w:pPr>
                                    <w:r>
                                      <w:rPr>
                                        <w:rFonts w:ascii="Arial" w:hAnsi="Arial" w:cs="Arial"/>
                                        <w:sz w:val="20"/>
                                      </w:rPr>
                                      <w:t>35</w:t>
                                    </w:r>
                                  </w:p>
                                </w:tc>
                              </w:tr>
                              <w:tr>
                                <w:trPr>
                                  <w:trHeight w:hRule="exact" w:val="284"/>
                                  <w:jc w:val="center"/>
                                </w:trPr>
                                <w:tc>
                                  <w:tcPr>
                                    <w:tcW w:w="0" w:type="auto"/>
                                    <w:hideMark/>
                                  </w:tcPr>
                                  <w:p>
                                    <w:pPr>
                                      <w:spacing w:line="259" w:lineRule="auto"/>
                                      <w:rPr>
                                        <w:rFonts w:ascii="Arial" w:hAnsi="Arial" w:cs="Arial"/>
                                        <w:sz w:val="20"/>
                                        <w:lang w:eastAsia="lt-LT"/>
                                      </w:rPr>
                                    </w:pPr>
                                    <w:r>
                                      <w:rPr>
                                        <w:rFonts w:ascii="Arial" w:hAnsi="Arial" w:cs="Arial"/>
                                        <w:sz w:val="20"/>
                                        <w:lang w:eastAsia="lt-LT"/>
                                      </w:rPr>
                                      <w:t>Statyba</w:t>
                                    </w:r>
                                  </w:p>
                                </w:tc>
                                <w:tc>
                                  <w:tcPr>
                                    <w:tcW w:w="0" w:type="auto"/>
                                  </w:tcPr>
                                  <w:p>
                                    <w:pPr>
                                      <w:spacing w:line="259" w:lineRule="auto"/>
                                      <w:jc w:val="center"/>
                                      <w:rPr>
                                        <w:rFonts w:ascii="Arial" w:hAnsi="Arial" w:cs="Arial"/>
                                        <w:sz w:val="20"/>
                                        <w:lang w:eastAsia="lt-LT"/>
                                      </w:rPr>
                                    </w:pPr>
                                    <w:r>
                                      <w:rPr>
                                        <w:rFonts w:ascii="Arial" w:hAnsi="Arial" w:cs="Arial"/>
                                        <w:sz w:val="20"/>
                                      </w:rPr>
                                      <w:t>33</w:t>
                                    </w:r>
                                  </w:p>
                                </w:tc>
                                <w:tc>
                                  <w:tcPr>
                                    <w:tcW w:w="0" w:type="auto"/>
                                  </w:tcPr>
                                  <w:p>
                                    <w:pPr>
                                      <w:spacing w:line="259" w:lineRule="auto"/>
                                      <w:jc w:val="center"/>
                                      <w:rPr>
                                        <w:rFonts w:ascii="Arial" w:hAnsi="Arial" w:cs="Arial"/>
                                        <w:sz w:val="20"/>
                                        <w:lang w:eastAsia="lt-LT"/>
                                      </w:rPr>
                                    </w:pPr>
                                    <w:r>
                                      <w:rPr>
                                        <w:rFonts w:ascii="Arial" w:hAnsi="Arial" w:cs="Arial"/>
                                        <w:sz w:val="20"/>
                                      </w:rPr>
                                      <w:t>36</w:t>
                                    </w:r>
                                  </w:p>
                                </w:tc>
                                <w:tc>
                                  <w:tcPr>
                                    <w:tcW w:w="0" w:type="auto"/>
                                  </w:tcPr>
                                  <w:p>
                                    <w:pPr>
                                      <w:spacing w:line="259" w:lineRule="auto"/>
                                      <w:jc w:val="center"/>
                                      <w:rPr>
                                        <w:rFonts w:ascii="Arial" w:hAnsi="Arial" w:cs="Arial"/>
                                        <w:sz w:val="20"/>
                                        <w:lang w:eastAsia="lt-LT"/>
                                      </w:rPr>
                                    </w:pPr>
                                    <w:r>
                                      <w:rPr>
                                        <w:rFonts w:ascii="Arial" w:hAnsi="Arial" w:cs="Arial"/>
                                        <w:sz w:val="20"/>
                                      </w:rPr>
                                      <w:t>38</w:t>
                                    </w:r>
                                  </w:p>
                                </w:tc>
                                <w:tc>
                                  <w:tcPr>
                                    <w:tcW w:w="0" w:type="auto"/>
                                  </w:tcPr>
                                  <w:p>
                                    <w:pPr>
                                      <w:spacing w:line="259" w:lineRule="auto"/>
                                      <w:jc w:val="center"/>
                                      <w:rPr>
                                        <w:rFonts w:ascii="Arial" w:hAnsi="Arial" w:cs="Arial"/>
                                        <w:sz w:val="20"/>
                                        <w:lang w:eastAsia="lt-LT"/>
                                      </w:rPr>
                                    </w:pPr>
                                    <w:r>
                                      <w:rPr>
                                        <w:rFonts w:ascii="Arial" w:hAnsi="Arial" w:cs="Arial"/>
                                        <w:sz w:val="20"/>
                                      </w:rPr>
                                      <w:t>37</w:t>
                                    </w:r>
                                  </w:p>
                                </w:tc>
                                <w:tc>
                                  <w:tcPr>
                                    <w:tcW w:w="0" w:type="auto"/>
                                  </w:tcPr>
                                  <w:p>
                                    <w:pPr>
                                      <w:spacing w:line="259" w:lineRule="auto"/>
                                      <w:jc w:val="center"/>
                                      <w:rPr>
                                        <w:rFonts w:ascii="Arial" w:hAnsi="Arial" w:cs="Arial"/>
                                        <w:sz w:val="20"/>
                                        <w:lang w:eastAsia="lt-LT"/>
                                      </w:rPr>
                                    </w:pPr>
                                    <w:r>
                                      <w:rPr>
                                        <w:rFonts w:ascii="Arial" w:hAnsi="Arial" w:cs="Arial"/>
                                        <w:sz w:val="20"/>
                                      </w:rPr>
                                      <w:t>44</w:t>
                                    </w:r>
                                  </w:p>
                                </w:tc>
                              </w:tr>
                              <w:tr>
                                <w:trPr>
                                  <w:trHeight w:hRule="exact" w:val="284"/>
                                  <w:jc w:val="center"/>
                                </w:trPr>
                                <w:tc>
                                  <w:tcPr>
                                    <w:tcW w:w="0" w:type="auto"/>
                                    <w:hideMark/>
                                  </w:tcPr>
                                  <w:p>
                                    <w:pPr>
                                      <w:spacing w:line="259" w:lineRule="auto"/>
                                      <w:rPr>
                                        <w:rFonts w:ascii="Arial" w:hAnsi="Arial" w:cs="Arial"/>
                                        <w:sz w:val="20"/>
                                        <w:lang w:eastAsia="lt-LT"/>
                                      </w:rPr>
                                    </w:pPr>
                                    <w:r>
                                      <w:rPr>
                                        <w:rFonts w:ascii="Arial" w:hAnsi="Arial" w:cs="Arial"/>
                                        <w:sz w:val="20"/>
                                        <w:lang w:eastAsia="lt-LT"/>
                                      </w:rPr>
                                      <w:t>Viso</w:t>
                                    </w:r>
                                  </w:p>
                                </w:tc>
                                <w:tc>
                                  <w:tcPr>
                                    <w:tcW w:w="0" w:type="auto"/>
                                    <w:noWrap/>
                                  </w:tcPr>
                                  <w:p>
                                    <w:pPr>
                                      <w:spacing w:line="259" w:lineRule="auto"/>
                                      <w:jc w:val="center"/>
                                      <w:rPr>
                                        <w:rFonts w:ascii="Arial" w:hAnsi="Arial" w:cs="Arial"/>
                                        <w:b/>
                                        <w:bCs/>
                                        <w:sz w:val="20"/>
                                        <w:lang w:eastAsia="lt-LT"/>
                                      </w:rPr>
                                    </w:pPr>
                                    <w:r>
                                      <w:rPr>
                                        <w:rFonts w:ascii="Arial" w:hAnsi="Arial" w:cs="Arial"/>
                                        <w:b/>
                                        <w:bCs/>
                                        <w:sz w:val="20"/>
                                        <w:lang w:eastAsia="lt-LT"/>
                                      </w:rPr>
                                      <w:t>72</w:t>
                                    </w:r>
                                  </w:p>
                                </w:tc>
                                <w:tc>
                                  <w:tcPr>
                                    <w:tcW w:w="0" w:type="auto"/>
                                    <w:noWrap/>
                                  </w:tcPr>
                                  <w:p>
                                    <w:pPr>
                                      <w:spacing w:line="259" w:lineRule="auto"/>
                                      <w:jc w:val="center"/>
                                      <w:rPr>
                                        <w:rFonts w:ascii="Arial" w:hAnsi="Arial" w:cs="Arial"/>
                                        <w:b/>
                                        <w:bCs/>
                                        <w:sz w:val="20"/>
                                        <w:lang w:eastAsia="lt-LT"/>
                                      </w:rPr>
                                    </w:pPr>
                                    <w:r>
                                      <w:rPr>
                                        <w:rFonts w:ascii="Arial" w:hAnsi="Arial" w:cs="Arial"/>
                                        <w:b/>
                                        <w:bCs/>
                                        <w:sz w:val="20"/>
                                        <w:lang w:eastAsia="lt-LT"/>
                                      </w:rPr>
                                      <w:t>71</w:t>
                                    </w:r>
                                  </w:p>
                                </w:tc>
                                <w:tc>
                                  <w:tcPr>
                                    <w:tcW w:w="0" w:type="auto"/>
                                    <w:noWrap/>
                                  </w:tcPr>
                                  <w:p>
                                    <w:pPr>
                                      <w:spacing w:line="259" w:lineRule="auto"/>
                                      <w:jc w:val="center"/>
                                      <w:rPr>
                                        <w:rFonts w:ascii="Arial" w:hAnsi="Arial" w:cs="Arial"/>
                                        <w:b/>
                                        <w:bCs/>
                                        <w:sz w:val="20"/>
                                        <w:lang w:eastAsia="lt-LT"/>
                                      </w:rPr>
                                    </w:pPr>
                                    <w:r>
                                      <w:rPr>
                                        <w:rFonts w:ascii="Arial" w:hAnsi="Arial" w:cs="Arial"/>
                                        <w:b/>
                                        <w:bCs/>
                                        <w:sz w:val="20"/>
                                        <w:lang w:eastAsia="lt-LT"/>
                                      </w:rPr>
                                      <w:t>81</w:t>
                                    </w:r>
                                  </w:p>
                                </w:tc>
                                <w:tc>
                                  <w:tcPr>
                                    <w:tcW w:w="0" w:type="auto"/>
                                    <w:noWrap/>
                                  </w:tcPr>
                                  <w:p>
                                    <w:pPr>
                                      <w:spacing w:line="259" w:lineRule="auto"/>
                                      <w:jc w:val="center"/>
                                      <w:rPr>
                                        <w:rFonts w:ascii="Arial" w:hAnsi="Arial" w:cs="Arial"/>
                                        <w:b/>
                                        <w:bCs/>
                                        <w:sz w:val="20"/>
                                        <w:lang w:eastAsia="lt-LT"/>
                                      </w:rPr>
                                    </w:pPr>
                                    <w:r>
                                      <w:rPr>
                                        <w:rFonts w:ascii="Arial" w:hAnsi="Arial" w:cs="Arial"/>
                                        <w:b/>
                                        <w:bCs/>
                                        <w:sz w:val="20"/>
                                        <w:lang w:eastAsia="lt-LT"/>
                                      </w:rPr>
                                      <w:t>74</w:t>
                                    </w:r>
                                  </w:p>
                                </w:tc>
                                <w:tc>
                                  <w:tcPr>
                                    <w:tcW w:w="0" w:type="auto"/>
                                    <w:noWrap/>
                                  </w:tcPr>
                                  <w:p>
                                    <w:pPr>
                                      <w:spacing w:line="259" w:lineRule="auto"/>
                                      <w:jc w:val="center"/>
                                      <w:rPr>
                                        <w:rFonts w:ascii="Arial" w:hAnsi="Arial" w:cs="Arial"/>
                                        <w:b/>
                                        <w:bCs/>
                                        <w:sz w:val="20"/>
                                        <w:lang w:eastAsia="lt-LT"/>
                                      </w:rPr>
                                    </w:pPr>
                                    <w:r>
                                      <w:rPr>
                                        <w:rFonts w:ascii="Arial" w:hAnsi="Arial" w:cs="Arial"/>
                                        <w:b/>
                                        <w:bCs/>
                                        <w:sz w:val="20"/>
                                        <w:lang w:eastAsia="lt-LT"/>
                                      </w:rPr>
                                      <w:t>81</w:t>
                                    </w:r>
                                  </w:p>
                                </w:tc>
                              </w:tr>
                            </w:tbl>
                            <w:p>
                              <w:pPr>
                                <w:spacing w:line="259" w:lineRule="auto"/>
                                <w:jc w:val="center"/>
                                <w:rPr>
                                  <w:rFonts w:ascii="Arial" w:hAnsi="Arial" w:cs="Arial"/>
                                  <w:i/>
                                  <w:iCs/>
                                  <w:sz w:val="18"/>
                                  <w:szCs w:val="18"/>
                                </w:rPr>
                              </w:pPr>
                              <w:r>
                                <w:rPr>
                                  <w:rFonts w:ascii="Arial" w:hAnsi="Arial" w:cs="Arial"/>
                                  <w:i/>
                                  <w:iCs/>
                                  <w:sz w:val="18"/>
                                  <w:szCs w:val="18"/>
                                </w:rPr>
                                <w:t>Šaltinis: Lietuvos statistikos departamento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savivaldybėje 2022 m. daugiausiai veikiančių ūkio subjektų pagal ekonominės veiklos rūšių klasifikatorių (EVRK) veikė didmeninės ir mažmeninės prekybos bei variklinių transporto ir motociklų remonto veiklose. Taip pat didelė dalis veikiančių ūkio subjektų Joniškio rajono savivaldybėje užsiėmė kita aptarnavimo veikla, kas dešimtas ūkio subjektas vertėsi transporto ir saugojimo veikla. </w:t>
                              </w:r>
                            </w:p>
                            <w:p>
                              <w:pPr>
                                <w:rPr>
                                  <w:sz w:val="14"/>
                                  <w:szCs w:val="14"/>
                                </w:rPr>
                              </w:pPr>
                            </w:p>
                            <w:p>
                              <w:pPr>
                                <w:spacing w:line="259" w:lineRule="auto"/>
                                <w:ind w:firstLine="567"/>
                                <w:jc w:val="both"/>
                                <w:rPr>
                                  <w:rFonts w:ascii="Arial" w:hAnsi="Arial" w:cs="Arial"/>
                                  <w:sz w:val="22"/>
                                </w:rPr>
                              </w:pPr>
                              <w:r>
                                <w:rPr>
                                  <w:rFonts w:ascii="Arial" w:hAnsi="Arial" w:cs="Arial"/>
                                  <w:sz w:val="22"/>
                                </w:rPr>
                                <w:t>Remiantis VĮ Registrų centro duomenimis, 2018 m. pradžioje Joniškio rajono savivaldybėje buvo registruoti 1 686 gamybos, pramonės, sandėliavimo, transporto ir garažų paskirties pastatai (488 941 m</w:t>
                              </w:r>
                              <w:r>
                                <w:rPr>
                                  <w:rFonts w:ascii="Arial" w:hAnsi="Arial" w:cs="Arial"/>
                                  <w:sz w:val="22"/>
                                  <w:vertAlign w:val="superscript"/>
                                </w:rPr>
                                <w:t>2</w:t>
                              </w:r>
                              <w:r>
                                <w:rPr>
                                  <w:rFonts w:ascii="Arial" w:hAnsi="Arial" w:cs="Arial"/>
                                  <w:sz w:val="22"/>
                                </w:rPr>
                                <w:t>), iš kurių 43 nuosavybės teise priklausė valstybei, 30 pastatų – savivaldybei (žr. 1.3.5.2. lentelę).</w:t>
                              </w:r>
                            </w:p>
                            <w:p>
                              <w:pPr>
                                <w:rPr>
                                  <w:sz w:val="14"/>
                                  <w:szCs w:val="14"/>
                                </w:rPr>
                              </w:pPr>
                            </w:p>
                          </w:sdtContent>
                        </w:sdt>
                        <w:sdt>
                          <w:sdtPr>
                            <w:alias w:val="1.3.5.2 pp."/>
                            <w:tag w:val="part_77549f95310b42b7a7c89183d068b8d1"/>
                            <w:lock w:val="sdtLocked"/>
                            <w:richText/>
                          </w:sdtPr>
                          <w:sdtContent>
                            <w:p>
                              <w:pPr>
                                <w:spacing w:line="259" w:lineRule="auto"/>
                                <w:jc w:val="center"/>
                                <w:rPr>
                                  <w:rFonts w:ascii="Arial" w:eastAsia="Calibri" w:hAnsi="Arial" w:cs="Arial"/>
                                  <w:b/>
                                  <w:color w:val="002060"/>
                                  <w:sz w:val="22"/>
                                  <w:szCs w:val="32"/>
                                </w:rPr>
                              </w:pPr>
                              <w:sdt>
                                <w:sdtPr>
                                  <w:alias w:val="Numeris"/>
                                  <w:tag w:val="nr_77549f95310b42b7a7c89183d068b8d1"/>
                                  <w:lock w:val="sdtLocked"/>
                                  <w:richText/>
                                </w:sdtPr>
                                <w:sdtContent>
                                  <w:r>
                                    <w:rPr>
                                      <w:rFonts w:ascii="Arial" w:eastAsia="SegoeUI" w:hAnsi="Arial" w:cs="Arial"/>
                                      <w:b/>
                                      <w:color w:val="002060"/>
                                      <w:sz w:val="22"/>
                                      <w:szCs w:val="32"/>
                                    </w:rPr>
                                    <w:t>1.3.5.2</w:t>
                                  </w:r>
                                </w:sdtContent>
                              </w:sdt>
                              <w:r>
                                <w:rPr>
                                  <w:rFonts w:ascii="Arial" w:eastAsia="SegoeUI" w:hAnsi="Arial" w:cs="Arial"/>
                                  <w:b/>
                                  <w:color w:val="002060"/>
                                  <w:sz w:val="22"/>
                                  <w:szCs w:val="32"/>
                                </w:rPr>
                                <w:t xml:space="preserve">. </w:t>
                              </w:r>
                              <w:r>
                                <w:rPr>
                                  <w:rFonts w:ascii="Arial" w:eastAsia="Calibri" w:hAnsi="Arial" w:cs="Arial"/>
                                  <w:b/>
                                  <w:color w:val="002060"/>
                                  <w:sz w:val="22"/>
                                  <w:szCs w:val="32"/>
                                </w:rPr>
                                <w:t>lentelė. Joniškio rajono savivaldybėje įregistruoti pramonės sektoriaus pastatai</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ayout w:type="fixed"/>
                                <w:tblLook w:val="04A0" w:firstRow="1" w:lastRow="0" w:firstColumn="1" w:lastColumn="0" w:noHBand="0" w:noVBand="1"/>
                              </w:tblPr>
                              <w:tblGrid>
                                <w:gridCol w:w="3403"/>
                                <w:gridCol w:w="992"/>
                                <w:gridCol w:w="1843"/>
                                <w:gridCol w:w="1025"/>
                                <w:gridCol w:w="1101"/>
                                <w:gridCol w:w="1008"/>
                                <w:gridCol w:w="1112"/>
                              </w:tblGrid>
                              <w:tr>
                                <w:trPr>
                                  <w:trHeight w:val="300"/>
                                  <w:jc w:val="center"/>
                                </w:trPr>
                                <w:tc>
                                  <w:tcPr>
                                    <w:tcW w:w="6238" w:type="dxa"/>
                                    <w:gridSpan w:val="3"/>
                                    <w:hideMark/>
                                  </w:tcPr>
                                  <w:p>
                                    <w:pPr>
                                      <w:ind w:firstLine="57"/>
                                      <w:jc w:val="center"/>
                                      <w:rPr>
                                        <w:rFonts w:ascii="Arial" w:hAnsi="Arial" w:cs="Arial"/>
                                        <w:color w:val="000000"/>
                                        <w:sz w:val="20"/>
                                        <w:lang w:eastAsia="lt-LT"/>
                                      </w:rPr>
                                    </w:pPr>
                                  </w:p>
                                </w:tc>
                                <w:tc>
                                  <w:tcPr>
                                    <w:tcW w:w="2126" w:type="dxa"/>
                                    <w:gridSpan w:val="2"/>
                                    <w:hideMark/>
                                  </w:tcPr>
                                  <w:p>
                                    <w:pPr>
                                      <w:jc w:val="center"/>
                                      <w:rPr>
                                        <w:rFonts w:ascii="Arial" w:hAnsi="Arial" w:cs="Arial"/>
                                        <w:color w:val="000000"/>
                                        <w:sz w:val="20"/>
                                        <w:lang w:eastAsia="lt-LT"/>
                                      </w:rPr>
                                    </w:pPr>
                                    <w:r>
                                      <w:rPr>
                                        <w:rFonts w:ascii="Arial" w:hAnsi="Arial" w:cs="Arial"/>
                                        <w:sz w:val="20"/>
                                        <w:lang w:eastAsia="lt-LT"/>
                                      </w:rPr>
                                      <w:t>Valstybės nuosavybė</w:t>
                                    </w:r>
                                  </w:p>
                                </w:tc>
                                <w:tc>
                                  <w:tcPr>
                                    <w:tcW w:w="2120" w:type="dxa"/>
                                    <w:gridSpan w:val="2"/>
                                    <w:hideMark/>
                                  </w:tcPr>
                                  <w:p>
                                    <w:pPr>
                                      <w:jc w:val="center"/>
                                      <w:rPr>
                                        <w:rFonts w:ascii="Arial" w:hAnsi="Arial" w:cs="Arial"/>
                                        <w:color w:val="000000"/>
                                        <w:sz w:val="20"/>
                                        <w:lang w:eastAsia="lt-LT"/>
                                      </w:rPr>
                                    </w:pPr>
                                    <w:r>
                                      <w:rPr>
                                        <w:rFonts w:ascii="Arial" w:hAnsi="Arial" w:cs="Arial"/>
                                        <w:sz w:val="20"/>
                                        <w:lang w:eastAsia="lt-LT"/>
                                      </w:rPr>
                                      <w:t>Savivaldybės nuosavybė</w:t>
                                    </w:r>
                                  </w:p>
                                </w:tc>
                              </w:tr>
                              <w:tr>
                                <w:trPr>
                                  <w:trHeight w:val="324"/>
                                  <w:jc w:val="center"/>
                                </w:trPr>
                                <w:tc>
                                  <w:tcPr>
                                    <w:tcW w:w="3403" w:type="dxa"/>
                                    <w:hideMark/>
                                  </w:tcPr>
                                  <w:p>
                                    <w:pPr>
                                      <w:jc w:val="center"/>
                                      <w:rPr>
                                        <w:rFonts w:ascii="Arial" w:hAnsi="Arial" w:cs="Arial"/>
                                        <w:color w:val="000000"/>
                                        <w:sz w:val="20"/>
                                        <w:lang w:eastAsia="lt-LT"/>
                                      </w:rPr>
                                    </w:pPr>
                                    <w:r>
                                      <w:rPr>
                                        <w:rFonts w:ascii="Arial" w:hAnsi="Arial" w:cs="Arial"/>
                                        <w:color w:val="000000"/>
                                        <w:sz w:val="20"/>
                                        <w:lang w:eastAsia="lt-LT"/>
                                      </w:rPr>
                                      <w:t>Pastato tipas</w:t>
                                    </w:r>
                                  </w:p>
                                </w:tc>
                                <w:tc>
                                  <w:tcPr>
                                    <w:tcW w:w="992" w:type="dxa"/>
                                    <w:hideMark/>
                                  </w:tcPr>
                                  <w:p>
                                    <w:pPr>
                                      <w:jc w:val="center"/>
                                      <w:rPr>
                                        <w:rFonts w:ascii="Arial" w:hAnsi="Arial" w:cs="Arial"/>
                                        <w:color w:val="000000"/>
                                        <w:sz w:val="20"/>
                                        <w:lang w:eastAsia="lt-LT"/>
                                      </w:rPr>
                                    </w:pPr>
                                    <w:r>
                                      <w:rPr>
                                        <w:rFonts w:ascii="Arial" w:hAnsi="Arial" w:cs="Arial"/>
                                        <w:color w:val="000000"/>
                                        <w:sz w:val="20"/>
                                        <w:lang w:eastAsia="lt-LT"/>
                                      </w:rPr>
                                      <w:t>Skaičius</w:t>
                                    </w:r>
                                  </w:p>
                                </w:tc>
                                <w:tc>
                                  <w:tcPr>
                                    <w:tcW w:w="1843" w:type="dxa"/>
                                    <w:hideMark/>
                                  </w:tcPr>
                                  <w:p>
                                    <w:pPr>
                                      <w:jc w:val="center"/>
                                      <w:rPr>
                                        <w:rFonts w:ascii="Arial" w:hAnsi="Arial" w:cs="Arial"/>
                                        <w:color w:val="000000"/>
                                        <w:sz w:val="20"/>
                                        <w:lang w:eastAsia="lt-LT"/>
                                      </w:rPr>
                                    </w:pPr>
                                    <w:r>
                                      <w:rPr>
                                        <w:rFonts w:ascii="Arial" w:eastAsia="SegoeUI" w:hAnsi="Arial" w:cs="Arial"/>
                                        <w:color w:val="000000"/>
                                        <w:sz w:val="20"/>
                                        <w:lang w:eastAsia="lt-LT"/>
                                      </w:rPr>
                                      <w:t>Bendrasis plotas, m</w:t>
                                    </w:r>
                                    <w:r>
                                      <w:rPr>
                                        <w:rFonts w:ascii="Arial" w:eastAsia="SegoeUI" w:hAnsi="Arial" w:cs="Arial"/>
                                        <w:color w:val="000000"/>
                                        <w:sz w:val="20"/>
                                        <w:vertAlign w:val="superscript"/>
                                        <w:lang w:eastAsia="lt-LT"/>
                                      </w:rPr>
                                      <w:t>2</w:t>
                                    </w:r>
                                  </w:p>
                                </w:tc>
                                <w:tc>
                                  <w:tcPr>
                                    <w:tcW w:w="1025" w:type="dxa"/>
                                    <w:hideMark/>
                                  </w:tcPr>
                                  <w:p>
                                    <w:pPr>
                                      <w:jc w:val="center"/>
                                      <w:rPr>
                                        <w:rFonts w:ascii="Arial" w:hAnsi="Arial" w:cs="Arial"/>
                                        <w:color w:val="000000"/>
                                        <w:sz w:val="20"/>
                                        <w:lang w:eastAsia="lt-LT"/>
                                      </w:rPr>
                                    </w:pPr>
                                    <w:r>
                                      <w:rPr>
                                        <w:rFonts w:ascii="Arial" w:hAnsi="Arial" w:cs="Arial"/>
                                        <w:color w:val="000000"/>
                                        <w:sz w:val="20"/>
                                        <w:lang w:eastAsia="lt-LT"/>
                                      </w:rPr>
                                      <w:t>Skaičius</w:t>
                                    </w:r>
                                  </w:p>
                                </w:tc>
                                <w:tc>
                                  <w:tcPr>
                                    <w:tcW w:w="1101" w:type="dxa"/>
                                    <w:hideMark/>
                                  </w:tcPr>
                                  <w:p>
                                    <w:pPr>
                                      <w:jc w:val="center"/>
                                      <w:rPr>
                                        <w:rFonts w:ascii="Arial" w:hAnsi="Arial" w:cs="Arial"/>
                                        <w:color w:val="000000"/>
                                        <w:sz w:val="20"/>
                                        <w:lang w:eastAsia="lt-LT"/>
                                      </w:rPr>
                                    </w:pPr>
                                    <w:r>
                                      <w:rPr>
                                        <w:rFonts w:ascii="Arial" w:hAnsi="Arial" w:cs="Arial"/>
                                        <w:color w:val="000000"/>
                                        <w:sz w:val="20"/>
                                        <w:lang w:eastAsia="lt-LT"/>
                                      </w:rPr>
                                      <w:t>Plotas, m</w:t>
                                    </w:r>
                                    <w:r>
                                      <w:rPr>
                                        <w:rFonts w:ascii="Arial" w:hAnsi="Arial" w:cs="Arial"/>
                                        <w:color w:val="000000"/>
                                        <w:sz w:val="20"/>
                                        <w:vertAlign w:val="superscript"/>
                                        <w:lang w:eastAsia="lt-LT"/>
                                      </w:rPr>
                                      <w:t>2</w:t>
                                    </w:r>
                                  </w:p>
                                </w:tc>
                                <w:tc>
                                  <w:tcPr>
                                    <w:tcW w:w="1008" w:type="dxa"/>
                                    <w:hideMark/>
                                  </w:tcPr>
                                  <w:p>
                                    <w:pPr>
                                      <w:jc w:val="center"/>
                                      <w:rPr>
                                        <w:rFonts w:ascii="Arial" w:hAnsi="Arial" w:cs="Arial"/>
                                        <w:color w:val="000000"/>
                                        <w:sz w:val="20"/>
                                        <w:lang w:eastAsia="lt-LT"/>
                                      </w:rPr>
                                    </w:pPr>
                                    <w:r>
                                      <w:rPr>
                                        <w:rFonts w:ascii="Arial" w:hAnsi="Arial" w:cs="Arial"/>
                                        <w:color w:val="000000"/>
                                        <w:sz w:val="20"/>
                                        <w:lang w:eastAsia="lt-LT"/>
                                      </w:rPr>
                                      <w:t>Skaičius</w:t>
                                    </w:r>
                                  </w:p>
                                </w:tc>
                                <w:tc>
                                  <w:tcPr>
                                    <w:tcW w:w="1112" w:type="dxa"/>
                                    <w:hideMark/>
                                  </w:tcPr>
                                  <w:p>
                                    <w:pPr>
                                      <w:jc w:val="center"/>
                                      <w:rPr>
                                        <w:rFonts w:ascii="Arial" w:hAnsi="Arial" w:cs="Arial"/>
                                        <w:color w:val="000000"/>
                                        <w:sz w:val="20"/>
                                        <w:lang w:eastAsia="lt-LT"/>
                                      </w:rPr>
                                    </w:pPr>
                                    <w:r>
                                      <w:rPr>
                                        <w:rFonts w:ascii="Arial" w:hAnsi="Arial" w:cs="Arial"/>
                                        <w:color w:val="000000"/>
                                        <w:sz w:val="20"/>
                                        <w:lang w:eastAsia="lt-LT"/>
                                      </w:rPr>
                                      <w:t>Plotas, m</w:t>
                                    </w:r>
                                    <w:r>
                                      <w:rPr>
                                        <w:rFonts w:ascii="Arial" w:hAnsi="Arial" w:cs="Arial"/>
                                        <w:color w:val="000000"/>
                                        <w:sz w:val="20"/>
                                        <w:vertAlign w:val="superscript"/>
                                        <w:lang w:eastAsia="lt-LT"/>
                                      </w:rPr>
                                      <w:t>2</w:t>
                                    </w:r>
                                  </w:p>
                                </w:tc>
                              </w:tr>
                              <w:tr>
                                <w:trPr>
                                  <w:trHeight w:hRule="exact" w:val="779"/>
                                  <w:jc w:val="center"/>
                                </w:trPr>
                                <w:tc>
                                  <w:tcPr>
                                    <w:tcW w:w="3403" w:type="dxa"/>
                                    <w:hideMark/>
                                  </w:tcPr>
                                  <w:p>
                                    <w:pPr>
                                      <w:rPr>
                                        <w:rFonts w:ascii="Arial" w:hAnsi="Arial" w:cs="Arial"/>
                                        <w:sz w:val="20"/>
                                        <w:lang w:eastAsia="lt-LT"/>
                                      </w:rPr>
                                    </w:pPr>
                                    <w:r>
                                      <w:rPr>
                                        <w:rFonts w:ascii="Arial" w:hAnsi="Arial" w:cs="Arial"/>
                                        <w:sz w:val="20"/>
                                        <w:lang w:eastAsia="lt-LT"/>
                                      </w:rPr>
                                      <w:t>Gamybos, pramonės, sandėliavimo, transporto ir garažų paskirties pastatai</w:t>
                                    </w:r>
                                  </w:p>
                                </w:tc>
                                <w:tc>
                                  <w:tcPr>
                                    <w:tcW w:w="992" w:type="dxa"/>
                                    <w:hideMark/>
                                  </w:tcPr>
                                  <w:p>
                                    <w:pPr>
                                      <w:jc w:val="center"/>
                                      <w:rPr>
                                        <w:rFonts w:ascii="Arial" w:hAnsi="Arial" w:cs="Arial"/>
                                        <w:color w:val="000000"/>
                                        <w:sz w:val="20"/>
                                        <w:lang w:eastAsia="lt-LT"/>
                                      </w:rPr>
                                    </w:pPr>
                                    <w:r>
                                      <w:rPr>
                                        <w:rFonts w:ascii="Arial" w:hAnsi="Arial" w:cs="Arial"/>
                                        <w:sz w:val="20"/>
                                      </w:rPr>
                                      <w:t>1 686</w:t>
                                    </w:r>
                                  </w:p>
                                </w:tc>
                                <w:tc>
                                  <w:tcPr>
                                    <w:tcW w:w="1843" w:type="dxa"/>
                                    <w:hideMark/>
                                  </w:tcPr>
                                  <w:p>
                                    <w:pPr>
                                      <w:jc w:val="center"/>
                                      <w:rPr>
                                        <w:rFonts w:ascii="Arial" w:hAnsi="Arial" w:cs="Arial"/>
                                        <w:color w:val="000000"/>
                                        <w:sz w:val="20"/>
                                        <w:lang w:eastAsia="lt-LT"/>
                                      </w:rPr>
                                    </w:pPr>
                                    <w:r>
                                      <w:rPr>
                                        <w:rFonts w:ascii="Arial" w:hAnsi="Arial" w:cs="Arial"/>
                                        <w:sz w:val="20"/>
                                      </w:rPr>
                                      <w:t>488 941</w:t>
                                    </w:r>
                                  </w:p>
                                </w:tc>
                                <w:tc>
                                  <w:tcPr>
                                    <w:tcW w:w="1025" w:type="dxa"/>
                                    <w:hideMark/>
                                  </w:tcPr>
                                  <w:p>
                                    <w:pPr>
                                      <w:jc w:val="center"/>
                                      <w:rPr>
                                        <w:rFonts w:ascii="Arial" w:hAnsi="Arial" w:cs="Arial"/>
                                        <w:color w:val="000000"/>
                                        <w:sz w:val="20"/>
                                        <w:lang w:eastAsia="lt-LT"/>
                                      </w:rPr>
                                    </w:pPr>
                                    <w:r>
                                      <w:rPr>
                                        <w:rFonts w:ascii="Arial" w:hAnsi="Arial" w:cs="Arial"/>
                                        <w:sz w:val="20"/>
                                      </w:rPr>
                                      <w:t>43</w:t>
                                    </w:r>
                                  </w:p>
                                </w:tc>
                                <w:tc>
                                  <w:tcPr>
                                    <w:tcW w:w="1101" w:type="dxa"/>
                                    <w:hideMark/>
                                  </w:tcPr>
                                  <w:p>
                                    <w:pPr>
                                      <w:jc w:val="center"/>
                                      <w:rPr>
                                        <w:rFonts w:ascii="Arial" w:hAnsi="Arial" w:cs="Arial"/>
                                        <w:color w:val="000000"/>
                                        <w:sz w:val="20"/>
                                        <w:lang w:eastAsia="lt-LT"/>
                                      </w:rPr>
                                    </w:pPr>
                                    <w:r>
                                      <w:rPr>
                                        <w:rFonts w:ascii="Arial" w:hAnsi="Arial" w:cs="Arial"/>
                                        <w:sz w:val="20"/>
                                      </w:rPr>
                                      <w:t>16 006</w:t>
                                    </w:r>
                                  </w:p>
                                </w:tc>
                                <w:tc>
                                  <w:tcPr>
                                    <w:tcW w:w="1008" w:type="dxa"/>
                                    <w:hideMark/>
                                  </w:tcPr>
                                  <w:p>
                                    <w:pPr>
                                      <w:jc w:val="center"/>
                                      <w:rPr>
                                        <w:rFonts w:ascii="Arial" w:hAnsi="Arial" w:cs="Arial"/>
                                        <w:color w:val="000000"/>
                                        <w:sz w:val="20"/>
                                        <w:lang w:eastAsia="lt-LT"/>
                                      </w:rPr>
                                    </w:pPr>
                                    <w:r>
                                      <w:rPr>
                                        <w:rFonts w:ascii="Arial" w:hAnsi="Arial" w:cs="Arial"/>
                                        <w:sz w:val="20"/>
                                      </w:rPr>
                                      <w:t>30</w:t>
                                    </w:r>
                                  </w:p>
                                </w:tc>
                                <w:tc>
                                  <w:tcPr>
                                    <w:tcW w:w="1112" w:type="dxa"/>
                                    <w:hideMark/>
                                  </w:tcPr>
                                  <w:p>
                                    <w:pPr>
                                      <w:jc w:val="center"/>
                                      <w:rPr>
                                        <w:rFonts w:ascii="Arial" w:hAnsi="Arial" w:cs="Arial"/>
                                        <w:color w:val="000000"/>
                                        <w:sz w:val="20"/>
                                        <w:lang w:eastAsia="lt-LT"/>
                                      </w:rPr>
                                    </w:pPr>
                                    <w:r>
                                      <w:rPr>
                                        <w:rFonts w:ascii="Arial" w:hAnsi="Arial" w:cs="Arial"/>
                                        <w:sz w:val="20"/>
                                      </w:rPr>
                                      <w:t>2 507</w:t>
                                    </w:r>
                                  </w:p>
                                </w:tc>
                              </w:tr>
                            </w:tbl>
                            <w:p>
                              <w:pPr>
                                <w:spacing w:line="259" w:lineRule="auto"/>
                                <w:jc w:val="center"/>
                                <w:rPr>
                                  <w:rFonts w:ascii="Arial" w:hAnsi="Arial" w:cs="Arial"/>
                                  <w:i/>
                                  <w:iCs/>
                                  <w:sz w:val="18"/>
                                  <w:szCs w:val="18"/>
                                </w:rPr>
                              </w:pPr>
                              <w:r>
                                <w:rPr>
                                  <w:rFonts w:ascii="Arial" w:hAnsi="Arial" w:cs="Arial"/>
                                  <w:i/>
                                  <w:iCs/>
                                  <w:sz w:val="18"/>
                                  <w:szCs w:val="18"/>
                                </w:rPr>
                                <w:t>Šaltinis: VĮ Registrų centro duomenys</w:t>
                              </w:r>
                            </w:p>
                            <w:p>
                              <w:pPr>
                                <w:rPr>
                                  <w:sz w:val="14"/>
                                  <w:szCs w:val="14"/>
                                </w:rPr>
                              </w:pPr>
                            </w:p>
                          </w:sdtContent>
                        </w:sdt>
                      </w:sdtContent>
                    </w:sdt>
                    <w:sdt>
                      <w:sdtPr>
                        <w:alias w:val="1.3.6 pp."/>
                        <w:tag w:val="part_7f76be64b286465eb8d0c370f220c377"/>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7f76be64b286465eb8d0c370f220c377"/>
                              <w:lock w:val="sdtLocked"/>
                              <w:richText/>
                            </w:sdtPr>
                            <w:sdtContent>
                              <w:r>
                                <w:rPr>
                                  <w:rFonts w:ascii="Arial" w:hAnsi="Arial" w:cs="Arial"/>
                                  <w:b/>
                                  <w:color w:val="002060"/>
                                  <w:sz w:val="22"/>
                                  <w:szCs w:val="24"/>
                                </w:rPr>
                                <w:t>1.3.6</w:t>
                              </w:r>
                            </w:sdtContent>
                          </w:sdt>
                          <w:r>
                            <w:rPr>
                              <w:rFonts w:ascii="Arial" w:hAnsi="Arial" w:cs="Arial"/>
                              <w:b/>
                              <w:color w:val="002060"/>
                              <w:sz w:val="22"/>
                              <w:szCs w:val="24"/>
                            </w:rPr>
                            <w:t>. Transporto sektorius</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savivaldybę kerta 1 europinė magistralė (Pskovas–Ryga– Šiauliai–Karaliaučius (Kaliningradas)–Varšuva–Krokuva–Budapeštas). Iš krašto kelių, kertančių savivaldybę, ilgiausias – Joniškis–Žeimelis–Pasvalys (Lietuvos automobilių kelių direkcija 2022). Joniškio rajono teritoriją kerta geležinkelio linija Talinas–Varšuva (Joniškio rajono savivaldybė 2022, Joniškio rajono savivaldybės 2021–2027 metų strateginės plėtros planas). Joniškio rajono savivaldybės teritorijoje yra valstybinės ir vietinės reikšmės keliai, E kategorijos (E77) ir automagistralė (A12). Kelių ilgis Joniškio rajono savivaldybėje Lietuvos statistikos departamento duomenimis 2016 m. buvo 1416 km, 2017 m. – 1416 km, 2018 m. – 1380 km, 2019 m. – 1380 km, 2020 m. – 1380 km. Valstybinės reikšmės kelių ilgis 2020 m. buvo 401 km, o vietinės reikšmės – 980 km. 2020 m. Lietuvos statistikos departamento duomenimis, kelių su danga ilgis buvo 1373 km, iš jų valstybinės reikšmės – 401 km, vietinės reikšmės – 972 km. Kelių su patobulinta danga bendras ilgis 2020 m. buvo 400 km, iš jų valstybinės reikšmės – 245 km, vietinės reikšmės – 155 km. Žvyro kelių bendras ilgis 2020 m. buvo 973 km, iš jų valstybinės reikšmės – 155 km, vietinės reikšmės – 155 km. Grunto kelių bendras ilgis 2020 m. buvo 7 km, iš jų valstybinės reikšmės – 0 km, vietinės reikšmės – 7 km</w:t>
                          </w:r>
                        </w:p>
                        <w:p>
                          <w:pPr>
                            <w:rPr>
                              <w:sz w:val="14"/>
                              <w:szCs w:val="14"/>
                            </w:rPr>
                          </w:pPr>
                        </w:p>
                        <w:p>
                          <w:pPr>
                            <w:spacing w:line="259" w:lineRule="auto"/>
                            <w:ind w:firstLine="567"/>
                            <w:jc w:val="both"/>
                            <w:rPr>
                              <w:rFonts w:ascii="Arial" w:hAnsi="Arial" w:cs="Arial"/>
                              <w:sz w:val="22"/>
                            </w:rPr>
                          </w:pPr>
                          <w:r>
                            <w:rPr>
                              <w:rFonts w:ascii="Arial" w:hAnsi="Arial" w:cs="Arial"/>
                              <w:sz w:val="22"/>
                            </w:rPr>
                            <w:t>Keleivių vežimo autobusais vietinio (priemiestinio), tolimojo reguliaraus susisiekimo kelių transporto maršrutais ir užsakomaisiais, specialiaisiais reisais paslaugas Joniškio rajono savivaldybėje teikia UAB „Joniškio autobusų parkas“. Per ilgus bendrovės veiklos metus buvo suformuotas keleiviams patogus autobusų maršrutų tinklas, kuris sudarytas taip, kad praktiškai nepersėdus iš vieno autobuso į kitą, galima būtų nuvykti į bet kokį norimą rajoną. Bendrovės autobusai keleivius veža 21 priemiesčio ir 5 tolimojo susisiekimo maršrutais, kuriais įstaigos autobusai per metus nuvažiuoja virš 675 tūkst. km.</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savivaldybėje įregistruotų transporto priemonių skaičius kasmet didėja. Regitra pateikia įregistruotų transporto priemonių skaičių, pagal degalų rūšį ir savivaldybes (2022 m. liepos 1 d. duomenys). Regitros duomenimis, Joniškio rajono savivaldybėje 2022 metų liepos pradžioje buvo registruota 15 951 vnt. kelių transporto priemonių, kas sudarė 0,9 proc. nuo bendro Lietuvoje registruotų transporto priemonių skaičiaus ir 7,7 proc. nuo bendro Šiaulių apskrityje registruotų transporto priemonių skaičiaus. Augantis automobilizacijos lygis Joniškio rajono savivaldybėje rodo, kad gyventojai mažiau naudojasi viešuoju arbe be varikliniu transportu. </w:t>
                          </w:r>
                        </w:p>
                        <w:p>
                          <w:pPr>
                            <w:rPr>
                              <w:sz w:val="14"/>
                              <w:szCs w:val="14"/>
                            </w:rPr>
                          </w:pPr>
                        </w:p>
                        <w:sdt>
                          <w:sdtPr>
                            <w:alias w:val="1.3.6.1 pp."/>
                            <w:tag w:val="part_ec3c666cfc2d406e822206f0d730c16f"/>
                            <w:lock w:val="sdtLocked"/>
                            <w:richText/>
                          </w:sdtPr>
                          <w:sdtContent>
                            <w:p>
                              <w:pPr>
                                <w:spacing w:line="259" w:lineRule="auto"/>
                                <w:jc w:val="center"/>
                                <w:rPr>
                                  <w:rFonts w:ascii="Arial" w:eastAsia="Calibri" w:hAnsi="Arial" w:cs="Arial"/>
                                  <w:b/>
                                  <w:color w:val="002060"/>
                                  <w:sz w:val="22"/>
                                  <w:szCs w:val="32"/>
                                </w:rPr>
                              </w:pPr>
                              <w:sdt>
                                <w:sdtPr>
                                  <w:alias w:val="Numeris"/>
                                  <w:tag w:val="nr_ec3c666cfc2d406e822206f0d730c16f"/>
                                  <w:lock w:val="sdtLocked"/>
                                  <w:richText/>
                                </w:sdtPr>
                                <w:sdtContent>
                                  <w:r>
                                    <w:rPr>
                                      <w:rFonts w:ascii="Arial" w:eastAsia="Calibri" w:hAnsi="Arial" w:cs="Arial"/>
                                      <w:b/>
                                      <w:color w:val="002060"/>
                                      <w:sz w:val="22"/>
                                      <w:szCs w:val="32"/>
                                    </w:rPr>
                                    <w:t>1.3.6.1</w:t>
                                  </w:r>
                                </w:sdtContent>
                              </w:sdt>
                              <w:r>
                                <w:rPr>
                                  <w:rFonts w:ascii="Arial" w:eastAsia="Calibri" w:hAnsi="Arial" w:cs="Arial"/>
                                  <w:b/>
                                  <w:color w:val="002060"/>
                                  <w:sz w:val="22"/>
                                  <w:szCs w:val="32"/>
                                </w:rPr>
                                <w:t>. lentelė. Transporto priemonių registracija Joniškio rajono savivaldybėje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547"/>
                                <w:gridCol w:w="1134"/>
                                <w:gridCol w:w="1276"/>
                                <w:gridCol w:w="1139"/>
                                <w:gridCol w:w="1795"/>
                              </w:tblGrid>
                              <w:tr>
                                <w:trPr>
                                  <w:trHeight w:val="288"/>
                                  <w:jc w:val="center"/>
                                </w:trPr>
                                <w:tc>
                                  <w:tcPr>
                                    <w:tcW w:w="2547" w:type="dxa"/>
                                    <w:noWrap/>
                                    <w:hideMark/>
                                  </w:tcPr>
                                  <w:p>
                                    <w:pPr>
                                      <w:rPr>
                                        <w:rFonts w:ascii="Arial" w:hAnsi="Arial" w:cs="Arial"/>
                                        <w:sz w:val="20"/>
                                        <w:lang w:eastAsia="lt-LT"/>
                                      </w:rPr>
                                    </w:pPr>
                                    <w:r>
                                      <w:rPr>
                                        <w:rFonts w:ascii="Arial" w:hAnsi="Arial" w:cs="Arial"/>
                                        <w:sz w:val="20"/>
                                      </w:rPr>
                                      <w:t>Kategorija</w:t>
                                    </w:r>
                                  </w:p>
                                </w:tc>
                                <w:tc>
                                  <w:tcPr>
                                    <w:tcW w:w="1134" w:type="dxa"/>
                                    <w:hideMark/>
                                  </w:tcPr>
                                  <w:p>
                                    <w:pPr>
                                      <w:jc w:val="center"/>
                                      <w:rPr>
                                        <w:rFonts w:ascii="Arial" w:hAnsi="Arial" w:cs="Arial"/>
                                        <w:sz w:val="20"/>
                                        <w:lang w:eastAsia="lt-LT"/>
                                      </w:rPr>
                                    </w:pPr>
                                    <w:r>
                                      <w:rPr>
                                        <w:rFonts w:ascii="Arial" w:hAnsi="Arial" w:cs="Arial"/>
                                        <w:sz w:val="20"/>
                                        <w:lang w:eastAsia="lt-LT"/>
                                      </w:rPr>
                                      <w:t>Benzinas</w:t>
                                    </w:r>
                                  </w:p>
                                </w:tc>
                                <w:tc>
                                  <w:tcPr>
                                    <w:tcW w:w="1276" w:type="dxa"/>
                                    <w:hideMark/>
                                  </w:tcPr>
                                  <w:p>
                                    <w:pPr>
                                      <w:jc w:val="center"/>
                                      <w:rPr>
                                        <w:rFonts w:ascii="Arial" w:hAnsi="Arial" w:cs="Arial"/>
                                        <w:sz w:val="20"/>
                                        <w:lang w:eastAsia="lt-LT"/>
                                      </w:rPr>
                                    </w:pPr>
                                    <w:r>
                                      <w:rPr>
                                        <w:rFonts w:ascii="Arial" w:hAnsi="Arial" w:cs="Arial"/>
                                        <w:sz w:val="20"/>
                                        <w:lang w:eastAsia="lt-LT"/>
                                      </w:rPr>
                                      <w:t>Dyzelinas</w:t>
                                    </w:r>
                                  </w:p>
                                </w:tc>
                                <w:tc>
                                  <w:tcPr>
                                    <w:tcW w:w="1139" w:type="dxa"/>
                                    <w:hideMark/>
                                  </w:tcPr>
                                  <w:p>
                                    <w:pPr>
                                      <w:jc w:val="center"/>
                                      <w:rPr>
                                        <w:rFonts w:ascii="Arial" w:hAnsi="Arial" w:cs="Arial"/>
                                        <w:sz w:val="20"/>
                                        <w:lang w:eastAsia="lt-LT"/>
                                      </w:rPr>
                                    </w:pPr>
                                    <w:r>
                                      <w:rPr>
                                        <w:rFonts w:ascii="Arial" w:hAnsi="Arial" w:cs="Arial"/>
                                        <w:sz w:val="20"/>
                                        <w:lang w:eastAsia="lt-LT"/>
                                      </w:rPr>
                                      <w:t>Elektra</w:t>
                                    </w:r>
                                  </w:p>
                                </w:tc>
                                <w:tc>
                                  <w:tcPr>
                                    <w:tcW w:w="0" w:type="auto"/>
                                    <w:hideMark/>
                                  </w:tcPr>
                                  <w:p>
                                    <w:pPr>
                                      <w:jc w:val="center"/>
                                      <w:rPr>
                                        <w:rFonts w:ascii="Arial" w:hAnsi="Arial" w:cs="Arial"/>
                                        <w:sz w:val="20"/>
                                        <w:lang w:eastAsia="lt-LT"/>
                                      </w:rPr>
                                    </w:pPr>
                                    <w:r>
                                      <w:rPr>
                                        <w:rFonts w:ascii="Arial" w:hAnsi="Arial" w:cs="Arial"/>
                                        <w:sz w:val="20"/>
                                        <w:lang w:eastAsia="lt-LT"/>
                                      </w:rPr>
                                      <w:t>Kitos kuro rūšys</w:t>
                                    </w:r>
                                  </w:p>
                                </w:tc>
                              </w:tr>
                              <w:tr>
                                <w:trPr>
                                  <w:trHeight w:val="288"/>
                                  <w:jc w:val="center"/>
                                </w:trPr>
                                <w:tc>
                                  <w:tcPr>
                                    <w:tcW w:w="2547" w:type="dxa"/>
                                    <w:noWrap/>
                                    <w:hideMark/>
                                  </w:tcPr>
                                  <w:p>
                                    <w:pPr>
                                      <w:rPr>
                                        <w:rFonts w:ascii="Arial" w:hAnsi="Arial" w:cs="Arial"/>
                                        <w:color w:val="000000"/>
                                        <w:sz w:val="20"/>
                                        <w:lang w:eastAsia="lt-LT"/>
                                      </w:rPr>
                                    </w:pPr>
                                    <w:r>
                                      <w:rPr>
                                        <w:rFonts w:ascii="Arial" w:hAnsi="Arial" w:cs="Arial"/>
                                        <w:color w:val="000000"/>
                                        <w:sz w:val="20"/>
                                        <w:lang w:eastAsia="lt-LT"/>
                                      </w:rPr>
                                      <w:t>M1</w:t>
                                    </w:r>
                                  </w:p>
                                </w:tc>
                                <w:tc>
                                  <w:tcPr>
                                    <w:tcW w:w="1134" w:type="dxa"/>
                                    <w:noWrap/>
                                    <w:hideMark/>
                                  </w:tcPr>
                                  <w:p>
                                    <w:pPr>
                                      <w:jc w:val="center"/>
                                      <w:rPr>
                                        <w:rFonts w:ascii="Arial" w:hAnsi="Arial" w:cs="Arial"/>
                                        <w:color w:val="000000"/>
                                        <w:sz w:val="20"/>
                                        <w:lang w:eastAsia="lt-LT"/>
                                      </w:rPr>
                                    </w:pPr>
                                    <w:r>
                                      <w:rPr>
                                        <w:rFonts w:ascii="Arial" w:hAnsi="Arial" w:cs="Arial"/>
                                        <w:color w:val="000000"/>
                                        <w:sz w:val="20"/>
                                        <w:lang w:eastAsia="lt-LT"/>
                                      </w:rPr>
                                      <w:t xml:space="preserve">1 852 </w:t>
                                    </w:r>
                                  </w:p>
                                </w:tc>
                                <w:tc>
                                  <w:tcPr>
                                    <w:tcW w:w="1276" w:type="dxa"/>
                                    <w:noWrap/>
                                  </w:tcPr>
                                  <w:p>
                                    <w:pPr>
                                      <w:jc w:val="center"/>
                                      <w:rPr>
                                        <w:rFonts w:ascii="Arial" w:hAnsi="Arial" w:cs="Arial"/>
                                        <w:color w:val="000000"/>
                                        <w:sz w:val="20"/>
                                        <w:lang w:eastAsia="lt-LT"/>
                                      </w:rPr>
                                    </w:pPr>
                                    <w:r>
                                      <w:rPr>
                                        <w:rFonts w:ascii="Arial" w:hAnsi="Arial" w:cs="Arial"/>
                                        <w:color w:val="000000"/>
                                        <w:sz w:val="20"/>
                                        <w:lang w:eastAsia="lt-LT"/>
                                      </w:rPr>
                                      <w:t>9 105</w:t>
                                    </w:r>
                                  </w:p>
                                </w:tc>
                                <w:tc>
                                  <w:tcPr>
                                    <w:tcW w:w="1139" w:type="dxa"/>
                                    <w:noWrap/>
                                  </w:tcPr>
                                  <w:p>
                                    <w:pPr>
                                      <w:jc w:val="center"/>
                                      <w:rPr>
                                        <w:rFonts w:ascii="Arial" w:hAnsi="Arial" w:cs="Arial"/>
                                        <w:color w:val="000000"/>
                                        <w:sz w:val="20"/>
                                        <w:lang w:eastAsia="lt-LT"/>
                                      </w:rPr>
                                    </w:pPr>
                                    <w:r>
                                      <w:rPr>
                                        <w:rFonts w:ascii="Arial" w:hAnsi="Arial" w:cs="Arial"/>
                                        <w:color w:val="000000"/>
                                        <w:sz w:val="20"/>
                                        <w:lang w:eastAsia="lt-LT"/>
                                      </w:rPr>
                                      <w:t>5</w:t>
                                    </w:r>
                                  </w:p>
                                </w:tc>
                                <w:tc>
                                  <w:tcPr>
                                    <w:tcW w:w="0" w:type="auto"/>
                                    <w:noWrap/>
                                  </w:tcPr>
                                  <w:p>
                                    <w:pPr>
                                      <w:jc w:val="center"/>
                                      <w:rPr>
                                        <w:rFonts w:ascii="Arial" w:hAnsi="Arial" w:cs="Arial"/>
                                        <w:color w:val="000000"/>
                                        <w:sz w:val="20"/>
                                        <w:lang w:eastAsia="lt-LT"/>
                                      </w:rPr>
                                    </w:pPr>
                                    <w:r>
                                      <w:rPr>
                                        <w:rFonts w:ascii="Arial" w:hAnsi="Arial" w:cs="Arial"/>
                                        <w:color w:val="000000"/>
                                        <w:sz w:val="20"/>
                                        <w:lang w:eastAsia="lt-LT"/>
                                      </w:rPr>
                                      <w:t>779</w:t>
                                    </w:r>
                                  </w:p>
                                </w:tc>
                              </w:tr>
                              <w:tr>
                                <w:trPr>
                                  <w:trHeight w:val="288"/>
                                  <w:jc w:val="center"/>
                                </w:trPr>
                                <w:tc>
                                  <w:tcPr>
                                    <w:tcW w:w="2547" w:type="dxa"/>
                                    <w:noWrap/>
                                    <w:hideMark/>
                                  </w:tcPr>
                                  <w:p>
                                    <w:pPr>
                                      <w:rPr>
                                        <w:rFonts w:ascii="Arial" w:hAnsi="Arial" w:cs="Arial"/>
                                        <w:color w:val="000000"/>
                                        <w:sz w:val="20"/>
                                        <w:lang w:eastAsia="lt-LT"/>
                                      </w:rPr>
                                    </w:pPr>
                                    <w:r>
                                      <w:rPr>
                                        <w:rFonts w:ascii="Arial" w:hAnsi="Arial" w:cs="Arial"/>
                                        <w:color w:val="000000"/>
                                        <w:sz w:val="20"/>
                                        <w:lang w:eastAsia="lt-LT"/>
                                      </w:rPr>
                                      <w:t>N1-N3</w:t>
                                    </w:r>
                                  </w:p>
                                </w:tc>
                                <w:tc>
                                  <w:tcPr>
                                    <w:tcW w:w="1134" w:type="dxa"/>
                                    <w:noWrap/>
                                    <w:hideMark/>
                                  </w:tcPr>
                                  <w:p>
                                    <w:pPr>
                                      <w:jc w:val="center"/>
                                      <w:rPr>
                                        <w:rFonts w:ascii="Arial" w:hAnsi="Arial" w:cs="Arial"/>
                                        <w:color w:val="000000"/>
                                        <w:sz w:val="20"/>
                                        <w:lang w:eastAsia="lt-LT"/>
                                      </w:rPr>
                                    </w:pPr>
                                    <w:r>
                                      <w:rPr>
                                        <w:rFonts w:ascii="Arial" w:hAnsi="Arial" w:cs="Arial"/>
                                        <w:color w:val="000000"/>
                                        <w:sz w:val="20"/>
                                        <w:lang w:eastAsia="lt-LT"/>
                                      </w:rPr>
                                      <w:t>22</w:t>
                                    </w:r>
                                  </w:p>
                                </w:tc>
                                <w:tc>
                                  <w:tcPr>
                                    <w:tcW w:w="1276" w:type="dxa"/>
                                    <w:noWrap/>
                                  </w:tcPr>
                                  <w:p>
                                    <w:pPr>
                                      <w:jc w:val="center"/>
                                      <w:rPr>
                                        <w:rFonts w:ascii="Arial" w:hAnsi="Arial" w:cs="Arial"/>
                                        <w:color w:val="000000"/>
                                        <w:sz w:val="20"/>
                                        <w:lang w:eastAsia="lt-LT"/>
                                      </w:rPr>
                                    </w:pPr>
                                    <w:r>
                                      <w:rPr>
                                        <w:rFonts w:ascii="Arial" w:hAnsi="Arial" w:cs="Arial"/>
                                        <w:color w:val="000000"/>
                                        <w:sz w:val="20"/>
                                        <w:lang w:eastAsia="lt-LT"/>
                                      </w:rPr>
                                      <w:t>867</w:t>
                                    </w:r>
                                  </w:p>
                                </w:tc>
                                <w:tc>
                                  <w:tcPr>
                                    <w:tcW w:w="1139" w:type="dxa"/>
                                    <w:noWrap/>
                                  </w:tcPr>
                                  <w:p>
                                    <w:pPr>
                                      <w:jc w:val="center"/>
                                      <w:rPr>
                                        <w:rFonts w:ascii="Arial" w:hAnsi="Arial" w:cs="Arial"/>
                                        <w:color w:val="000000"/>
                                        <w:sz w:val="20"/>
                                        <w:lang w:eastAsia="lt-LT"/>
                                      </w:rPr>
                                    </w:pPr>
                                    <w:r>
                                      <w:rPr>
                                        <w:rFonts w:ascii="Arial" w:hAnsi="Arial" w:cs="Arial"/>
                                        <w:color w:val="000000"/>
                                        <w:sz w:val="20"/>
                                        <w:lang w:eastAsia="lt-LT"/>
                                      </w:rPr>
                                      <w:t>-</w:t>
                                    </w:r>
                                  </w:p>
                                </w:tc>
                                <w:tc>
                                  <w:tcPr>
                                    <w:tcW w:w="0" w:type="auto"/>
                                    <w:noWrap/>
                                  </w:tcPr>
                                  <w:p>
                                    <w:pPr>
                                      <w:jc w:val="center"/>
                                      <w:rPr>
                                        <w:rFonts w:ascii="Arial" w:hAnsi="Arial" w:cs="Arial"/>
                                        <w:color w:val="000000"/>
                                        <w:sz w:val="20"/>
                                        <w:lang w:eastAsia="lt-LT"/>
                                      </w:rPr>
                                    </w:pPr>
                                    <w:r>
                                      <w:rPr>
                                        <w:rFonts w:ascii="Arial" w:hAnsi="Arial" w:cs="Arial"/>
                                        <w:color w:val="000000"/>
                                        <w:sz w:val="20"/>
                                        <w:lang w:eastAsia="lt-LT"/>
                                      </w:rPr>
                                      <w:t>20</w:t>
                                    </w:r>
                                  </w:p>
                                </w:tc>
                              </w:tr>
                              <w:tr>
                                <w:trPr>
                                  <w:trHeight w:val="288"/>
                                  <w:jc w:val="center"/>
                                </w:trPr>
                                <w:tc>
                                  <w:tcPr>
                                    <w:tcW w:w="2547" w:type="dxa"/>
                                    <w:noWrap/>
                                    <w:hideMark/>
                                  </w:tcPr>
                                  <w:p>
                                    <w:pPr>
                                      <w:rPr>
                                        <w:rFonts w:ascii="Arial" w:hAnsi="Arial" w:cs="Arial"/>
                                        <w:color w:val="000000"/>
                                        <w:sz w:val="20"/>
                                        <w:lang w:eastAsia="lt-LT"/>
                                      </w:rPr>
                                    </w:pPr>
                                    <w:r>
                                      <w:rPr>
                                        <w:rFonts w:ascii="Arial" w:hAnsi="Arial" w:cs="Arial"/>
                                        <w:color w:val="000000"/>
                                        <w:sz w:val="20"/>
                                        <w:lang w:eastAsia="lt-LT"/>
                                      </w:rPr>
                                      <w:t>Kitos kategorijos</w:t>
                                    </w:r>
                                  </w:p>
                                </w:tc>
                                <w:tc>
                                  <w:tcPr>
                                    <w:tcW w:w="1134" w:type="dxa"/>
                                    <w:noWrap/>
                                    <w:hideMark/>
                                  </w:tcPr>
                                  <w:p>
                                    <w:pPr>
                                      <w:jc w:val="center"/>
                                      <w:rPr>
                                        <w:rFonts w:ascii="Arial" w:hAnsi="Arial" w:cs="Arial"/>
                                        <w:color w:val="000000"/>
                                        <w:sz w:val="20"/>
                                        <w:lang w:eastAsia="lt-LT"/>
                                      </w:rPr>
                                    </w:pPr>
                                    <w:r>
                                      <w:rPr>
                                        <w:rFonts w:ascii="Arial" w:hAnsi="Arial" w:cs="Arial"/>
                                        <w:color w:val="000000"/>
                                        <w:sz w:val="20"/>
                                      </w:rPr>
                                      <w:t>575</w:t>
                                    </w:r>
                                  </w:p>
                                </w:tc>
                                <w:tc>
                                  <w:tcPr>
                                    <w:tcW w:w="1276" w:type="dxa"/>
                                    <w:noWrap/>
                                  </w:tcPr>
                                  <w:p>
                                    <w:pPr>
                                      <w:jc w:val="center"/>
                                      <w:rPr>
                                        <w:rFonts w:ascii="Arial" w:hAnsi="Arial" w:cs="Arial"/>
                                        <w:color w:val="000000"/>
                                        <w:sz w:val="20"/>
                                        <w:lang w:eastAsia="lt-LT"/>
                                      </w:rPr>
                                    </w:pPr>
                                    <w:r>
                                      <w:rPr>
                                        <w:rFonts w:ascii="Arial" w:hAnsi="Arial" w:cs="Arial"/>
                                        <w:color w:val="000000"/>
                                        <w:sz w:val="20"/>
                                        <w:lang w:eastAsia="lt-LT"/>
                                      </w:rPr>
                                      <w:t>68</w:t>
                                    </w:r>
                                  </w:p>
                                </w:tc>
                                <w:tc>
                                  <w:tcPr>
                                    <w:tcW w:w="1139" w:type="dxa"/>
                                    <w:noWrap/>
                                  </w:tcPr>
                                  <w:p>
                                    <w:pPr>
                                      <w:jc w:val="center"/>
                                      <w:rPr>
                                        <w:rFonts w:ascii="Arial" w:hAnsi="Arial" w:cs="Arial"/>
                                        <w:color w:val="000000"/>
                                        <w:sz w:val="20"/>
                                        <w:lang w:eastAsia="lt-LT"/>
                                      </w:rPr>
                                    </w:pPr>
                                    <w:r>
                                      <w:rPr>
                                        <w:rFonts w:ascii="Arial" w:hAnsi="Arial" w:cs="Arial"/>
                                        <w:color w:val="000000"/>
                                        <w:sz w:val="20"/>
                                        <w:lang w:eastAsia="lt-LT"/>
                                      </w:rPr>
                                      <w:t>15</w:t>
                                    </w:r>
                                  </w:p>
                                </w:tc>
                                <w:tc>
                                  <w:tcPr>
                                    <w:tcW w:w="0" w:type="auto"/>
                                    <w:noWrap/>
                                  </w:tcPr>
                                  <w:p>
                                    <w:pPr>
                                      <w:jc w:val="center"/>
                                      <w:rPr>
                                        <w:rFonts w:ascii="Arial" w:hAnsi="Arial" w:cs="Arial"/>
                                        <w:color w:val="000000"/>
                                        <w:sz w:val="20"/>
                                        <w:lang w:eastAsia="lt-LT"/>
                                      </w:rPr>
                                    </w:pPr>
                                    <w:r>
                                      <w:rPr>
                                        <w:rFonts w:ascii="Arial" w:hAnsi="Arial" w:cs="Arial"/>
                                        <w:color w:val="000000"/>
                                        <w:sz w:val="20"/>
                                        <w:lang w:eastAsia="lt-LT"/>
                                      </w:rPr>
                                      <w:t>2 643</w:t>
                                    </w:r>
                                  </w:p>
                                </w:tc>
                              </w:tr>
                              <w:tr>
                                <w:trPr>
                                  <w:trHeight w:val="288"/>
                                  <w:jc w:val="center"/>
                                </w:trPr>
                                <w:tc>
                                  <w:tcPr>
                                    <w:tcW w:w="2547" w:type="dxa"/>
                                    <w:noWrap/>
                                  </w:tcPr>
                                  <w:p>
                                    <w:pPr>
                                      <w:jc w:val="right"/>
                                      <w:rPr>
                                        <w:rFonts w:ascii="Arial" w:hAnsi="Arial" w:cs="Arial"/>
                                        <w:color w:val="000000"/>
                                        <w:sz w:val="20"/>
                                        <w:lang w:eastAsia="lt-LT"/>
                                      </w:rPr>
                                    </w:pPr>
                                    <w:r>
                                      <w:rPr>
                                        <w:rFonts w:ascii="Arial" w:hAnsi="Arial" w:cs="Arial"/>
                                        <w:color w:val="000000"/>
                                        <w:sz w:val="20"/>
                                        <w:lang w:eastAsia="lt-LT"/>
                                      </w:rPr>
                                      <w:t>Iš viso</w:t>
                                    </w:r>
                                  </w:p>
                                </w:tc>
                                <w:tc>
                                  <w:tcPr>
                                    <w:tcW w:w="1134" w:type="dxa"/>
                                    <w:noWrap/>
                                  </w:tcPr>
                                  <w:p>
                                    <w:pPr>
                                      <w:jc w:val="center"/>
                                      <w:rPr>
                                        <w:rFonts w:ascii="Arial" w:hAnsi="Arial" w:cs="Arial"/>
                                        <w:b/>
                                        <w:bCs/>
                                        <w:color w:val="000000"/>
                                        <w:sz w:val="20"/>
                                        <w:lang w:eastAsia="lt-LT"/>
                                      </w:rPr>
                                    </w:pPr>
                                    <w:r>
                                      <w:rPr>
                                        <w:rFonts w:ascii="Arial" w:hAnsi="Arial" w:cs="Arial"/>
                                        <w:b/>
                                        <w:bCs/>
                                        <w:color w:val="000000"/>
                                        <w:sz w:val="20"/>
                                        <w:lang w:eastAsia="lt-LT"/>
                                      </w:rPr>
                                      <w:t>2 449</w:t>
                                    </w:r>
                                  </w:p>
                                </w:tc>
                                <w:tc>
                                  <w:tcPr>
                                    <w:tcW w:w="1276" w:type="dxa"/>
                                    <w:noWrap/>
                                  </w:tcPr>
                                  <w:p>
                                    <w:pPr>
                                      <w:jc w:val="center"/>
                                      <w:rPr>
                                        <w:rFonts w:ascii="Arial" w:hAnsi="Arial" w:cs="Arial"/>
                                        <w:b/>
                                        <w:bCs/>
                                        <w:color w:val="000000"/>
                                        <w:sz w:val="20"/>
                                        <w:lang w:eastAsia="lt-LT"/>
                                      </w:rPr>
                                    </w:pPr>
                                    <w:r>
                                      <w:rPr>
                                        <w:rFonts w:ascii="Arial" w:hAnsi="Arial" w:cs="Arial"/>
                                        <w:b/>
                                        <w:bCs/>
                                        <w:color w:val="000000"/>
                                        <w:sz w:val="20"/>
                                        <w:lang w:eastAsia="lt-LT"/>
                                      </w:rPr>
                                      <w:t>10 040</w:t>
                                    </w:r>
                                  </w:p>
                                </w:tc>
                                <w:tc>
                                  <w:tcPr>
                                    <w:tcW w:w="1139" w:type="dxa"/>
                                    <w:noWrap/>
                                  </w:tcPr>
                                  <w:p>
                                    <w:pPr>
                                      <w:jc w:val="center"/>
                                      <w:rPr>
                                        <w:rFonts w:ascii="Arial" w:hAnsi="Arial" w:cs="Arial"/>
                                        <w:b/>
                                        <w:bCs/>
                                        <w:color w:val="000000"/>
                                        <w:sz w:val="20"/>
                                        <w:lang w:eastAsia="lt-LT"/>
                                      </w:rPr>
                                    </w:pPr>
                                    <w:r>
                                      <w:rPr>
                                        <w:rFonts w:ascii="Arial" w:hAnsi="Arial" w:cs="Arial"/>
                                        <w:b/>
                                        <w:bCs/>
                                        <w:color w:val="000000"/>
                                        <w:sz w:val="20"/>
                                        <w:lang w:eastAsia="lt-LT"/>
                                      </w:rPr>
                                      <w:t>20</w:t>
                                    </w:r>
                                  </w:p>
                                </w:tc>
                                <w:tc>
                                  <w:tcPr>
                                    <w:tcW w:w="0" w:type="auto"/>
                                    <w:noWrap/>
                                  </w:tcPr>
                                  <w:p>
                                    <w:pPr>
                                      <w:jc w:val="center"/>
                                      <w:rPr>
                                        <w:rFonts w:ascii="Arial" w:hAnsi="Arial" w:cs="Arial"/>
                                        <w:b/>
                                        <w:bCs/>
                                        <w:color w:val="000000"/>
                                        <w:sz w:val="20"/>
                                        <w:lang w:eastAsia="lt-LT"/>
                                      </w:rPr>
                                    </w:pPr>
                                    <w:r>
                                      <w:rPr>
                                        <w:rFonts w:ascii="Arial" w:hAnsi="Arial" w:cs="Arial"/>
                                        <w:b/>
                                        <w:bCs/>
                                        <w:color w:val="000000"/>
                                        <w:sz w:val="20"/>
                                        <w:lang w:eastAsia="lt-LT"/>
                                      </w:rPr>
                                      <w:t>3 442</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 xml:space="preserve">Šaltinis: </w:t>
                              </w:r>
                              <w:r>
                                <w:rPr>
                                  <w:rFonts w:ascii="Arial" w:eastAsia="SegoeUI" w:hAnsi="Arial" w:cs="Arial"/>
                                  <w:i/>
                                  <w:iCs/>
                                  <w:color w:val="6B9F25"/>
                                  <w:sz w:val="18"/>
                                  <w:szCs w:val="18"/>
                                  <w:u w:val="single"/>
                                </w:rPr>
                                <w:t>www.regitra.lt</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 xml:space="preserve">Informacija apie savivaldybės administracijos bei savivaldybės kontroliuojamų ir biudžetinių įstaigų naudojamas transporto priemones pateikiama atskirai (žr. </w:t>
                              </w:r>
                              <w:r>
                                <w:rPr>
                                  <w:rFonts w:ascii="Arial" w:eastAsia="Calibri" w:hAnsi="Arial" w:cs="Arial"/>
                                  <w:sz w:val="22"/>
                                  <w:szCs w:val="22"/>
                                </w:rPr>
                                <w:t xml:space="preserve">1.3.6.2. </w:t>
                              </w:r>
                              <w:r>
                                <w:rPr>
                                  <w:rFonts w:ascii="Arial" w:hAnsi="Arial" w:cs="Arial"/>
                                  <w:sz w:val="22"/>
                                  <w:szCs w:val="22"/>
                                </w:rPr>
                                <w:t>lentelę). Informacijos šaltinis - savivaldybės įstaigų apklausos.</w:t>
                              </w:r>
                            </w:p>
                            <w:p>
                              <w:pPr>
                                <w:rPr>
                                  <w:sz w:val="14"/>
                                  <w:szCs w:val="14"/>
                                </w:rPr>
                              </w:pPr>
                            </w:p>
                          </w:sdtContent>
                        </w:sdt>
                        <w:sdt>
                          <w:sdtPr>
                            <w:alias w:val="1.3.6.2 pp."/>
                            <w:tag w:val="part_dc17c53f3d9347a381d13f5444fa39ce"/>
                            <w:lock w:val="sdtLocked"/>
                            <w:richText/>
                          </w:sdtPr>
                          <w:sdtContent>
                            <w:p>
                              <w:pPr>
                                <w:spacing w:line="259" w:lineRule="auto"/>
                                <w:jc w:val="center"/>
                                <w:rPr>
                                  <w:rFonts w:ascii="Arial" w:eastAsia="Calibri" w:hAnsi="Arial" w:cs="Arial"/>
                                  <w:b/>
                                  <w:color w:val="002060"/>
                                  <w:sz w:val="22"/>
                                  <w:szCs w:val="32"/>
                                </w:rPr>
                              </w:pPr>
                              <w:sdt>
                                <w:sdtPr>
                                  <w:alias w:val="Numeris"/>
                                  <w:tag w:val="nr_dc17c53f3d9347a381d13f5444fa39ce"/>
                                  <w:lock w:val="sdtLocked"/>
                                  <w:richText/>
                                </w:sdtPr>
                                <w:sdtContent>
                                  <w:r>
                                    <w:rPr>
                                      <w:rFonts w:ascii="Arial" w:eastAsia="Calibri" w:hAnsi="Arial" w:cs="Arial"/>
                                      <w:b/>
                                      <w:color w:val="002060"/>
                                      <w:sz w:val="22"/>
                                      <w:szCs w:val="32"/>
                                    </w:rPr>
                                    <w:t>1.3.6.2</w:t>
                                  </w:r>
                                </w:sdtContent>
                              </w:sdt>
                              <w:r>
                                <w:rPr>
                                  <w:rFonts w:ascii="Arial" w:eastAsia="Calibri" w:hAnsi="Arial" w:cs="Arial"/>
                                  <w:b/>
                                  <w:color w:val="002060"/>
                                  <w:sz w:val="22"/>
                                  <w:szCs w:val="32"/>
                                </w:rPr>
                                <w:t xml:space="preserve">. lentelė. Savivaldybės administracijos bei savivaldybės kontroliuojamų ir biudžetinių įstaigų eksploatuojamos transporto priemonės </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546"/>
                                <w:gridCol w:w="2547"/>
                                <w:gridCol w:w="2551"/>
                                <w:gridCol w:w="2551"/>
                              </w:tblGrid>
                              <w:tr>
                                <w:trPr>
                                  <w:jc w:val="center"/>
                                </w:trPr>
                                <w:tc>
                                  <w:tcPr>
                                    <w:tcW w:w="1249" w:type="pct"/>
                                  </w:tcPr>
                                  <w:p>
                                    <w:pPr>
                                      <w:jc w:val="center"/>
                                      <w:rPr>
                                        <w:rFonts w:ascii="Arial" w:hAnsi="Arial" w:cs="Arial"/>
                                        <w:sz w:val="20"/>
                                      </w:rPr>
                                    </w:pPr>
                                    <w:r>
                                      <w:rPr>
                                        <w:rFonts w:ascii="Arial" w:hAnsi="Arial" w:cs="Arial"/>
                                        <w:sz w:val="20"/>
                                      </w:rPr>
                                      <w:t>Transporto priemonės rūšis</w:t>
                                    </w:r>
                                  </w:p>
                                </w:tc>
                                <w:tc>
                                  <w:tcPr>
                                    <w:tcW w:w="3751" w:type="pct"/>
                                    <w:gridSpan w:val="3"/>
                                  </w:tcPr>
                                  <w:p>
                                    <w:pPr>
                                      <w:jc w:val="center"/>
                                      <w:rPr>
                                        <w:rFonts w:ascii="Arial" w:hAnsi="Arial" w:cs="Arial"/>
                                        <w:sz w:val="20"/>
                                      </w:rPr>
                                    </w:pPr>
                                    <w:r>
                                      <w:rPr>
                                        <w:rFonts w:ascii="Arial" w:hAnsi="Arial" w:cs="Arial"/>
                                        <w:sz w:val="20"/>
                                      </w:rPr>
                                      <w:t>Transporto priemonių skaičius</w:t>
                                    </w:r>
                                  </w:p>
                                </w:tc>
                              </w:tr>
                              <w:tr>
                                <w:trPr>
                                  <w:jc w:val="center"/>
                                </w:trPr>
                                <w:tc>
                                  <w:tcPr>
                                    <w:tcW w:w="1249" w:type="pct"/>
                                  </w:tcPr>
                                  <w:p>
                                    <w:pPr>
                                      <w:jc w:val="center"/>
                                      <w:rPr>
                                        <w:rFonts w:ascii="Arial" w:hAnsi="Arial" w:cs="Arial"/>
                                        <w:sz w:val="20"/>
                                      </w:rPr>
                                    </w:pPr>
                                  </w:p>
                                </w:tc>
                                <w:tc>
                                  <w:tcPr>
                                    <w:tcW w:w="1249" w:type="pct"/>
                                  </w:tcPr>
                                  <w:p>
                                    <w:pPr>
                                      <w:jc w:val="center"/>
                                      <w:rPr>
                                        <w:rFonts w:ascii="Arial" w:hAnsi="Arial" w:cs="Arial"/>
                                        <w:sz w:val="20"/>
                                      </w:rPr>
                                    </w:pPr>
                                    <w:r>
                                      <w:rPr>
                                        <w:rFonts w:ascii="Arial" w:hAnsi="Arial" w:cs="Arial"/>
                                        <w:sz w:val="20"/>
                                      </w:rPr>
                                      <w:t>Benzinas</w:t>
                                    </w:r>
                                  </w:p>
                                </w:tc>
                                <w:tc>
                                  <w:tcPr>
                                    <w:tcW w:w="1251" w:type="pct"/>
                                  </w:tcPr>
                                  <w:p>
                                    <w:pPr>
                                      <w:jc w:val="center"/>
                                      <w:rPr>
                                        <w:rFonts w:ascii="Arial" w:hAnsi="Arial" w:cs="Arial"/>
                                        <w:sz w:val="20"/>
                                      </w:rPr>
                                    </w:pPr>
                                    <w:r>
                                      <w:rPr>
                                        <w:rFonts w:ascii="Arial" w:hAnsi="Arial" w:cs="Arial"/>
                                        <w:sz w:val="20"/>
                                      </w:rPr>
                                      <w:t>Dyzelinas</w:t>
                                    </w:r>
                                  </w:p>
                                </w:tc>
                                <w:tc>
                                  <w:tcPr>
                                    <w:tcW w:w="1251" w:type="pct"/>
                                  </w:tcPr>
                                  <w:p>
                                    <w:pPr>
                                      <w:jc w:val="center"/>
                                      <w:rPr>
                                        <w:rFonts w:ascii="Arial" w:hAnsi="Arial" w:cs="Arial"/>
                                        <w:sz w:val="20"/>
                                      </w:rPr>
                                    </w:pPr>
                                    <w:r>
                                      <w:rPr>
                                        <w:rFonts w:ascii="Arial" w:hAnsi="Arial" w:cs="Arial"/>
                                        <w:sz w:val="20"/>
                                      </w:rPr>
                                      <w:t>SND</w:t>
                                    </w:r>
                                  </w:p>
                                </w:tc>
                              </w:tr>
                              <w:tr>
                                <w:trPr>
                                  <w:jc w:val="center"/>
                                </w:trPr>
                                <w:tc>
                                  <w:tcPr>
                                    <w:tcW w:w="1249" w:type="pct"/>
                                  </w:tcPr>
                                  <w:p>
                                    <w:pPr>
                                      <w:jc w:val="both"/>
                                      <w:rPr>
                                        <w:rFonts w:ascii="Arial" w:hAnsi="Arial" w:cs="Arial"/>
                                        <w:sz w:val="20"/>
                                      </w:rPr>
                                    </w:pPr>
                                    <w:r>
                                      <w:rPr>
                                        <w:rFonts w:ascii="Arial" w:hAnsi="Arial" w:cs="Arial"/>
                                        <w:sz w:val="20"/>
                                      </w:rPr>
                                      <w:t>Lengvieji automobiliai</w:t>
                                    </w:r>
                                  </w:p>
                                </w:tc>
                                <w:tc>
                                  <w:tcPr>
                                    <w:tcW w:w="1249" w:type="pct"/>
                                  </w:tcPr>
                                  <w:p>
                                    <w:pPr>
                                      <w:jc w:val="center"/>
                                      <w:rPr>
                                        <w:rFonts w:ascii="Arial" w:hAnsi="Arial" w:cs="Arial"/>
                                        <w:sz w:val="20"/>
                                        <w:highlight w:val="yellow"/>
                                      </w:rPr>
                                    </w:pPr>
                                    <w:r>
                                      <w:rPr>
                                        <w:rFonts w:ascii="Arial" w:hAnsi="Arial" w:cs="Arial"/>
                                        <w:sz w:val="20"/>
                                      </w:rPr>
                                      <w:t>7</w:t>
                                    </w:r>
                                  </w:p>
                                </w:tc>
                                <w:tc>
                                  <w:tcPr>
                                    <w:tcW w:w="1251" w:type="pct"/>
                                  </w:tcPr>
                                  <w:p>
                                    <w:pPr>
                                      <w:jc w:val="center"/>
                                      <w:rPr>
                                        <w:rFonts w:ascii="Arial" w:hAnsi="Arial" w:cs="Arial"/>
                                        <w:sz w:val="20"/>
                                        <w:highlight w:val="yellow"/>
                                      </w:rPr>
                                    </w:pPr>
                                    <w:r>
                                      <w:rPr>
                                        <w:rFonts w:ascii="Arial" w:hAnsi="Arial" w:cs="Arial"/>
                                        <w:sz w:val="20"/>
                                      </w:rPr>
                                      <w:t>17</w:t>
                                    </w:r>
                                  </w:p>
                                </w:tc>
                                <w:tc>
                                  <w:tcPr>
                                    <w:tcW w:w="1251" w:type="pct"/>
                                  </w:tcPr>
                                  <w:p>
                                    <w:pPr>
                                      <w:jc w:val="center"/>
                                      <w:rPr>
                                        <w:rFonts w:ascii="Arial" w:hAnsi="Arial" w:cs="Arial"/>
                                        <w:sz w:val="20"/>
                                        <w:highlight w:val="yellow"/>
                                      </w:rPr>
                                    </w:pPr>
                                    <w:r>
                                      <w:rPr>
                                        <w:rFonts w:ascii="Arial" w:hAnsi="Arial" w:cs="Arial"/>
                                        <w:sz w:val="20"/>
                                      </w:rPr>
                                      <w:t>1</w:t>
                                    </w:r>
                                  </w:p>
                                </w:tc>
                              </w:tr>
                              <w:tr>
                                <w:trPr>
                                  <w:jc w:val="center"/>
                                </w:trPr>
                                <w:tc>
                                  <w:tcPr>
                                    <w:tcW w:w="1249" w:type="pct"/>
                                  </w:tcPr>
                                  <w:p>
                                    <w:pPr>
                                      <w:jc w:val="both"/>
                                      <w:rPr>
                                        <w:rFonts w:ascii="Arial" w:hAnsi="Arial" w:cs="Arial"/>
                                        <w:sz w:val="20"/>
                                      </w:rPr>
                                    </w:pPr>
                                    <w:r>
                                      <w:rPr>
                                        <w:rFonts w:ascii="Arial" w:hAnsi="Arial" w:cs="Arial"/>
                                        <w:sz w:val="20"/>
                                      </w:rPr>
                                      <w:t>Visureigiai</w:t>
                                    </w:r>
                                  </w:p>
                                </w:tc>
                                <w:tc>
                                  <w:tcPr>
                                    <w:tcW w:w="1249"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p>
                                </w:tc>
                              </w:tr>
                              <w:tr>
                                <w:trPr>
                                  <w:jc w:val="center"/>
                                </w:trPr>
                                <w:tc>
                                  <w:tcPr>
                                    <w:tcW w:w="1249" w:type="pct"/>
                                  </w:tcPr>
                                  <w:p>
                                    <w:pPr>
                                      <w:jc w:val="both"/>
                                      <w:rPr>
                                        <w:rFonts w:ascii="Arial" w:hAnsi="Arial" w:cs="Arial"/>
                                        <w:sz w:val="20"/>
                                      </w:rPr>
                                    </w:pPr>
                                    <w:r>
                                      <w:rPr>
                                        <w:rFonts w:ascii="Arial" w:hAnsi="Arial" w:cs="Arial"/>
                                        <w:sz w:val="20"/>
                                      </w:rPr>
                                      <w:t>Mikroautobusai</w:t>
                                    </w:r>
                                  </w:p>
                                </w:tc>
                                <w:tc>
                                  <w:tcPr>
                                    <w:tcW w:w="1249"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r>
                                      <w:rPr>
                                        <w:rFonts w:ascii="Arial" w:hAnsi="Arial" w:cs="Arial"/>
                                        <w:sz w:val="20"/>
                                      </w:rPr>
                                      <w:t>10</w:t>
                                    </w:r>
                                  </w:p>
                                </w:tc>
                                <w:tc>
                                  <w:tcPr>
                                    <w:tcW w:w="1251" w:type="pct"/>
                                  </w:tcPr>
                                  <w:p>
                                    <w:pPr>
                                      <w:jc w:val="center"/>
                                      <w:rPr>
                                        <w:rFonts w:ascii="Arial" w:hAnsi="Arial" w:cs="Arial"/>
                                        <w:sz w:val="20"/>
                                        <w:highlight w:val="yellow"/>
                                      </w:rPr>
                                    </w:pPr>
                                  </w:p>
                                </w:tc>
                              </w:tr>
                              <w:tr>
                                <w:trPr>
                                  <w:jc w:val="center"/>
                                </w:trPr>
                                <w:tc>
                                  <w:tcPr>
                                    <w:tcW w:w="1249" w:type="pct"/>
                                  </w:tcPr>
                                  <w:p>
                                    <w:pPr>
                                      <w:jc w:val="both"/>
                                      <w:rPr>
                                        <w:rFonts w:ascii="Arial" w:hAnsi="Arial" w:cs="Arial"/>
                                        <w:sz w:val="20"/>
                                      </w:rPr>
                                    </w:pPr>
                                    <w:r>
                                      <w:rPr>
                                        <w:rFonts w:ascii="Arial" w:hAnsi="Arial" w:cs="Arial"/>
                                        <w:sz w:val="20"/>
                                      </w:rPr>
                                      <w:t>Autobusai</w:t>
                                    </w:r>
                                  </w:p>
                                </w:tc>
                                <w:tc>
                                  <w:tcPr>
                                    <w:tcW w:w="1249"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r>
                                      <w:rPr>
                                        <w:rFonts w:ascii="Arial" w:hAnsi="Arial" w:cs="Arial"/>
                                        <w:sz w:val="20"/>
                                      </w:rPr>
                                      <w:t>3</w:t>
                                    </w:r>
                                  </w:p>
                                </w:tc>
                                <w:tc>
                                  <w:tcPr>
                                    <w:tcW w:w="1251" w:type="pct"/>
                                  </w:tcPr>
                                  <w:p>
                                    <w:pPr>
                                      <w:jc w:val="center"/>
                                      <w:rPr>
                                        <w:rFonts w:ascii="Arial" w:hAnsi="Arial" w:cs="Arial"/>
                                        <w:sz w:val="20"/>
                                        <w:highlight w:val="yellow"/>
                                      </w:rPr>
                                    </w:pPr>
                                  </w:p>
                                </w:tc>
                              </w:tr>
                              <w:tr>
                                <w:trPr>
                                  <w:jc w:val="center"/>
                                </w:trPr>
                                <w:tc>
                                  <w:tcPr>
                                    <w:tcW w:w="1249" w:type="pct"/>
                                  </w:tcPr>
                                  <w:p>
                                    <w:pPr>
                                      <w:jc w:val="both"/>
                                      <w:rPr>
                                        <w:rFonts w:ascii="Arial" w:hAnsi="Arial" w:cs="Arial"/>
                                        <w:sz w:val="20"/>
                                      </w:rPr>
                                    </w:pPr>
                                    <w:r>
                                      <w:rPr>
                                        <w:rFonts w:ascii="Arial" w:hAnsi="Arial" w:cs="Arial"/>
                                        <w:sz w:val="20"/>
                                      </w:rPr>
                                      <w:t>Mokykliniai autobusai</w:t>
                                    </w:r>
                                  </w:p>
                                </w:tc>
                                <w:tc>
                                  <w:tcPr>
                                    <w:tcW w:w="1249"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r>
                                      <w:rPr>
                                        <w:rFonts w:ascii="Arial" w:hAnsi="Arial" w:cs="Arial"/>
                                        <w:sz w:val="20"/>
                                      </w:rPr>
                                      <w:t>15</w:t>
                                    </w:r>
                                  </w:p>
                                </w:tc>
                                <w:tc>
                                  <w:tcPr>
                                    <w:tcW w:w="1251" w:type="pct"/>
                                  </w:tcPr>
                                  <w:p>
                                    <w:pPr>
                                      <w:jc w:val="center"/>
                                      <w:rPr>
                                        <w:rFonts w:ascii="Arial" w:hAnsi="Arial" w:cs="Arial"/>
                                        <w:sz w:val="20"/>
                                        <w:highlight w:val="yellow"/>
                                      </w:rPr>
                                    </w:pPr>
                                  </w:p>
                                </w:tc>
                              </w:tr>
                              <w:tr>
                                <w:trPr>
                                  <w:jc w:val="center"/>
                                </w:trPr>
                                <w:tc>
                                  <w:tcPr>
                                    <w:tcW w:w="1249" w:type="pct"/>
                                  </w:tcPr>
                                  <w:p>
                                    <w:pPr>
                                      <w:jc w:val="both"/>
                                      <w:rPr>
                                        <w:rFonts w:ascii="Arial" w:hAnsi="Arial" w:cs="Arial"/>
                                        <w:sz w:val="20"/>
                                      </w:rPr>
                                    </w:pPr>
                                    <w:r>
                                      <w:rPr>
                                        <w:rFonts w:ascii="Arial" w:hAnsi="Arial" w:cs="Arial"/>
                                        <w:sz w:val="20"/>
                                      </w:rPr>
                                      <w:t>Spec. paskirties mašinos</w:t>
                                    </w:r>
                                  </w:p>
                                </w:tc>
                                <w:tc>
                                  <w:tcPr>
                                    <w:tcW w:w="1249" w:type="pct"/>
                                  </w:tcPr>
                                  <w:p>
                                    <w:pPr>
                                      <w:jc w:val="center"/>
                                      <w:rPr>
                                        <w:rFonts w:ascii="Arial" w:hAnsi="Arial" w:cs="Arial"/>
                                        <w:sz w:val="20"/>
                                        <w:highlight w:val="yellow"/>
                                      </w:rPr>
                                    </w:pPr>
                                    <w:r>
                                      <w:rPr>
                                        <w:rFonts w:ascii="Arial" w:hAnsi="Arial" w:cs="Arial"/>
                                        <w:sz w:val="20"/>
                                      </w:rPr>
                                      <w:t>6</w:t>
                                    </w:r>
                                  </w:p>
                                </w:tc>
                                <w:tc>
                                  <w:tcPr>
                                    <w:tcW w:w="1251" w:type="pct"/>
                                  </w:tcPr>
                                  <w:p>
                                    <w:pPr>
                                      <w:jc w:val="center"/>
                                      <w:rPr>
                                        <w:rFonts w:ascii="Arial" w:hAnsi="Arial" w:cs="Arial"/>
                                        <w:sz w:val="20"/>
                                        <w:highlight w:val="yellow"/>
                                      </w:rPr>
                                    </w:pPr>
                                    <w:r>
                                      <w:rPr>
                                        <w:rFonts w:ascii="Arial" w:hAnsi="Arial" w:cs="Arial"/>
                                        <w:sz w:val="20"/>
                                      </w:rPr>
                                      <w:t>23</w:t>
                                    </w:r>
                                  </w:p>
                                </w:tc>
                                <w:tc>
                                  <w:tcPr>
                                    <w:tcW w:w="1251" w:type="pct"/>
                                  </w:tcPr>
                                  <w:p>
                                    <w:pPr>
                                      <w:jc w:val="center"/>
                                      <w:rPr>
                                        <w:rFonts w:ascii="Arial" w:hAnsi="Arial" w:cs="Arial"/>
                                        <w:sz w:val="20"/>
                                        <w:highlight w:val="yellow"/>
                                      </w:rPr>
                                    </w:pPr>
                                  </w:p>
                                </w:tc>
                              </w:tr>
                              <w:tr>
                                <w:trPr>
                                  <w:jc w:val="center"/>
                                </w:trPr>
                                <w:tc>
                                  <w:tcPr>
                                    <w:tcW w:w="1249" w:type="pct"/>
                                  </w:tcPr>
                                  <w:p>
                                    <w:pPr>
                                      <w:jc w:val="both"/>
                                      <w:rPr>
                                        <w:rFonts w:ascii="Arial" w:hAnsi="Arial" w:cs="Arial"/>
                                        <w:sz w:val="20"/>
                                      </w:rPr>
                                    </w:pPr>
                                    <w:r>
                                      <w:rPr>
                                        <w:rFonts w:ascii="Arial" w:hAnsi="Arial" w:cs="Arial"/>
                                        <w:sz w:val="20"/>
                                      </w:rPr>
                                      <w:t>Krovininis transportas</w:t>
                                    </w:r>
                                  </w:p>
                                </w:tc>
                                <w:tc>
                                  <w:tcPr>
                                    <w:tcW w:w="1249" w:type="pct"/>
                                  </w:tcPr>
                                  <w:p>
                                    <w:pPr>
                                      <w:jc w:val="center"/>
                                      <w:rPr>
                                        <w:rFonts w:ascii="Arial" w:hAnsi="Arial" w:cs="Arial"/>
                                        <w:sz w:val="20"/>
                                        <w:highlight w:val="yellow"/>
                                      </w:rPr>
                                    </w:pPr>
                                  </w:p>
                                </w:tc>
                                <w:tc>
                                  <w:tcPr>
                                    <w:tcW w:w="1251" w:type="pct"/>
                                  </w:tcPr>
                                  <w:p>
                                    <w:pPr>
                                      <w:jc w:val="center"/>
                                      <w:rPr>
                                        <w:rFonts w:ascii="Arial" w:hAnsi="Arial" w:cs="Arial"/>
                                        <w:sz w:val="20"/>
                                        <w:highlight w:val="yellow"/>
                                      </w:rPr>
                                    </w:pPr>
                                    <w:r>
                                      <w:rPr>
                                        <w:rFonts w:ascii="Arial" w:hAnsi="Arial" w:cs="Arial"/>
                                        <w:sz w:val="20"/>
                                      </w:rPr>
                                      <w:t>6</w:t>
                                    </w:r>
                                  </w:p>
                                </w:tc>
                                <w:tc>
                                  <w:tcPr>
                                    <w:tcW w:w="1251" w:type="pct"/>
                                  </w:tcPr>
                                  <w:p>
                                    <w:pPr>
                                      <w:jc w:val="center"/>
                                      <w:rPr>
                                        <w:rFonts w:ascii="Arial" w:hAnsi="Arial" w:cs="Arial"/>
                                        <w:sz w:val="20"/>
                                        <w:highlight w:val="yellow"/>
                                      </w:rPr>
                                    </w:pPr>
                                    <w:r>
                                      <w:rPr>
                                        <w:rFonts w:ascii="Arial" w:hAnsi="Arial" w:cs="Arial"/>
                                        <w:sz w:val="20"/>
                                      </w:rPr>
                                      <w:t>1</w:t>
                                    </w:r>
                                  </w:p>
                                </w:tc>
                              </w:tr>
                              <w:tr>
                                <w:trPr>
                                  <w:trHeight w:val="160"/>
                                  <w:jc w:val="center"/>
                                </w:trPr>
                                <w:tc>
                                  <w:tcPr>
                                    <w:tcW w:w="1249" w:type="pct"/>
                                  </w:tcPr>
                                  <w:p>
                                    <w:pPr>
                                      <w:jc w:val="right"/>
                                      <w:rPr>
                                        <w:rFonts w:ascii="Arial" w:hAnsi="Arial" w:cs="Arial"/>
                                        <w:sz w:val="20"/>
                                      </w:rPr>
                                    </w:pPr>
                                    <w:r>
                                      <w:rPr>
                                        <w:rFonts w:ascii="Arial" w:hAnsi="Arial" w:cs="Arial"/>
                                        <w:sz w:val="20"/>
                                      </w:rPr>
                                      <w:t>Iš viso</w:t>
                                    </w:r>
                                  </w:p>
                                </w:tc>
                                <w:tc>
                                  <w:tcPr>
                                    <w:tcW w:w="1249" w:type="pct"/>
                                  </w:tcPr>
                                  <w:p>
                                    <w:pPr>
                                      <w:jc w:val="center"/>
                                      <w:rPr>
                                        <w:rFonts w:ascii="Arial" w:hAnsi="Arial" w:cs="Arial"/>
                                        <w:b/>
                                        <w:bCs/>
                                        <w:sz w:val="20"/>
                                        <w:highlight w:val="yellow"/>
                                      </w:rPr>
                                    </w:pPr>
                                    <w:r>
                                      <w:rPr>
                                        <w:rFonts w:ascii="Arial" w:hAnsi="Arial" w:cs="Arial"/>
                                        <w:b/>
                                        <w:bCs/>
                                        <w:sz w:val="20"/>
                                      </w:rPr>
                                      <w:t>13</w:t>
                                    </w:r>
                                  </w:p>
                                </w:tc>
                                <w:tc>
                                  <w:tcPr>
                                    <w:tcW w:w="1251" w:type="pct"/>
                                  </w:tcPr>
                                  <w:p>
                                    <w:pPr>
                                      <w:jc w:val="center"/>
                                      <w:rPr>
                                        <w:rFonts w:ascii="Arial" w:hAnsi="Arial" w:cs="Arial"/>
                                        <w:b/>
                                        <w:bCs/>
                                        <w:sz w:val="20"/>
                                        <w:highlight w:val="yellow"/>
                                      </w:rPr>
                                    </w:pPr>
                                    <w:r>
                                      <w:rPr>
                                        <w:rFonts w:ascii="Arial" w:hAnsi="Arial" w:cs="Arial"/>
                                        <w:b/>
                                        <w:bCs/>
                                        <w:sz w:val="20"/>
                                      </w:rPr>
                                      <w:t>74</w:t>
                                    </w:r>
                                  </w:p>
                                </w:tc>
                                <w:tc>
                                  <w:tcPr>
                                    <w:tcW w:w="1251" w:type="pct"/>
                                  </w:tcPr>
                                  <w:p>
                                    <w:pPr>
                                      <w:jc w:val="center"/>
                                      <w:rPr>
                                        <w:rFonts w:ascii="Arial" w:hAnsi="Arial" w:cs="Arial"/>
                                        <w:b/>
                                        <w:bCs/>
                                        <w:sz w:val="20"/>
                                        <w:highlight w:val="yellow"/>
                                      </w:rPr>
                                    </w:pPr>
                                    <w:r>
                                      <w:rPr>
                                        <w:rFonts w:ascii="Arial" w:hAnsi="Arial" w:cs="Arial"/>
                                        <w:b/>
                                        <w:bCs/>
                                        <w:sz w:val="20"/>
                                      </w:rPr>
                                      <w:t>2</w:t>
                                    </w:r>
                                  </w:p>
                                </w:tc>
                              </w:tr>
                            </w:tbl>
                            <w:p>
                              <w:pPr>
                                <w:spacing w:line="259" w:lineRule="auto"/>
                                <w:jc w:val="center"/>
                                <w:rPr>
                                  <w:rFonts w:ascii="Arial" w:hAnsi="Arial" w:cs="Arial"/>
                                  <w:i/>
                                  <w:iCs/>
                                  <w:sz w:val="18"/>
                                  <w:szCs w:val="18"/>
                                </w:rPr>
                              </w:pPr>
                              <w:r>
                                <w:rPr>
                                  <w:rFonts w:ascii="Arial" w:hAnsi="Arial" w:cs="Arial"/>
                                  <w:i/>
                                  <w:iCs/>
                                  <w:sz w:val="18"/>
                                  <w:szCs w:val="18"/>
                                </w:rPr>
                                <w:t>Šaltinis: Joniškio rajono savivaldybės įstaigų duomenys</w:t>
                              </w:r>
                            </w:p>
                            <w:p>
                              <w:pPr>
                                <w:rPr>
                                  <w:sz w:val="14"/>
                                  <w:szCs w:val="14"/>
                                </w:rPr>
                              </w:pPr>
                            </w:p>
                          </w:sdtContent>
                        </w:sdt>
                      </w:sdtContent>
                    </w:sdt>
                  </w:sdtContent>
                </w:sdt>
                <w:sdt>
                  <w:sdtPr>
                    <w:alias w:val="1.4 pp."/>
                    <w:tag w:val="part_1c66bbca099c49bba1e82d4cedf54772"/>
                    <w:lock w:val="sdtLocked"/>
                    <w:richText/>
                  </w:sdtPr>
                  <w:sdtContent>
                    <w:p>
                      <w:pPr>
                        <w:keepNext/>
                        <w:keepLines/>
                        <w:spacing w:line="259" w:lineRule="auto"/>
                        <w:jc w:val="center"/>
                        <w:outlineLvl w:val="1"/>
                        <w:rPr>
                          <w:rFonts w:ascii="Arial" w:hAnsi="Arial" w:cs="Arial"/>
                          <w:b/>
                          <w:color w:val="002060"/>
                          <w:szCs w:val="26"/>
                        </w:rPr>
                      </w:pPr>
                      <w:sdt>
                        <w:sdtPr>
                          <w:alias w:val="Numeris"/>
                          <w:tag w:val="nr_1c66bbca099c49bba1e82d4cedf54772"/>
                          <w:lock w:val="sdtLocked"/>
                          <w:richText/>
                        </w:sdtPr>
                        <w:sdtContent>
                          <w:r>
                            <w:rPr>
                              <w:rFonts w:ascii="Arial" w:hAnsi="Arial" w:cs="Arial"/>
                              <w:b/>
                              <w:color w:val="002060"/>
                              <w:szCs w:val="26"/>
                            </w:rPr>
                            <w:t>1.4</w:t>
                          </w:r>
                        </w:sdtContent>
                      </w:sdt>
                      <w:r>
                        <w:rPr>
                          <w:rFonts w:ascii="Arial" w:hAnsi="Arial" w:cs="Arial"/>
                          <w:b/>
                          <w:color w:val="002060"/>
                          <w:szCs w:val="26"/>
                        </w:rPr>
                        <w:t>. Duomenys apie centralizuotai tiekiamos šilumos naudojimą savivaldybėje</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Viena didžiausių ir seniausių problemų, užkertanti kelią ekonomiškam šilumos energijos vartojimui, išlieka sunkiai sprendžiama – t.y. prasta daugiabučių gyvenamųjų namų kokybė, lemianti ženkliai didesnes gyventojų išlaidas šilumos energijai. Nors visiems kiekvieno miesto gyventojams nustatoma vienoda šilumos kaina, išlaidos šilumos energijai skiriasi – už šilumą mokama tiek, kiek jos suvartojama. Mokėjimai už šilumą priklauso nuo daugiabučio gyvenamojo namo būklės: jei pastatai nesandarūs, energijos apšildymui sunaudojama daugiau, taigi ir mokėjimai už šilumą didesni.</w:t>
                      </w:r>
                      <w:r>
                        <w:rPr>
                          <w:rFonts w:ascii="Arial" w:hAnsi="Arial" w:cs="Arial"/>
                          <w:sz w:val="22"/>
                          <w:szCs w:val="22"/>
                          <w:vertAlign w:val="superscript"/>
                        </w:rPr>
                        <w:footnoteReference w:id="5"/>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 xml:space="preserve">Joniškio rajono savivaldybėje </w:t>
                      </w:r>
                      <w:r>
                        <w:rPr>
                          <w:rFonts w:ascii="Arial" w:hAnsi="Arial" w:cs="Arial"/>
                          <w:sz w:val="22"/>
                          <w:szCs w:val="22"/>
                          <w:lang w:eastAsia="sv-SE"/>
                        </w:rPr>
                        <w:t>centralizuotas šilumos gamybos ir tiekimo paslaugas teikia U</w:t>
                      </w:r>
                      <w:r>
                        <w:rPr>
                          <w:rFonts w:ascii="Arial" w:hAnsi="Arial" w:cs="Arial"/>
                          <w:sz w:val="22"/>
                          <w:szCs w:val="22"/>
                        </w:rPr>
                        <w:t>AB „Gren Joniškis“. Įmonė gamina ir tiekia šilumą bei karštą vandenį Joniškio, Gataučių ir Žagarės miestų gyventojams ir prižiūri daugiabučių namų šilumos punktus. Pagrindinės įmonės veiklos kryptys – šilumos ir karšto vandens gamyba, tiekimas ir pardavimas Joniškio miesto, Joniškio rajono Žagarės miestelio ir Gataučių kaimo gyventojams, daugiabučių namų šilumos punktų priežiūra. Įmonė nuolat investuoja ir modernizuoja centralizuoto šilumos tiekimo tinklus, katilines ir šilumos punktus.</w:t>
                      </w:r>
                    </w:p>
                    <w:p>
                      <w:pPr>
                        <w:rPr>
                          <w:sz w:val="14"/>
                          <w:szCs w:val="14"/>
                        </w:rPr>
                      </w:pPr>
                    </w:p>
                    <w:p>
                      <w:pPr>
                        <w:spacing w:line="259" w:lineRule="auto"/>
                        <w:ind w:firstLine="567"/>
                        <w:jc w:val="both"/>
                        <w:rPr>
                          <w:rFonts w:ascii="Arial" w:hAnsi="Arial" w:cs="Arial"/>
                          <w:sz w:val="22"/>
                        </w:rPr>
                      </w:pPr>
                      <w:r>
                        <w:rPr>
                          <w:rFonts w:ascii="Arial" w:hAnsi="Arial" w:cs="Arial"/>
                          <w:sz w:val="22"/>
                        </w:rPr>
                        <w:t>Įmonė Joniškio rajono savivaldybėje eksploatuoja 7 katilines – penkias Joniškio mieste, po vieną Žagarės mieste bei Gataučių kaime. Bendra instaliuota įrenginių galia – 22,42 MW. 2021 m. įmonė pagamino 22,7 tūkst. MWh šilumos energijos, kurios 83,3 proc. buvo pagaminti naudojant atsinaujinančius energijos išteklius, likusioji dalis šilumos energijos naudojant gamtines dujas. Bendras termofikacinių trasų ilgis Joniškio rajono savivaldybėje yra 11,0 km, o iš jų modernizuoti yra 83 ,4 proc. Per 2021 m. pagamintos šilumos energijos kiekis – 19,4 tūkst. MWh.</w:t>
                      </w:r>
                    </w:p>
                    <w:p>
                      <w:pPr>
                        <w:rPr>
                          <w:sz w:val="14"/>
                          <w:szCs w:val="14"/>
                        </w:rPr>
                      </w:pPr>
                    </w:p>
                    <w:sdt>
                      <w:sdtPr>
                        <w:alias w:val="1.4.2 pp."/>
                        <w:tag w:val="part_ddafe2e98c254595a4b15cfd1cb202dc"/>
                        <w:lock w:val="sdtLocked"/>
                        <w:richText/>
                      </w:sdtPr>
                      <w:sdtContent>
                        <w:p>
                          <w:pPr>
                            <w:spacing w:line="259" w:lineRule="auto"/>
                            <w:jc w:val="center"/>
                            <w:rPr>
                              <w:rFonts w:ascii="Arial" w:eastAsia="Calibri" w:hAnsi="Arial" w:cs="Arial"/>
                              <w:b/>
                              <w:color w:val="002060"/>
                              <w:sz w:val="22"/>
                              <w:szCs w:val="32"/>
                            </w:rPr>
                          </w:pPr>
                          <w:sdt>
                            <w:sdtPr>
                              <w:alias w:val="Numeris"/>
                              <w:tag w:val="nr_ddafe2e98c254595a4b15cfd1cb202dc"/>
                              <w:lock w:val="sdtLocked"/>
                              <w:richText/>
                            </w:sdtPr>
                            <w:sdtContent>
                              <w:r>
                                <w:rPr>
                                  <w:rFonts w:ascii="Arial" w:eastAsia="Calibri" w:hAnsi="Arial" w:cs="Arial"/>
                                  <w:b/>
                                  <w:color w:val="002060"/>
                                  <w:sz w:val="22"/>
                                  <w:szCs w:val="32"/>
                                </w:rPr>
                                <w:t>1.4.2</w:t>
                              </w:r>
                            </w:sdtContent>
                          </w:sdt>
                          <w:r>
                            <w:rPr>
                              <w:rFonts w:ascii="Arial" w:eastAsia="Calibri" w:hAnsi="Arial" w:cs="Arial"/>
                              <w:b/>
                              <w:color w:val="002060"/>
                              <w:sz w:val="22"/>
                              <w:szCs w:val="32"/>
                            </w:rPr>
                            <w:t xml:space="preserve">. lentelė. </w:t>
                          </w:r>
                          <w:r>
                            <w:rPr>
                              <w:rFonts w:ascii="Arial" w:eastAsia="Calibri" w:hAnsi="Arial" w:cs="Arial"/>
                              <w:b/>
                              <w:bCs/>
                              <w:color w:val="002060"/>
                              <w:sz w:val="22"/>
                              <w:szCs w:val="32"/>
                            </w:rPr>
                            <w:t xml:space="preserve">Joniškio rajono </w:t>
                          </w:r>
                          <w:r>
                            <w:rPr>
                              <w:rFonts w:ascii="Arial" w:eastAsia="Calibri" w:hAnsi="Arial" w:cs="Arial"/>
                              <w:b/>
                              <w:color w:val="002060"/>
                              <w:sz w:val="22"/>
                              <w:szCs w:val="32"/>
                            </w:rPr>
                            <w:t xml:space="preserve">savivaldybėje </w:t>
                          </w:r>
                          <w:r>
                            <w:rPr>
                              <w:rFonts w:ascii="Arial" w:eastAsia="Calibri" w:hAnsi="Arial" w:cs="Arial"/>
                              <w:b/>
                              <w:bCs/>
                              <w:color w:val="002060"/>
                              <w:sz w:val="22"/>
                              <w:szCs w:val="32"/>
                            </w:rPr>
                            <w:t xml:space="preserve">pagamintas ir realizuotas </w:t>
                          </w:r>
                          <w:r>
                            <w:rPr>
                              <w:rFonts w:ascii="Arial" w:eastAsia="Calibri" w:hAnsi="Arial" w:cs="Arial"/>
                              <w:b/>
                              <w:color w:val="002060"/>
                              <w:sz w:val="22"/>
                              <w:szCs w:val="32"/>
                            </w:rPr>
                            <w:t>šilumos kiekis (MWh)</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5729"/>
                            <w:gridCol w:w="773"/>
                            <w:gridCol w:w="773"/>
                            <w:gridCol w:w="773"/>
                            <w:gridCol w:w="773"/>
                            <w:gridCol w:w="773"/>
                          </w:tblGrid>
                          <w:tr>
                            <w:trPr>
                              <w:trHeight w:hRule="exact" w:val="284"/>
                              <w:jc w:val="center"/>
                            </w:trPr>
                            <w:tc>
                              <w:tcPr>
                                <w:tcW w:w="0" w:type="auto"/>
                              </w:tcPr>
                              <w:p>
                                <w:pPr>
                                  <w:ind w:firstLine="567"/>
                                  <w:jc w:val="center"/>
                                  <w:rPr>
                                    <w:rFonts w:ascii="Arial" w:hAnsi="Arial" w:cs="Arial"/>
                                    <w:sz w:val="20"/>
                                    <w:szCs w:val="16"/>
                                  </w:rPr>
                                </w:pPr>
                              </w:p>
                            </w:tc>
                            <w:tc>
                              <w:tcPr>
                                <w:tcW w:w="0" w:type="auto"/>
                              </w:tcPr>
                              <w:p>
                                <w:pPr>
                                  <w:jc w:val="center"/>
                                  <w:rPr>
                                    <w:rFonts w:ascii="Arial" w:hAnsi="Arial" w:cs="Arial"/>
                                    <w:sz w:val="20"/>
                                    <w:szCs w:val="16"/>
                                  </w:rPr>
                                </w:pPr>
                                <w:r>
                                  <w:rPr>
                                    <w:rFonts w:ascii="Arial" w:hAnsi="Arial" w:cs="Arial"/>
                                    <w:sz w:val="20"/>
                                    <w:szCs w:val="16"/>
                                  </w:rPr>
                                  <w:t>2017</w:t>
                                </w:r>
                              </w:p>
                            </w:tc>
                            <w:tc>
                              <w:tcPr>
                                <w:tcW w:w="0" w:type="auto"/>
                              </w:tcPr>
                              <w:p>
                                <w:pPr>
                                  <w:jc w:val="center"/>
                                  <w:rPr>
                                    <w:rFonts w:ascii="Arial" w:hAnsi="Arial" w:cs="Arial"/>
                                    <w:sz w:val="20"/>
                                    <w:szCs w:val="16"/>
                                  </w:rPr>
                                </w:pPr>
                                <w:r>
                                  <w:rPr>
                                    <w:rFonts w:ascii="Arial" w:hAnsi="Arial" w:cs="Arial"/>
                                    <w:sz w:val="20"/>
                                    <w:szCs w:val="16"/>
                                  </w:rPr>
                                  <w:t>2018</w:t>
                                </w:r>
                              </w:p>
                            </w:tc>
                            <w:tc>
                              <w:tcPr>
                                <w:tcW w:w="0" w:type="auto"/>
                              </w:tcPr>
                              <w:p>
                                <w:pPr>
                                  <w:jc w:val="center"/>
                                  <w:rPr>
                                    <w:rFonts w:ascii="Arial" w:hAnsi="Arial" w:cs="Arial"/>
                                    <w:sz w:val="20"/>
                                    <w:szCs w:val="16"/>
                                  </w:rPr>
                                </w:pPr>
                                <w:r>
                                  <w:rPr>
                                    <w:rFonts w:ascii="Arial" w:hAnsi="Arial" w:cs="Arial"/>
                                    <w:sz w:val="20"/>
                                    <w:szCs w:val="16"/>
                                  </w:rPr>
                                  <w:t>2019</w:t>
                                </w:r>
                              </w:p>
                            </w:tc>
                            <w:tc>
                              <w:tcPr>
                                <w:tcW w:w="0" w:type="auto"/>
                              </w:tcPr>
                              <w:p>
                                <w:pPr>
                                  <w:jc w:val="center"/>
                                  <w:rPr>
                                    <w:rFonts w:ascii="Arial" w:hAnsi="Arial" w:cs="Arial"/>
                                    <w:sz w:val="20"/>
                                    <w:szCs w:val="16"/>
                                  </w:rPr>
                                </w:pPr>
                                <w:r>
                                  <w:rPr>
                                    <w:rFonts w:ascii="Arial" w:hAnsi="Arial" w:cs="Arial"/>
                                    <w:sz w:val="20"/>
                                    <w:szCs w:val="16"/>
                                  </w:rPr>
                                  <w:t>2020</w:t>
                                </w:r>
                              </w:p>
                            </w:tc>
                            <w:tc>
                              <w:tcPr>
                                <w:tcW w:w="0" w:type="auto"/>
                              </w:tcPr>
                              <w:p>
                                <w:pPr>
                                  <w:jc w:val="center"/>
                                  <w:rPr>
                                    <w:rFonts w:ascii="Arial" w:hAnsi="Arial" w:cs="Arial"/>
                                    <w:sz w:val="20"/>
                                    <w:szCs w:val="16"/>
                                  </w:rPr>
                                </w:pPr>
                                <w:r>
                                  <w:rPr>
                                    <w:rFonts w:ascii="Arial" w:hAnsi="Arial" w:cs="Arial"/>
                                    <w:sz w:val="20"/>
                                    <w:szCs w:val="16"/>
                                  </w:rPr>
                                  <w:t>2021</w:t>
                                </w:r>
                              </w:p>
                            </w:tc>
                          </w:tr>
                          <w:tr>
                            <w:trPr>
                              <w:trHeight w:hRule="exact" w:val="284"/>
                              <w:jc w:val="center"/>
                            </w:trPr>
                            <w:tc>
                              <w:tcPr>
                                <w:tcW w:w="0" w:type="auto"/>
                              </w:tcPr>
                              <w:p>
                                <w:pPr>
                                  <w:rPr>
                                    <w:rFonts w:ascii="Arial" w:hAnsi="Arial" w:cs="Arial"/>
                                    <w:sz w:val="20"/>
                                  </w:rPr>
                                </w:pPr>
                                <w:r>
                                  <w:rPr>
                                    <w:rFonts w:ascii="Arial" w:hAnsi="Arial" w:cs="Arial"/>
                                    <w:sz w:val="20"/>
                                  </w:rPr>
                                  <w:t>Viso pagamintas šilumos kiekis (MWh)</w:t>
                                </w:r>
                              </w:p>
                            </w:tc>
                            <w:tc>
                              <w:tcPr>
                                <w:tcW w:w="0" w:type="auto"/>
                              </w:tcPr>
                              <w:p>
                                <w:pPr>
                                  <w:jc w:val="center"/>
                                  <w:rPr>
                                    <w:rFonts w:ascii="Arial" w:hAnsi="Arial" w:cs="Arial"/>
                                    <w:sz w:val="20"/>
                                    <w:highlight w:val="yellow"/>
                                  </w:rPr>
                                </w:pPr>
                                <w:r>
                                  <w:rPr>
                                    <w:rFonts w:ascii="Arial" w:hAnsi="Arial" w:cs="Arial"/>
                                    <w:sz w:val="20"/>
                                  </w:rPr>
                                  <w:t>21869</w:t>
                                </w:r>
                              </w:p>
                            </w:tc>
                            <w:tc>
                              <w:tcPr>
                                <w:tcW w:w="0" w:type="auto"/>
                              </w:tcPr>
                              <w:p>
                                <w:pPr>
                                  <w:jc w:val="center"/>
                                  <w:rPr>
                                    <w:rFonts w:ascii="Arial" w:hAnsi="Arial" w:cs="Arial"/>
                                    <w:sz w:val="20"/>
                                    <w:highlight w:val="yellow"/>
                                  </w:rPr>
                                </w:pPr>
                                <w:r>
                                  <w:rPr>
                                    <w:rFonts w:ascii="Arial" w:hAnsi="Arial" w:cs="Arial"/>
                                    <w:sz w:val="20"/>
                                  </w:rPr>
                                  <w:t>21581</w:t>
                                </w:r>
                              </w:p>
                            </w:tc>
                            <w:tc>
                              <w:tcPr>
                                <w:tcW w:w="0" w:type="auto"/>
                              </w:tcPr>
                              <w:p>
                                <w:pPr>
                                  <w:jc w:val="center"/>
                                  <w:rPr>
                                    <w:rFonts w:ascii="Arial" w:hAnsi="Arial" w:cs="Arial"/>
                                    <w:sz w:val="20"/>
                                    <w:highlight w:val="yellow"/>
                                  </w:rPr>
                                </w:pPr>
                                <w:r>
                                  <w:rPr>
                                    <w:rFonts w:ascii="Arial" w:hAnsi="Arial" w:cs="Arial"/>
                                    <w:sz w:val="20"/>
                                  </w:rPr>
                                  <w:t>20392</w:t>
                                </w:r>
                              </w:p>
                            </w:tc>
                            <w:tc>
                              <w:tcPr>
                                <w:tcW w:w="0" w:type="auto"/>
                              </w:tcPr>
                              <w:p>
                                <w:pPr>
                                  <w:jc w:val="center"/>
                                  <w:rPr>
                                    <w:rFonts w:ascii="Arial" w:hAnsi="Arial" w:cs="Arial"/>
                                    <w:sz w:val="20"/>
                                    <w:highlight w:val="yellow"/>
                                  </w:rPr>
                                </w:pPr>
                                <w:r>
                                  <w:rPr>
                                    <w:rFonts w:ascii="Arial" w:hAnsi="Arial" w:cs="Arial"/>
                                    <w:sz w:val="20"/>
                                  </w:rPr>
                                  <w:t>19007</w:t>
                                </w:r>
                              </w:p>
                            </w:tc>
                            <w:tc>
                              <w:tcPr>
                                <w:tcW w:w="0" w:type="auto"/>
                              </w:tcPr>
                              <w:p>
                                <w:pPr>
                                  <w:jc w:val="center"/>
                                  <w:rPr>
                                    <w:rFonts w:ascii="Arial" w:hAnsi="Arial" w:cs="Arial"/>
                                    <w:sz w:val="20"/>
                                    <w:highlight w:val="yellow"/>
                                  </w:rPr>
                                </w:pPr>
                                <w:r>
                                  <w:rPr>
                                    <w:rFonts w:ascii="Arial" w:hAnsi="Arial" w:cs="Arial"/>
                                    <w:sz w:val="20"/>
                                  </w:rPr>
                                  <w:t>22670</w:t>
                                </w:r>
                              </w:p>
                            </w:tc>
                          </w:tr>
                          <w:tr>
                            <w:trPr>
                              <w:trHeight w:hRule="exact" w:val="316"/>
                              <w:jc w:val="center"/>
                            </w:trPr>
                            <w:tc>
                              <w:tcPr>
                                <w:tcW w:w="0" w:type="auto"/>
                              </w:tcPr>
                              <w:p>
                                <w:pPr>
                                  <w:rPr>
                                    <w:rFonts w:ascii="Arial" w:hAnsi="Arial" w:cs="Arial"/>
                                    <w:sz w:val="20"/>
                                  </w:rPr>
                                </w:pPr>
                                <w:r>
                                  <w:rPr>
                                    <w:rFonts w:ascii="Arial" w:hAnsi="Arial" w:cs="Arial"/>
                                    <w:sz w:val="20"/>
                                  </w:rPr>
                                  <w:t>Viso realizuotas šilumos kiekis galutiniams vartotojams (MWh)</w:t>
                                </w:r>
                              </w:p>
                            </w:tc>
                            <w:tc>
                              <w:tcPr>
                                <w:tcW w:w="0" w:type="auto"/>
                              </w:tcPr>
                              <w:p>
                                <w:pPr>
                                  <w:jc w:val="center"/>
                                  <w:rPr>
                                    <w:rFonts w:ascii="Arial" w:hAnsi="Arial" w:cs="Arial"/>
                                    <w:sz w:val="20"/>
                                    <w:highlight w:val="yellow"/>
                                  </w:rPr>
                                </w:pPr>
                                <w:r>
                                  <w:rPr>
                                    <w:rFonts w:ascii="Arial" w:hAnsi="Arial" w:cs="Arial"/>
                                    <w:sz w:val="20"/>
                                  </w:rPr>
                                  <w:t>18739</w:t>
                                </w:r>
                              </w:p>
                            </w:tc>
                            <w:tc>
                              <w:tcPr>
                                <w:tcW w:w="0" w:type="auto"/>
                              </w:tcPr>
                              <w:p>
                                <w:pPr>
                                  <w:jc w:val="center"/>
                                  <w:rPr>
                                    <w:rFonts w:ascii="Arial" w:hAnsi="Arial" w:cs="Arial"/>
                                    <w:sz w:val="20"/>
                                    <w:highlight w:val="yellow"/>
                                  </w:rPr>
                                </w:pPr>
                                <w:r>
                                  <w:rPr>
                                    <w:rFonts w:ascii="Arial" w:hAnsi="Arial" w:cs="Arial"/>
                                    <w:sz w:val="20"/>
                                  </w:rPr>
                                  <w:t>18829</w:t>
                                </w:r>
                              </w:p>
                            </w:tc>
                            <w:tc>
                              <w:tcPr>
                                <w:tcW w:w="0" w:type="auto"/>
                              </w:tcPr>
                              <w:p>
                                <w:pPr>
                                  <w:jc w:val="center"/>
                                  <w:rPr>
                                    <w:rFonts w:ascii="Arial" w:hAnsi="Arial" w:cs="Arial"/>
                                    <w:sz w:val="20"/>
                                    <w:highlight w:val="yellow"/>
                                  </w:rPr>
                                </w:pPr>
                                <w:r>
                                  <w:rPr>
                                    <w:rFonts w:ascii="Arial" w:hAnsi="Arial" w:cs="Arial"/>
                                    <w:sz w:val="20"/>
                                  </w:rPr>
                                  <w:t>17467</w:t>
                                </w:r>
                              </w:p>
                            </w:tc>
                            <w:tc>
                              <w:tcPr>
                                <w:tcW w:w="0" w:type="auto"/>
                              </w:tcPr>
                              <w:p>
                                <w:pPr>
                                  <w:jc w:val="center"/>
                                  <w:rPr>
                                    <w:rFonts w:ascii="Arial" w:hAnsi="Arial" w:cs="Arial"/>
                                    <w:sz w:val="20"/>
                                    <w:highlight w:val="yellow"/>
                                  </w:rPr>
                                </w:pPr>
                                <w:r>
                                  <w:rPr>
                                    <w:rFonts w:ascii="Arial" w:hAnsi="Arial" w:cs="Arial"/>
                                    <w:sz w:val="20"/>
                                  </w:rPr>
                                  <w:t>15907</w:t>
                                </w:r>
                              </w:p>
                            </w:tc>
                            <w:tc>
                              <w:tcPr>
                                <w:tcW w:w="0" w:type="auto"/>
                              </w:tcPr>
                              <w:p>
                                <w:pPr>
                                  <w:jc w:val="center"/>
                                  <w:rPr>
                                    <w:rFonts w:ascii="Arial" w:hAnsi="Arial" w:cs="Arial"/>
                                    <w:sz w:val="20"/>
                                    <w:highlight w:val="yellow"/>
                                  </w:rPr>
                                </w:pPr>
                                <w:r>
                                  <w:rPr>
                                    <w:rFonts w:ascii="Arial" w:hAnsi="Arial" w:cs="Arial"/>
                                    <w:sz w:val="20"/>
                                  </w:rPr>
                                  <w:t>19463</w:t>
                                </w:r>
                              </w:p>
                            </w:tc>
                          </w:tr>
                        </w:tbl>
                        <w:p>
                          <w:pPr>
                            <w:spacing w:line="259" w:lineRule="auto"/>
                            <w:jc w:val="center"/>
                            <w:rPr>
                              <w:rFonts w:ascii="Arial" w:hAnsi="Arial" w:cs="Arial"/>
                              <w:i/>
                              <w:iCs/>
                              <w:sz w:val="18"/>
                              <w:szCs w:val="18"/>
                            </w:rPr>
                          </w:pPr>
                          <w:r>
                            <w:rPr>
                              <w:rFonts w:ascii="Arial" w:hAnsi="Arial" w:cs="Arial"/>
                              <w:i/>
                              <w:iCs/>
                              <w:sz w:val="18"/>
                              <w:szCs w:val="18"/>
                            </w:rPr>
                            <w:t>Šaltinis: UAB „Gren Joniškis” duomenys</w:t>
                          </w:r>
                        </w:p>
                        <w:p>
                          <w:pPr>
                            <w:rPr>
                              <w:sz w:val="14"/>
                              <w:szCs w:val="14"/>
                            </w:rPr>
                          </w:pPr>
                        </w:p>
                        <w:p>
                          <w:pPr>
                            <w:spacing w:line="259" w:lineRule="auto"/>
                            <w:ind w:firstLine="567"/>
                            <w:jc w:val="both"/>
                            <w:rPr>
                              <w:rFonts w:ascii="Arial" w:hAnsi="Arial" w:cs="Arial"/>
                              <w:sz w:val="22"/>
                            </w:rPr>
                          </w:pPr>
                          <w:r>
                            <w:rPr>
                              <w:rFonts w:ascii="Arial" w:hAnsi="Arial" w:cs="Arial"/>
                              <w:sz w:val="22"/>
                            </w:rPr>
                            <w:t>UAB „Gren Joniškis“ tiekia šilumos energiją 147 unikaliems pastatams. Didžiąją dalį vartotojų sudaro gyventojai (namų ūkiai). Vartotojų pasiskirstymas pagal grupes pateiktas žemiau esančioje lentelėje.</w:t>
                          </w:r>
                        </w:p>
                        <w:p>
                          <w:pPr>
                            <w:rPr>
                              <w:sz w:val="14"/>
                              <w:szCs w:val="14"/>
                            </w:rPr>
                          </w:pPr>
                        </w:p>
                      </w:sdtContent>
                    </w:sdt>
                    <w:sdt>
                      <w:sdtPr>
                        <w:alias w:val="1.4.4 pp."/>
                        <w:tag w:val="part_aa5426b25bf44fc5bfdd4a0d2423036c"/>
                        <w:lock w:val="sdtLocked"/>
                        <w:richText/>
                      </w:sdtPr>
                      <w:sdtContent>
                        <w:p>
                          <w:pPr>
                            <w:spacing w:line="259" w:lineRule="auto"/>
                            <w:jc w:val="center"/>
                            <w:rPr>
                              <w:rFonts w:ascii="Arial" w:eastAsia="Calibri" w:hAnsi="Arial" w:cs="Arial"/>
                              <w:b/>
                              <w:color w:val="002060"/>
                              <w:sz w:val="22"/>
                              <w:szCs w:val="32"/>
                            </w:rPr>
                          </w:pPr>
                          <w:sdt>
                            <w:sdtPr>
                              <w:alias w:val="Numeris"/>
                              <w:tag w:val="nr_aa5426b25bf44fc5bfdd4a0d2423036c"/>
                              <w:lock w:val="sdtLocked"/>
                              <w:richText/>
                            </w:sdtPr>
                            <w:sdtContent>
                              <w:r>
                                <w:rPr>
                                  <w:rFonts w:ascii="Arial" w:eastAsia="Calibri" w:hAnsi="Arial" w:cs="Arial"/>
                                  <w:b/>
                                  <w:color w:val="002060"/>
                                  <w:sz w:val="22"/>
                                  <w:szCs w:val="32"/>
                                </w:rPr>
                                <w:t>1.4.4</w:t>
                              </w:r>
                            </w:sdtContent>
                          </w:sdt>
                          <w:r>
                            <w:rPr>
                              <w:rFonts w:ascii="Arial" w:eastAsia="Calibri" w:hAnsi="Arial" w:cs="Arial"/>
                              <w:b/>
                              <w:color w:val="002060"/>
                              <w:sz w:val="22"/>
                              <w:szCs w:val="32"/>
                            </w:rPr>
                            <w:t>. lentelė. Joniškio rajono savivaldybėje tiekiamos šilumos vartotojų struktūra</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461"/>
                            <w:gridCol w:w="1612"/>
                            <w:gridCol w:w="1630"/>
                            <w:gridCol w:w="1303"/>
                            <w:gridCol w:w="1670"/>
                            <w:gridCol w:w="1519"/>
                          </w:tblGrid>
                          <w:tr>
                            <w:trPr>
                              <w:trHeight w:val="765"/>
                              <w:jc w:val="center"/>
                            </w:trPr>
                            <w:tc>
                              <w:tcPr>
                                <w:tcW w:w="2461" w:type="dxa"/>
                              </w:tcPr>
                              <w:p>
                                <w:pPr>
                                  <w:jc w:val="center"/>
                                  <w:rPr>
                                    <w:rFonts w:ascii="Arial" w:hAnsi="Arial" w:cs="Arial"/>
                                    <w:sz w:val="20"/>
                                  </w:rPr>
                                </w:pPr>
                                <w:r>
                                  <w:rPr>
                                    <w:rFonts w:ascii="Arial" w:hAnsi="Arial" w:cs="Arial"/>
                                    <w:sz w:val="20"/>
                                  </w:rPr>
                                  <w:t>Pastatų kategorija</w:t>
                                </w:r>
                              </w:p>
                            </w:tc>
                            <w:tc>
                              <w:tcPr>
                                <w:tcW w:w="1612" w:type="dxa"/>
                              </w:tcPr>
                              <w:p>
                                <w:pPr>
                                  <w:jc w:val="center"/>
                                  <w:rPr>
                                    <w:rFonts w:ascii="Arial" w:hAnsi="Arial" w:cs="Arial"/>
                                    <w:sz w:val="20"/>
                                  </w:rPr>
                                </w:pPr>
                                <w:r>
                                  <w:rPr>
                                    <w:rFonts w:ascii="Arial" w:hAnsi="Arial" w:cs="Arial"/>
                                    <w:sz w:val="20"/>
                                  </w:rPr>
                                  <w:t>Centralizuotai šildomų pastatų skaičius</w:t>
                                </w:r>
                              </w:p>
                            </w:tc>
                            <w:tc>
                              <w:tcPr>
                                <w:tcW w:w="1630" w:type="dxa"/>
                              </w:tcPr>
                              <w:p>
                                <w:pPr>
                                  <w:jc w:val="center"/>
                                  <w:rPr>
                                    <w:rFonts w:ascii="Arial" w:hAnsi="Arial" w:cs="Arial"/>
                                    <w:sz w:val="20"/>
                                  </w:rPr>
                                </w:pPr>
                                <w:r>
                                  <w:rPr>
                                    <w:rFonts w:ascii="Arial" w:hAnsi="Arial" w:cs="Arial"/>
                                    <w:sz w:val="20"/>
                                  </w:rPr>
                                  <w:t>Iš viso pastatų savivaldybėje, m</w:t>
                                </w:r>
                                <w:r>
                                  <w:rPr>
                                    <w:rFonts w:ascii="Arial" w:hAnsi="Arial" w:cs="Arial"/>
                                    <w:sz w:val="20"/>
                                    <w:vertAlign w:val="superscript"/>
                                  </w:rPr>
                                  <w:t>2</w:t>
                                </w:r>
                              </w:p>
                            </w:tc>
                            <w:tc>
                              <w:tcPr>
                                <w:tcW w:w="1303" w:type="dxa"/>
                              </w:tcPr>
                              <w:p>
                                <w:pPr>
                                  <w:jc w:val="center"/>
                                  <w:rPr>
                                    <w:rFonts w:ascii="Arial" w:hAnsi="Arial" w:cs="Arial"/>
                                    <w:sz w:val="20"/>
                                  </w:rPr>
                                </w:pPr>
                                <w:r>
                                  <w:rPr>
                                    <w:rFonts w:ascii="Arial" w:hAnsi="Arial" w:cs="Arial"/>
                                    <w:sz w:val="20"/>
                                  </w:rPr>
                                  <w:t>CŠT šildomas plotas, m</w:t>
                                </w:r>
                                <w:r>
                                  <w:rPr>
                                    <w:rFonts w:ascii="Arial" w:hAnsi="Arial" w:cs="Arial"/>
                                    <w:sz w:val="20"/>
                                    <w:vertAlign w:val="superscript"/>
                                  </w:rPr>
                                  <w:t>2</w:t>
                                </w:r>
                              </w:p>
                            </w:tc>
                            <w:tc>
                              <w:tcPr>
                                <w:tcW w:w="1670" w:type="dxa"/>
                              </w:tcPr>
                              <w:p>
                                <w:pPr>
                                  <w:jc w:val="center"/>
                                  <w:rPr>
                                    <w:rFonts w:ascii="Arial" w:hAnsi="Arial" w:cs="Arial"/>
                                    <w:sz w:val="20"/>
                                  </w:rPr>
                                </w:pPr>
                                <w:r>
                                  <w:rPr>
                                    <w:rFonts w:ascii="Arial" w:hAnsi="Arial" w:cs="Arial"/>
                                    <w:sz w:val="20"/>
                                  </w:rPr>
                                  <w:t>Pastatų, šiluma aprūpinamų iš CŠT, dalis %</w:t>
                                </w:r>
                              </w:p>
                            </w:tc>
                            <w:tc>
                              <w:tcPr>
                                <w:tcW w:w="1519" w:type="dxa"/>
                              </w:tcPr>
                              <w:p>
                                <w:pPr>
                                  <w:jc w:val="center"/>
                                  <w:rPr>
                                    <w:rFonts w:ascii="Arial" w:hAnsi="Arial" w:cs="Arial"/>
                                    <w:sz w:val="20"/>
                                  </w:rPr>
                                </w:pPr>
                                <w:r>
                                  <w:rPr>
                                    <w:rFonts w:ascii="Arial" w:hAnsi="Arial" w:cs="Arial"/>
                                    <w:sz w:val="20"/>
                                    <w:lang w:eastAsia="lt-LT"/>
                                  </w:rPr>
                                  <w:t>Realizuota energijos 2020 m, MWh</w:t>
                                </w:r>
                              </w:p>
                            </w:tc>
                          </w:tr>
                          <w:tr>
                            <w:trPr>
                              <w:trHeight w:val="284"/>
                              <w:jc w:val="center"/>
                            </w:trPr>
                            <w:tc>
                              <w:tcPr>
                                <w:tcW w:w="2461" w:type="dxa"/>
                              </w:tcPr>
                              <w:p>
                                <w:pPr>
                                  <w:rPr>
                                    <w:rFonts w:ascii="Arial" w:hAnsi="Arial" w:cs="Arial"/>
                                    <w:sz w:val="20"/>
                                  </w:rPr>
                                </w:pPr>
                                <w:r>
                                  <w:rPr>
                                    <w:rFonts w:ascii="Arial" w:hAnsi="Arial" w:cs="Arial"/>
                                    <w:sz w:val="20"/>
                                  </w:rPr>
                                  <w:t>Daugiabučiai</w:t>
                                </w:r>
                              </w:p>
                            </w:tc>
                            <w:tc>
                              <w:tcPr>
                                <w:tcW w:w="1612" w:type="dxa"/>
                              </w:tcPr>
                              <w:p>
                                <w:pPr>
                                  <w:ind w:hanging="23"/>
                                  <w:jc w:val="center"/>
                                  <w:rPr>
                                    <w:rFonts w:ascii="Arial" w:hAnsi="Arial" w:cs="Arial"/>
                                    <w:sz w:val="20"/>
                                  </w:rPr>
                                </w:pPr>
                                <w:r>
                                  <w:rPr>
                                    <w:rFonts w:ascii="Arial" w:hAnsi="Arial" w:cs="Arial"/>
                                    <w:sz w:val="20"/>
                                  </w:rPr>
                                  <w:t>93</w:t>
                                </w:r>
                              </w:p>
                            </w:tc>
                            <w:tc>
                              <w:tcPr>
                                <w:tcW w:w="1630" w:type="dxa"/>
                              </w:tcPr>
                              <w:p>
                                <w:pPr>
                                  <w:ind w:hanging="23"/>
                                  <w:jc w:val="center"/>
                                  <w:rPr>
                                    <w:rFonts w:ascii="Arial" w:hAnsi="Arial" w:cs="Arial"/>
                                    <w:sz w:val="20"/>
                                  </w:rPr>
                                </w:pPr>
                                <w:r>
                                  <w:rPr>
                                    <w:rFonts w:ascii="Arial" w:hAnsi="Arial" w:cs="Arial"/>
                                    <w:sz w:val="20"/>
                                  </w:rPr>
                                  <w:t>244 850</w:t>
                                </w:r>
                              </w:p>
                            </w:tc>
                            <w:tc>
                              <w:tcPr>
                                <w:tcW w:w="1303" w:type="dxa"/>
                              </w:tcPr>
                              <w:p>
                                <w:pPr>
                                  <w:ind w:firstLine="34"/>
                                  <w:jc w:val="center"/>
                                  <w:rPr>
                                    <w:rFonts w:ascii="Arial" w:hAnsi="Arial" w:cs="Arial"/>
                                    <w:sz w:val="20"/>
                                  </w:rPr>
                                </w:pPr>
                                <w:r>
                                  <w:rPr>
                                    <w:rFonts w:ascii="Arial" w:hAnsi="Arial" w:cs="Arial"/>
                                    <w:sz w:val="20"/>
                                  </w:rPr>
                                  <w:t>104 142,0</w:t>
                                </w:r>
                              </w:p>
                            </w:tc>
                            <w:tc>
                              <w:tcPr>
                                <w:tcW w:w="1670" w:type="dxa"/>
                              </w:tcPr>
                              <w:p>
                                <w:pPr>
                                  <w:ind w:firstLine="34"/>
                                  <w:jc w:val="center"/>
                                  <w:rPr>
                                    <w:rFonts w:ascii="Arial" w:hAnsi="Arial" w:cs="Arial"/>
                                    <w:sz w:val="20"/>
                                  </w:rPr>
                                </w:pPr>
                                <w:r>
                                  <w:rPr>
                                    <w:rFonts w:ascii="Arial" w:hAnsi="Arial" w:cs="Arial"/>
                                    <w:sz w:val="20"/>
                                  </w:rPr>
                                  <w:t>42,5%</w:t>
                                </w:r>
                              </w:p>
                            </w:tc>
                            <w:tc>
                              <w:tcPr>
                                <w:tcW w:w="1519" w:type="dxa"/>
                              </w:tcPr>
                              <w:p>
                                <w:pPr>
                                  <w:ind w:firstLine="34"/>
                                  <w:jc w:val="center"/>
                                  <w:rPr>
                                    <w:rFonts w:ascii="Arial" w:hAnsi="Arial" w:cs="Arial"/>
                                    <w:sz w:val="20"/>
                                  </w:rPr>
                                </w:pPr>
                                <w:r>
                                  <w:rPr>
                                    <w:rFonts w:ascii="Arial" w:hAnsi="Arial" w:cs="Arial"/>
                                    <w:sz w:val="20"/>
                                  </w:rPr>
                                  <w:t>13 323,9</w:t>
                                </w:r>
                              </w:p>
                            </w:tc>
                          </w:tr>
                          <w:tr>
                            <w:trPr>
                              <w:trHeight w:val="284"/>
                              <w:jc w:val="center"/>
                            </w:trPr>
                            <w:tc>
                              <w:tcPr>
                                <w:tcW w:w="2461" w:type="dxa"/>
                              </w:tcPr>
                              <w:p>
                                <w:pPr>
                                  <w:rPr>
                                    <w:rFonts w:ascii="Arial" w:hAnsi="Arial" w:cs="Arial"/>
                                    <w:sz w:val="20"/>
                                  </w:rPr>
                                </w:pPr>
                                <w:r>
                                  <w:rPr>
                                    <w:rFonts w:ascii="Arial" w:hAnsi="Arial" w:cs="Arial"/>
                                    <w:sz w:val="20"/>
                                  </w:rPr>
                                  <w:t>1-2 butų individualūs namai</w:t>
                                </w:r>
                              </w:p>
                            </w:tc>
                            <w:tc>
                              <w:tcPr>
                                <w:tcW w:w="1612" w:type="dxa"/>
                              </w:tcPr>
                              <w:p>
                                <w:pPr>
                                  <w:ind w:hanging="23"/>
                                  <w:jc w:val="center"/>
                                  <w:rPr>
                                    <w:rFonts w:ascii="Arial" w:hAnsi="Arial" w:cs="Arial"/>
                                    <w:sz w:val="20"/>
                                  </w:rPr>
                                </w:pPr>
                                <w:r>
                                  <w:rPr>
                                    <w:rFonts w:ascii="Arial" w:hAnsi="Arial" w:cs="Arial"/>
                                    <w:sz w:val="20"/>
                                  </w:rPr>
                                  <w:t>2</w:t>
                                </w:r>
                              </w:p>
                            </w:tc>
                            <w:tc>
                              <w:tcPr>
                                <w:tcW w:w="1630" w:type="dxa"/>
                              </w:tcPr>
                              <w:p>
                                <w:pPr>
                                  <w:ind w:hanging="23"/>
                                  <w:jc w:val="center"/>
                                  <w:rPr>
                                    <w:rFonts w:ascii="Arial" w:hAnsi="Arial" w:cs="Arial"/>
                                    <w:sz w:val="20"/>
                                  </w:rPr>
                                </w:pPr>
                                <w:r>
                                  <w:rPr>
                                    <w:rFonts w:ascii="Arial" w:hAnsi="Arial" w:cs="Arial"/>
                                    <w:sz w:val="20"/>
                                  </w:rPr>
                                  <w:t>747133</w:t>
                                </w:r>
                              </w:p>
                            </w:tc>
                            <w:tc>
                              <w:tcPr>
                                <w:tcW w:w="1303" w:type="dxa"/>
                              </w:tcPr>
                              <w:p>
                                <w:pPr>
                                  <w:ind w:firstLine="34"/>
                                  <w:jc w:val="center"/>
                                  <w:rPr>
                                    <w:rFonts w:ascii="Arial" w:hAnsi="Arial" w:cs="Arial"/>
                                    <w:sz w:val="20"/>
                                  </w:rPr>
                                </w:pPr>
                                <w:r>
                                  <w:rPr>
                                    <w:rFonts w:ascii="Arial" w:hAnsi="Arial" w:cs="Arial"/>
                                    <w:sz w:val="20"/>
                                  </w:rPr>
                                  <w:t>252,5</w:t>
                                </w:r>
                              </w:p>
                            </w:tc>
                            <w:tc>
                              <w:tcPr>
                                <w:tcW w:w="1670" w:type="dxa"/>
                              </w:tcPr>
                              <w:p>
                                <w:pPr>
                                  <w:ind w:firstLine="34"/>
                                  <w:jc w:val="center"/>
                                  <w:rPr>
                                    <w:rFonts w:ascii="Arial" w:hAnsi="Arial" w:cs="Arial"/>
                                    <w:sz w:val="20"/>
                                  </w:rPr>
                                </w:pPr>
                                <w:r>
                                  <w:rPr>
                                    <w:rFonts w:ascii="Arial" w:hAnsi="Arial" w:cs="Arial"/>
                                    <w:sz w:val="20"/>
                                  </w:rPr>
                                  <w:t>0,1%</w:t>
                                </w:r>
                              </w:p>
                            </w:tc>
                            <w:tc>
                              <w:tcPr>
                                <w:tcW w:w="1519" w:type="dxa"/>
                              </w:tcPr>
                              <w:p>
                                <w:pPr>
                                  <w:ind w:firstLine="34"/>
                                  <w:jc w:val="center"/>
                                  <w:rPr>
                                    <w:rFonts w:ascii="Arial" w:hAnsi="Arial" w:cs="Arial"/>
                                    <w:sz w:val="20"/>
                                  </w:rPr>
                                </w:pPr>
                                <w:r>
                                  <w:rPr>
                                    <w:rFonts w:ascii="Arial" w:hAnsi="Arial" w:cs="Arial"/>
                                    <w:sz w:val="20"/>
                                  </w:rPr>
                                  <w:t>25,7</w:t>
                                </w:r>
                              </w:p>
                            </w:tc>
                          </w:tr>
                          <w:tr>
                            <w:trPr>
                              <w:trHeight w:val="284"/>
                              <w:jc w:val="center"/>
                            </w:trPr>
                            <w:tc>
                              <w:tcPr>
                                <w:tcW w:w="2461" w:type="dxa"/>
                              </w:tcPr>
                              <w:p>
                                <w:pPr>
                                  <w:rPr>
                                    <w:rFonts w:ascii="Arial" w:hAnsi="Arial" w:cs="Arial"/>
                                    <w:sz w:val="20"/>
                                  </w:rPr>
                                </w:pPr>
                                <w:r>
                                  <w:rPr>
                                    <w:rFonts w:ascii="Arial" w:hAnsi="Arial" w:cs="Arial"/>
                                    <w:sz w:val="20"/>
                                  </w:rPr>
                                  <w:t>Gyvenamieji namai įvairioms soc. grupėms</w:t>
                                </w:r>
                              </w:p>
                            </w:tc>
                            <w:tc>
                              <w:tcPr>
                                <w:tcW w:w="1612" w:type="dxa"/>
                              </w:tcPr>
                              <w:p>
                                <w:pPr>
                                  <w:ind w:hanging="23"/>
                                  <w:jc w:val="center"/>
                                  <w:rPr>
                                    <w:rFonts w:ascii="Arial" w:hAnsi="Arial" w:cs="Arial"/>
                                    <w:sz w:val="20"/>
                                    <w:lang w:eastAsia="lt-LT"/>
                                  </w:rPr>
                                </w:pPr>
                                <w:r>
                                  <w:rPr>
                                    <w:rFonts w:ascii="Arial" w:hAnsi="Arial" w:cs="Arial"/>
                                    <w:sz w:val="20"/>
                                  </w:rPr>
                                  <w:t>3</w:t>
                                </w:r>
                              </w:p>
                            </w:tc>
                            <w:tc>
                              <w:tcPr>
                                <w:tcW w:w="1630" w:type="dxa"/>
                              </w:tcPr>
                              <w:p>
                                <w:pPr>
                                  <w:ind w:hanging="23"/>
                                  <w:jc w:val="center"/>
                                  <w:rPr>
                                    <w:rFonts w:ascii="Arial" w:hAnsi="Arial" w:cs="Arial"/>
                                    <w:sz w:val="20"/>
                                  </w:rPr>
                                </w:pPr>
                                <w:r>
                                  <w:rPr>
                                    <w:rFonts w:ascii="Arial" w:hAnsi="Arial" w:cs="Arial"/>
                                    <w:sz w:val="20"/>
                                  </w:rPr>
                                  <w:t>24532</w:t>
                                </w:r>
                              </w:p>
                            </w:tc>
                            <w:tc>
                              <w:tcPr>
                                <w:tcW w:w="1303" w:type="dxa"/>
                              </w:tcPr>
                              <w:p>
                                <w:pPr>
                                  <w:ind w:firstLine="34"/>
                                  <w:jc w:val="center"/>
                                  <w:rPr>
                                    <w:rFonts w:ascii="Arial" w:hAnsi="Arial" w:cs="Arial"/>
                                    <w:sz w:val="20"/>
                                  </w:rPr>
                                </w:pPr>
                                <w:r>
                                  <w:rPr>
                                    <w:rFonts w:ascii="Arial" w:hAnsi="Arial" w:cs="Arial"/>
                                    <w:sz w:val="20"/>
                                  </w:rPr>
                                  <w:t>5 016,3</w:t>
                                </w:r>
                              </w:p>
                            </w:tc>
                            <w:tc>
                              <w:tcPr>
                                <w:tcW w:w="1670" w:type="dxa"/>
                              </w:tcPr>
                              <w:p>
                                <w:pPr>
                                  <w:ind w:firstLine="34"/>
                                  <w:jc w:val="center"/>
                                  <w:rPr>
                                    <w:rFonts w:ascii="Arial" w:hAnsi="Arial" w:cs="Arial"/>
                                    <w:sz w:val="20"/>
                                    <w:lang w:eastAsia="lt-LT"/>
                                  </w:rPr>
                                </w:pPr>
                                <w:r>
                                  <w:rPr>
                                    <w:rFonts w:ascii="Arial" w:hAnsi="Arial" w:cs="Arial"/>
                                    <w:sz w:val="20"/>
                                  </w:rPr>
                                  <w:t>20,5%</w:t>
                                </w:r>
                              </w:p>
                            </w:tc>
                            <w:tc>
                              <w:tcPr>
                                <w:tcW w:w="1519" w:type="dxa"/>
                              </w:tcPr>
                              <w:p>
                                <w:pPr>
                                  <w:ind w:firstLine="34"/>
                                  <w:jc w:val="center"/>
                                  <w:rPr>
                                    <w:rFonts w:ascii="Arial" w:hAnsi="Arial" w:cs="Arial"/>
                                    <w:sz w:val="20"/>
                                    <w:lang w:eastAsia="lt-LT"/>
                                  </w:rPr>
                                </w:pPr>
                                <w:r>
                                  <w:rPr>
                                    <w:rFonts w:ascii="Arial" w:hAnsi="Arial" w:cs="Arial"/>
                                    <w:sz w:val="20"/>
                                  </w:rPr>
                                  <w:t>706,2</w:t>
                                </w:r>
                              </w:p>
                            </w:tc>
                          </w:tr>
                          <w:tr>
                            <w:trPr>
                              <w:trHeight w:val="284"/>
                              <w:jc w:val="center"/>
                            </w:trPr>
                            <w:tc>
                              <w:tcPr>
                                <w:tcW w:w="2461" w:type="dxa"/>
                              </w:tcPr>
                              <w:p>
                                <w:pPr>
                                  <w:rPr>
                                    <w:rFonts w:ascii="Arial" w:hAnsi="Arial" w:cs="Arial"/>
                                    <w:sz w:val="20"/>
                                  </w:rPr>
                                </w:pPr>
                                <w:r>
                                  <w:rPr>
                                    <w:rFonts w:ascii="Arial" w:hAnsi="Arial" w:cs="Arial"/>
                                    <w:sz w:val="20"/>
                                  </w:rPr>
                                  <w:t>Visuomeninės paskirties pastatai</w:t>
                                </w:r>
                              </w:p>
                            </w:tc>
                            <w:tc>
                              <w:tcPr>
                                <w:tcW w:w="1612" w:type="dxa"/>
                              </w:tcPr>
                              <w:p>
                                <w:pPr>
                                  <w:ind w:hanging="23"/>
                                  <w:jc w:val="center"/>
                                  <w:rPr>
                                    <w:rFonts w:ascii="Arial" w:hAnsi="Arial" w:cs="Arial"/>
                                    <w:sz w:val="20"/>
                                  </w:rPr>
                                </w:pPr>
                                <w:r>
                                  <w:rPr>
                                    <w:rFonts w:ascii="Arial" w:hAnsi="Arial" w:cs="Arial"/>
                                    <w:sz w:val="20"/>
                                  </w:rPr>
                                  <w:t>33</w:t>
                                </w:r>
                              </w:p>
                            </w:tc>
                            <w:tc>
                              <w:tcPr>
                                <w:tcW w:w="1630" w:type="dxa"/>
                              </w:tcPr>
                              <w:p>
                                <w:pPr>
                                  <w:ind w:hanging="23"/>
                                  <w:jc w:val="center"/>
                                  <w:rPr>
                                    <w:rFonts w:ascii="Arial" w:hAnsi="Arial" w:cs="Arial"/>
                                    <w:sz w:val="20"/>
                                  </w:rPr>
                                </w:pPr>
                                <w:r>
                                  <w:rPr>
                                    <w:rFonts w:ascii="Arial" w:hAnsi="Arial" w:cs="Arial"/>
                                    <w:sz w:val="20"/>
                                  </w:rPr>
                                  <w:t>260735</w:t>
                                </w:r>
                              </w:p>
                            </w:tc>
                            <w:tc>
                              <w:tcPr>
                                <w:tcW w:w="1303" w:type="dxa"/>
                              </w:tcPr>
                              <w:p>
                                <w:pPr>
                                  <w:ind w:firstLine="34"/>
                                  <w:jc w:val="center"/>
                                  <w:rPr>
                                    <w:rFonts w:ascii="Arial" w:hAnsi="Arial" w:cs="Arial"/>
                                    <w:sz w:val="20"/>
                                  </w:rPr>
                                </w:pPr>
                                <w:r>
                                  <w:rPr>
                                    <w:rFonts w:ascii="Arial" w:hAnsi="Arial" w:cs="Arial"/>
                                    <w:sz w:val="20"/>
                                  </w:rPr>
                                  <w:t>34 777,9</w:t>
                                </w:r>
                              </w:p>
                            </w:tc>
                            <w:tc>
                              <w:tcPr>
                                <w:tcW w:w="1670" w:type="dxa"/>
                              </w:tcPr>
                              <w:p>
                                <w:pPr>
                                  <w:ind w:firstLine="34"/>
                                  <w:jc w:val="center"/>
                                  <w:rPr>
                                    <w:rFonts w:ascii="Arial" w:hAnsi="Arial" w:cs="Arial"/>
                                    <w:sz w:val="20"/>
                                  </w:rPr>
                                </w:pPr>
                                <w:r>
                                  <w:rPr>
                                    <w:rFonts w:ascii="Arial" w:hAnsi="Arial" w:cs="Arial"/>
                                    <w:sz w:val="20"/>
                                  </w:rPr>
                                  <w:t>13,3%</w:t>
                                </w:r>
                              </w:p>
                            </w:tc>
                            <w:tc>
                              <w:tcPr>
                                <w:tcW w:w="1519" w:type="dxa"/>
                              </w:tcPr>
                              <w:p>
                                <w:pPr>
                                  <w:ind w:firstLine="34"/>
                                  <w:jc w:val="center"/>
                                  <w:rPr>
                                    <w:rFonts w:ascii="Arial" w:hAnsi="Arial" w:cs="Arial"/>
                                    <w:sz w:val="20"/>
                                  </w:rPr>
                                </w:pPr>
                                <w:r>
                                  <w:rPr>
                                    <w:rFonts w:ascii="Arial" w:hAnsi="Arial" w:cs="Arial"/>
                                    <w:sz w:val="20"/>
                                  </w:rPr>
                                  <w:t>4 711,8</w:t>
                                </w:r>
                              </w:p>
                            </w:tc>
                          </w:tr>
                          <w:tr>
                            <w:trPr>
                              <w:trHeight w:val="284"/>
                              <w:jc w:val="center"/>
                            </w:trPr>
                            <w:tc>
                              <w:tcPr>
                                <w:tcW w:w="8676" w:type="dxa"/>
                                <w:gridSpan w:val="5"/>
                              </w:tcPr>
                              <w:p>
                                <w:pPr>
                                  <w:ind w:hanging="291"/>
                                  <w:jc w:val="right"/>
                                  <w:rPr>
                                    <w:rFonts w:ascii="Arial" w:hAnsi="Arial" w:cs="Arial"/>
                                    <w:sz w:val="20"/>
                                  </w:rPr>
                                </w:pPr>
                                <w:r>
                                  <w:rPr>
                                    <w:rFonts w:ascii="Arial" w:hAnsi="Arial" w:cs="Arial"/>
                                    <w:sz w:val="20"/>
                                  </w:rPr>
                                  <w:t>Iš viso</w:t>
                                </w:r>
                              </w:p>
                            </w:tc>
                            <w:tc>
                              <w:tcPr>
                                <w:tcW w:w="1519" w:type="dxa"/>
                              </w:tcPr>
                              <w:p>
                                <w:pPr>
                                  <w:jc w:val="center"/>
                                  <w:rPr>
                                    <w:rFonts w:ascii="Arial" w:hAnsi="Arial" w:cs="Arial"/>
                                    <w:b/>
                                    <w:bCs/>
                                    <w:sz w:val="20"/>
                                  </w:rPr>
                                </w:pPr>
                                <w:r>
                                  <w:rPr>
                                    <w:rFonts w:ascii="Arial" w:hAnsi="Arial" w:cs="Arial"/>
                                    <w:b/>
                                    <w:bCs/>
                                    <w:sz w:val="20"/>
                                  </w:rPr>
                                  <w:t>18 767,6</w:t>
                                </w:r>
                              </w:p>
                            </w:tc>
                          </w:tr>
                        </w:tbl>
                        <w:p>
                          <w:pPr>
                            <w:spacing w:line="259" w:lineRule="auto"/>
                            <w:jc w:val="center"/>
                            <w:rPr>
                              <w:rFonts w:ascii="Arial" w:hAnsi="Arial" w:cs="Arial"/>
                              <w:i/>
                              <w:iCs/>
                              <w:sz w:val="18"/>
                              <w:szCs w:val="18"/>
                            </w:rPr>
                          </w:pPr>
                          <w:r>
                            <w:rPr>
                              <w:rFonts w:ascii="Arial" w:hAnsi="Arial" w:cs="Arial"/>
                              <w:i/>
                              <w:iCs/>
                              <w:sz w:val="18"/>
                              <w:szCs w:val="18"/>
                            </w:rPr>
                            <w:t>Šaltinis: UAB „Gren Joniškisi“</w:t>
                          </w:r>
                        </w:p>
                        <w:p>
                          <w:pPr>
                            <w:rPr>
                              <w:sz w:val="14"/>
                              <w:szCs w:val="14"/>
                            </w:rPr>
                          </w:pPr>
                        </w:p>
                        <w:p>
                          <w:pPr>
                            <w:spacing w:line="259" w:lineRule="auto"/>
                            <w:ind w:firstLine="567"/>
                            <w:jc w:val="both"/>
                            <w:rPr>
                              <w:rFonts w:ascii="Arial" w:hAnsi="Arial" w:cs="Arial"/>
                              <w:sz w:val="22"/>
                            </w:rPr>
                          </w:pPr>
                          <w:r>
                            <w:rPr>
                              <w:rFonts w:ascii="Arial" w:hAnsi="Arial" w:cs="Arial"/>
                              <w:sz w:val="22"/>
                            </w:rPr>
                            <w:t>Didžioji dalis pastatų Joniškio rajono savivaldybėje yra apšildoma decentralizuotai. Apie puse (42,5 proc.) daugiabučių ploto yra apšildoma centralizuotai. Tik nedidelė dalis (0,1 proc.) individualių namų yra apšildoma centralizuotai, per metus suvartojant 25,7 MWh. Taip pat, CŠT įstaiga apšildo kas penktą gyvenamąjį namą, skirtą įvairioms socialinėms grupėms bei 13,3 proc. visuomeninės paskirties pastatų.</w:t>
                          </w:r>
                        </w:p>
                        <w:p>
                          <w:pPr>
                            <w:rPr>
                              <w:sz w:val="14"/>
                              <w:szCs w:val="14"/>
                            </w:rPr>
                          </w:pPr>
                        </w:p>
                      </w:sdtContent>
                    </w:sdt>
                  </w:sdtContent>
                </w:sdt>
                <w:sdt>
                  <w:sdtPr>
                    <w:alias w:val="1.5 pp."/>
                    <w:tag w:val="part_794ec2e501234772a3c79d5f509aa6f3"/>
                    <w:lock w:val="sdtLocked"/>
                    <w:richText/>
                  </w:sdtPr>
                  <w:sdtContent>
                    <w:p>
                      <w:pPr>
                        <w:keepNext/>
                        <w:keepLines/>
                        <w:spacing w:line="259" w:lineRule="auto"/>
                        <w:jc w:val="center"/>
                        <w:outlineLvl w:val="1"/>
                        <w:rPr>
                          <w:rFonts w:ascii="Arial" w:hAnsi="Arial" w:cs="Arial"/>
                          <w:b/>
                          <w:bCs/>
                          <w:color w:val="002060"/>
                          <w:szCs w:val="26"/>
                          <w:highlight w:val="yellow"/>
                        </w:rPr>
                      </w:pPr>
                      <w:sdt>
                        <w:sdtPr>
                          <w:alias w:val="Numeris"/>
                          <w:tag w:val="nr_794ec2e501234772a3c79d5f509aa6f3"/>
                          <w:lock w:val="sdtLocked"/>
                          <w:richText/>
                        </w:sdtPr>
                        <w:sdtContent>
                          <w:r>
                            <w:rPr>
                              <w:rFonts w:ascii="Arial" w:hAnsi="Arial" w:cs="Arial"/>
                              <w:b/>
                              <w:bCs/>
                              <w:color w:val="002060"/>
                              <w:szCs w:val="26"/>
                            </w:rPr>
                            <w:t>1.5</w:t>
                          </w:r>
                        </w:sdtContent>
                      </w:sdt>
                      <w:r>
                        <w:rPr>
                          <w:rFonts w:ascii="Arial" w:hAnsi="Arial" w:cs="Arial"/>
                          <w:b/>
                          <w:bCs/>
                          <w:color w:val="002060"/>
                          <w:szCs w:val="26"/>
                        </w:rPr>
                        <w:t xml:space="preserve">. </w:t>
                      </w:r>
                      <w:r>
                        <w:rPr>
                          <w:rFonts w:ascii="Arial" w:hAnsi="Arial" w:cs="Arial"/>
                          <w:b/>
                          <w:color w:val="002060"/>
                          <w:szCs w:val="26"/>
                        </w:rPr>
                        <w:t>Duomenys apie šilumos energijos vartotojus, kurie šiluma apsirūpina decentralizuotai</w:t>
                      </w:r>
                      <w:r>
                        <w:rPr>
                          <w:rFonts w:ascii="Arial" w:hAnsi="Arial" w:cs="Arial"/>
                          <w:b/>
                          <w:bCs/>
                          <w:color w:val="002060"/>
                          <w:szCs w:val="26"/>
                        </w:rPr>
                        <w:t xml:space="preserve"> </w:t>
                      </w:r>
                    </w:p>
                    <w:p>
                      <w:pPr>
                        <w:rPr>
                          <w:sz w:val="14"/>
                          <w:szCs w:val="14"/>
                        </w:rPr>
                      </w:pPr>
                    </w:p>
                    <w:sdt>
                      <w:sdtPr>
                        <w:alias w:val="1.5.1 pp."/>
                        <w:tag w:val="part_53e9434819384795be31417f6d82aca1"/>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53e9434819384795be31417f6d82aca1"/>
                              <w:lock w:val="sdtLocked"/>
                              <w:richText/>
                            </w:sdtPr>
                            <w:sdtContent>
                              <w:r>
                                <w:rPr>
                                  <w:rFonts w:ascii="Arial" w:hAnsi="Arial" w:cs="Arial"/>
                                  <w:b/>
                                  <w:color w:val="002060"/>
                                  <w:sz w:val="22"/>
                                  <w:szCs w:val="24"/>
                                </w:rPr>
                                <w:t>1.5.1</w:t>
                              </w:r>
                            </w:sdtContent>
                          </w:sdt>
                          <w:r>
                            <w:rPr>
                              <w:rFonts w:ascii="Arial" w:hAnsi="Arial" w:cs="Arial"/>
                              <w:b/>
                              <w:color w:val="002060"/>
                              <w:sz w:val="22"/>
                              <w:szCs w:val="24"/>
                            </w:rPr>
                            <w:t>. Šilumos energijos gamyba Joniškio rajono įstaigų ir įmonių katilinėse</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savivaldybės duomenimis, savivaldybėje šilumos energija individualiai apsirūpina 16 biudžetinių įstaigų ir (arba) jų padalinių. Dalis išvardintų įstaigų ir įmonių šilumos gamybai naudoja dujas, biokurą, arba naudoja katilus, kuriuose degina anglis ir biokurą</w:t>
                          </w:r>
                          <w:r>
                            <w:rPr>
                              <w:rFonts w:ascii="Arial" w:hAnsi="Arial" w:cs="Arial"/>
                              <w:bCs/>
                              <w:sz w:val="22"/>
                            </w:rPr>
                            <w:t xml:space="preserve"> </w:t>
                          </w:r>
                          <w:r>
                            <w:rPr>
                              <w:rFonts w:ascii="Arial" w:hAnsi="Arial" w:cs="Arial"/>
                              <w:sz w:val="22"/>
                            </w:rPr>
                            <w:t>Duomenys apie šilumos ar kuro suvartojimą gauti tik iš savivaldybės kontroliuojamų ir biudžetinių įstaigų. Iš privačių įmonių duomenų negauta. Žemiau esančioje lentelėje yra pateikiami individualiai įmonių pagaminti šilumos kiekiai.</w:t>
                          </w:r>
                        </w:p>
                        <w:p>
                          <w:pPr>
                            <w:rPr>
                              <w:sz w:val="14"/>
                              <w:szCs w:val="14"/>
                            </w:rPr>
                          </w:pPr>
                        </w:p>
                        <w:sdt>
                          <w:sdtPr>
                            <w:alias w:val="1.5.1.1 pp."/>
                            <w:tag w:val="part_f1ed316f805446b4a285c740aafb932a"/>
                            <w:lock w:val="sdtLocked"/>
                            <w:richText/>
                          </w:sdtPr>
                          <w:sdtContent>
                            <w:p>
                              <w:pPr>
                                <w:spacing w:line="259" w:lineRule="auto"/>
                                <w:jc w:val="center"/>
                                <w:rPr>
                                  <w:rFonts w:ascii="Arial" w:eastAsia="Calibri" w:hAnsi="Arial" w:cs="Arial"/>
                                  <w:b/>
                                  <w:color w:val="002060"/>
                                  <w:sz w:val="22"/>
                                  <w:szCs w:val="32"/>
                                </w:rPr>
                              </w:pPr>
                              <w:sdt>
                                <w:sdtPr>
                                  <w:alias w:val="Numeris"/>
                                  <w:tag w:val="nr_f1ed316f805446b4a285c740aafb932a"/>
                                  <w:lock w:val="sdtLocked"/>
                                  <w:richText/>
                                </w:sdtPr>
                                <w:sdtContent>
                                  <w:r>
                                    <w:rPr>
                                      <w:rFonts w:ascii="Arial" w:eastAsia="Calibri" w:hAnsi="Arial" w:cs="Arial"/>
                                      <w:b/>
                                      <w:color w:val="002060"/>
                                      <w:sz w:val="22"/>
                                      <w:szCs w:val="32"/>
                                    </w:rPr>
                                    <w:t>1.5.1.1</w:t>
                                  </w:r>
                                </w:sdtContent>
                              </w:sdt>
                              <w:r>
                                <w:rPr>
                                  <w:rFonts w:ascii="Arial" w:eastAsia="Calibri" w:hAnsi="Arial" w:cs="Arial"/>
                                  <w:b/>
                                  <w:color w:val="002060"/>
                                  <w:sz w:val="22"/>
                                  <w:szCs w:val="32"/>
                                </w:rPr>
                                <w:t>. lentelė. Joniškio rajono savivaldybės kontroliuojamos ir biudžetinės įstaigos, apsirūpinančios šilumos energija individualiai</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1572"/>
                                <w:gridCol w:w="4418"/>
                                <w:gridCol w:w="3852"/>
                              </w:tblGrid>
                              <w:tr>
                                <w:trPr>
                                  <w:trHeight w:val="442"/>
                                  <w:jc w:val="center"/>
                                </w:trPr>
                                <w:tc>
                                  <w:tcPr>
                                    <w:tcW w:w="0" w:type="auto"/>
                                    <w:noWrap/>
                                    <w:hideMark/>
                                  </w:tcPr>
                                  <w:p>
                                    <w:pPr>
                                      <w:ind w:firstLine="57"/>
                                      <w:rPr>
                                        <w:rFonts w:ascii="Arial" w:hAnsi="Arial" w:cs="Arial"/>
                                        <w:color w:val="000000"/>
                                        <w:sz w:val="20"/>
                                        <w:highlight w:val="yellow"/>
                                        <w:lang w:eastAsia="lt-LT"/>
                                      </w:rPr>
                                    </w:pPr>
                                  </w:p>
                                </w:tc>
                                <w:tc>
                                  <w:tcPr>
                                    <w:tcW w:w="0" w:type="auto"/>
                                    <w:hideMark/>
                                  </w:tcPr>
                                  <w:p>
                                    <w:pPr>
                                      <w:jc w:val="center"/>
                                      <w:rPr>
                                        <w:rFonts w:ascii="Arial" w:hAnsi="Arial" w:cs="Arial"/>
                                        <w:sz w:val="20"/>
                                        <w:lang w:eastAsia="lt-LT"/>
                                      </w:rPr>
                                    </w:pPr>
                                    <w:r>
                                      <w:rPr>
                                        <w:rFonts w:ascii="Arial" w:hAnsi="Arial" w:cs="Arial"/>
                                        <w:sz w:val="20"/>
                                        <w:lang w:eastAsia="lt-LT"/>
                                      </w:rPr>
                                      <w:t>2021 m. suvartota šiluminės energijos, MWh</w:t>
                                    </w:r>
                                  </w:p>
                                </w:tc>
                                <w:tc>
                                  <w:tcPr>
                                    <w:tcW w:w="0" w:type="auto"/>
                                    <w:hideMark/>
                                  </w:tcPr>
                                  <w:p>
                                    <w:pPr>
                                      <w:jc w:val="center"/>
                                      <w:rPr>
                                        <w:rFonts w:ascii="Arial" w:hAnsi="Arial" w:cs="Arial"/>
                                        <w:sz w:val="20"/>
                                        <w:lang w:eastAsia="lt-LT"/>
                                      </w:rPr>
                                    </w:pPr>
                                    <w:r>
                                      <w:rPr>
                                        <w:rFonts w:ascii="Arial" w:hAnsi="Arial" w:cs="Arial"/>
                                        <w:sz w:val="20"/>
                                        <w:lang w:eastAsia="lt-LT"/>
                                      </w:rPr>
                                      <w:t>2021 m. suvartotas šilumos kiekis, tne</w:t>
                                    </w:r>
                                  </w:p>
                                </w:tc>
                              </w:tr>
                              <w:tr>
                                <w:trPr>
                                  <w:trHeight w:val="288"/>
                                  <w:jc w:val="center"/>
                                </w:trPr>
                                <w:tc>
                                  <w:tcPr>
                                    <w:tcW w:w="0" w:type="auto"/>
                                    <w:noWrap/>
                                    <w:hideMark/>
                                  </w:tcPr>
                                  <w:p>
                                    <w:pPr>
                                      <w:rPr>
                                        <w:rFonts w:ascii="Arial" w:hAnsi="Arial" w:cs="Arial"/>
                                        <w:color w:val="000000"/>
                                        <w:sz w:val="20"/>
                                        <w:highlight w:val="yellow"/>
                                        <w:lang w:eastAsia="lt-LT"/>
                                      </w:rPr>
                                    </w:pPr>
                                    <w:r>
                                      <w:rPr>
                                        <w:rFonts w:ascii="Arial" w:hAnsi="Arial" w:cs="Arial"/>
                                        <w:sz w:val="20"/>
                                      </w:rPr>
                                      <w:t>Biokuras</w:t>
                                    </w:r>
                                  </w:p>
                                </w:tc>
                                <w:tc>
                                  <w:tcPr>
                                    <w:tcW w:w="0" w:type="auto"/>
                                    <w:noWrap/>
                                    <w:hideMark/>
                                  </w:tcPr>
                                  <w:p>
                                    <w:pPr>
                                      <w:jc w:val="center"/>
                                      <w:rPr>
                                        <w:rFonts w:ascii="Arial" w:hAnsi="Arial" w:cs="Arial"/>
                                        <w:color w:val="000000"/>
                                        <w:sz w:val="20"/>
                                        <w:lang w:eastAsia="lt-LT"/>
                                      </w:rPr>
                                    </w:pPr>
                                    <w:r>
                                      <w:rPr>
                                        <w:rFonts w:ascii="Arial" w:hAnsi="Arial" w:cs="Arial"/>
                                        <w:sz w:val="20"/>
                                      </w:rPr>
                                      <w:t>939,0</w:t>
                                    </w:r>
                                  </w:p>
                                </w:tc>
                                <w:tc>
                                  <w:tcPr>
                                    <w:tcW w:w="0" w:type="auto"/>
                                    <w:noWrap/>
                                    <w:hideMark/>
                                  </w:tcPr>
                                  <w:p>
                                    <w:pPr>
                                      <w:jc w:val="center"/>
                                      <w:rPr>
                                        <w:rFonts w:ascii="Arial" w:hAnsi="Arial" w:cs="Arial"/>
                                        <w:color w:val="000000"/>
                                        <w:sz w:val="20"/>
                                        <w:lang w:eastAsia="lt-LT"/>
                                      </w:rPr>
                                    </w:pPr>
                                    <w:r>
                                      <w:rPr>
                                        <w:rFonts w:ascii="Arial" w:hAnsi="Arial" w:cs="Arial"/>
                                        <w:sz w:val="20"/>
                                      </w:rPr>
                                      <w:t>80,8</w:t>
                                    </w:r>
                                  </w:p>
                                </w:tc>
                              </w:tr>
                              <w:tr>
                                <w:trPr>
                                  <w:trHeight w:val="288"/>
                                  <w:jc w:val="center"/>
                                </w:trPr>
                                <w:tc>
                                  <w:tcPr>
                                    <w:tcW w:w="0" w:type="auto"/>
                                    <w:noWrap/>
                                  </w:tcPr>
                                  <w:p>
                                    <w:pPr>
                                      <w:rPr>
                                        <w:rFonts w:ascii="Arial" w:hAnsi="Arial" w:cs="Arial"/>
                                        <w:color w:val="000000"/>
                                        <w:sz w:val="20"/>
                                      </w:rPr>
                                    </w:pPr>
                                    <w:r>
                                      <w:rPr>
                                        <w:rFonts w:ascii="Arial" w:hAnsi="Arial" w:cs="Arial"/>
                                        <w:sz w:val="20"/>
                                      </w:rPr>
                                      <w:t>Dujos</w:t>
                                    </w:r>
                                  </w:p>
                                </w:tc>
                                <w:tc>
                                  <w:tcPr>
                                    <w:tcW w:w="0" w:type="auto"/>
                                    <w:noWrap/>
                                  </w:tcPr>
                                  <w:p>
                                    <w:pPr>
                                      <w:jc w:val="center"/>
                                      <w:rPr>
                                        <w:rFonts w:ascii="Arial" w:hAnsi="Arial" w:cs="Arial"/>
                                        <w:color w:val="000000"/>
                                        <w:sz w:val="20"/>
                                      </w:rPr>
                                    </w:pPr>
                                    <w:r>
                                      <w:rPr>
                                        <w:rFonts w:ascii="Arial" w:hAnsi="Arial" w:cs="Arial"/>
                                        <w:sz w:val="20"/>
                                      </w:rPr>
                                      <w:t>3 738,6</w:t>
                                    </w:r>
                                  </w:p>
                                </w:tc>
                                <w:tc>
                                  <w:tcPr>
                                    <w:tcW w:w="0" w:type="auto"/>
                                    <w:noWrap/>
                                  </w:tcPr>
                                  <w:p>
                                    <w:pPr>
                                      <w:jc w:val="center"/>
                                      <w:rPr>
                                        <w:rFonts w:ascii="Arial" w:hAnsi="Arial" w:cs="Arial"/>
                                        <w:color w:val="000000"/>
                                        <w:sz w:val="20"/>
                                      </w:rPr>
                                    </w:pPr>
                                    <w:r>
                                      <w:rPr>
                                        <w:rFonts w:ascii="Arial" w:hAnsi="Arial" w:cs="Arial"/>
                                        <w:sz w:val="20"/>
                                      </w:rPr>
                                      <w:t>321,5</w:t>
                                    </w:r>
                                  </w:p>
                                </w:tc>
                              </w:tr>
                              <w:tr>
                                <w:trPr>
                                  <w:trHeight w:val="288"/>
                                  <w:jc w:val="center"/>
                                </w:trPr>
                                <w:tc>
                                  <w:tcPr>
                                    <w:tcW w:w="0" w:type="auto"/>
                                    <w:noWrap/>
                                  </w:tcPr>
                                  <w:p>
                                    <w:pPr>
                                      <w:rPr>
                                        <w:rFonts w:ascii="Arial" w:hAnsi="Arial" w:cs="Arial"/>
                                        <w:color w:val="000000"/>
                                        <w:sz w:val="20"/>
                                      </w:rPr>
                                    </w:pPr>
                                    <w:r>
                                      <w:rPr>
                                        <w:rFonts w:ascii="Arial" w:hAnsi="Arial" w:cs="Arial"/>
                                        <w:sz w:val="20"/>
                                      </w:rPr>
                                      <w:t>Anglis/malkos</w:t>
                                    </w:r>
                                  </w:p>
                                </w:tc>
                                <w:tc>
                                  <w:tcPr>
                                    <w:tcW w:w="0" w:type="auto"/>
                                    <w:noWrap/>
                                  </w:tcPr>
                                  <w:p>
                                    <w:pPr>
                                      <w:jc w:val="center"/>
                                      <w:rPr>
                                        <w:rFonts w:ascii="Arial" w:hAnsi="Arial" w:cs="Arial"/>
                                        <w:color w:val="000000"/>
                                        <w:sz w:val="20"/>
                                      </w:rPr>
                                    </w:pPr>
                                    <w:r>
                                      <w:rPr>
                                        <w:rFonts w:ascii="Arial" w:hAnsi="Arial" w:cs="Arial"/>
                                        <w:sz w:val="20"/>
                                      </w:rPr>
                                      <w:t>1 234,4</w:t>
                                    </w:r>
                                  </w:p>
                                </w:tc>
                                <w:tc>
                                  <w:tcPr>
                                    <w:tcW w:w="0" w:type="auto"/>
                                    <w:noWrap/>
                                  </w:tcPr>
                                  <w:p>
                                    <w:pPr>
                                      <w:jc w:val="center"/>
                                      <w:rPr>
                                        <w:rFonts w:ascii="Arial" w:hAnsi="Arial" w:cs="Arial"/>
                                        <w:color w:val="000000"/>
                                        <w:sz w:val="20"/>
                                      </w:rPr>
                                    </w:pPr>
                                    <w:r>
                                      <w:rPr>
                                        <w:rFonts w:ascii="Arial" w:hAnsi="Arial" w:cs="Arial"/>
                                        <w:sz w:val="20"/>
                                      </w:rPr>
                                      <w:t>106,2</w:t>
                                    </w:r>
                                  </w:p>
                                </w:tc>
                              </w:tr>
                              <w:tr>
                                <w:trPr>
                                  <w:trHeight w:val="288"/>
                                  <w:jc w:val="center"/>
                                </w:trPr>
                                <w:tc>
                                  <w:tcPr>
                                    <w:tcW w:w="0" w:type="auto"/>
                                    <w:noWrap/>
                                    <w:hideMark/>
                                  </w:tcPr>
                                  <w:p>
                                    <w:pPr>
                                      <w:jc w:val="right"/>
                                      <w:rPr>
                                        <w:rFonts w:ascii="Arial" w:hAnsi="Arial" w:cs="Arial"/>
                                        <w:color w:val="000000"/>
                                        <w:sz w:val="20"/>
                                        <w:highlight w:val="yellow"/>
                                        <w:lang w:eastAsia="lt-LT"/>
                                      </w:rPr>
                                    </w:pPr>
                                    <w:r>
                                      <w:rPr>
                                        <w:rFonts w:ascii="Arial" w:hAnsi="Arial" w:cs="Arial"/>
                                        <w:color w:val="000000"/>
                                        <w:sz w:val="20"/>
                                        <w:lang w:eastAsia="lt-LT"/>
                                      </w:rPr>
                                      <w:t>Iš viso</w:t>
                                    </w:r>
                                  </w:p>
                                </w:tc>
                                <w:tc>
                                  <w:tcPr>
                                    <w:tcW w:w="0" w:type="auto"/>
                                    <w:noWrap/>
                                    <w:hideMark/>
                                  </w:tcPr>
                                  <w:p>
                                    <w:pPr>
                                      <w:jc w:val="center"/>
                                      <w:rPr>
                                        <w:rFonts w:ascii="Arial" w:hAnsi="Arial" w:cs="Arial"/>
                                        <w:b/>
                                        <w:bCs/>
                                        <w:color w:val="000000"/>
                                        <w:sz w:val="20"/>
                                        <w:lang w:eastAsia="lt-LT"/>
                                      </w:rPr>
                                    </w:pPr>
                                    <w:r>
                                      <w:rPr>
                                        <w:rFonts w:ascii="Arial" w:hAnsi="Arial" w:cs="Arial"/>
                                        <w:sz w:val="20"/>
                                      </w:rPr>
                                      <w:t>5 912,0</w:t>
                                    </w:r>
                                  </w:p>
                                </w:tc>
                                <w:tc>
                                  <w:tcPr>
                                    <w:tcW w:w="0" w:type="auto"/>
                                    <w:noWrap/>
                                    <w:hideMark/>
                                  </w:tcPr>
                                  <w:p>
                                    <w:pPr>
                                      <w:jc w:val="center"/>
                                      <w:rPr>
                                        <w:rFonts w:ascii="Arial" w:hAnsi="Arial" w:cs="Arial"/>
                                        <w:b/>
                                        <w:bCs/>
                                        <w:color w:val="000000"/>
                                        <w:sz w:val="20"/>
                                        <w:lang w:eastAsia="lt-LT"/>
                                      </w:rPr>
                                    </w:pPr>
                                    <w:r>
                                      <w:rPr>
                                        <w:rFonts w:ascii="Arial" w:hAnsi="Arial" w:cs="Arial"/>
                                        <w:sz w:val="20"/>
                                      </w:rPr>
                                      <w:t>508,4</w:t>
                                    </w:r>
                                  </w:p>
                                </w:tc>
                              </w:tr>
                            </w:tbl>
                            <w:p>
                              <w:pPr>
                                <w:spacing w:line="259" w:lineRule="auto"/>
                                <w:jc w:val="center"/>
                                <w:rPr>
                                  <w:rFonts w:ascii="Arial" w:hAnsi="Arial" w:cs="Arial"/>
                                  <w:sz w:val="18"/>
                                  <w:szCs w:val="18"/>
                                </w:rPr>
                              </w:pPr>
                              <w:r>
                                <w:rPr>
                                  <w:rFonts w:ascii="Arial" w:hAnsi="Arial" w:cs="Arial"/>
                                  <w:i/>
                                  <w:iCs/>
                                  <w:sz w:val="18"/>
                                  <w:szCs w:val="18"/>
                                </w:rPr>
                                <w:t>Šaltinis: Joniškio rajono savivaldybės duomenys</w:t>
                              </w:r>
                            </w:p>
                            <w:p>
                              <w:pPr>
                                <w:rPr>
                                  <w:sz w:val="14"/>
                                  <w:szCs w:val="14"/>
                                </w:rPr>
                              </w:pPr>
                            </w:p>
                          </w:sdtContent>
                        </w:sdt>
                      </w:sdtContent>
                    </w:sdt>
                    <w:sdt>
                      <w:sdtPr>
                        <w:alias w:val="1.5.2 pp."/>
                        <w:tag w:val="part_e33de512d30e416ba7320614f275a608"/>
                        <w:lock w:val="sdtLocked"/>
                        <w:richText/>
                      </w:sdtPr>
                      <w:sdtContent>
                        <w:p>
                          <w:pPr>
                            <w:keepNext/>
                            <w:keepLines/>
                            <w:spacing w:line="259" w:lineRule="auto"/>
                            <w:jc w:val="center"/>
                            <w:outlineLvl w:val="2"/>
                            <w:rPr>
                              <w:rFonts w:ascii="Arial" w:hAnsi="Arial" w:cs="Arial"/>
                              <w:b/>
                              <w:bCs/>
                              <w:color w:val="002060"/>
                              <w:sz w:val="22"/>
                              <w:szCs w:val="24"/>
                            </w:rPr>
                          </w:pPr>
                          <w:sdt>
                            <w:sdtPr>
                              <w:alias w:val="Numeris"/>
                              <w:tag w:val="nr_e33de512d30e416ba7320614f275a608"/>
                              <w:lock w:val="sdtLocked"/>
                              <w:richText/>
                            </w:sdtPr>
                            <w:sdtContent>
                              <w:r>
                                <w:rPr>
                                  <w:rFonts w:ascii="Arial" w:hAnsi="Arial" w:cs="Arial"/>
                                  <w:b/>
                                  <w:bCs/>
                                  <w:color w:val="002060"/>
                                  <w:sz w:val="22"/>
                                  <w:szCs w:val="24"/>
                                </w:rPr>
                                <w:t>1.5.2</w:t>
                              </w:r>
                            </w:sdtContent>
                          </w:sdt>
                          <w:r>
                            <w:rPr>
                              <w:rFonts w:ascii="Arial" w:hAnsi="Arial" w:cs="Arial"/>
                              <w:b/>
                              <w:bCs/>
                              <w:color w:val="002060"/>
                              <w:sz w:val="22"/>
                              <w:szCs w:val="24"/>
                            </w:rPr>
                            <w:t>. Šilumos vartojimas namų ūkiuose, neprijungtuose prie centralizuoto šilumos tiekimo tinklo</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Prie CŠT tinklo prijungtų savivaldybės daugiabučių šildomas plotas sudaro 104 142,0 m</w:t>
                          </w:r>
                          <w:r>
                            <w:rPr>
                              <w:rFonts w:ascii="Arial" w:hAnsi="Arial" w:cs="Arial"/>
                              <w:sz w:val="22"/>
                              <w:szCs w:val="22"/>
                              <w:vertAlign w:val="superscript"/>
                            </w:rPr>
                            <w:t>2</w:t>
                          </w:r>
                          <w:r>
                            <w:rPr>
                              <w:rFonts w:ascii="Arial" w:hAnsi="Arial" w:cs="Arial"/>
                              <w:sz w:val="22"/>
                              <w:szCs w:val="22"/>
                            </w:rPr>
                            <w:t>, t. y. apie 42,5 proc. visų daugiabučių, individualių namų šildomas plotas – 252,5 m</w:t>
                          </w:r>
                          <w:r>
                            <w:rPr>
                              <w:rFonts w:ascii="Arial" w:hAnsi="Arial" w:cs="Arial"/>
                              <w:sz w:val="22"/>
                              <w:szCs w:val="22"/>
                              <w:vertAlign w:val="superscript"/>
                            </w:rPr>
                            <w:t>2</w:t>
                          </w:r>
                          <w:r>
                            <w:rPr>
                              <w:rFonts w:ascii="Arial" w:hAnsi="Arial" w:cs="Arial"/>
                              <w:sz w:val="22"/>
                              <w:szCs w:val="22"/>
                            </w:rPr>
                            <w:t>, gyvenamųjų namų įvairioms socialinėms grupėms – 24 532,0 m</w:t>
                          </w:r>
                          <w:r>
                            <w:rPr>
                              <w:rFonts w:ascii="Arial" w:hAnsi="Arial" w:cs="Arial"/>
                              <w:sz w:val="22"/>
                              <w:szCs w:val="22"/>
                              <w:vertAlign w:val="superscript"/>
                            </w:rPr>
                            <w:t>2</w:t>
                          </w:r>
                          <w:r>
                            <w:rPr>
                              <w:rFonts w:ascii="Arial" w:hAnsi="Arial" w:cs="Arial"/>
                              <w:sz w:val="22"/>
                              <w:szCs w:val="22"/>
                            </w:rPr>
                            <w:t>. Likusieji daugiabučiai, didžioji dalis mieste esančių individualių namų bei namų įvairioms socialinėms grupėms šilumos energija apsirūpina individualiai. Namų ūkiuose naudojamų šildymo prietaisų ir jų pagaminamos energijos apskaita nėra vykdoma, todėl patikimų duomenų apie energijos suvartojimą prie CŠT tinklo neprijungtuose namų ūkiuose savivaldybių lygiu nėra. Šių namų ūkių šilumos energijos suvartojimo apimtys įvertintos pagal visos Lietuvos CŠT įmonių namų ūkio sektoriui (daugiabučiams ir individualiems namams) tiekiamos šilumos sąnaudų 2019 – 2020 m. vidurkį, kuris lygus 140 kWh/m</w:t>
                          </w:r>
                          <w:r>
                            <w:rPr>
                              <w:rFonts w:ascii="Arial" w:hAnsi="Arial" w:cs="Arial"/>
                              <w:sz w:val="22"/>
                              <w:szCs w:val="22"/>
                              <w:vertAlign w:val="superscript"/>
                            </w:rPr>
                            <w:t>2</w:t>
                          </w:r>
                          <w:r>
                            <w:rPr>
                              <w:rFonts w:ascii="Arial" w:hAnsi="Arial" w:cs="Arial"/>
                              <w:sz w:val="22"/>
                              <w:szCs w:val="22"/>
                            </w:rPr>
                            <w:t xml:space="preserve"> per metus.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Kadangi &gt; 99 proc. Lietuvos gyventojams tiekiamos šilumos iš CŠT tinklo tenka daugiabučiams ir tik &lt;1 proc. – 1–2 butų gyvenamiesiems namams, apskaičiuotasis santykinis šilumos sąnaudų vidurkis atspindi šilumos suvartojimą daugiabučiuose namuose. Individualiuose namuose santykinės šilumos sąnaudos paprastai didesnės, todėl, vertinant šilumos poreikį šildymui ir neturint tikslesnių duomenų, daroma prielaida, kad suvartojimas yra 20 proc. didesnis, lyginant su daugiabučiais, ir sudaro 168 kWh/m</w:t>
                          </w:r>
                          <w:r>
                            <w:rPr>
                              <w:rFonts w:ascii="Arial" w:hAnsi="Arial" w:cs="Arial"/>
                              <w:sz w:val="22"/>
                              <w:szCs w:val="22"/>
                              <w:vertAlign w:val="superscript"/>
                            </w:rPr>
                            <w:t>2</w:t>
                          </w:r>
                          <w:r>
                            <w:rPr>
                              <w:rFonts w:ascii="Arial" w:hAnsi="Arial" w:cs="Arial"/>
                              <w:sz w:val="22"/>
                              <w:szCs w:val="22"/>
                            </w:rPr>
                            <w:t>.</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Šis rodiklis apima šilumos sąnaudas šildymui, karšto vandens ruošimui ir cirkuliacijai. Energijos poreikis karšto vandens ruošimui įvertinamas atžvelgiant į statybos techninio reglamento STR 2.01.09:2012 „Pastatų energinis naudingumas. Energinis naudingumo sertifikavimas“ standartines pastatų rodiklių vertes pastatų energinio naudingumo skaičiavimui. Priimama, kad metinis energijos poreikis karštam vandeniui gyvenamosios paskirties 1-2 butų pastatuose yra 10 kWh/m</w:t>
                          </w:r>
                          <w:r>
                            <w:rPr>
                              <w:rFonts w:ascii="Arial" w:hAnsi="Arial" w:cs="Arial"/>
                              <w:sz w:val="22"/>
                              <w:szCs w:val="22"/>
                              <w:vertAlign w:val="superscript"/>
                            </w:rPr>
                            <w:t>2</w:t>
                          </w:r>
                          <w:r>
                            <w:rPr>
                              <w:rFonts w:ascii="Arial" w:hAnsi="Arial" w:cs="Arial"/>
                              <w:sz w:val="22"/>
                              <w:szCs w:val="22"/>
                            </w:rPr>
                            <w:t>, o daugiabučiuose ir namuose įvairioms soc. grupėms – 20 kWh/m</w:t>
                          </w:r>
                          <w:r>
                            <w:rPr>
                              <w:rFonts w:ascii="Arial" w:hAnsi="Arial" w:cs="Arial"/>
                              <w:sz w:val="22"/>
                              <w:szCs w:val="22"/>
                              <w:vertAlign w:val="superscript"/>
                            </w:rPr>
                            <w:t>2</w:t>
                          </w:r>
                          <w:r>
                            <w:rPr>
                              <w:rFonts w:ascii="Arial" w:hAnsi="Arial" w:cs="Arial"/>
                              <w:sz w:val="22"/>
                              <w:szCs w:val="22"/>
                            </w:rPr>
                            <w:t>.</w:t>
                          </w:r>
                        </w:p>
                        <w:p>
                          <w:pPr>
                            <w:rPr>
                              <w:sz w:val="14"/>
                              <w:szCs w:val="14"/>
                            </w:rPr>
                          </w:pPr>
                        </w:p>
                        <w:p>
                          <w:pPr>
                            <w:spacing w:line="259" w:lineRule="auto"/>
                            <w:ind w:firstLine="567"/>
                            <w:jc w:val="both"/>
                            <w:rPr>
                              <w:rFonts w:ascii="Arial" w:hAnsi="Arial" w:cs="Arial"/>
                              <w:sz w:val="22"/>
                              <w:szCs w:val="22"/>
                              <w:highlight w:val="yellow"/>
                            </w:rPr>
                          </w:pPr>
                          <w:r>
                            <w:rPr>
                              <w:rFonts w:ascii="Arial" w:hAnsi="Arial" w:cs="Arial"/>
                              <w:sz w:val="22"/>
                              <w:szCs w:val="22"/>
                            </w:rPr>
                            <w:t>Pagal Nekilnojamojo turto kadastro ir registro duomenis ir CŠT įmonių pateiktą informaciją, Joniškio rajono savivaldybėje prie CŠT tinklų neprijungtų namų ūkių šildomas plotas sudaro</w:t>
                          </w:r>
                          <w:r>
                            <w:rPr>
                              <w:rFonts w:ascii="Arial" w:hAnsi="Arial" w:cs="Arial"/>
                              <w:sz w:val="22"/>
                              <w:szCs w:val="22"/>
                              <w:vertAlign w:val="superscript"/>
                            </w:rPr>
                            <w:footnoteReference w:id="6"/>
                          </w:r>
                          <w:r>
                            <w:rPr>
                              <w:rFonts w:ascii="Arial" w:hAnsi="Arial" w:cs="Arial"/>
                              <w:sz w:val="22"/>
                              <w:szCs w:val="22"/>
                            </w:rPr>
                            <w:t>: 1-2 butų gyvenamųjų namų – 597 504,4m², daugiabučių namų – 112 566,4 m², namų įvairioms socialinėms grupėms – 15 612,5 m</w:t>
                          </w:r>
                          <w:r>
                            <w:rPr>
                              <w:rFonts w:ascii="Arial" w:hAnsi="Arial" w:cs="Arial"/>
                              <w:sz w:val="22"/>
                              <w:szCs w:val="22"/>
                              <w:vertAlign w:val="superscript"/>
                            </w:rPr>
                            <w:t>2</w:t>
                          </w:r>
                          <w:r>
                            <w:rPr>
                              <w:rFonts w:ascii="Arial" w:hAnsi="Arial" w:cs="Arial"/>
                              <w:sz w:val="22"/>
                              <w:szCs w:val="22"/>
                            </w:rPr>
                            <w:t>,iš viso – 725 683,4m</w:t>
                          </w:r>
                          <w:r>
                            <w:rPr>
                              <w:rFonts w:ascii="Arial" w:hAnsi="Arial" w:cs="Arial"/>
                              <w:sz w:val="22"/>
                              <w:szCs w:val="22"/>
                              <w:vertAlign w:val="superscript"/>
                            </w:rPr>
                            <w:t>2</w:t>
                          </w:r>
                          <w:r>
                            <w:rPr>
                              <w:rFonts w:ascii="Arial" w:hAnsi="Arial" w:cs="Arial"/>
                              <w:sz w:val="22"/>
                              <w:szCs w:val="22"/>
                            </w:rPr>
                            <w:t xml:space="preserve">. Atitinkamai įvertinama, kad prie CŠT tinklų neprijungtuose daugiabučiuose energijos poreikis patalpų šildymui sudaro 17 945,0 MWh, karštam vandeniui ruošti – 2 563,6 MWh. 1-2 butų individualiuose namuose poreikis patalpų šildymui sudaro 100 380,7 MWh, karštam vandeniui – 5 975,0 MWh. Bendros metinės šilumos energijos sąnaudos prie CŠT neprijungtuose namų ūkių sektoriuje sudaro </w:t>
                          </w:r>
                          <w:r>
                            <w:rPr>
                              <w:rFonts w:ascii="Arial" w:hAnsi="Arial" w:cs="Arial"/>
                              <w:b/>
                              <w:bCs/>
                              <w:sz w:val="22"/>
                              <w:szCs w:val="22"/>
                            </w:rPr>
                            <w:t>126 864,4 MWh</w:t>
                          </w:r>
                          <w:r>
                            <w:rPr>
                              <w:rFonts w:ascii="Arial" w:hAnsi="Arial" w:cs="Arial"/>
                              <w:sz w:val="22"/>
                              <w:szCs w:val="22"/>
                            </w:rPr>
                            <w:t xml:space="preserve"> (</w:t>
                          </w:r>
                          <w:r>
                            <w:rPr>
                              <w:rFonts w:ascii="Arial" w:hAnsi="Arial" w:cs="Arial"/>
                              <w:b/>
                              <w:bCs/>
                              <w:sz w:val="22"/>
                              <w:szCs w:val="22"/>
                            </w:rPr>
                            <w:t>10 908,4 tne</w:t>
                          </w:r>
                          <w:r>
                            <w:rPr>
                              <w:rFonts w:ascii="Arial" w:hAnsi="Arial" w:cs="Arial"/>
                              <w:sz w:val="22"/>
                              <w:szCs w:val="22"/>
                            </w:rPr>
                            <w:t>, iš jų 10 174,2 tne šildymui ir 734,19 tne karštam vandeniui).</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Namų ūkiuose šilumos energijai gaminti dažniausiai naudojamas medienos kuras, akmens anglys, gamtinės dujos, kitas kuras ir elektros energija. Neturint statistinių duomenų apie individualaus šildymo būdą gyvenamuosiuose pastatuose Joniškio rajono savivaldybėje, naudojamų kuro rūšių balansas sudarytas atsižvelgiant į Lietuvos statistikos departamento 2020 m. informaciją apie bendrąjį kuro ir energijos suvartojimą namų ūkiuose. Pagal Statistikos departamento pateiktus duomenis nustatytos proporcijos pateikiamos sekančioje lentelėje.</w:t>
                          </w:r>
                        </w:p>
                        <w:p>
                          <w:pPr>
                            <w:rPr>
                              <w:sz w:val="14"/>
                              <w:szCs w:val="14"/>
                            </w:rPr>
                          </w:pPr>
                        </w:p>
                        <w:sdt>
                          <w:sdtPr>
                            <w:alias w:val="1.5.2.2 pp."/>
                            <w:tag w:val="part_1c6a8bfd4711465da6a22e10867a0ca4"/>
                            <w:lock w:val="sdtLocked"/>
                            <w:richText/>
                          </w:sdtPr>
                          <w:sdtContent>
                            <w:p>
                              <w:pPr>
                                <w:spacing w:line="259" w:lineRule="auto"/>
                                <w:jc w:val="center"/>
                                <w:rPr>
                                  <w:rFonts w:ascii="Arial" w:eastAsia="Calibri" w:hAnsi="Arial" w:cs="Arial"/>
                                  <w:b/>
                                  <w:color w:val="002060"/>
                                  <w:sz w:val="22"/>
                                  <w:szCs w:val="32"/>
                                </w:rPr>
                              </w:pPr>
                              <w:sdt>
                                <w:sdtPr>
                                  <w:alias w:val="Numeris"/>
                                  <w:tag w:val="nr_1c6a8bfd4711465da6a22e10867a0ca4"/>
                                  <w:lock w:val="sdtLocked"/>
                                  <w:richText/>
                                </w:sdtPr>
                                <w:sdtContent>
                                  <w:r>
                                    <w:rPr>
                                      <w:rFonts w:ascii="Arial" w:eastAsia="Calibri" w:hAnsi="Arial" w:cs="Arial"/>
                                      <w:b/>
                                      <w:color w:val="002060"/>
                                      <w:sz w:val="22"/>
                                      <w:szCs w:val="32"/>
                                    </w:rPr>
                                    <w:t>1.5.2.2</w:t>
                                  </w:r>
                                </w:sdtContent>
                              </w:sdt>
                              <w:r>
                                <w:rPr>
                                  <w:rFonts w:ascii="Arial" w:eastAsia="Calibri" w:hAnsi="Arial" w:cs="Arial"/>
                                  <w:b/>
                                  <w:color w:val="002060"/>
                                  <w:sz w:val="22"/>
                                  <w:szCs w:val="32"/>
                                </w:rPr>
                                <w:t>. lentelė. Kuro rūšių balansas namų ūkiuose Lietuvoje</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3441"/>
                                <w:gridCol w:w="1089"/>
                                <w:gridCol w:w="1089"/>
                                <w:gridCol w:w="1089"/>
                                <w:gridCol w:w="1091"/>
                                <w:gridCol w:w="2396"/>
                              </w:tblGrid>
                              <w:tr>
                                <w:trPr>
                                  <w:trHeight w:val="752"/>
                                  <w:jc w:val="center"/>
                                </w:trPr>
                                <w:tc>
                                  <w:tcPr>
                                    <w:tcW w:w="1688" w:type="pct"/>
                                    <w:vMerge w:val="restart"/>
                                  </w:tcPr>
                                  <w:p>
                                    <w:pPr>
                                      <w:spacing w:line="259" w:lineRule="auto"/>
                                      <w:jc w:val="center"/>
                                      <w:rPr>
                                        <w:rFonts w:ascii="Arial" w:hAnsi="Arial" w:cs="Arial"/>
                                        <w:sz w:val="20"/>
                                        <w:szCs w:val="16"/>
                                      </w:rPr>
                                    </w:pPr>
                                    <w:r>
                                      <w:rPr>
                                        <w:rFonts w:ascii="Arial" w:hAnsi="Arial" w:cs="Arial"/>
                                        <w:sz w:val="20"/>
                                        <w:szCs w:val="16"/>
                                      </w:rPr>
                                      <w:t>Kuro rūšis</w:t>
                                    </w:r>
                                  </w:p>
                                </w:tc>
                                <w:tc>
                                  <w:tcPr>
                                    <w:tcW w:w="1068" w:type="pct"/>
                                    <w:gridSpan w:val="2"/>
                                  </w:tcPr>
                                  <w:p>
                                    <w:pPr>
                                      <w:spacing w:line="259" w:lineRule="auto"/>
                                      <w:jc w:val="center"/>
                                      <w:rPr>
                                        <w:rFonts w:ascii="Arial" w:hAnsi="Arial" w:cs="Arial"/>
                                        <w:sz w:val="20"/>
                                        <w:szCs w:val="16"/>
                                      </w:rPr>
                                    </w:pPr>
                                    <w:r>
                                      <w:rPr>
                                        <w:rFonts w:ascii="Arial" w:hAnsi="Arial" w:cs="Arial"/>
                                        <w:sz w:val="20"/>
                                        <w:szCs w:val="16"/>
                                      </w:rPr>
                                      <w:t>Bendras vartojimas</w:t>
                                    </w:r>
                                  </w:p>
                                </w:tc>
                                <w:tc>
                                  <w:tcPr>
                                    <w:tcW w:w="1069" w:type="pct"/>
                                    <w:gridSpan w:val="2"/>
                                  </w:tcPr>
                                  <w:p>
                                    <w:pPr>
                                      <w:spacing w:line="259" w:lineRule="auto"/>
                                      <w:jc w:val="center"/>
                                      <w:rPr>
                                        <w:rFonts w:ascii="Arial" w:hAnsi="Arial" w:cs="Arial"/>
                                        <w:sz w:val="20"/>
                                        <w:szCs w:val="16"/>
                                      </w:rPr>
                                    </w:pPr>
                                    <w:r>
                                      <w:rPr>
                                        <w:rFonts w:ascii="Arial" w:hAnsi="Arial" w:cs="Arial"/>
                                        <w:sz w:val="20"/>
                                        <w:szCs w:val="16"/>
                                      </w:rPr>
                                      <w:t>Vartojimas šildymui ir karštam vandeniui</w:t>
                                    </w:r>
                                  </w:p>
                                </w:tc>
                                <w:tc>
                                  <w:tcPr>
                                    <w:tcW w:w="1175" w:type="pct"/>
                                    <w:vMerge w:val="restart"/>
                                  </w:tcPr>
                                  <w:p>
                                    <w:pPr>
                                      <w:spacing w:line="259" w:lineRule="auto"/>
                                      <w:jc w:val="center"/>
                                      <w:rPr>
                                        <w:rFonts w:ascii="Arial" w:hAnsi="Arial" w:cs="Arial"/>
                                        <w:sz w:val="20"/>
                                        <w:szCs w:val="16"/>
                                      </w:rPr>
                                    </w:pPr>
                                    <w:r>
                                      <w:rPr>
                                        <w:rFonts w:ascii="Arial" w:hAnsi="Arial" w:cs="Arial"/>
                                        <w:sz w:val="20"/>
                                        <w:szCs w:val="16"/>
                                      </w:rPr>
                                      <w:t>Vartojimo balansas šildymui ir karštam vandeniui be šiluminės energijos, proc.</w:t>
                                    </w:r>
                                  </w:p>
                                </w:tc>
                              </w:tr>
                              <w:tr>
                                <w:trPr>
                                  <w:jc w:val="center"/>
                                </w:trPr>
                                <w:tc>
                                  <w:tcPr>
                                    <w:tcW w:w="1688" w:type="pct"/>
                                    <w:vMerge/>
                                  </w:tcPr>
                                  <w:p>
                                    <w:pPr>
                                      <w:spacing w:line="259" w:lineRule="auto"/>
                                      <w:jc w:val="both"/>
                                      <w:rPr>
                                        <w:rFonts w:ascii="Arial" w:hAnsi="Arial" w:cs="Arial"/>
                                        <w:sz w:val="22"/>
                                      </w:rPr>
                                    </w:pPr>
                                  </w:p>
                                </w:tc>
                                <w:tc>
                                  <w:tcPr>
                                    <w:tcW w:w="534" w:type="pct"/>
                                  </w:tcPr>
                                  <w:p>
                                    <w:pPr>
                                      <w:spacing w:line="259" w:lineRule="auto"/>
                                      <w:jc w:val="center"/>
                                      <w:rPr>
                                        <w:rFonts w:ascii="Arial" w:hAnsi="Arial" w:cs="Arial"/>
                                        <w:sz w:val="20"/>
                                        <w:szCs w:val="16"/>
                                      </w:rPr>
                                    </w:pPr>
                                    <w:r>
                                      <w:rPr>
                                        <w:rFonts w:ascii="Arial" w:hAnsi="Arial" w:cs="Arial"/>
                                        <w:sz w:val="20"/>
                                        <w:szCs w:val="16"/>
                                      </w:rPr>
                                      <w:t>GWh</w:t>
                                    </w:r>
                                  </w:p>
                                </w:tc>
                                <w:tc>
                                  <w:tcPr>
                                    <w:tcW w:w="534" w:type="pct"/>
                                  </w:tcPr>
                                  <w:p>
                                    <w:pPr>
                                      <w:spacing w:line="259" w:lineRule="auto"/>
                                      <w:jc w:val="center"/>
                                      <w:rPr>
                                        <w:rFonts w:ascii="Arial" w:hAnsi="Arial" w:cs="Arial"/>
                                        <w:sz w:val="20"/>
                                        <w:szCs w:val="16"/>
                                      </w:rPr>
                                    </w:pPr>
                                    <w:r>
                                      <w:rPr>
                                        <w:rFonts w:ascii="Arial" w:hAnsi="Arial" w:cs="Arial"/>
                                        <w:sz w:val="20"/>
                                        <w:szCs w:val="16"/>
                                      </w:rPr>
                                      <w:t>proc.</w:t>
                                    </w:r>
                                  </w:p>
                                </w:tc>
                                <w:tc>
                                  <w:tcPr>
                                    <w:tcW w:w="534" w:type="pct"/>
                                  </w:tcPr>
                                  <w:p>
                                    <w:pPr>
                                      <w:spacing w:line="259" w:lineRule="auto"/>
                                      <w:jc w:val="center"/>
                                      <w:rPr>
                                        <w:rFonts w:ascii="Arial" w:hAnsi="Arial" w:cs="Arial"/>
                                        <w:sz w:val="20"/>
                                        <w:szCs w:val="16"/>
                                      </w:rPr>
                                    </w:pPr>
                                    <w:r>
                                      <w:rPr>
                                        <w:rFonts w:ascii="Arial" w:hAnsi="Arial" w:cs="Arial"/>
                                        <w:sz w:val="20"/>
                                        <w:szCs w:val="16"/>
                                      </w:rPr>
                                      <w:t>GWh</w:t>
                                    </w:r>
                                  </w:p>
                                </w:tc>
                                <w:tc>
                                  <w:tcPr>
                                    <w:tcW w:w="535" w:type="pct"/>
                                  </w:tcPr>
                                  <w:p>
                                    <w:pPr>
                                      <w:spacing w:line="259" w:lineRule="auto"/>
                                      <w:jc w:val="center"/>
                                      <w:rPr>
                                        <w:rFonts w:ascii="Arial" w:hAnsi="Arial" w:cs="Arial"/>
                                        <w:sz w:val="20"/>
                                        <w:szCs w:val="16"/>
                                      </w:rPr>
                                    </w:pPr>
                                    <w:r>
                                      <w:rPr>
                                        <w:rFonts w:ascii="Arial" w:hAnsi="Arial" w:cs="Arial"/>
                                        <w:sz w:val="20"/>
                                        <w:szCs w:val="16"/>
                                      </w:rPr>
                                      <w:t>proc.</w:t>
                                    </w:r>
                                  </w:p>
                                </w:tc>
                                <w:tc>
                                  <w:tcPr>
                                    <w:tcW w:w="1175" w:type="pct"/>
                                    <w:vMerge/>
                                  </w:tcPr>
                                  <w:p>
                                    <w:pPr>
                                      <w:spacing w:line="259" w:lineRule="auto"/>
                                      <w:jc w:val="center"/>
                                      <w:rPr>
                                        <w:rFonts w:ascii="Arial" w:hAnsi="Arial" w:cs="Arial"/>
                                        <w:sz w:val="22"/>
                                      </w:rPr>
                                    </w:pP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Anglys ir durpės</w:t>
                                    </w:r>
                                  </w:p>
                                </w:tc>
                                <w:tc>
                                  <w:tcPr>
                                    <w:tcW w:w="534" w:type="pct"/>
                                  </w:tcPr>
                                  <w:p>
                                    <w:pPr>
                                      <w:spacing w:line="259" w:lineRule="auto"/>
                                      <w:jc w:val="center"/>
                                      <w:rPr>
                                        <w:rFonts w:ascii="Arial" w:hAnsi="Arial" w:cs="Arial"/>
                                        <w:sz w:val="20"/>
                                      </w:rPr>
                                    </w:pPr>
                                    <w:r>
                                      <w:rPr>
                                        <w:rFonts w:ascii="Arial" w:hAnsi="Arial" w:cs="Arial"/>
                                        <w:sz w:val="20"/>
                                      </w:rPr>
                                      <w:t>439,6</w:t>
                                    </w:r>
                                  </w:p>
                                </w:tc>
                                <w:tc>
                                  <w:tcPr>
                                    <w:tcW w:w="534" w:type="pct"/>
                                  </w:tcPr>
                                  <w:p>
                                    <w:pPr>
                                      <w:spacing w:line="259" w:lineRule="auto"/>
                                      <w:jc w:val="center"/>
                                      <w:rPr>
                                        <w:rFonts w:ascii="Arial" w:hAnsi="Arial" w:cs="Arial"/>
                                        <w:sz w:val="20"/>
                                      </w:rPr>
                                    </w:pPr>
                                    <w:r>
                                      <w:rPr>
                                        <w:rFonts w:ascii="Arial" w:hAnsi="Arial" w:cs="Arial"/>
                                        <w:color w:val="000000"/>
                                        <w:sz w:val="20"/>
                                      </w:rPr>
                                      <w:t>2,5</w:t>
                                    </w:r>
                                  </w:p>
                                </w:tc>
                                <w:tc>
                                  <w:tcPr>
                                    <w:tcW w:w="534" w:type="pct"/>
                                  </w:tcPr>
                                  <w:p>
                                    <w:pPr>
                                      <w:spacing w:line="259" w:lineRule="auto"/>
                                      <w:jc w:val="center"/>
                                      <w:rPr>
                                        <w:rFonts w:ascii="Arial" w:hAnsi="Arial" w:cs="Arial"/>
                                        <w:sz w:val="20"/>
                                      </w:rPr>
                                    </w:pPr>
                                    <w:r>
                                      <w:rPr>
                                        <w:rFonts w:ascii="Arial" w:hAnsi="Arial" w:cs="Arial"/>
                                        <w:color w:val="000000"/>
                                        <w:sz w:val="20"/>
                                      </w:rPr>
                                      <w:t>419,4</w:t>
                                    </w:r>
                                  </w:p>
                                </w:tc>
                                <w:tc>
                                  <w:tcPr>
                                    <w:tcW w:w="535" w:type="pct"/>
                                  </w:tcPr>
                                  <w:p>
                                    <w:pPr>
                                      <w:spacing w:line="259" w:lineRule="auto"/>
                                      <w:jc w:val="center"/>
                                      <w:rPr>
                                        <w:rFonts w:ascii="Arial" w:hAnsi="Arial" w:cs="Arial"/>
                                        <w:sz w:val="20"/>
                                      </w:rPr>
                                    </w:pPr>
                                    <w:r>
                                      <w:rPr>
                                        <w:rFonts w:ascii="Arial" w:hAnsi="Arial" w:cs="Arial"/>
                                        <w:color w:val="000000"/>
                                        <w:sz w:val="20"/>
                                      </w:rPr>
                                      <w:t>95,4</w:t>
                                    </w:r>
                                  </w:p>
                                </w:tc>
                                <w:tc>
                                  <w:tcPr>
                                    <w:tcW w:w="1175" w:type="pct"/>
                                  </w:tcPr>
                                  <w:p>
                                    <w:pPr>
                                      <w:spacing w:line="259" w:lineRule="auto"/>
                                      <w:jc w:val="center"/>
                                      <w:rPr>
                                        <w:rFonts w:ascii="Arial" w:hAnsi="Arial" w:cs="Arial"/>
                                        <w:sz w:val="20"/>
                                      </w:rPr>
                                    </w:pPr>
                                    <w:r>
                                      <w:rPr>
                                        <w:rFonts w:ascii="Arial" w:hAnsi="Arial" w:cs="Arial"/>
                                        <w:color w:val="000000"/>
                                        <w:sz w:val="20"/>
                                      </w:rPr>
                                      <w:t>5,8</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Gamtinės dujos</w:t>
                                    </w:r>
                                  </w:p>
                                </w:tc>
                                <w:tc>
                                  <w:tcPr>
                                    <w:tcW w:w="534" w:type="pct"/>
                                  </w:tcPr>
                                  <w:p>
                                    <w:pPr>
                                      <w:spacing w:line="259" w:lineRule="auto"/>
                                      <w:jc w:val="center"/>
                                      <w:rPr>
                                        <w:rFonts w:ascii="Arial" w:hAnsi="Arial" w:cs="Arial"/>
                                        <w:sz w:val="20"/>
                                      </w:rPr>
                                    </w:pPr>
                                    <w:r>
                                      <w:rPr>
                                        <w:rFonts w:ascii="Arial" w:hAnsi="Arial" w:cs="Arial"/>
                                        <w:sz w:val="20"/>
                                      </w:rPr>
                                      <w:t>2 128,5</w:t>
                                    </w:r>
                                  </w:p>
                                </w:tc>
                                <w:tc>
                                  <w:tcPr>
                                    <w:tcW w:w="534" w:type="pct"/>
                                  </w:tcPr>
                                  <w:p>
                                    <w:pPr>
                                      <w:spacing w:line="259" w:lineRule="auto"/>
                                      <w:jc w:val="center"/>
                                      <w:rPr>
                                        <w:rFonts w:ascii="Arial" w:hAnsi="Arial" w:cs="Arial"/>
                                        <w:sz w:val="20"/>
                                      </w:rPr>
                                    </w:pPr>
                                    <w:r>
                                      <w:rPr>
                                        <w:rFonts w:ascii="Arial" w:hAnsi="Arial" w:cs="Arial"/>
                                        <w:color w:val="000000"/>
                                        <w:sz w:val="20"/>
                                      </w:rPr>
                                      <w:t>12,0</w:t>
                                    </w:r>
                                  </w:p>
                                </w:tc>
                                <w:tc>
                                  <w:tcPr>
                                    <w:tcW w:w="534" w:type="pct"/>
                                  </w:tcPr>
                                  <w:p>
                                    <w:pPr>
                                      <w:spacing w:line="259" w:lineRule="auto"/>
                                      <w:jc w:val="center"/>
                                      <w:rPr>
                                        <w:rFonts w:ascii="Arial" w:hAnsi="Arial" w:cs="Arial"/>
                                        <w:sz w:val="20"/>
                                      </w:rPr>
                                    </w:pPr>
                                    <w:r>
                                      <w:rPr>
                                        <w:rFonts w:ascii="Arial" w:hAnsi="Arial" w:cs="Arial"/>
                                        <w:color w:val="000000"/>
                                        <w:sz w:val="20"/>
                                      </w:rPr>
                                      <w:t>542,8</w:t>
                                    </w:r>
                                  </w:p>
                                </w:tc>
                                <w:tc>
                                  <w:tcPr>
                                    <w:tcW w:w="535" w:type="pct"/>
                                  </w:tcPr>
                                  <w:p>
                                    <w:pPr>
                                      <w:spacing w:line="259" w:lineRule="auto"/>
                                      <w:jc w:val="center"/>
                                      <w:rPr>
                                        <w:rFonts w:ascii="Arial" w:hAnsi="Arial" w:cs="Arial"/>
                                        <w:sz w:val="20"/>
                                      </w:rPr>
                                    </w:pPr>
                                    <w:r>
                                      <w:rPr>
                                        <w:rFonts w:ascii="Arial" w:hAnsi="Arial" w:cs="Arial"/>
                                        <w:color w:val="000000"/>
                                        <w:sz w:val="20"/>
                                      </w:rPr>
                                      <w:t>25,5</w:t>
                                    </w:r>
                                  </w:p>
                                </w:tc>
                                <w:tc>
                                  <w:tcPr>
                                    <w:tcW w:w="1175" w:type="pct"/>
                                  </w:tcPr>
                                  <w:p>
                                    <w:pPr>
                                      <w:spacing w:line="259" w:lineRule="auto"/>
                                      <w:jc w:val="center"/>
                                      <w:rPr>
                                        <w:rFonts w:ascii="Arial" w:hAnsi="Arial" w:cs="Arial"/>
                                        <w:sz w:val="20"/>
                                      </w:rPr>
                                    </w:pPr>
                                    <w:r>
                                      <w:rPr>
                                        <w:rFonts w:ascii="Arial" w:hAnsi="Arial" w:cs="Arial"/>
                                        <w:color w:val="000000"/>
                                        <w:sz w:val="20"/>
                                      </w:rPr>
                                      <w:t>7,5</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Suskystintos naftos dujos</w:t>
                                    </w:r>
                                  </w:p>
                                </w:tc>
                                <w:tc>
                                  <w:tcPr>
                                    <w:tcW w:w="534" w:type="pct"/>
                                  </w:tcPr>
                                  <w:p>
                                    <w:pPr>
                                      <w:spacing w:line="259" w:lineRule="auto"/>
                                      <w:jc w:val="center"/>
                                      <w:rPr>
                                        <w:rFonts w:ascii="Arial" w:hAnsi="Arial" w:cs="Arial"/>
                                        <w:sz w:val="20"/>
                                      </w:rPr>
                                    </w:pPr>
                                    <w:r>
                                      <w:rPr>
                                        <w:rFonts w:ascii="Arial" w:hAnsi="Arial" w:cs="Arial"/>
                                        <w:sz w:val="20"/>
                                      </w:rPr>
                                      <w:t>406,7</w:t>
                                    </w:r>
                                  </w:p>
                                </w:tc>
                                <w:tc>
                                  <w:tcPr>
                                    <w:tcW w:w="534" w:type="pct"/>
                                  </w:tcPr>
                                  <w:p>
                                    <w:pPr>
                                      <w:spacing w:line="259" w:lineRule="auto"/>
                                      <w:jc w:val="center"/>
                                      <w:rPr>
                                        <w:rFonts w:ascii="Arial" w:hAnsi="Arial" w:cs="Arial"/>
                                        <w:sz w:val="20"/>
                                      </w:rPr>
                                    </w:pPr>
                                    <w:r>
                                      <w:rPr>
                                        <w:rFonts w:ascii="Arial" w:hAnsi="Arial" w:cs="Arial"/>
                                        <w:color w:val="000000"/>
                                        <w:sz w:val="20"/>
                                      </w:rPr>
                                      <w:t>2,3</w:t>
                                    </w:r>
                                  </w:p>
                                </w:tc>
                                <w:tc>
                                  <w:tcPr>
                                    <w:tcW w:w="534" w:type="pct"/>
                                  </w:tcPr>
                                  <w:p>
                                    <w:pPr>
                                      <w:spacing w:line="259" w:lineRule="auto"/>
                                      <w:jc w:val="center"/>
                                      <w:rPr>
                                        <w:rFonts w:ascii="Arial" w:hAnsi="Arial" w:cs="Arial"/>
                                        <w:sz w:val="20"/>
                                      </w:rPr>
                                    </w:pPr>
                                    <w:r>
                                      <w:rPr>
                                        <w:rFonts w:ascii="Arial" w:hAnsi="Arial" w:cs="Arial"/>
                                        <w:color w:val="000000"/>
                                        <w:sz w:val="20"/>
                                      </w:rPr>
                                      <w:t>6,5</w:t>
                                    </w:r>
                                  </w:p>
                                </w:tc>
                                <w:tc>
                                  <w:tcPr>
                                    <w:tcW w:w="535" w:type="pct"/>
                                  </w:tcPr>
                                  <w:p>
                                    <w:pPr>
                                      <w:spacing w:line="259" w:lineRule="auto"/>
                                      <w:jc w:val="center"/>
                                      <w:rPr>
                                        <w:rFonts w:ascii="Arial" w:hAnsi="Arial" w:cs="Arial"/>
                                        <w:sz w:val="20"/>
                                      </w:rPr>
                                    </w:pPr>
                                    <w:r>
                                      <w:rPr>
                                        <w:rFonts w:ascii="Arial" w:hAnsi="Arial" w:cs="Arial"/>
                                        <w:color w:val="000000"/>
                                        <w:sz w:val="20"/>
                                      </w:rPr>
                                      <w:t>1,6</w:t>
                                    </w:r>
                                  </w:p>
                                </w:tc>
                                <w:tc>
                                  <w:tcPr>
                                    <w:tcW w:w="1175" w:type="pct"/>
                                  </w:tcPr>
                                  <w:p>
                                    <w:pPr>
                                      <w:spacing w:line="259" w:lineRule="auto"/>
                                      <w:jc w:val="center"/>
                                      <w:rPr>
                                        <w:rFonts w:ascii="Arial" w:hAnsi="Arial" w:cs="Arial"/>
                                        <w:sz w:val="20"/>
                                      </w:rPr>
                                    </w:pPr>
                                    <w:r>
                                      <w:rPr>
                                        <w:rFonts w:ascii="Arial" w:hAnsi="Arial" w:cs="Arial"/>
                                        <w:color w:val="000000"/>
                                        <w:sz w:val="20"/>
                                      </w:rPr>
                                      <w:t>0,1</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Skystasis kuras</w:t>
                                    </w:r>
                                  </w:p>
                                </w:tc>
                                <w:tc>
                                  <w:tcPr>
                                    <w:tcW w:w="534" w:type="pct"/>
                                  </w:tcPr>
                                  <w:p>
                                    <w:pPr>
                                      <w:spacing w:line="259" w:lineRule="auto"/>
                                      <w:jc w:val="center"/>
                                      <w:rPr>
                                        <w:rFonts w:ascii="Arial" w:hAnsi="Arial" w:cs="Arial"/>
                                        <w:sz w:val="20"/>
                                      </w:rPr>
                                    </w:pPr>
                                    <w:r>
                                      <w:rPr>
                                        <w:rFonts w:ascii="Arial" w:hAnsi="Arial" w:cs="Arial"/>
                                        <w:sz w:val="20"/>
                                      </w:rPr>
                                      <w:t>234,8</w:t>
                                    </w:r>
                                  </w:p>
                                </w:tc>
                                <w:tc>
                                  <w:tcPr>
                                    <w:tcW w:w="534" w:type="pct"/>
                                  </w:tcPr>
                                  <w:p>
                                    <w:pPr>
                                      <w:spacing w:line="259" w:lineRule="auto"/>
                                      <w:jc w:val="center"/>
                                      <w:rPr>
                                        <w:rFonts w:ascii="Arial" w:hAnsi="Arial" w:cs="Arial"/>
                                        <w:sz w:val="20"/>
                                      </w:rPr>
                                    </w:pPr>
                                    <w:r>
                                      <w:rPr>
                                        <w:rFonts w:ascii="Arial" w:hAnsi="Arial" w:cs="Arial"/>
                                        <w:color w:val="000000"/>
                                        <w:sz w:val="20"/>
                                      </w:rPr>
                                      <w:t>1,3</w:t>
                                    </w:r>
                                  </w:p>
                                </w:tc>
                                <w:tc>
                                  <w:tcPr>
                                    <w:tcW w:w="534" w:type="pct"/>
                                  </w:tcPr>
                                  <w:p>
                                    <w:pPr>
                                      <w:spacing w:line="259" w:lineRule="auto"/>
                                      <w:jc w:val="center"/>
                                      <w:rPr>
                                        <w:rFonts w:ascii="Arial" w:hAnsi="Arial" w:cs="Arial"/>
                                        <w:sz w:val="20"/>
                                      </w:rPr>
                                    </w:pPr>
                                    <w:r>
                                      <w:rPr>
                                        <w:rFonts w:ascii="Arial" w:hAnsi="Arial" w:cs="Arial"/>
                                        <w:color w:val="000000"/>
                                        <w:sz w:val="20"/>
                                      </w:rPr>
                                      <w:t>234,8</w:t>
                                    </w:r>
                                  </w:p>
                                </w:tc>
                                <w:tc>
                                  <w:tcPr>
                                    <w:tcW w:w="535" w:type="pct"/>
                                  </w:tcPr>
                                  <w:p>
                                    <w:pPr>
                                      <w:spacing w:line="259" w:lineRule="auto"/>
                                      <w:jc w:val="center"/>
                                      <w:rPr>
                                        <w:rFonts w:ascii="Arial" w:hAnsi="Arial" w:cs="Arial"/>
                                        <w:sz w:val="20"/>
                                      </w:rPr>
                                    </w:pPr>
                                    <w:r>
                                      <w:rPr>
                                        <w:rFonts w:ascii="Arial" w:hAnsi="Arial" w:cs="Arial"/>
                                        <w:color w:val="000000"/>
                                        <w:sz w:val="20"/>
                                      </w:rPr>
                                      <w:t>100</w:t>
                                    </w:r>
                                  </w:p>
                                </w:tc>
                                <w:tc>
                                  <w:tcPr>
                                    <w:tcW w:w="1175" w:type="pct"/>
                                  </w:tcPr>
                                  <w:p>
                                    <w:pPr>
                                      <w:spacing w:line="259" w:lineRule="auto"/>
                                      <w:jc w:val="center"/>
                                      <w:rPr>
                                        <w:rFonts w:ascii="Arial" w:hAnsi="Arial" w:cs="Arial"/>
                                        <w:sz w:val="20"/>
                                      </w:rPr>
                                    </w:pPr>
                                    <w:r>
                                      <w:rPr>
                                        <w:rFonts w:ascii="Arial" w:hAnsi="Arial" w:cs="Arial"/>
                                        <w:color w:val="000000"/>
                                        <w:sz w:val="20"/>
                                      </w:rPr>
                                      <w:t>3,2</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Biokuras (malkos ir kurui skirtos medienos atliekos)</w:t>
                                    </w:r>
                                  </w:p>
                                </w:tc>
                                <w:tc>
                                  <w:tcPr>
                                    <w:tcW w:w="534" w:type="pct"/>
                                  </w:tcPr>
                                  <w:p>
                                    <w:pPr>
                                      <w:spacing w:line="259" w:lineRule="auto"/>
                                      <w:jc w:val="center"/>
                                      <w:rPr>
                                        <w:rFonts w:ascii="Arial" w:hAnsi="Arial" w:cs="Arial"/>
                                        <w:sz w:val="20"/>
                                      </w:rPr>
                                    </w:pPr>
                                    <w:r>
                                      <w:rPr>
                                        <w:rFonts w:ascii="Arial" w:hAnsi="Arial" w:cs="Arial"/>
                                        <w:sz w:val="20"/>
                                      </w:rPr>
                                      <w:t>5 577,1</w:t>
                                    </w:r>
                                  </w:p>
                                </w:tc>
                                <w:tc>
                                  <w:tcPr>
                                    <w:tcW w:w="534" w:type="pct"/>
                                  </w:tcPr>
                                  <w:p>
                                    <w:pPr>
                                      <w:spacing w:line="259" w:lineRule="auto"/>
                                      <w:jc w:val="center"/>
                                      <w:rPr>
                                        <w:rFonts w:ascii="Arial" w:hAnsi="Arial" w:cs="Arial"/>
                                        <w:sz w:val="20"/>
                                      </w:rPr>
                                    </w:pPr>
                                    <w:r>
                                      <w:rPr>
                                        <w:rFonts w:ascii="Arial" w:hAnsi="Arial" w:cs="Arial"/>
                                        <w:color w:val="000000"/>
                                        <w:sz w:val="20"/>
                                      </w:rPr>
                                      <w:t>31,5</w:t>
                                    </w:r>
                                  </w:p>
                                </w:tc>
                                <w:tc>
                                  <w:tcPr>
                                    <w:tcW w:w="534" w:type="pct"/>
                                  </w:tcPr>
                                  <w:p>
                                    <w:pPr>
                                      <w:spacing w:line="259" w:lineRule="auto"/>
                                      <w:jc w:val="center"/>
                                      <w:rPr>
                                        <w:rFonts w:ascii="Arial" w:hAnsi="Arial" w:cs="Arial"/>
                                        <w:sz w:val="20"/>
                                      </w:rPr>
                                    </w:pPr>
                                    <w:r>
                                      <w:rPr>
                                        <w:rFonts w:ascii="Arial" w:hAnsi="Arial" w:cs="Arial"/>
                                        <w:color w:val="000000"/>
                                        <w:sz w:val="20"/>
                                      </w:rPr>
                                      <w:t>5 164,4</w:t>
                                    </w:r>
                                  </w:p>
                                </w:tc>
                                <w:tc>
                                  <w:tcPr>
                                    <w:tcW w:w="535" w:type="pct"/>
                                  </w:tcPr>
                                  <w:p>
                                    <w:pPr>
                                      <w:spacing w:line="259" w:lineRule="auto"/>
                                      <w:jc w:val="center"/>
                                      <w:rPr>
                                        <w:rFonts w:ascii="Arial" w:hAnsi="Arial" w:cs="Arial"/>
                                        <w:sz w:val="20"/>
                                      </w:rPr>
                                    </w:pPr>
                                    <w:r>
                                      <w:rPr>
                                        <w:rFonts w:ascii="Arial" w:hAnsi="Arial" w:cs="Arial"/>
                                        <w:color w:val="000000"/>
                                        <w:sz w:val="20"/>
                                      </w:rPr>
                                      <w:t>92,6</w:t>
                                    </w:r>
                                  </w:p>
                                </w:tc>
                                <w:tc>
                                  <w:tcPr>
                                    <w:tcW w:w="1175" w:type="pct"/>
                                  </w:tcPr>
                                  <w:p>
                                    <w:pPr>
                                      <w:spacing w:line="259" w:lineRule="auto"/>
                                      <w:jc w:val="center"/>
                                      <w:rPr>
                                        <w:rFonts w:ascii="Arial" w:hAnsi="Arial" w:cs="Arial"/>
                                        <w:sz w:val="20"/>
                                      </w:rPr>
                                    </w:pPr>
                                    <w:r>
                                      <w:rPr>
                                        <w:rFonts w:ascii="Arial" w:hAnsi="Arial" w:cs="Arial"/>
                                        <w:color w:val="000000"/>
                                        <w:sz w:val="20"/>
                                      </w:rPr>
                                      <w:t>71,3</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Elektros energija</w:t>
                                    </w:r>
                                  </w:p>
                                </w:tc>
                                <w:tc>
                                  <w:tcPr>
                                    <w:tcW w:w="534" w:type="pct"/>
                                  </w:tcPr>
                                  <w:p>
                                    <w:pPr>
                                      <w:spacing w:line="259" w:lineRule="auto"/>
                                      <w:jc w:val="center"/>
                                      <w:rPr>
                                        <w:rFonts w:ascii="Arial" w:hAnsi="Arial" w:cs="Arial"/>
                                        <w:sz w:val="20"/>
                                      </w:rPr>
                                    </w:pPr>
                                    <w:r>
                                      <w:rPr>
                                        <w:rFonts w:ascii="Arial" w:hAnsi="Arial" w:cs="Arial"/>
                                        <w:sz w:val="20"/>
                                      </w:rPr>
                                      <w:t>2 984,5</w:t>
                                    </w:r>
                                  </w:p>
                                </w:tc>
                                <w:tc>
                                  <w:tcPr>
                                    <w:tcW w:w="534" w:type="pct"/>
                                  </w:tcPr>
                                  <w:p>
                                    <w:pPr>
                                      <w:spacing w:line="259" w:lineRule="auto"/>
                                      <w:jc w:val="center"/>
                                      <w:rPr>
                                        <w:rFonts w:ascii="Arial" w:hAnsi="Arial" w:cs="Arial"/>
                                        <w:sz w:val="20"/>
                                      </w:rPr>
                                    </w:pPr>
                                    <w:r>
                                      <w:rPr>
                                        <w:rFonts w:ascii="Arial" w:hAnsi="Arial" w:cs="Arial"/>
                                        <w:color w:val="000000"/>
                                        <w:sz w:val="20"/>
                                      </w:rPr>
                                      <w:t>16,8</w:t>
                                    </w:r>
                                  </w:p>
                                </w:tc>
                                <w:tc>
                                  <w:tcPr>
                                    <w:tcW w:w="534" w:type="pct"/>
                                  </w:tcPr>
                                  <w:p>
                                    <w:pPr>
                                      <w:spacing w:line="259" w:lineRule="auto"/>
                                      <w:jc w:val="center"/>
                                      <w:rPr>
                                        <w:rFonts w:ascii="Arial" w:hAnsi="Arial" w:cs="Arial"/>
                                        <w:sz w:val="20"/>
                                      </w:rPr>
                                    </w:pPr>
                                    <w:r>
                                      <w:rPr>
                                        <w:rFonts w:ascii="Arial" w:hAnsi="Arial" w:cs="Arial"/>
                                        <w:color w:val="000000"/>
                                        <w:sz w:val="20"/>
                                      </w:rPr>
                                      <w:t>417,8</w:t>
                                    </w:r>
                                  </w:p>
                                </w:tc>
                                <w:tc>
                                  <w:tcPr>
                                    <w:tcW w:w="535" w:type="pct"/>
                                  </w:tcPr>
                                  <w:p>
                                    <w:pPr>
                                      <w:spacing w:line="259" w:lineRule="auto"/>
                                      <w:jc w:val="center"/>
                                      <w:rPr>
                                        <w:rFonts w:ascii="Arial" w:hAnsi="Arial" w:cs="Arial"/>
                                        <w:sz w:val="20"/>
                                      </w:rPr>
                                    </w:pPr>
                                    <w:r>
                                      <w:rPr>
                                        <w:rFonts w:ascii="Arial" w:hAnsi="Arial" w:cs="Arial"/>
                                        <w:color w:val="000000"/>
                                        <w:sz w:val="20"/>
                                      </w:rPr>
                                      <w:t>14</w:t>
                                    </w:r>
                                  </w:p>
                                </w:tc>
                                <w:tc>
                                  <w:tcPr>
                                    <w:tcW w:w="1175" w:type="pct"/>
                                  </w:tcPr>
                                  <w:p>
                                    <w:pPr>
                                      <w:spacing w:line="259" w:lineRule="auto"/>
                                      <w:jc w:val="center"/>
                                      <w:rPr>
                                        <w:rFonts w:ascii="Arial" w:hAnsi="Arial" w:cs="Arial"/>
                                        <w:sz w:val="20"/>
                                      </w:rPr>
                                    </w:pPr>
                                    <w:r>
                                      <w:rPr>
                                        <w:rFonts w:ascii="Arial" w:hAnsi="Arial" w:cs="Arial"/>
                                        <w:color w:val="000000"/>
                                        <w:sz w:val="20"/>
                                      </w:rPr>
                                      <w:t>5,8</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Šiluminė energija</w:t>
                                    </w:r>
                                  </w:p>
                                </w:tc>
                                <w:tc>
                                  <w:tcPr>
                                    <w:tcW w:w="534" w:type="pct"/>
                                  </w:tcPr>
                                  <w:p>
                                    <w:pPr>
                                      <w:spacing w:line="259" w:lineRule="auto"/>
                                      <w:jc w:val="center"/>
                                      <w:rPr>
                                        <w:rFonts w:ascii="Arial" w:hAnsi="Arial" w:cs="Arial"/>
                                        <w:sz w:val="20"/>
                                      </w:rPr>
                                    </w:pPr>
                                    <w:r>
                                      <w:rPr>
                                        <w:rFonts w:ascii="Arial" w:hAnsi="Arial" w:cs="Arial"/>
                                        <w:sz w:val="20"/>
                                      </w:rPr>
                                      <w:t>5 489,7</w:t>
                                    </w:r>
                                  </w:p>
                                </w:tc>
                                <w:tc>
                                  <w:tcPr>
                                    <w:tcW w:w="534" w:type="pct"/>
                                  </w:tcPr>
                                  <w:p>
                                    <w:pPr>
                                      <w:spacing w:line="259" w:lineRule="auto"/>
                                      <w:jc w:val="center"/>
                                      <w:rPr>
                                        <w:rFonts w:ascii="Arial" w:hAnsi="Arial" w:cs="Arial"/>
                                        <w:sz w:val="20"/>
                                      </w:rPr>
                                    </w:pPr>
                                    <w:r>
                                      <w:rPr>
                                        <w:rFonts w:ascii="Arial" w:hAnsi="Arial" w:cs="Arial"/>
                                        <w:color w:val="000000"/>
                                        <w:sz w:val="20"/>
                                      </w:rPr>
                                      <w:t>31,0</w:t>
                                    </w:r>
                                  </w:p>
                                </w:tc>
                                <w:tc>
                                  <w:tcPr>
                                    <w:tcW w:w="534" w:type="pct"/>
                                  </w:tcPr>
                                  <w:p>
                                    <w:pPr>
                                      <w:spacing w:line="259" w:lineRule="auto"/>
                                      <w:jc w:val="center"/>
                                      <w:rPr>
                                        <w:rFonts w:ascii="Arial" w:hAnsi="Arial" w:cs="Arial"/>
                                        <w:sz w:val="20"/>
                                      </w:rPr>
                                    </w:pPr>
                                    <w:r>
                                      <w:rPr>
                                        <w:rFonts w:ascii="Arial" w:hAnsi="Arial" w:cs="Arial"/>
                                        <w:color w:val="000000"/>
                                        <w:sz w:val="20"/>
                                      </w:rPr>
                                      <w:t>5 489,7</w:t>
                                    </w:r>
                                  </w:p>
                                </w:tc>
                                <w:tc>
                                  <w:tcPr>
                                    <w:tcW w:w="535" w:type="pct"/>
                                  </w:tcPr>
                                  <w:p>
                                    <w:pPr>
                                      <w:spacing w:line="259" w:lineRule="auto"/>
                                      <w:jc w:val="center"/>
                                      <w:rPr>
                                        <w:rFonts w:ascii="Arial" w:hAnsi="Arial" w:cs="Arial"/>
                                        <w:sz w:val="20"/>
                                      </w:rPr>
                                    </w:pPr>
                                    <w:r>
                                      <w:rPr>
                                        <w:rFonts w:ascii="Arial" w:hAnsi="Arial" w:cs="Arial"/>
                                        <w:color w:val="000000"/>
                                        <w:sz w:val="20"/>
                                      </w:rPr>
                                      <w:t>100</w:t>
                                    </w:r>
                                  </w:p>
                                </w:tc>
                                <w:tc>
                                  <w:tcPr>
                                    <w:tcW w:w="1175" w:type="pct"/>
                                  </w:tcPr>
                                  <w:p>
                                    <w:pPr>
                                      <w:spacing w:line="259" w:lineRule="auto"/>
                                      <w:jc w:val="center"/>
                                      <w:rPr>
                                        <w:rFonts w:ascii="Arial" w:hAnsi="Arial" w:cs="Arial"/>
                                        <w:sz w:val="20"/>
                                      </w:rPr>
                                    </w:pPr>
                                    <w:r>
                                      <w:rPr>
                                        <w:rFonts w:ascii="Arial" w:hAnsi="Arial" w:cs="Arial"/>
                                        <w:sz w:val="20"/>
                                      </w:rPr>
                                      <w:t>–</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Aplinkos šiluminė energija (šilumos siurbliai)</w:t>
                                    </w:r>
                                  </w:p>
                                </w:tc>
                                <w:tc>
                                  <w:tcPr>
                                    <w:tcW w:w="534" w:type="pct"/>
                                  </w:tcPr>
                                  <w:p>
                                    <w:pPr>
                                      <w:spacing w:line="259" w:lineRule="auto"/>
                                      <w:jc w:val="center"/>
                                      <w:rPr>
                                        <w:rFonts w:ascii="Arial" w:hAnsi="Arial" w:cs="Arial"/>
                                        <w:sz w:val="20"/>
                                      </w:rPr>
                                    </w:pPr>
                                    <w:r>
                                      <w:rPr>
                                        <w:rFonts w:ascii="Arial" w:hAnsi="Arial" w:cs="Arial"/>
                                        <w:sz w:val="20"/>
                                      </w:rPr>
                                      <w:t>258,8</w:t>
                                    </w:r>
                                  </w:p>
                                </w:tc>
                                <w:tc>
                                  <w:tcPr>
                                    <w:tcW w:w="534" w:type="pct"/>
                                  </w:tcPr>
                                  <w:p>
                                    <w:pPr>
                                      <w:spacing w:line="259" w:lineRule="auto"/>
                                      <w:jc w:val="center"/>
                                      <w:rPr>
                                        <w:rFonts w:ascii="Arial" w:hAnsi="Arial" w:cs="Arial"/>
                                        <w:sz w:val="20"/>
                                      </w:rPr>
                                    </w:pPr>
                                    <w:r>
                                      <w:rPr>
                                        <w:rFonts w:ascii="Arial" w:hAnsi="Arial" w:cs="Arial"/>
                                        <w:color w:val="000000"/>
                                        <w:sz w:val="20"/>
                                      </w:rPr>
                                      <w:t>1,5</w:t>
                                    </w:r>
                                  </w:p>
                                </w:tc>
                                <w:tc>
                                  <w:tcPr>
                                    <w:tcW w:w="534" w:type="pct"/>
                                  </w:tcPr>
                                  <w:p>
                                    <w:pPr>
                                      <w:spacing w:line="259" w:lineRule="auto"/>
                                      <w:jc w:val="center"/>
                                      <w:rPr>
                                        <w:rFonts w:ascii="Arial" w:hAnsi="Arial" w:cs="Arial"/>
                                        <w:sz w:val="20"/>
                                      </w:rPr>
                                    </w:pPr>
                                    <w:r>
                                      <w:rPr>
                                        <w:rFonts w:ascii="Arial" w:hAnsi="Arial" w:cs="Arial"/>
                                        <w:color w:val="000000"/>
                                        <w:sz w:val="20"/>
                                      </w:rPr>
                                      <w:t>258,8</w:t>
                                    </w:r>
                                  </w:p>
                                </w:tc>
                                <w:tc>
                                  <w:tcPr>
                                    <w:tcW w:w="535" w:type="pct"/>
                                  </w:tcPr>
                                  <w:p>
                                    <w:pPr>
                                      <w:spacing w:line="259" w:lineRule="auto"/>
                                      <w:jc w:val="center"/>
                                      <w:rPr>
                                        <w:rFonts w:ascii="Arial" w:hAnsi="Arial" w:cs="Arial"/>
                                        <w:sz w:val="20"/>
                                      </w:rPr>
                                    </w:pPr>
                                    <w:r>
                                      <w:rPr>
                                        <w:rFonts w:ascii="Arial" w:hAnsi="Arial" w:cs="Arial"/>
                                        <w:color w:val="000000"/>
                                        <w:sz w:val="20"/>
                                      </w:rPr>
                                      <w:t>100</w:t>
                                    </w:r>
                                  </w:p>
                                </w:tc>
                                <w:tc>
                                  <w:tcPr>
                                    <w:tcW w:w="1175" w:type="pct"/>
                                  </w:tcPr>
                                  <w:p>
                                    <w:pPr>
                                      <w:spacing w:line="259" w:lineRule="auto"/>
                                      <w:jc w:val="center"/>
                                      <w:rPr>
                                        <w:rFonts w:ascii="Arial" w:hAnsi="Arial" w:cs="Arial"/>
                                        <w:sz w:val="20"/>
                                      </w:rPr>
                                    </w:pPr>
                                    <w:r>
                                      <w:rPr>
                                        <w:rFonts w:ascii="Arial" w:hAnsi="Arial" w:cs="Arial"/>
                                        <w:color w:val="000000"/>
                                        <w:sz w:val="20"/>
                                      </w:rPr>
                                      <w:t>3,6</w:t>
                                    </w:r>
                                  </w:p>
                                </w:tc>
                              </w:tr>
                              <w:tr>
                                <w:trPr>
                                  <w:trHeight w:val="20"/>
                                  <w:jc w:val="center"/>
                                </w:trPr>
                                <w:tc>
                                  <w:tcPr>
                                    <w:tcW w:w="1688" w:type="pct"/>
                                  </w:tcPr>
                                  <w:p>
                                    <w:pPr>
                                      <w:spacing w:line="259" w:lineRule="auto"/>
                                      <w:jc w:val="both"/>
                                      <w:rPr>
                                        <w:rFonts w:ascii="Arial" w:hAnsi="Arial" w:cs="Arial"/>
                                        <w:sz w:val="20"/>
                                      </w:rPr>
                                    </w:pPr>
                                    <w:r>
                                      <w:rPr>
                                        <w:rFonts w:ascii="Arial" w:hAnsi="Arial" w:cs="Arial"/>
                                        <w:sz w:val="20"/>
                                      </w:rPr>
                                      <w:t>Kitos kuro ir energijos rūšys</w:t>
                                    </w:r>
                                  </w:p>
                                </w:tc>
                                <w:tc>
                                  <w:tcPr>
                                    <w:tcW w:w="534" w:type="pct"/>
                                  </w:tcPr>
                                  <w:p>
                                    <w:pPr>
                                      <w:spacing w:line="259" w:lineRule="auto"/>
                                      <w:jc w:val="center"/>
                                      <w:rPr>
                                        <w:rFonts w:ascii="Arial" w:hAnsi="Arial" w:cs="Arial"/>
                                        <w:sz w:val="20"/>
                                      </w:rPr>
                                    </w:pPr>
                                    <w:r>
                                      <w:rPr>
                                        <w:rFonts w:ascii="Arial" w:hAnsi="Arial" w:cs="Arial"/>
                                        <w:sz w:val="20"/>
                                      </w:rPr>
                                      <w:t>210,3</w:t>
                                    </w:r>
                                  </w:p>
                                </w:tc>
                                <w:tc>
                                  <w:tcPr>
                                    <w:tcW w:w="534" w:type="pct"/>
                                  </w:tcPr>
                                  <w:p>
                                    <w:pPr>
                                      <w:spacing w:line="259" w:lineRule="auto"/>
                                      <w:jc w:val="center"/>
                                      <w:rPr>
                                        <w:rFonts w:ascii="Arial" w:hAnsi="Arial" w:cs="Arial"/>
                                        <w:sz w:val="20"/>
                                      </w:rPr>
                                    </w:pPr>
                                    <w:r>
                                      <w:rPr>
                                        <w:rFonts w:ascii="Arial" w:hAnsi="Arial" w:cs="Arial"/>
                                        <w:color w:val="000000"/>
                                        <w:sz w:val="20"/>
                                      </w:rPr>
                                      <w:t>1,2</w:t>
                                    </w:r>
                                  </w:p>
                                </w:tc>
                                <w:tc>
                                  <w:tcPr>
                                    <w:tcW w:w="534" w:type="pct"/>
                                  </w:tcPr>
                                  <w:p>
                                    <w:pPr>
                                      <w:spacing w:line="259" w:lineRule="auto"/>
                                      <w:jc w:val="center"/>
                                      <w:rPr>
                                        <w:rFonts w:ascii="Arial" w:hAnsi="Arial" w:cs="Arial"/>
                                        <w:sz w:val="20"/>
                                      </w:rPr>
                                    </w:pPr>
                                    <w:r>
                                      <w:rPr>
                                        <w:rFonts w:ascii="Arial" w:hAnsi="Arial" w:cs="Arial"/>
                                        <w:color w:val="000000"/>
                                        <w:sz w:val="20"/>
                                      </w:rPr>
                                      <w:t>201,7</w:t>
                                    </w:r>
                                  </w:p>
                                </w:tc>
                                <w:tc>
                                  <w:tcPr>
                                    <w:tcW w:w="535" w:type="pct"/>
                                  </w:tcPr>
                                  <w:p>
                                    <w:pPr>
                                      <w:spacing w:line="259" w:lineRule="auto"/>
                                      <w:jc w:val="center"/>
                                      <w:rPr>
                                        <w:rFonts w:ascii="Arial" w:hAnsi="Arial" w:cs="Arial"/>
                                        <w:sz w:val="20"/>
                                      </w:rPr>
                                    </w:pPr>
                                    <w:r>
                                      <w:rPr>
                                        <w:rFonts w:ascii="Arial" w:hAnsi="Arial" w:cs="Arial"/>
                                        <w:color w:val="000000"/>
                                        <w:sz w:val="20"/>
                                      </w:rPr>
                                      <w:t>95,9</w:t>
                                    </w:r>
                                  </w:p>
                                </w:tc>
                                <w:tc>
                                  <w:tcPr>
                                    <w:tcW w:w="1175" w:type="pct"/>
                                  </w:tcPr>
                                  <w:p>
                                    <w:pPr>
                                      <w:spacing w:line="259" w:lineRule="auto"/>
                                      <w:jc w:val="center"/>
                                      <w:rPr>
                                        <w:rFonts w:ascii="Arial" w:hAnsi="Arial" w:cs="Arial"/>
                                        <w:sz w:val="20"/>
                                      </w:rPr>
                                    </w:pPr>
                                    <w:r>
                                      <w:rPr>
                                        <w:rFonts w:ascii="Arial" w:hAnsi="Arial" w:cs="Arial"/>
                                        <w:color w:val="000000"/>
                                        <w:sz w:val="20"/>
                                      </w:rPr>
                                      <w:t>2,7</w:t>
                                    </w:r>
                                  </w:p>
                                </w:tc>
                              </w:tr>
                              <w:tr>
                                <w:trPr>
                                  <w:trHeight w:val="20"/>
                                  <w:jc w:val="center"/>
                                </w:trPr>
                                <w:tc>
                                  <w:tcPr>
                                    <w:tcW w:w="1688" w:type="pct"/>
                                  </w:tcPr>
                                  <w:p>
                                    <w:pPr>
                                      <w:spacing w:line="259" w:lineRule="auto"/>
                                      <w:jc w:val="right"/>
                                      <w:rPr>
                                        <w:rFonts w:ascii="Arial" w:hAnsi="Arial" w:cs="Arial"/>
                                        <w:b/>
                                        <w:bCs/>
                                        <w:sz w:val="20"/>
                                      </w:rPr>
                                    </w:pPr>
                                    <w:r>
                                      <w:rPr>
                                        <w:rFonts w:ascii="Arial" w:hAnsi="Arial" w:cs="Arial"/>
                                        <w:b/>
                                        <w:bCs/>
                                        <w:sz w:val="20"/>
                                      </w:rPr>
                                      <w:t>Viso</w:t>
                                    </w:r>
                                  </w:p>
                                </w:tc>
                                <w:tc>
                                  <w:tcPr>
                                    <w:tcW w:w="534" w:type="pct"/>
                                  </w:tcPr>
                                  <w:p>
                                    <w:pPr>
                                      <w:spacing w:line="259" w:lineRule="auto"/>
                                      <w:jc w:val="center"/>
                                      <w:rPr>
                                        <w:rFonts w:ascii="Arial" w:hAnsi="Arial" w:cs="Arial"/>
                                        <w:b/>
                                        <w:bCs/>
                                        <w:sz w:val="20"/>
                                      </w:rPr>
                                    </w:pPr>
                                    <w:r>
                                      <w:rPr>
                                        <w:rFonts w:ascii="Arial" w:hAnsi="Arial" w:cs="Arial"/>
                                        <w:b/>
                                        <w:bCs/>
                                        <w:sz w:val="20"/>
                                      </w:rPr>
                                      <w:t>17 730</w:t>
                                    </w:r>
                                  </w:p>
                                </w:tc>
                                <w:tc>
                                  <w:tcPr>
                                    <w:tcW w:w="534" w:type="pct"/>
                                  </w:tcPr>
                                  <w:p>
                                    <w:pPr>
                                      <w:spacing w:line="259" w:lineRule="auto"/>
                                      <w:jc w:val="center"/>
                                      <w:rPr>
                                        <w:rFonts w:ascii="Arial" w:hAnsi="Arial" w:cs="Arial"/>
                                        <w:b/>
                                        <w:bCs/>
                                        <w:sz w:val="20"/>
                                      </w:rPr>
                                    </w:pPr>
                                    <w:r>
                                      <w:rPr>
                                        <w:rFonts w:ascii="Arial" w:hAnsi="Arial" w:cs="Arial"/>
                                        <w:b/>
                                        <w:bCs/>
                                        <w:sz w:val="20"/>
                                      </w:rPr>
                                      <w:t>100</w:t>
                                    </w:r>
                                  </w:p>
                                </w:tc>
                                <w:tc>
                                  <w:tcPr>
                                    <w:tcW w:w="534" w:type="pct"/>
                                  </w:tcPr>
                                  <w:p>
                                    <w:pPr>
                                      <w:spacing w:line="259" w:lineRule="auto"/>
                                      <w:jc w:val="center"/>
                                      <w:rPr>
                                        <w:rFonts w:ascii="Arial" w:hAnsi="Arial" w:cs="Arial"/>
                                        <w:b/>
                                        <w:bCs/>
                                        <w:sz w:val="20"/>
                                      </w:rPr>
                                    </w:pPr>
                                    <w:r>
                                      <w:rPr>
                                        <w:rFonts w:ascii="Arial" w:hAnsi="Arial" w:cs="Arial"/>
                                        <w:b/>
                                        <w:bCs/>
                                        <w:color w:val="000000"/>
                                        <w:sz w:val="20"/>
                                      </w:rPr>
                                      <w:t>12 735,9</w:t>
                                    </w:r>
                                  </w:p>
                                </w:tc>
                                <w:tc>
                                  <w:tcPr>
                                    <w:tcW w:w="535" w:type="pct"/>
                                  </w:tcPr>
                                  <w:p>
                                    <w:pPr>
                                      <w:spacing w:line="259" w:lineRule="auto"/>
                                      <w:jc w:val="center"/>
                                      <w:rPr>
                                        <w:rFonts w:ascii="Arial" w:hAnsi="Arial" w:cs="Arial"/>
                                        <w:b/>
                                        <w:bCs/>
                                        <w:sz w:val="20"/>
                                      </w:rPr>
                                    </w:pPr>
                                  </w:p>
                                </w:tc>
                                <w:tc>
                                  <w:tcPr>
                                    <w:tcW w:w="1175" w:type="pct"/>
                                  </w:tcPr>
                                  <w:p>
                                    <w:pPr>
                                      <w:spacing w:line="259" w:lineRule="auto"/>
                                      <w:jc w:val="center"/>
                                      <w:rPr>
                                        <w:rFonts w:ascii="Arial" w:hAnsi="Arial" w:cs="Arial"/>
                                        <w:b/>
                                        <w:bCs/>
                                        <w:sz w:val="20"/>
                                      </w:rPr>
                                    </w:pPr>
                                    <w:r>
                                      <w:rPr>
                                        <w:rFonts w:ascii="Arial" w:hAnsi="Arial" w:cs="Arial"/>
                                        <w:b/>
                                        <w:bCs/>
                                        <w:color w:val="000000"/>
                                        <w:sz w:val="20"/>
                                      </w:rPr>
                                      <w:t>100,0</w:t>
                                    </w:r>
                                  </w:p>
                                </w:tc>
                              </w:tr>
                            </w:tbl>
                            <w:p>
                              <w:pPr>
                                <w:spacing w:line="259" w:lineRule="auto"/>
                                <w:jc w:val="center"/>
                                <w:rPr>
                                  <w:rFonts w:ascii="Arial" w:hAnsi="Arial" w:cs="Arial"/>
                                  <w:i/>
                                  <w:iCs/>
                                  <w:sz w:val="18"/>
                                  <w:szCs w:val="18"/>
                                </w:rPr>
                              </w:pPr>
                              <w:r>
                                <w:rPr>
                                  <w:rFonts w:ascii="Arial" w:hAnsi="Arial" w:cs="Arial"/>
                                  <w:i/>
                                  <w:iCs/>
                                  <w:sz w:val="18"/>
                                  <w:szCs w:val="18"/>
                                </w:rPr>
                                <w:t>Šaltinis: Lietuvos statistikos departamentas, 2020 m.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1.5.2.2 lentelėje išvestas kuro proporcijas, apskaičiuotos energijos sąnaudos prie CŠT tinklo neprijungtuose namų ūkiuose Joniškio rajono savivaldybėje pateikiamos 1.5.2.3 lentelėje. </w:t>
                              </w:r>
                            </w:p>
                            <w:p>
                              <w:pPr>
                                <w:rPr>
                                  <w:sz w:val="14"/>
                                  <w:szCs w:val="14"/>
                                </w:rPr>
                              </w:pPr>
                            </w:p>
                          </w:sdtContent>
                        </w:sdt>
                        <w:sdt>
                          <w:sdtPr>
                            <w:alias w:val="1.5.2.3 pp."/>
                            <w:tag w:val="part_d2cf8d35018a4cc29ec3835ae1ce62d1"/>
                            <w:lock w:val="sdtLocked"/>
                            <w:richText/>
                          </w:sdtPr>
                          <w:sdtContent>
                            <w:p>
                              <w:pPr>
                                <w:spacing w:line="259" w:lineRule="auto"/>
                                <w:jc w:val="center"/>
                                <w:rPr>
                                  <w:rFonts w:ascii="Arial" w:eastAsia="SegoeUI" w:hAnsi="Arial" w:cs="Arial"/>
                                  <w:b/>
                                  <w:color w:val="002060"/>
                                  <w:sz w:val="22"/>
                                  <w:szCs w:val="32"/>
                                </w:rPr>
                              </w:pPr>
                              <w:sdt>
                                <w:sdtPr>
                                  <w:alias w:val="Numeris"/>
                                  <w:tag w:val="nr_d2cf8d35018a4cc29ec3835ae1ce62d1"/>
                                  <w:lock w:val="sdtLocked"/>
                                  <w:richText/>
                                </w:sdtPr>
                                <w:sdtContent>
                                  <w:r>
                                    <w:rPr>
                                      <w:rFonts w:ascii="Arial" w:eastAsia="Calibri" w:hAnsi="Arial" w:cs="Arial"/>
                                      <w:b/>
                                      <w:color w:val="002060"/>
                                      <w:sz w:val="22"/>
                                      <w:szCs w:val="32"/>
                                    </w:rPr>
                                    <w:t>1.5.2.3</w:t>
                                  </w:r>
                                </w:sdtContent>
                              </w:sdt>
                              <w:r>
                                <w:rPr>
                                  <w:rFonts w:ascii="Arial" w:eastAsia="Calibri" w:hAnsi="Arial" w:cs="Arial"/>
                                  <w:b/>
                                  <w:color w:val="002060"/>
                                  <w:sz w:val="22"/>
                                  <w:szCs w:val="32"/>
                                </w:rPr>
                                <w:t>. lentelė. Energijos sąnaudos šildymui ir karštam vandeniui</w:t>
                              </w:r>
                            </w:p>
                            <w:p>
                              <w:pPr>
                                <w:rPr>
                                  <w:sz w:val="10"/>
                                  <w:szCs w:val="10"/>
                                </w:rPr>
                              </w:pPr>
                            </w:p>
                            <w:tbl>
                              <w:tblPr>
                                <w:tblW w:w="3016"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3299"/>
                                <w:gridCol w:w="2851"/>
                              </w:tblGrid>
                              <w:tr>
                                <w:trPr>
                                  <w:jc w:val="center"/>
                                </w:trPr>
                                <w:tc>
                                  <w:tcPr>
                                    <w:tcW w:w="3299" w:type="dxa"/>
                                  </w:tcPr>
                                  <w:p>
                                    <w:pPr>
                                      <w:jc w:val="center"/>
                                      <w:rPr>
                                        <w:rFonts w:ascii="Arial" w:hAnsi="Arial" w:cs="Arial"/>
                                        <w:sz w:val="20"/>
                                      </w:rPr>
                                    </w:pPr>
                                    <w:r>
                                      <w:rPr>
                                        <w:rFonts w:ascii="Arial" w:hAnsi="Arial" w:cs="Arial"/>
                                        <w:sz w:val="20"/>
                                      </w:rPr>
                                      <w:t>Energijos išteklių rūšis</w:t>
                                    </w:r>
                                  </w:p>
                                </w:tc>
                                <w:tc>
                                  <w:tcPr>
                                    <w:tcW w:w="2851" w:type="dxa"/>
                                  </w:tcPr>
                                  <w:p>
                                    <w:pPr>
                                      <w:jc w:val="center"/>
                                      <w:rPr>
                                        <w:rFonts w:ascii="Arial" w:hAnsi="Arial" w:cs="Arial"/>
                                        <w:sz w:val="20"/>
                                      </w:rPr>
                                    </w:pPr>
                                    <w:r>
                                      <w:rPr>
                                        <w:rFonts w:ascii="Arial" w:hAnsi="Arial" w:cs="Arial"/>
                                        <w:sz w:val="20"/>
                                      </w:rPr>
                                      <w:t>Bendros energijos sąnaudos, tne</w:t>
                                    </w:r>
                                  </w:p>
                                </w:tc>
                              </w:tr>
                              <w:tr>
                                <w:trPr>
                                  <w:trHeight w:val="20"/>
                                  <w:jc w:val="center"/>
                                </w:trPr>
                                <w:tc>
                                  <w:tcPr>
                                    <w:tcW w:w="3299" w:type="dxa"/>
                                  </w:tcPr>
                                  <w:p>
                                    <w:pPr>
                                      <w:rPr>
                                        <w:rFonts w:ascii="Arial" w:hAnsi="Arial" w:cs="Arial"/>
                                        <w:sz w:val="20"/>
                                      </w:rPr>
                                    </w:pPr>
                                    <w:r>
                                      <w:rPr>
                                        <w:rFonts w:ascii="Arial" w:hAnsi="Arial" w:cs="Arial"/>
                                        <w:sz w:val="20"/>
                                      </w:rPr>
                                      <w:t>Anglys ir durpės</w:t>
                                    </w:r>
                                  </w:p>
                                </w:tc>
                                <w:tc>
                                  <w:tcPr>
                                    <w:tcW w:w="2851" w:type="dxa"/>
                                  </w:tcPr>
                                  <w:p>
                                    <w:pPr>
                                      <w:jc w:val="center"/>
                                      <w:rPr>
                                        <w:rFonts w:ascii="Arial" w:hAnsi="Arial" w:cs="Arial"/>
                                        <w:sz w:val="20"/>
                                      </w:rPr>
                                    </w:pPr>
                                    <w:r>
                                      <w:rPr>
                                        <w:rFonts w:ascii="Arial" w:hAnsi="Arial" w:cs="Arial"/>
                                        <w:sz w:val="20"/>
                                      </w:rPr>
                                      <w:t>632,7</w:t>
                                    </w:r>
                                  </w:p>
                                </w:tc>
                              </w:tr>
                              <w:tr>
                                <w:trPr>
                                  <w:trHeight w:val="20"/>
                                  <w:jc w:val="center"/>
                                </w:trPr>
                                <w:tc>
                                  <w:tcPr>
                                    <w:tcW w:w="3299" w:type="dxa"/>
                                  </w:tcPr>
                                  <w:p>
                                    <w:pPr>
                                      <w:rPr>
                                        <w:rFonts w:ascii="Arial" w:hAnsi="Arial" w:cs="Arial"/>
                                        <w:sz w:val="20"/>
                                      </w:rPr>
                                    </w:pPr>
                                    <w:r>
                                      <w:rPr>
                                        <w:rFonts w:ascii="Arial" w:hAnsi="Arial" w:cs="Arial"/>
                                        <w:sz w:val="20"/>
                                      </w:rPr>
                                      <w:t>Gamtinės dujos</w:t>
                                    </w:r>
                                  </w:p>
                                </w:tc>
                                <w:tc>
                                  <w:tcPr>
                                    <w:tcW w:w="2851" w:type="dxa"/>
                                  </w:tcPr>
                                  <w:p>
                                    <w:pPr>
                                      <w:jc w:val="center"/>
                                      <w:rPr>
                                        <w:rFonts w:ascii="Arial" w:hAnsi="Arial" w:cs="Arial"/>
                                        <w:sz w:val="20"/>
                                      </w:rPr>
                                    </w:pPr>
                                    <w:r>
                                      <w:rPr>
                                        <w:rFonts w:ascii="Arial" w:hAnsi="Arial" w:cs="Arial"/>
                                        <w:sz w:val="20"/>
                                      </w:rPr>
                                      <w:t>818,1</w:t>
                                    </w:r>
                                  </w:p>
                                </w:tc>
                              </w:tr>
                              <w:tr>
                                <w:trPr>
                                  <w:trHeight w:val="20"/>
                                  <w:jc w:val="center"/>
                                </w:trPr>
                                <w:tc>
                                  <w:tcPr>
                                    <w:tcW w:w="3299" w:type="dxa"/>
                                  </w:tcPr>
                                  <w:p>
                                    <w:pPr>
                                      <w:rPr>
                                        <w:rFonts w:ascii="Arial" w:hAnsi="Arial" w:cs="Arial"/>
                                        <w:sz w:val="20"/>
                                      </w:rPr>
                                    </w:pPr>
                                    <w:r>
                                      <w:rPr>
                                        <w:rFonts w:ascii="Arial" w:hAnsi="Arial" w:cs="Arial"/>
                                        <w:sz w:val="20"/>
                                      </w:rPr>
                                      <w:t>Suskystintos naftos dujos</w:t>
                                    </w:r>
                                  </w:p>
                                </w:tc>
                                <w:tc>
                                  <w:tcPr>
                                    <w:tcW w:w="2851" w:type="dxa"/>
                                  </w:tcPr>
                                  <w:p>
                                    <w:pPr>
                                      <w:jc w:val="center"/>
                                      <w:rPr>
                                        <w:rFonts w:ascii="Arial" w:hAnsi="Arial" w:cs="Arial"/>
                                        <w:sz w:val="20"/>
                                      </w:rPr>
                                    </w:pPr>
                                    <w:r>
                                      <w:rPr>
                                        <w:rFonts w:ascii="Arial" w:hAnsi="Arial" w:cs="Arial"/>
                                        <w:sz w:val="20"/>
                                      </w:rPr>
                                      <w:t>10,9</w:t>
                                    </w:r>
                                  </w:p>
                                </w:tc>
                              </w:tr>
                              <w:tr>
                                <w:trPr>
                                  <w:trHeight w:val="20"/>
                                  <w:jc w:val="center"/>
                                </w:trPr>
                                <w:tc>
                                  <w:tcPr>
                                    <w:tcW w:w="3299" w:type="dxa"/>
                                  </w:tcPr>
                                  <w:p>
                                    <w:pPr>
                                      <w:rPr>
                                        <w:rFonts w:ascii="Arial" w:hAnsi="Arial" w:cs="Arial"/>
                                        <w:sz w:val="20"/>
                                      </w:rPr>
                                    </w:pPr>
                                    <w:r>
                                      <w:rPr>
                                        <w:rFonts w:ascii="Arial" w:hAnsi="Arial" w:cs="Arial"/>
                                        <w:sz w:val="20"/>
                                      </w:rPr>
                                      <w:t>Skystasis kuras</w:t>
                                    </w:r>
                                  </w:p>
                                </w:tc>
                                <w:tc>
                                  <w:tcPr>
                                    <w:tcW w:w="2851" w:type="dxa"/>
                                  </w:tcPr>
                                  <w:p>
                                    <w:pPr>
                                      <w:jc w:val="center"/>
                                      <w:rPr>
                                        <w:rFonts w:ascii="Arial" w:hAnsi="Arial" w:cs="Arial"/>
                                        <w:sz w:val="20"/>
                                      </w:rPr>
                                    </w:pPr>
                                    <w:r>
                                      <w:rPr>
                                        <w:rFonts w:ascii="Arial" w:hAnsi="Arial" w:cs="Arial"/>
                                        <w:sz w:val="20"/>
                                      </w:rPr>
                                      <w:t>349,1</w:t>
                                    </w:r>
                                  </w:p>
                                </w:tc>
                              </w:tr>
                              <w:tr>
                                <w:trPr>
                                  <w:trHeight w:val="20"/>
                                  <w:jc w:val="center"/>
                                </w:trPr>
                                <w:tc>
                                  <w:tcPr>
                                    <w:tcW w:w="3299" w:type="dxa"/>
                                  </w:tcPr>
                                  <w:p>
                                    <w:pPr>
                                      <w:rPr>
                                        <w:rFonts w:ascii="Arial" w:hAnsi="Arial" w:cs="Arial"/>
                                        <w:sz w:val="20"/>
                                      </w:rPr>
                                    </w:pPr>
                                    <w:r>
                                      <w:rPr>
                                        <w:rFonts w:ascii="Arial" w:hAnsi="Arial" w:cs="Arial"/>
                                        <w:sz w:val="20"/>
                                      </w:rPr>
                                      <w:t>Biokuras (malkos ir kurui skirtos medienos atliekos)</w:t>
                                    </w:r>
                                  </w:p>
                                </w:tc>
                                <w:tc>
                                  <w:tcPr>
                                    <w:tcW w:w="2851" w:type="dxa"/>
                                  </w:tcPr>
                                  <w:p>
                                    <w:pPr>
                                      <w:jc w:val="center"/>
                                      <w:rPr>
                                        <w:rFonts w:ascii="Arial" w:hAnsi="Arial" w:cs="Arial"/>
                                        <w:sz w:val="20"/>
                                      </w:rPr>
                                    </w:pPr>
                                    <w:r>
                                      <w:rPr>
                                        <w:rFonts w:ascii="Arial" w:hAnsi="Arial" w:cs="Arial"/>
                                        <w:sz w:val="20"/>
                                      </w:rPr>
                                      <w:t>7 777,7</w:t>
                                    </w:r>
                                  </w:p>
                                </w:tc>
                              </w:tr>
                              <w:tr>
                                <w:trPr>
                                  <w:trHeight w:val="20"/>
                                  <w:jc w:val="center"/>
                                </w:trPr>
                                <w:tc>
                                  <w:tcPr>
                                    <w:tcW w:w="3299" w:type="dxa"/>
                                  </w:tcPr>
                                  <w:p>
                                    <w:pPr>
                                      <w:rPr>
                                        <w:rFonts w:ascii="Arial" w:hAnsi="Arial" w:cs="Arial"/>
                                        <w:sz w:val="20"/>
                                      </w:rPr>
                                    </w:pPr>
                                    <w:r>
                                      <w:rPr>
                                        <w:rFonts w:ascii="Arial" w:hAnsi="Arial" w:cs="Arial"/>
                                        <w:sz w:val="20"/>
                                      </w:rPr>
                                      <w:t>Elektros energija</w:t>
                                    </w:r>
                                  </w:p>
                                </w:tc>
                                <w:tc>
                                  <w:tcPr>
                                    <w:tcW w:w="2851" w:type="dxa"/>
                                  </w:tcPr>
                                  <w:p>
                                    <w:pPr>
                                      <w:jc w:val="center"/>
                                      <w:rPr>
                                        <w:rFonts w:ascii="Arial" w:hAnsi="Arial" w:cs="Arial"/>
                                        <w:sz w:val="20"/>
                                      </w:rPr>
                                    </w:pPr>
                                    <w:r>
                                      <w:rPr>
                                        <w:rFonts w:ascii="Arial" w:hAnsi="Arial" w:cs="Arial"/>
                                        <w:sz w:val="20"/>
                                      </w:rPr>
                                      <w:t>632,7</w:t>
                                    </w:r>
                                  </w:p>
                                </w:tc>
                              </w:tr>
                              <w:tr>
                                <w:trPr>
                                  <w:trHeight w:val="20"/>
                                  <w:jc w:val="center"/>
                                </w:trPr>
                                <w:tc>
                                  <w:tcPr>
                                    <w:tcW w:w="3299" w:type="dxa"/>
                                  </w:tcPr>
                                  <w:p>
                                    <w:pPr>
                                      <w:rPr>
                                        <w:rFonts w:ascii="Arial" w:hAnsi="Arial" w:cs="Arial"/>
                                        <w:sz w:val="20"/>
                                      </w:rPr>
                                    </w:pPr>
                                    <w:r>
                                      <w:rPr>
                                        <w:rFonts w:ascii="Arial" w:hAnsi="Arial" w:cs="Arial"/>
                                        <w:sz w:val="20"/>
                                      </w:rPr>
                                      <w:t>Aplinkos šiluminė energija (šilumos siurbliai)</w:t>
                                    </w:r>
                                  </w:p>
                                </w:tc>
                                <w:tc>
                                  <w:tcPr>
                                    <w:tcW w:w="2851" w:type="dxa"/>
                                  </w:tcPr>
                                  <w:p>
                                    <w:pPr>
                                      <w:jc w:val="center"/>
                                      <w:rPr>
                                        <w:rFonts w:ascii="Arial" w:hAnsi="Arial" w:cs="Arial"/>
                                        <w:sz w:val="20"/>
                                      </w:rPr>
                                    </w:pPr>
                                    <w:r>
                                      <w:rPr>
                                        <w:rFonts w:ascii="Arial" w:hAnsi="Arial" w:cs="Arial"/>
                                        <w:sz w:val="20"/>
                                      </w:rPr>
                                      <w:t>392,7</w:t>
                                    </w:r>
                                  </w:p>
                                </w:tc>
                              </w:tr>
                              <w:tr>
                                <w:trPr>
                                  <w:trHeight w:val="20"/>
                                  <w:jc w:val="center"/>
                                </w:trPr>
                                <w:tc>
                                  <w:tcPr>
                                    <w:tcW w:w="3299" w:type="dxa"/>
                                  </w:tcPr>
                                  <w:p>
                                    <w:pPr>
                                      <w:rPr>
                                        <w:rFonts w:ascii="Arial" w:hAnsi="Arial" w:cs="Arial"/>
                                        <w:sz w:val="20"/>
                                      </w:rPr>
                                    </w:pPr>
                                    <w:r>
                                      <w:rPr>
                                        <w:rFonts w:ascii="Arial" w:hAnsi="Arial" w:cs="Arial"/>
                                        <w:sz w:val="20"/>
                                      </w:rPr>
                                      <w:t>Kitos kuro ir energijos rūšys</w:t>
                                    </w:r>
                                  </w:p>
                                </w:tc>
                                <w:tc>
                                  <w:tcPr>
                                    <w:tcW w:w="2851" w:type="dxa"/>
                                  </w:tcPr>
                                  <w:p>
                                    <w:pPr>
                                      <w:jc w:val="center"/>
                                      <w:rPr>
                                        <w:rFonts w:ascii="Arial" w:hAnsi="Arial" w:cs="Arial"/>
                                        <w:sz w:val="20"/>
                                      </w:rPr>
                                    </w:pPr>
                                    <w:r>
                                      <w:rPr>
                                        <w:rFonts w:ascii="Arial" w:hAnsi="Arial" w:cs="Arial"/>
                                        <w:sz w:val="20"/>
                                      </w:rPr>
                                      <w:t>294,5</w:t>
                                    </w:r>
                                  </w:p>
                                </w:tc>
                              </w:tr>
                              <w:tr>
                                <w:trPr>
                                  <w:trHeight w:val="20"/>
                                  <w:jc w:val="center"/>
                                </w:trPr>
                                <w:tc>
                                  <w:tcPr>
                                    <w:tcW w:w="3299" w:type="dxa"/>
                                  </w:tcPr>
                                  <w:p>
                                    <w:pPr>
                                      <w:rPr>
                                        <w:rFonts w:ascii="Arial" w:hAnsi="Arial" w:cs="Arial"/>
                                        <w:sz w:val="20"/>
                                      </w:rPr>
                                    </w:pPr>
                                    <w:r>
                                      <w:rPr>
                                        <w:rFonts w:ascii="Arial" w:hAnsi="Arial" w:cs="Arial"/>
                                        <w:b/>
                                        <w:bCs/>
                                        <w:sz w:val="20"/>
                                      </w:rPr>
                                      <w:t>VISO</w:t>
                                    </w:r>
                                  </w:p>
                                </w:tc>
                                <w:tc>
                                  <w:tcPr>
                                    <w:tcW w:w="2851" w:type="dxa"/>
                                  </w:tcPr>
                                  <w:p>
                                    <w:pPr>
                                      <w:jc w:val="center"/>
                                      <w:rPr>
                                        <w:rFonts w:ascii="Arial" w:hAnsi="Arial" w:cs="Arial"/>
                                        <w:b/>
                                        <w:bCs/>
                                        <w:sz w:val="20"/>
                                      </w:rPr>
                                    </w:pPr>
                                    <w:r>
                                      <w:rPr>
                                        <w:rFonts w:ascii="Arial" w:hAnsi="Arial" w:cs="Arial"/>
                                        <w:b/>
                                        <w:bCs/>
                                        <w:sz w:val="20"/>
                                      </w:rPr>
                                      <w:t>10 908,4</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sdtContent>
                        </w:sdt>
                      </w:sdtContent>
                    </w:sdt>
                  </w:sdtContent>
                </w:sdt>
                <w:sdt>
                  <w:sdtPr>
                    <w:alias w:val="1.6 pp."/>
                    <w:tag w:val="part_dde44dd5190e477783f739393e309dd0"/>
                    <w:lock w:val="sdtLocked"/>
                    <w:richText/>
                  </w:sdtPr>
                  <w:sdtContent>
                    <w:p>
                      <w:pPr>
                        <w:keepNext/>
                        <w:keepLines/>
                        <w:spacing w:line="259" w:lineRule="auto"/>
                        <w:jc w:val="center"/>
                        <w:outlineLvl w:val="1"/>
                        <w:rPr>
                          <w:rFonts w:ascii="Arial" w:hAnsi="Arial" w:cs="Arial"/>
                          <w:b/>
                          <w:color w:val="002060"/>
                          <w:szCs w:val="26"/>
                        </w:rPr>
                      </w:pPr>
                      <w:sdt>
                        <w:sdtPr>
                          <w:alias w:val="Numeris"/>
                          <w:tag w:val="nr_dde44dd5190e477783f739393e309dd0"/>
                          <w:lock w:val="sdtLocked"/>
                          <w:richText/>
                        </w:sdtPr>
                        <w:sdtContent>
                          <w:r>
                            <w:rPr>
                              <w:rFonts w:ascii="Arial" w:hAnsi="Arial" w:cs="Arial"/>
                              <w:b/>
                              <w:color w:val="002060"/>
                              <w:szCs w:val="26"/>
                            </w:rPr>
                            <w:t>1.6</w:t>
                          </w:r>
                        </w:sdtContent>
                      </w:sdt>
                      <w:r>
                        <w:rPr>
                          <w:rFonts w:ascii="Arial" w:hAnsi="Arial" w:cs="Arial"/>
                          <w:b/>
                          <w:color w:val="002060"/>
                          <w:szCs w:val="26"/>
                        </w:rPr>
                        <w:t>. Elektros energijos vartojimas savivaldybėje</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savivaldybės elektros perdavimo ir skirstymo sistema yra dalis Lietuvos energetinės sistemos, kuri susideda iš aukštos įtampos perdavimo ir skirstymo bei žemos įtampos skirstomojo tinklo. Į Joniškio rajoną elektros energija tiekiama iš bendros Lietuvoje elektros energijos tiekimo sistemos.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Duomenis apie elektros energijos suvartojimą Lietuvoje kaupia skirstomojo tinklo operatorius AB „ESO“. Žemiau esančioje lentelėje pateikiami duomenys apie elektros energijos suvartojimą Joniškio rajono savivaldybėje.</w:t>
                      </w:r>
                    </w:p>
                    <w:p>
                      <w:pPr>
                        <w:rPr>
                          <w:sz w:val="14"/>
                          <w:szCs w:val="14"/>
                        </w:rPr>
                      </w:pPr>
                    </w:p>
                    <w:sdt>
                      <w:sdtPr>
                        <w:alias w:val="1.6.1 pp."/>
                        <w:tag w:val="part_1338539a1b8b418d83c4e15e517d9d29"/>
                        <w:lock w:val="sdtLocked"/>
                        <w:richText/>
                      </w:sdtPr>
                      <w:sdtContent>
                        <w:p>
                          <w:pPr>
                            <w:spacing w:line="259" w:lineRule="auto"/>
                            <w:jc w:val="center"/>
                            <w:rPr>
                              <w:rFonts w:ascii="Arial" w:eastAsia="Calibri" w:hAnsi="Arial" w:cs="Arial"/>
                              <w:b/>
                              <w:color w:val="002060"/>
                              <w:sz w:val="22"/>
                              <w:szCs w:val="32"/>
                            </w:rPr>
                          </w:pPr>
                          <w:sdt>
                            <w:sdtPr>
                              <w:alias w:val="Numeris"/>
                              <w:tag w:val="nr_1338539a1b8b418d83c4e15e517d9d29"/>
                              <w:lock w:val="sdtLocked"/>
                              <w:richText/>
                            </w:sdtPr>
                            <w:sdtContent>
                              <w:r>
                                <w:rPr>
                                  <w:rFonts w:ascii="Arial" w:eastAsia="Calibri" w:hAnsi="Arial" w:cs="Arial"/>
                                  <w:b/>
                                  <w:color w:val="002060"/>
                                  <w:sz w:val="22"/>
                                  <w:szCs w:val="32"/>
                                </w:rPr>
                                <w:t>1.6.1</w:t>
                              </w:r>
                            </w:sdtContent>
                          </w:sdt>
                          <w:r>
                            <w:rPr>
                              <w:rFonts w:ascii="Arial" w:eastAsia="Calibri" w:hAnsi="Arial" w:cs="Arial"/>
                              <w:b/>
                              <w:color w:val="002060"/>
                              <w:sz w:val="22"/>
                              <w:szCs w:val="32"/>
                            </w:rPr>
                            <w:t xml:space="preserve">. lentelė. Elektros energijos suvartojimas Joniškio rajono savivaldybėje </w:t>
                          </w:r>
                        </w:p>
                        <w:p>
                          <w:pPr>
                            <w:rPr>
                              <w:sz w:val="10"/>
                              <w:szCs w:val="10"/>
                            </w:rPr>
                          </w:pPr>
                        </w:p>
                        <w:tbl>
                          <w:tblPr>
                            <w:tblW w:w="9629" w:type="dxa"/>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1413"/>
                            <w:gridCol w:w="1134"/>
                            <w:gridCol w:w="1559"/>
                            <w:gridCol w:w="1134"/>
                            <w:gridCol w:w="1559"/>
                            <w:gridCol w:w="1134"/>
                            <w:gridCol w:w="1696"/>
                          </w:tblGrid>
                          <w:tr>
                            <w:trPr>
                              <w:trHeight w:val="327"/>
                              <w:jc w:val="center"/>
                            </w:trPr>
                            <w:tc>
                              <w:tcPr>
                                <w:tcW w:w="1413" w:type="dxa"/>
                                <w:vMerge w:val="restart"/>
                                <w:noWrap/>
                                <w:hideMark/>
                              </w:tcPr>
                              <w:p>
                                <w:pPr>
                                  <w:ind w:firstLine="567"/>
                                  <w:jc w:val="center"/>
                                  <w:rPr>
                                    <w:rFonts w:ascii="Arial" w:hAnsi="Arial" w:cs="Arial"/>
                                    <w:color w:val="FFFFFF"/>
                                    <w:sz w:val="20"/>
                                    <w:lang w:eastAsia="lt-LT"/>
                                  </w:rPr>
                                </w:pPr>
                              </w:p>
                            </w:tc>
                            <w:tc>
                              <w:tcPr>
                                <w:tcW w:w="2693" w:type="dxa"/>
                                <w:gridSpan w:val="2"/>
                                <w:noWrap/>
                                <w:hideMark/>
                              </w:tcPr>
                              <w:p>
                                <w:pPr>
                                  <w:jc w:val="center"/>
                                  <w:rPr>
                                    <w:rFonts w:ascii="Arial" w:hAnsi="Arial" w:cs="Arial"/>
                                    <w:color w:val="FFFFFF"/>
                                    <w:sz w:val="20"/>
                                    <w:lang w:eastAsia="lt-LT"/>
                                  </w:rPr>
                                </w:pPr>
                                <w:r>
                                  <w:rPr>
                                    <w:rFonts w:ascii="Arial" w:hAnsi="Arial" w:cs="Arial"/>
                                    <w:color w:val="FFFFFF"/>
                                    <w:sz w:val="20"/>
                                    <w:lang w:eastAsia="lt-LT"/>
                                  </w:rPr>
                                  <w:t>2019 m</w:t>
                                </w:r>
                              </w:p>
                            </w:tc>
                            <w:tc>
                              <w:tcPr>
                                <w:tcW w:w="2693" w:type="dxa"/>
                                <w:gridSpan w:val="2"/>
                                <w:noWrap/>
                                <w:hideMark/>
                              </w:tcPr>
                              <w:p>
                                <w:pPr>
                                  <w:jc w:val="center"/>
                                  <w:rPr>
                                    <w:rFonts w:ascii="Arial" w:hAnsi="Arial" w:cs="Arial"/>
                                    <w:color w:val="FFFFFF"/>
                                    <w:sz w:val="20"/>
                                    <w:lang w:eastAsia="lt-LT"/>
                                  </w:rPr>
                                </w:pPr>
                                <w:r>
                                  <w:rPr>
                                    <w:rFonts w:ascii="Arial" w:hAnsi="Arial" w:cs="Arial"/>
                                    <w:color w:val="FFFFFF"/>
                                    <w:sz w:val="20"/>
                                    <w:lang w:eastAsia="lt-LT"/>
                                  </w:rPr>
                                  <w:t>2020 m</w:t>
                                </w:r>
                              </w:p>
                            </w:tc>
                            <w:tc>
                              <w:tcPr>
                                <w:tcW w:w="2830" w:type="dxa"/>
                                <w:gridSpan w:val="2"/>
                                <w:noWrap/>
                                <w:hideMark/>
                              </w:tcPr>
                              <w:p>
                                <w:pPr>
                                  <w:jc w:val="center"/>
                                  <w:rPr>
                                    <w:rFonts w:ascii="Arial" w:hAnsi="Arial" w:cs="Arial"/>
                                    <w:color w:val="FFFFFF"/>
                                    <w:sz w:val="20"/>
                                    <w:lang w:eastAsia="lt-LT"/>
                                  </w:rPr>
                                </w:pPr>
                                <w:r>
                                  <w:rPr>
                                    <w:rFonts w:ascii="Arial" w:hAnsi="Arial" w:cs="Arial"/>
                                    <w:color w:val="FFFFFF"/>
                                    <w:sz w:val="20"/>
                                    <w:lang w:eastAsia="lt-LT"/>
                                  </w:rPr>
                                  <w:t>2021 m</w:t>
                                </w:r>
                              </w:p>
                            </w:tc>
                          </w:tr>
                          <w:tr>
                            <w:trPr>
                              <w:trHeight w:val="327"/>
                              <w:jc w:val="center"/>
                            </w:trPr>
                            <w:tc>
                              <w:tcPr>
                                <w:tcW w:w="1413" w:type="dxa"/>
                                <w:vMerge/>
                                <w:hideMark/>
                              </w:tcPr>
                              <w:p>
                                <w:pPr>
                                  <w:ind w:firstLine="567"/>
                                  <w:jc w:val="both"/>
                                  <w:rPr>
                                    <w:rFonts w:ascii="Arial" w:hAnsi="Arial" w:cs="Arial"/>
                                    <w:color w:val="000000"/>
                                    <w:sz w:val="20"/>
                                    <w:lang w:eastAsia="lt-LT"/>
                                  </w:rPr>
                                </w:pPr>
                              </w:p>
                            </w:tc>
                            <w:tc>
                              <w:tcPr>
                                <w:tcW w:w="1134"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Objektų kiekis, vnt</w:t>
                                </w:r>
                              </w:p>
                            </w:tc>
                            <w:tc>
                              <w:tcPr>
                                <w:tcW w:w="1559"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Suvartota, kWh</w:t>
                                </w:r>
                              </w:p>
                            </w:tc>
                            <w:tc>
                              <w:tcPr>
                                <w:tcW w:w="1134"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Objektų kiekis</w:t>
                                </w:r>
                              </w:p>
                            </w:tc>
                            <w:tc>
                              <w:tcPr>
                                <w:tcW w:w="1559"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Suvartota, kWh</w:t>
                                </w:r>
                              </w:p>
                            </w:tc>
                            <w:tc>
                              <w:tcPr>
                                <w:tcW w:w="1134"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Objektų kiekis</w:t>
                                </w:r>
                              </w:p>
                            </w:tc>
                            <w:tc>
                              <w:tcPr>
                                <w:tcW w:w="1696"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Suvartota, kWh</w:t>
                                </w:r>
                              </w:p>
                            </w:tc>
                          </w:tr>
                          <w:tr>
                            <w:trPr>
                              <w:trHeight w:val="327"/>
                              <w:jc w:val="center"/>
                            </w:trPr>
                            <w:tc>
                              <w:tcPr>
                                <w:tcW w:w="1413" w:type="dxa"/>
                                <w:noWrap/>
                                <w:hideMark/>
                              </w:tcPr>
                              <w:p>
                                <w:pPr>
                                  <w:jc w:val="both"/>
                                  <w:rPr>
                                    <w:rFonts w:ascii="Arial" w:hAnsi="Arial" w:cs="Arial"/>
                                    <w:color w:val="000000"/>
                                    <w:sz w:val="20"/>
                                    <w:lang w:eastAsia="lt-LT"/>
                                  </w:rPr>
                                </w:pPr>
                                <w:r>
                                  <w:rPr>
                                    <w:rFonts w:ascii="Arial" w:hAnsi="Arial" w:cs="Arial"/>
                                    <w:sz w:val="20"/>
                                  </w:rPr>
                                  <w:t>Komerciniai vartotojai</w:t>
                                </w:r>
                              </w:p>
                            </w:tc>
                            <w:tc>
                              <w:tcPr>
                                <w:tcW w:w="1134" w:type="dxa"/>
                                <w:noWrap/>
                              </w:tcPr>
                              <w:p>
                                <w:pPr>
                                  <w:jc w:val="center"/>
                                  <w:rPr>
                                    <w:rFonts w:ascii="Arial" w:hAnsi="Arial" w:cs="Arial"/>
                                    <w:color w:val="000000"/>
                                    <w:sz w:val="20"/>
                                    <w:lang w:eastAsia="lt-LT"/>
                                  </w:rPr>
                                </w:pPr>
                                <w:r>
                                  <w:rPr>
                                    <w:rFonts w:ascii="Arial" w:hAnsi="Arial" w:cs="Arial"/>
                                    <w:color w:val="000000"/>
                                    <w:sz w:val="20"/>
                                  </w:rPr>
                                  <w:t>1 506</w:t>
                                </w:r>
                              </w:p>
                            </w:tc>
                            <w:tc>
                              <w:tcPr>
                                <w:tcW w:w="1559" w:type="dxa"/>
                                <w:noWrap/>
                              </w:tcPr>
                              <w:p>
                                <w:pPr>
                                  <w:jc w:val="center"/>
                                  <w:rPr>
                                    <w:rFonts w:ascii="Arial" w:hAnsi="Arial" w:cs="Arial"/>
                                    <w:color w:val="000000"/>
                                    <w:sz w:val="20"/>
                                    <w:lang w:eastAsia="lt-LT"/>
                                  </w:rPr>
                                </w:pPr>
                                <w:r>
                                  <w:rPr>
                                    <w:rFonts w:ascii="Arial" w:hAnsi="Arial" w:cs="Arial"/>
                                    <w:color w:val="000000"/>
                                    <w:sz w:val="20"/>
                                  </w:rPr>
                                  <w:t>33 191 250</w:t>
                                </w:r>
                              </w:p>
                            </w:tc>
                            <w:tc>
                              <w:tcPr>
                                <w:tcW w:w="1134" w:type="dxa"/>
                                <w:noWrap/>
                              </w:tcPr>
                              <w:p>
                                <w:pPr>
                                  <w:jc w:val="center"/>
                                  <w:rPr>
                                    <w:rFonts w:ascii="Arial" w:hAnsi="Arial" w:cs="Arial"/>
                                    <w:color w:val="000000"/>
                                    <w:sz w:val="20"/>
                                    <w:lang w:eastAsia="lt-LT"/>
                                  </w:rPr>
                                </w:pPr>
                                <w:r>
                                  <w:rPr>
                                    <w:rFonts w:ascii="Arial" w:hAnsi="Arial" w:cs="Arial"/>
                                    <w:color w:val="000000"/>
                                    <w:sz w:val="20"/>
                                  </w:rPr>
                                  <w:t>1532</w:t>
                                </w:r>
                              </w:p>
                            </w:tc>
                            <w:tc>
                              <w:tcPr>
                                <w:tcW w:w="1559" w:type="dxa"/>
                                <w:noWrap/>
                              </w:tcPr>
                              <w:p>
                                <w:pPr>
                                  <w:jc w:val="center"/>
                                  <w:rPr>
                                    <w:rFonts w:ascii="Arial" w:hAnsi="Arial" w:cs="Arial"/>
                                    <w:color w:val="000000"/>
                                    <w:sz w:val="20"/>
                                    <w:lang w:eastAsia="lt-LT"/>
                                  </w:rPr>
                                </w:pPr>
                                <w:r>
                                  <w:rPr>
                                    <w:rFonts w:ascii="Arial" w:hAnsi="Arial" w:cs="Arial"/>
                                    <w:color w:val="000000"/>
                                    <w:sz w:val="20"/>
                                  </w:rPr>
                                  <w:t>32 407 291</w:t>
                                </w:r>
                              </w:p>
                            </w:tc>
                            <w:tc>
                              <w:tcPr>
                                <w:tcW w:w="1134" w:type="dxa"/>
                                <w:noWrap/>
                              </w:tcPr>
                              <w:p>
                                <w:pPr>
                                  <w:jc w:val="center"/>
                                  <w:rPr>
                                    <w:rFonts w:ascii="Arial" w:hAnsi="Arial" w:cs="Arial"/>
                                    <w:color w:val="000000"/>
                                    <w:sz w:val="20"/>
                                    <w:lang w:eastAsia="lt-LT"/>
                                  </w:rPr>
                                </w:pPr>
                                <w:r>
                                  <w:rPr>
                                    <w:rFonts w:ascii="Arial" w:hAnsi="Arial" w:cs="Arial"/>
                                    <w:color w:val="000000"/>
                                    <w:sz w:val="20"/>
                                  </w:rPr>
                                  <w:t>1561</w:t>
                                </w:r>
                              </w:p>
                            </w:tc>
                            <w:tc>
                              <w:tcPr>
                                <w:tcW w:w="1696" w:type="dxa"/>
                                <w:noWrap/>
                              </w:tcPr>
                              <w:p>
                                <w:pPr>
                                  <w:jc w:val="center"/>
                                  <w:rPr>
                                    <w:rFonts w:ascii="Arial" w:hAnsi="Arial" w:cs="Arial"/>
                                    <w:color w:val="000000"/>
                                    <w:sz w:val="20"/>
                                    <w:lang w:eastAsia="lt-LT"/>
                                  </w:rPr>
                                </w:pPr>
                                <w:r>
                                  <w:rPr>
                                    <w:rFonts w:ascii="Arial" w:hAnsi="Arial" w:cs="Arial"/>
                                    <w:color w:val="000000"/>
                                    <w:sz w:val="20"/>
                                  </w:rPr>
                                  <w:t>34 642 638</w:t>
                                </w:r>
                              </w:p>
                            </w:tc>
                          </w:tr>
                          <w:tr>
                            <w:trPr>
                              <w:trHeight w:val="327"/>
                              <w:jc w:val="center"/>
                            </w:trPr>
                            <w:tc>
                              <w:tcPr>
                                <w:tcW w:w="1413" w:type="dxa"/>
                                <w:noWrap/>
                              </w:tcPr>
                              <w:p>
                                <w:pPr>
                                  <w:jc w:val="both"/>
                                  <w:rPr>
                                    <w:rFonts w:ascii="Arial" w:hAnsi="Arial" w:cs="Arial"/>
                                    <w:sz w:val="20"/>
                                  </w:rPr>
                                </w:pPr>
                                <w:r>
                                  <w:rPr>
                                    <w:rFonts w:ascii="Arial" w:hAnsi="Arial" w:cs="Arial"/>
                                    <w:sz w:val="20"/>
                                  </w:rPr>
                                  <w:t>Buitiniai vartotojai</w:t>
                                </w:r>
                              </w:p>
                            </w:tc>
                            <w:tc>
                              <w:tcPr>
                                <w:tcW w:w="1134" w:type="dxa"/>
                                <w:noWrap/>
                              </w:tcPr>
                              <w:p>
                                <w:pPr>
                                  <w:jc w:val="center"/>
                                  <w:rPr>
                                    <w:rFonts w:ascii="Arial" w:hAnsi="Arial" w:cs="Arial"/>
                                    <w:color w:val="000000"/>
                                    <w:sz w:val="20"/>
                                    <w:lang w:eastAsia="lt-LT"/>
                                  </w:rPr>
                                </w:pPr>
                                <w:r>
                                  <w:rPr>
                                    <w:rFonts w:ascii="Arial" w:hAnsi="Arial" w:cs="Arial"/>
                                    <w:color w:val="000000"/>
                                    <w:sz w:val="20"/>
                                  </w:rPr>
                                  <w:t>12 584</w:t>
                                </w:r>
                              </w:p>
                            </w:tc>
                            <w:tc>
                              <w:tcPr>
                                <w:tcW w:w="1559" w:type="dxa"/>
                                <w:noWrap/>
                              </w:tcPr>
                              <w:p>
                                <w:pPr>
                                  <w:jc w:val="center"/>
                                  <w:rPr>
                                    <w:rFonts w:ascii="Arial" w:hAnsi="Arial" w:cs="Arial"/>
                                    <w:color w:val="000000"/>
                                    <w:sz w:val="20"/>
                                    <w:lang w:eastAsia="lt-LT"/>
                                  </w:rPr>
                                </w:pPr>
                                <w:r>
                                  <w:rPr>
                                    <w:rFonts w:ascii="Arial" w:hAnsi="Arial" w:cs="Arial"/>
                                    <w:color w:val="000000"/>
                                    <w:sz w:val="20"/>
                                  </w:rPr>
                                  <w:t>19 721 090</w:t>
                                </w:r>
                              </w:p>
                            </w:tc>
                            <w:tc>
                              <w:tcPr>
                                <w:tcW w:w="1134" w:type="dxa"/>
                                <w:noWrap/>
                              </w:tcPr>
                              <w:p>
                                <w:pPr>
                                  <w:jc w:val="center"/>
                                  <w:rPr>
                                    <w:rFonts w:ascii="Arial" w:hAnsi="Arial" w:cs="Arial"/>
                                    <w:color w:val="000000"/>
                                    <w:sz w:val="20"/>
                                    <w:lang w:eastAsia="lt-LT"/>
                                  </w:rPr>
                                </w:pPr>
                                <w:r>
                                  <w:rPr>
                                    <w:rFonts w:ascii="Arial" w:hAnsi="Arial" w:cs="Arial"/>
                                    <w:color w:val="000000"/>
                                    <w:sz w:val="20"/>
                                  </w:rPr>
                                  <w:t>12 612</w:t>
                                </w:r>
                              </w:p>
                            </w:tc>
                            <w:tc>
                              <w:tcPr>
                                <w:tcW w:w="1559" w:type="dxa"/>
                                <w:noWrap/>
                              </w:tcPr>
                              <w:p>
                                <w:pPr>
                                  <w:jc w:val="center"/>
                                  <w:rPr>
                                    <w:rFonts w:ascii="Arial" w:hAnsi="Arial" w:cs="Arial"/>
                                    <w:color w:val="000000"/>
                                    <w:sz w:val="20"/>
                                    <w:lang w:eastAsia="lt-LT"/>
                                  </w:rPr>
                                </w:pPr>
                                <w:r>
                                  <w:rPr>
                                    <w:rFonts w:ascii="Arial" w:hAnsi="Arial" w:cs="Arial"/>
                                    <w:color w:val="000000"/>
                                    <w:sz w:val="20"/>
                                  </w:rPr>
                                  <w:t>20 201 781</w:t>
                                </w:r>
                              </w:p>
                            </w:tc>
                            <w:tc>
                              <w:tcPr>
                                <w:tcW w:w="1134" w:type="dxa"/>
                                <w:noWrap/>
                              </w:tcPr>
                              <w:p>
                                <w:pPr>
                                  <w:jc w:val="center"/>
                                  <w:rPr>
                                    <w:rFonts w:ascii="Arial" w:hAnsi="Arial" w:cs="Arial"/>
                                    <w:color w:val="000000"/>
                                    <w:sz w:val="20"/>
                                    <w:lang w:eastAsia="lt-LT"/>
                                  </w:rPr>
                                </w:pPr>
                                <w:r>
                                  <w:rPr>
                                    <w:rFonts w:ascii="Arial" w:hAnsi="Arial" w:cs="Arial"/>
                                    <w:color w:val="000000"/>
                                    <w:sz w:val="20"/>
                                  </w:rPr>
                                  <w:t>12 632</w:t>
                                </w:r>
                              </w:p>
                            </w:tc>
                            <w:tc>
                              <w:tcPr>
                                <w:tcW w:w="1696" w:type="dxa"/>
                                <w:noWrap/>
                              </w:tcPr>
                              <w:p>
                                <w:pPr>
                                  <w:jc w:val="center"/>
                                  <w:rPr>
                                    <w:rFonts w:ascii="Arial" w:hAnsi="Arial" w:cs="Arial"/>
                                    <w:color w:val="000000"/>
                                    <w:sz w:val="20"/>
                                    <w:lang w:eastAsia="lt-LT"/>
                                  </w:rPr>
                                </w:pPr>
                                <w:r>
                                  <w:rPr>
                                    <w:rFonts w:ascii="Arial" w:hAnsi="Arial" w:cs="Arial"/>
                                    <w:color w:val="000000"/>
                                    <w:sz w:val="20"/>
                                  </w:rPr>
                                  <w:t>22 364 022</w:t>
                                </w:r>
                              </w:p>
                            </w:tc>
                          </w:tr>
                        </w:tbl>
                        <w:p>
                          <w:pPr>
                            <w:spacing w:line="259" w:lineRule="auto"/>
                            <w:jc w:val="center"/>
                            <w:rPr>
                              <w:rFonts w:ascii="Arial" w:hAnsi="Arial" w:cs="Arial"/>
                              <w:i/>
                              <w:iCs/>
                              <w:sz w:val="18"/>
                              <w:szCs w:val="18"/>
                            </w:rPr>
                          </w:pPr>
                          <w:r>
                            <w:rPr>
                              <w:rFonts w:ascii="Arial" w:hAnsi="Arial" w:cs="Arial"/>
                              <w:i/>
                              <w:iCs/>
                              <w:sz w:val="18"/>
                              <w:szCs w:val="18"/>
                            </w:rPr>
                            <w:t>Šaltinis: AB „ESO“ duomenys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Kaip matyti iš lentelėje pateiktų duomenų, didžiausioji dalis – 60,8 proc. visos į Joniškio rajono savivaldybės tinklą patiektos elektros energijos sunaudoja komerciniai vartotojai. Neturint tikslių duomenų apie elektros energijos suvartojimą pagal sektorius, išskirstymas yra pateikiamas apskaičiuojant pagal bendrąsias proporcijas remiantis Lietuvos statistikos departamento duomenimis (pramonėje – 50 proc., paslaugų sektoriuje – 40 proc., žemės ūkyje – 10 proc. ). Atlikus apskaičiavimus, nustatoma, jog elektros energijos suvartojimas 2021 m. pagal sektorius: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w:t>
                            <w:tab/>
                            <w:t>Namų ūkiuose – 22 364,0 MWh</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w:t>
                            <w:tab/>
                            <w:t>Pramonės sektoriuje – 17 321,3 MWh</w:t>
                          </w:r>
                        </w:p>
                        <w:p>
                          <w:pPr>
                            <w:spacing w:line="259" w:lineRule="auto"/>
                            <w:ind w:firstLine="567"/>
                            <w:jc w:val="both"/>
                            <w:rPr>
                              <w:rFonts w:ascii="Arial" w:hAnsi="Arial" w:cs="Arial"/>
                              <w:sz w:val="22"/>
                              <w:szCs w:val="22"/>
                            </w:rPr>
                          </w:pPr>
                          <w:r>
                            <w:rPr>
                              <w:rFonts w:ascii="Arial" w:hAnsi="Arial" w:cs="Arial"/>
                              <w:sz w:val="22"/>
                              <w:szCs w:val="22"/>
                            </w:rPr>
                            <w:t>•</w:t>
                            <w:tab/>
                            <w:t>Paslaugų sektoriuje – 13 857,1 MWh</w:t>
                          </w:r>
                        </w:p>
                        <w:p>
                          <w:pPr>
                            <w:spacing w:line="259" w:lineRule="auto"/>
                            <w:ind w:firstLine="567"/>
                            <w:jc w:val="both"/>
                            <w:rPr>
                              <w:rFonts w:ascii="Arial" w:hAnsi="Arial" w:cs="Arial"/>
                              <w:sz w:val="22"/>
                              <w:szCs w:val="22"/>
                            </w:rPr>
                          </w:pPr>
                          <w:r>
                            <w:rPr>
                              <w:rFonts w:ascii="Arial" w:hAnsi="Arial" w:cs="Arial"/>
                              <w:sz w:val="22"/>
                              <w:szCs w:val="22"/>
                            </w:rPr>
                            <w:t>•</w:t>
                            <w:tab/>
                            <w:t>Žemės ūkio sektoriuje – 3 464,2 MWh</w:t>
                          </w:r>
                        </w:p>
                      </w:sdtContent>
                    </w:sdt>
                  </w:sdtContent>
                </w:sdt>
                <w:sdt>
                  <w:sdtPr>
                    <w:alias w:val="1.7 pp."/>
                    <w:tag w:val="part_530d74fd02ff4c9d98a7888209070209"/>
                    <w:lock w:val="sdtLocked"/>
                    <w:richText/>
                  </w:sdtPr>
                  <w:sdtContent>
                    <w:p>
                      <w:pPr>
                        <w:keepNext/>
                        <w:keepLines/>
                        <w:spacing w:line="259" w:lineRule="auto"/>
                        <w:jc w:val="center"/>
                        <w:outlineLvl w:val="1"/>
                        <w:rPr>
                          <w:rFonts w:ascii="Arial" w:hAnsi="Arial" w:cs="Arial"/>
                          <w:b/>
                          <w:color w:val="002060"/>
                          <w:szCs w:val="26"/>
                        </w:rPr>
                      </w:pPr>
                      <w:sdt>
                        <w:sdtPr>
                          <w:alias w:val="Numeris"/>
                          <w:tag w:val="nr_530d74fd02ff4c9d98a7888209070209"/>
                          <w:lock w:val="sdtLocked"/>
                          <w:richText/>
                        </w:sdtPr>
                        <w:sdtContent>
                          <w:r>
                            <w:rPr>
                              <w:rFonts w:ascii="Arial" w:hAnsi="Arial" w:cs="Arial"/>
                              <w:b/>
                              <w:color w:val="002060"/>
                              <w:szCs w:val="26"/>
                            </w:rPr>
                            <w:t>1.7</w:t>
                          </w:r>
                        </w:sdtContent>
                      </w:sdt>
                      <w:r>
                        <w:rPr>
                          <w:rFonts w:ascii="Arial" w:hAnsi="Arial" w:cs="Arial"/>
                          <w:b/>
                          <w:color w:val="002060"/>
                          <w:szCs w:val="26"/>
                        </w:rPr>
                        <w:t>. Dujų vartojimas savivaldybėje</w:t>
                      </w:r>
                    </w:p>
                    <w:p>
                      <w:pPr>
                        <w:rPr>
                          <w:sz w:val="14"/>
                          <w:szCs w:val="14"/>
                        </w:rPr>
                      </w:pPr>
                    </w:p>
                    <w:p>
                      <w:pPr>
                        <w:spacing w:line="259" w:lineRule="auto"/>
                        <w:ind w:firstLine="567"/>
                        <w:jc w:val="both"/>
                        <w:rPr>
                          <w:rFonts w:ascii="Arial" w:hAnsi="Arial" w:cs="Arial"/>
                          <w:sz w:val="22"/>
                        </w:rPr>
                      </w:pPr>
                      <w:r>
                        <w:rPr>
                          <w:rFonts w:ascii="Arial" w:hAnsi="Arial" w:cs="Arial"/>
                          <w:sz w:val="22"/>
                        </w:rPr>
                        <w:t>Lietuvoje, Gamtinių dujų įstatymo nustatyta tvarka dujų perdavimo ir skirstymo sistemas eksploatuojančių įmonių veiklos yra licencijuojamos ir licencijose nurodomos jų veiklos teritorijos. Dujų perdavimo licenciją turi tik AB „Amber Grid“, kuri eksploatuoja visus magistralinius perdavimo sistemos vamzdynus. Lietuvos dujų perdavimo sistema sujungta su Baltarusijos, Latvijos ir Rusijos Federacijos dujų sistemomis. Tarptautinės jungtys su Rusijos Federacija, Baltarusijos Respublika ir Latvijos Respublika reguliuojamos sutartimis. Lietuvos ir Baltarusijos pasienyje esantys pajėgumai užtikrina visus Lietuvos vartotojams, tranzito į Rusijos Federaciją (Kaliningrado sritį) ir Latvijos kryptimi reikalingus pajėgumus.</w:t>
                      </w:r>
                      <w:r>
                        <w:rPr>
                          <w:rFonts w:ascii="Arial" w:hAnsi="Arial" w:cs="Arial"/>
                          <w:sz w:val="22"/>
                          <w:vertAlign w:val="superscript"/>
                        </w:rPr>
                        <w:footnoteReference w:id="7"/>
                      </w:r>
                      <w:r>
                        <w:rPr>
                          <w:rFonts w:ascii="Arial" w:hAnsi="Arial" w:cs="Arial"/>
                          <w:sz w:val="22"/>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Dujos į Lietuvą tiekiamos iš Rusijos Federacijos per Baltarusiją magistraliniu dujotiekiu Minskas–Vilnius, pasienio dujų apskaitos stotis Kotlovkoje nuosavybės teise priklauso Baltarusijai. Antroji jungtis su Baltarusija Ivacevičiai–Vilnius šiuo metu nenaudojama (dujotiekio techninė būklė netinkama, neįrengta dujų apskaitos stotis). Šalies šiaurinėje dalyje Lietuvos dujų perdavimo sistema sujungta su Latvijos dujotiekiais. Dujų apskaita vykdoma Kiemėnų dujų apskaitos stotyje. Nuo 2014 m. gruodžio 3 d. pradėtas eksploatuoti Klaipėdos suskystintų gamtinių dujų terminalas (toliau – Klaipėdos SGD terminalas), sudarantis galimybes importuoti suskystintas dujas į Lietuvą. </w:t>
                      </w:r>
                    </w:p>
                    <w:p>
                      <w:pPr>
                        <w:rPr>
                          <w:sz w:val="14"/>
                          <w:szCs w:val="14"/>
                        </w:rPr>
                      </w:pPr>
                    </w:p>
                    <w:p>
                      <w:pPr>
                        <w:spacing w:line="259" w:lineRule="auto"/>
                        <w:rPr>
                          <w:rFonts w:ascii="Arial" w:eastAsia="SegoeUI" w:hAnsi="Arial" w:cs="Arial"/>
                          <w:sz w:val="22"/>
                          <w:szCs w:val="22"/>
                        </w:rPr>
                      </w:pPr>
                      <w:r>
                        <w:rPr>
                          <w:rFonts w:ascii="Arial" w:eastAsia="SegoeUI" w:hAnsi="Arial" w:cs="Arial"/>
                          <w:sz w:val="22"/>
                          <w:szCs w:val="22"/>
                          <w:lang w:val="en-US"/>
                        </w:rPr>
                        <w:drawing>
                          <wp:inline distT="0" distB="0" distL="0" distR="0" wp14:anchorId="42109914" wp14:editId="344818F1">
                            <wp:extent cx="6286500" cy="2630953"/>
                            <wp:effectExtent l="76200" t="38100" r="76200" b="112395"/>
                            <wp:docPr id="36" name="Paveikslėlis 36"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aveikslėlis 36" descr="Paveikslėlis, kuriame yra žemėlapis  Automatiškai sugeneruotas aprašyma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06197" cy="2639196"/>
                                    </a:xfrm>
                                    <a:prstGeom prst="rect">
                                      <a:avLst/>
                                    </a:prstGeom>
                                    <a:noFill/>
                                    <a:ln>
                                      <a:solidFill>
                                        <a:schemeClr val="tx1">
                                          <a:lumMod val="50000"/>
                                          <a:lumOff val="50000"/>
                                        </a:schemeClr>
                                      </a:solidFill>
                                    </a:ln>
                                    <a:effectLst>
                                      <a:outerShdw blurRad="50800" dist="38100" dir="5400000" algn="t" rotWithShape="0">
                                        <a:prstClr val="black">
                                          <a:alpha val="40000"/>
                                        </a:prstClr>
                                      </a:outerShdw>
                                    </a:effectLst>
                                  </pic:spPr>
                                </pic:pic>
                              </a:graphicData>
                            </a:graphic>
                          </wp:inline>
                        </w:drawing>
                      </w:r>
                    </w:p>
                    <w:p>
                      <w:pPr>
                        <w:rPr>
                          <w:sz w:val="14"/>
                          <w:szCs w:val="14"/>
                        </w:rPr>
                      </w:pPr>
                    </w:p>
                    <w:sdt>
                      <w:sdtPr>
                        <w:alias w:val="1.7.1 pp."/>
                        <w:tag w:val="part_654fb47c4f114e94ae9c7fc69bb58684"/>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654fb47c4f114e94ae9c7fc69bb58684"/>
                              <w:lock w:val="sdtLocked"/>
                              <w:richText/>
                            </w:sdtPr>
                            <w:sdtContent>
                              <w:r>
                                <w:rPr>
                                  <w:rFonts w:ascii="Arial" w:eastAsia="Calibri" w:hAnsi="Arial" w:cs="Arial"/>
                                  <w:b/>
                                  <w:color w:val="002060"/>
                                  <w:sz w:val="22"/>
                                  <w:szCs w:val="22"/>
                                </w:rPr>
                                <w:t>1.7.1</w:t>
                              </w:r>
                            </w:sdtContent>
                          </w:sdt>
                          <w:r>
                            <w:rPr>
                              <w:rFonts w:ascii="Arial" w:eastAsia="Calibri" w:hAnsi="Arial" w:cs="Arial"/>
                              <w:b/>
                              <w:color w:val="002060"/>
                              <w:sz w:val="22"/>
                              <w:szCs w:val="22"/>
                            </w:rPr>
                            <w:t>. pav. Lietuvos dujų tinklas</w:t>
                          </w:r>
                        </w:p>
                        <w:p>
                          <w:pPr>
                            <w:rPr>
                              <w:sz w:val="10"/>
                              <w:szCs w:val="10"/>
                            </w:rPr>
                          </w:pPr>
                        </w:p>
                        <w:p>
                          <w:pPr>
                            <w:widowControl w:val="0"/>
                            <w:spacing w:line="259" w:lineRule="auto"/>
                            <w:jc w:val="center"/>
                            <w:rPr>
                              <w:rFonts w:ascii="Arial" w:eastAsia="Calibri" w:hAnsi="Arial" w:cs="Arial"/>
                              <w:i/>
                              <w:iCs/>
                              <w:sz w:val="18"/>
                              <w:szCs w:val="18"/>
                            </w:rPr>
                          </w:pPr>
                          <w:r>
                            <w:rPr>
                              <w:rFonts w:ascii="Arial" w:eastAsia="Calibri" w:hAnsi="Arial" w:cs="Arial"/>
                              <w:i/>
                              <w:iCs/>
                              <w:sz w:val="18"/>
                              <w:szCs w:val="18"/>
                            </w:rPr>
                            <w:t>Šaltinis: AB „ESO“ ir AB „Amber Grid“</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Dujų skirstymo veikla iki 2020 m. sausį vertėsi 5 įmonės, kurių didžiausia yra AB „Energijos skirstymo operatorius“, skirstanti dujas didžiojoje šalies teritorijos dalyje. Bendras dujų tinklų ilgis Lietuvoje sudaro apie 10,6 tūkst. km, iš jų magistraliniai tinklai – 2,1 tūkst. km, o skirstomieji tinklai – 8,5 tūkst. km. Dujos tiekiamos visiems didiesiems Lietuvos miestams. Dujų skirstymų stočių pajėgumai yra pakankami vartotojų poreikiams tenkinti ir neriboja vartotojams galimo tiekti dujų kiekio.</w:t>
                          </w:r>
                          <w:r>
                            <w:rPr>
                              <w:rFonts w:ascii="Arial" w:hAnsi="Arial" w:cs="Arial"/>
                              <w:sz w:val="22"/>
                              <w:szCs w:val="22"/>
                              <w:vertAlign w:val="superscript"/>
                            </w:rPr>
                            <w:footnoteReference w:id="8"/>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 xml:space="preserve">Duomenų apie dujų suvartojimą Joniškio rajono savivaldybėje nėra, kadangi AB „ESO“ neturi gamtinių dujų skirstymo licencijos tiekti dujas Joniškio rajono savivaldybėje. </w:t>
                          </w:r>
                        </w:p>
                        <w:p>
                          <w:pPr>
                            <w:rPr>
                              <w:sz w:val="14"/>
                              <w:szCs w:val="14"/>
                            </w:rPr>
                          </w:pPr>
                        </w:p>
                      </w:sdtContent>
                    </w:sdt>
                  </w:sdtContent>
                </w:sdt>
              </w:sdtContent>
            </w:sdt>
            <w:sdt>
              <w:sdtPr>
                <w:alias w:val="2 p."/>
                <w:tag w:val="part_4012d9132a5d4a6eb7552ae00cecc535"/>
                <w:lock w:val="sdtLocked"/>
                <w:richText/>
              </w:sdtPr>
              <w:sdtContent>
                <w:p>
                  <w:pPr>
                    <w:keepNext/>
                    <w:keepLines/>
                    <w:spacing w:line="259" w:lineRule="auto"/>
                    <w:jc w:val="center"/>
                    <w:rPr>
                      <w:rFonts w:ascii="Arial" w:hAnsi="Arial" w:cs="Arial"/>
                      <w:b/>
                      <w:caps/>
                      <w:color w:val="002060"/>
                      <w:sz w:val="28"/>
                      <w:szCs w:val="32"/>
                    </w:rPr>
                  </w:pPr>
                  <w:sdt>
                    <w:sdtPr>
                      <w:alias w:val="Numeris"/>
                      <w:tag w:val="nr_4012d9132a5d4a6eb7552ae00cecc535"/>
                      <w:lock w:val="sdtLocked"/>
                      <w:richText/>
                    </w:sdtPr>
                    <w:sdtContent>
                      <w:r>
                        <w:rPr>
                          <w:rFonts w:ascii="Arial" w:hAnsi="Arial" w:cs="Arial"/>
                          <w:b/>
                          <w:caps/>
                          <w:color w:val="002060"/>
                          <w:sz w:val="28"/>
                          <w:szCs w:val="32"/>
                        </w:rPr>
                        <w:t>2</w:t>
                      </w:r>
                    </w:sdtContent>
                  </w:sdt>
                  <w:r>
                    <w:rPr>
                      <w:rFonts w:ascii="Arial" w:hAnsi="Arial" w:cs="Arial"/>
                      <w:b/>
                      <w:caps/>
                      <w:color w:val="002060"/>
                      <w:sz w:val="28"/>
                      <w:szCs w:val="32"/>
                    </w:rPr>
                    <w:t>. Galutinis energijos suvartojimas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Galutiniu energijos suvartojimu laikomas kuras ir energija, pateikti galutiniams vartotojams: pramonės, statybos, žemės ūkio, kitų ekonominės veiklos rūšių įmonėms ir namų ūkiams. AIE naudojimo plėtros planuose galutinis energijos suvartojimas vertinamas penkiems vartojimo sektoriams: transporto, pramonės, žemės ūkio, namų ūkių ir paslaugų.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Duomenys apie galutinį energijos suvartojimą pramonės, žemės ūkio, namų ūkių ir paslaugų sektoriuose pateikiami suskirstyti į tris dalis: elektros energija; šilumos energija iš CŠT įmonių; kuro sąnaudos individualiose katilinėse ir šildymo įrenginiuose.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Energijos vartojimas transporto sektoriuje skirstomas į grupes pagal degalų rūšį: benzinas; dyzelinas ir suskystintos naftos dujos (SND). </w:t>
                  </w:r>
                </w:p>
                <w:p>
                  <w:pPr>
                    <w:rPr>
                      <w:sz w:val="14"/>
                      <w:szCs w:val="14"/>
                    </w:rPr>
                  </w:pPr>
                </w:p>
                <w:sdt>
                  <w:sdtPr>
                    <w:alias w:val="2.1 pp."/>
                    <w:tag w:val="part_8bf8640ac4cd4fc5a755dd6bc15b81c7"/>
                    <w:lock w:val="sdtLocked"/>
                    <w:richText/>
                  </w:sdtPr>
                  <w:sdtContent>
                    <w:p>
                      <w:pPr>
                        <w:keepNext/>
                        <w:keepLines/>
                        <w:spacing w:line="259" w:lineRule="auto"/>
                        <w:jc w:val="center"/>
                        <w:outlineLvl w:val="1"/>
                        <w:rPr>
                          <w:rFonts w:ascii="Arial" w:hAnsi="Arial" w:cs="Arial"/>
                          <w:b/>
                          <w:color w:val="002060"/>
                          <w:szCs w:val="26"/>
                        </w:rPr>
                      </w:pPr>
                      <w:sdt>
                        <w:sdtPr>
                          <w:alias w:val="Numeris"/>
                          <w:tag w:val="nr_8bf8640ac4cd4fc5a755dd6bc15b81c7"/>
                          <w:lock w:val="sdtLocked"/>
                          <w:richText/>
                        </w:sdtPr>
                        <w:sdtContent>
                          <w:r>
                            <w:rPr>
                              <w:rFonts w:ascii="Arial" w:hAnsi="Arial" w:cs="Arial"/>
                              <w:b/>
                              <w:color w:val="002060"/>
                              <w:szCs w:val="26"/>
                            </w:rPr>
                            <w:t>2.1</w:t>
                          </w:r>
                        </w:sdtContent>
                      </w:sdt>
                      <w:r>
                        <w:rPr>
                          <w:rFonts w:ascii="Arial" w:hAnsi="Arial" w:cs="Arial"/>
                          <w:b/>
                          <w:color w:val="002060"/>
                          <w:szCs w:val="26"/>
                        </w:rPr>
                        <w:t>. Galutinis energijos suvartojimas transporto sektoriuje</w:t>
                      </w:r>
                    </w:p>
                    <w:p>
                      <w:pPr>
                        <w:rPr>
                          <w:sz w:val="14"/>
                          <w:szCs w:val="14"/>
                        </w:rPr>
                      </w:pPr>
                    </w:p>
                    <w:p>
                      <w:pPr>
                        <w:spacing w:line="259" w:lineRule="auto"/>
                        <w:ind w:firstLine="567"/>
                        <w:jc w:val="both"/>
                        <w:rPr>
                          <w:rFonts w:ascii="Arial" w:hAnsi="Arial" w:cs="Arial"/>
                          <w:sz w:val="22"/>
                        </w:rPr>
                      </w:pPr>
                      <w:r>
                        <w:rPr>
                          <w:rFonts w:ascii="Arial" w:hAnsi="Arial" w:cs="Arial"/>
                          <w:sz w:val="22"/>
                        </w:rPr>
                        <w:t>Valstybinės reikšmės kelių ilgis Lietuvoje 2021 m. pradžioje buvo 21 238 km. Valstybinės reikšmės kelių tinklas yra gana gerai išplėtotas Joniškio rajono savivaldybės teritorijoje bei turi gerą ryšį su kaimyninėmis savivaldybėmis. Joniškio rajono savivaldybę kerta 1 europinė magistralė (Pskovas–Ryga– Šiauliai–Karaliaučius (Kaliningradas)–Varšuva–Krokuva–Budapeštas). Iš krašto kelių, kertančių savivaldybę, ilgiausias – Joniškis–Žeimelis–Pasvalys (Lietuvos automobilių kelių direkcija 2022). Joniškio rajono savivaldybės teritorijoje yra valstybinės ir vietinės reikšmės keliai, E kategorijos (E77) ir automagistralė (A12). Kelių ilgis Joniškio rajono savivaldybėje Lietuvos statistikos departamento duomenimis 2016 m. buvo 1416 km, 2017 m. – 1416 km, 2018 m. – 1380 km, 2019 m. – 1380 km, 2020 m. – 1380 km. Valstybinės reikšmės kelių ilgis 2020 m. buvo 401 km, o vietinės reikšmės – 980 km. 2020 m. Lietuvos statistikos departamento duomenimis, kelių su danga ilgis buvo 1373 km, iš jų valstybinės reikšmės – 401 km, vietinės reikšmės – 972 km. Kelių su patobulinta danga bendras ilgis 2020 m. buvo 400 km, iš jų valstybinės reikšmės – 245 km, vietinės reikšmės – 155 km. Žvyro kelių bendras ilgis 2020 m. buvo 973 km, iš jų valstybinės reikšmės – 155 km, vietinės reikšmės – 155 km. Grunto kelių bendras ilgis 2020 m. buvo 7 km, iš jų valstybinės reikšmės – 0 km, vietinės reikšmės – 7 km. 2019 m. vidutinis metinis paros eismo intensyvumas šalies valstybiniuose keliuose ir Joniškio rajono savivaldybės krašto keliuose pateikiamas 2.1.1. lentelėje.</w:t>
                      </w:r>
                    </w:p>
                    <w:p>
                      <w:pPr>
                        <w:rPr>
                          <w:sz w:val="14"/>
                          <w:szCs w:val="14"/>
                        </w:rPr>
                      </w:pPr>
                    </w:p>
                    <w:sdt>
                      <w:sdtPr>
                        <w:alias w:val="2.1.1 pp."/>
                        <w:tag w:val="part_aeb931c02a0e4e89aa928ae20d235237"/>
                        <w:lock w:val="sdtLocked"/>
                        <w:richText/>
                      </w:sdtPr>
                      <w:sdtContent>
                        <w:p>
                          <w:pPr>
                            <w:spacing w:line="259" w:lineRule="auto"/>
                            <w:jc w:val="center"/>
                            <w:rPr>
                              <w:rFonts w:ascii="Arial" w:eastAsia="Calibri" w:hAnsi="Arial" w:cs="Arial"/>
                              <w:b/>
                              <w:color w:val="002060"/>
                              <w:sz w:val="22"/>
                              <w:szCs w:val="32"/>
                            </w:rPr>
                          </w:pPr>
                          <w:sdt>
                            <w:sdtPr>
                              <w:alias w:val="Numeris"/>
                              <w:tag w:val="nr_aeb931c02a0e4e89aa928ae20d235237"/>
                              <w:lock w:val="sdtLocked"/>
                              <w:richText/>
                            </w:sdtPr>
                            <w:sdtContent>
                              <w:r>
                                <w:rPr>
                                  <w:rFonts w:ascii="Arial" w:eastAsia="SegoeUI" w:hAnsi="Arial" w:cs="Arial"/>
                                  <w:b/>
                                  <w:color w:val="002060"/>
                                  <w:sz w:val="22"/>
                                  <w:szCs w:val="32"/>
                                </w:rPr>
                                <w:t>2.1.1</w:t>
                              </w:r>
                            </w:sdtContent>
                          </w:sdt>
                          <w:r>
                            <w:rPr>
                              <w:rFonts w:ascii="Arial" w:eastAsia="SegoeUI" w:hAnsi="Arial" w:cs="Arial"/>
                              <w:b/>
                              <w:color w:val="002060"/>
                              <w:sz w:val="22"/>
                              <w:szCs w:val="32"/>
                            </w:rPr>
                            <w:t xml:space="preserve">. lentelė. </w:t>
                          </w:r>
                          <w:r>
                            <w:rPr>
                              <w:rFonts w:ascii="Arial" w:eastAsia="Calibri" w:hAnsi="Arial" w:cs="Arial"/>
                              <w:b/>
                              <w:color w:val="002060"/>
                              <w:sz w:val="22"/>
                              <w:szCs w:val="32"/>
                            </w:rPr>
                            <w:t>VMPEI Lietuvoje ir Joniškio rajono savivaldybėje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1384"/>
                            <w:gridCol w:w="1439"/>
                            <w:gridCol w:w="1217"/>
                            <w:gridCol w:w="1961"/>
                          </w:tblGrid>
                          <w:tr>
                            <w:trPr>
                              <w:jc w:val="center"/>
                            </w:trPr>
                            <w:tc>
                              <w:tcPr>
                                <w:tcW w:w="0" w:type="auto"/>
                              </w:tcPr>
                              <w:p>
                                <w:pPr>
                                  <w:jc w:val="both"/>
                                  <w:rPr>
                                    <w:rFonts w:ascii="Arial" w:hAnsi="Arial" w:cs="Arial"/>
                                    <w:sz w:val="20"/>
                                  </w:rPr>
                                </w:pPr>
                                <w:r>
                                  <w:rPr>
                                    <w:rFonts w:ascii="Arial" w:hAnsi="Arial" w:cs="Arial"/>
                                    <w:sz w:val="20"/>
                                  </w:rPr>
                                  <w:t>Keliai</w:t>
                                </w:r>
                              </w:p>
                            </w:tc>
                            <w:tc>
                              <w:tcPr>
                                <w:tcW w:w="0" w:type="auto"/>
                              </w:tcPr>
                              <w:p>
                                <w:pPr>
                                  <w:jc w:val="center"/>
                                  <w:rPr>
                                    <w:rFonts w:ascii="Arial" w:hAnsi="Arial" w:cs="Arial"/>
                                    <w:sz w:val="20"/>
                                    <w:highlight w:val="yellow"/>
                                  </w:rPr>
                                </w:pPr>
                                <w:r>
                                  <w:rPr>
                                    <w:rFonts w:ascii="Arial" w:hAnsi="Arial" w:cs="Arial"/>
                                    <w:sz w:val="20"/>
                                  </w:rPr>
                                  <w:t>Šalies mastu</w:t>
                                </w:r>
                              </w:p>
                            </w:tc>
                            <w:tc>
                              <w:tcPr>
                                <w:tcW w:w="0" w:type="auto"/>
                              </w:tcPr>
                              <w:p>
                                <w:pPr>
                                  <w:jc w:val="center"/>
                                  <w:rPr>
                                    <w:rFonts w:ascii="Arial" w:hAnsi="Arial" w:cs="Arial"/>
                                    <w:sz w:val="20"/>
                                    <w:highlight w:val="yellow"/>
                                  </w:rPr>
                                </w:pPr>
                                <w:r>
                                  <w:rPr>
                                    <w:rFonts w:ascii="Arial" w:hAnsi="Arial" w:cs="Arial"/>
                                    <w:sz w:val="20"/>
                                  </w:rPr>
                                  <w:t>Joniškio r.</w:t>
                                </w:r>
                              </w:p>
                            </w:tc>
                            <w:tc>
                              <w:tcPr>
                                <w:tcW w:w="0" w:type="auto"/>
                              </w:tcPr>
                              <w:p>
                                <w:pPr>
                                  <w:jc w:val="center"/>
                                  <w:rPr>
                                    <w:rFonts w:ascii="Arial" w:hAnsi="Arial" w:cs="Arial"/>
                                    <w:sz w:val="20"/>
                                    <w:highlight w:val="yellow"/>
                                  </w:rPr>
                                </w:pPr>
                                <w:r>
                                  <w:rPr>
                                    <w:rFonts w:ascii="Arial" w:hAnsi="Arial" w:cs="Arial"/>
                                    <w:sz w:val="20"/>
                                  </w:rPr>
                                  <w:t>Miesto dalis, proc.</w:t>
                                </w:r>
                              </w:p>
                            </w:tc>
                          </w:tr>
                          <w:tr>
                            <w:trPr>
                              <w:trHeight w:val="20"/>
                              <w:jc w:val="center"/>
                            </w:trPr>
                            <w:tc>
                              <w:tcPr>
                                <w:tcW w:w="0" w:type="auto"/>
                              </w:tcPr>
                              <w:p>
                                <w:pPr>
                                  <w:jc w:val="both"/>
                                  <w:rPr>
                                    <w:rFonts w:ascii="Arial" w:hAnsi="Arial" w:cs="Arial"/>
                                    <w:sz w:val="20"/>
                                  </w:rPr>
                                </w:pPr>
                                <w:r>
                                  <w:rPr>
                                    <w:rFonts w:ascii="Arial" w:hAnsi="Arial" w:cs="Arial"/>
                                    <w:sz w:val="20"/>
                                  </w:rPr>
                                  <w:t>Magistraliniai</w:t>
                                </w:r>
                              </w:p>
                            </w:tc>
                            <w:tc>
                              <w:tcPr>
                                <w:tcW w:w="0" w:type="auto"/>
                              </w:tcPr>
                              <w:p>
                                <w:pPr>
                                  <w:jc w:val="center"/>
                                  <w:rPr>
                                    <w:rFonts w:ascii="Arial" w:hAnsi="Arial" w:cs="Arial"/>
                                    <w:sz w:val="20"/>
                                  </w:rPr>
                                </w:pPr>
                                <w:r>
                                  <w:rPr>
                                    <w:rFonts w:ascii="Arial" w:hAnsi="Arial" w:cs="Arial"/>
                                    <w:sz w:val="20"/>
                                  </w:rPr>
                                  <w:t>178 954</w:t>
                                </w:r>
                              </w:p>
                            </w:tc>
                            <w:tc>
                              <w:tcPr>
                                <w:tcW w:w="0" w:type="auto"/>
                              </w:tcPr>
                              <w:p>
                                <w:pPr>
                                  <w:jc w:val="center"/>
                                  <w:rPr>
                                    <w:rFonts w:ascii="Arial" w:hAnsi="Arial" w:cs="Arial"/>
                                    <w:sz w:val="20"/>
                                  </w:rPr>
                                </w:pPr>
                                <w:r>
                                  <w:rPr>
                                    <w:rFonts w:ascii="Arial" w:hAnsi="Arial" w:cs="Arial"/>
                                    <w:sz w:val="20"/>
                                  </w:rPr>
                                  <w:t xml:space="preserve">4 310 </w:t>
                                </w:r>
                              </w:p>
                            </w:tc>
                            <w:tc>
                              <w:tcPr>
                                <w:tcW w:w="0" w:type="auto"/>
                              </w:tcPr>
                              <w:p>
                                <w:pPr>
                                  <w:jc w:val="center"/>
                                  <w:rPr>
                                    <w:rFonts w:ascii="Arial" w:hAnsi="Arial" w:cs="Arial"/>
                                    <w:sz w:val="20"/>
                                  </w:rPr>
                                </w:pPr>
                                <w:r>
                                  <w:rPr>
                                    <w:rFonts w:ascii="Arial" w:hAnsi="Arial" w:cs="Arial"/>
                                    <w:sz w:val="20"/>
                                  </w:rPr>
                                  <w:t>2,41%</w:t>
                                </w:r>
                              </w:p>
                            </w:tc>
                          </w:tr>
                          <w:tr>
                            <w:trPr>
                              <w:trHeight w:val="20"/>
                              <w:jc w:val="center"/>
                            </w:trPr>
                            <w:tc>
                              <w:tcPr>
                                <w:tcW w:w="0" w:type="auto"/>
                              </w:tcPr>
                              <w:p>
                                <w:pPr>
                                  <w:jc w:val="both"/>
                                  <w:rPr>
                                    <w:rFonts w:ascii="Arial" w:hAnsi="Arial" w:cs="Arial"/>
                                    <w:sz w:val="20"/>
                                  </w:rPr>
                                </w:pPr>
                                <w:r>
                                  <w:rPr>
                                    <w:rFonts w:ascii="Arial" w:hAnsi="Arial" w:cs="Arial"/>
                                    <w:sz w:val="20"/>
                                  </w:rPr>
                                  <w:t>Krašto</w:t>
                                </w:r>
                              </w:p>
                            </w:tc>
                            <w:tc>
                              <w:tcPr>
                                <w:tcW w:w="0" w:type="auto"/>
                              </w:tcPr>
                              <w:p>
                                <w:pPr>
                                  <w:jc w:val="center"/>
                                  <w:rPr>
                                    <w:rFonts w:ascii="Arial" w:hAnsi="Arial" w:cs="Arial"/>
                                    <w:sz w:val="20"/>
                                  </w:rPr>
                                </w:pPr>
                                <w:r>
                                  <w:rPr>
                                    <w:rFonts w:ascii="Arial" w:hAnsi="Arial" w:cs="Arial"/>
                                    <w:sz w:val="20"/>
                                  </w:rPr>
                                  <w:t>315 117</w:t>
                                </w:r>
                              </w:p>
                            </w:tc>
                            <w:tc>
                              <w:tcPr>
                                <w:tcW w:w="0" w:type="auto"/>
                              </w:tcPr>
                              <w:p>
                                <w:pPr>
                                  <w:jc w:val="center"/>
                                  <w:rPr>
                                    <w:rFonts w:ascii="Arial" w:hAnsi="Arial" w:cs="Arial"/>
                                    <w:sz w:val="20"/>
                                  </w:rPr>
                                </w:pPr>
                                <w:r>
                                  <w:rPr>
                                    <w:rFonts w:ascii="Arial" w:hAnsi="Arial" w:cs="Arial"/>
                                    <w:sz w:val="20"/>
                                  </w:rPr>
                                  <w:t>5 451</w:t>
                                </w:r>
                              </w:p>
                            </w:tc>
                            <w:tc>
                              <w:tcPr>
                                <w:tcW w:w="0" w:type="auto"/>
                              </w:tcPr>
                              <w:p>
                                <w:pPr>
                                  <w:jc w:val="center"/>
                                  <w:rPr>
                                    <w:rFonts w:ascii="Arial" w:hAnsi="Arial" w:cs="Arial"/>
                                    <w:sz w:val="20"/>
                                  </w:rPr>
                                </w:pPr>
                                <w:r>
                                  <w:rPr>
                                    <w:rFonts w:ascii="Arial" w:hAnsi="Arial" w:cs="Arial"/>
                                    <w:sz w:val="20"/>
                                  </w:rPr>
                                  <w:t>1,73%</w:t>
                                </w:r>
                              </w:p>
                            </w:tc>
                          </w:tr>
                          <w:tr>
                            <w:trPr>
                              <w:trHeight w:val="20"/>
                              <w:jc w:val="center"/>
                            </w:trPr>
                            <w:tc>
                              <w:tcPr>
                                <w:tcW w:w="0" w:type="auto"/>
                              </w:tcPr>
                              <w:p>
                                <w:pPr>
                                  <w:jc w:val="right"/>
                                  <w:rPr>
                                    <w:rFonts w:ascii="Arial" w:hAnsi="Arial" w:cs="Arial"/>
                                    <w:b/>
                                    <w:bCs/>
                                    <w:sz w:val="20"/>
                                  </w:rPr>
                                </w:pPr>
                                <w:r>
                                  <w:rPr>
                                    <w:rFonts w:ascii="Arial" w:hAnsi="Arial" w:cs="Arial"/>
                                    <w:b/>
                                    <w:bCs/>
                                    <w:sz w:val="20"/>
                                  </w:rPr>
                                  <w:t>Iš viso</w:t>
                                </w:r>
                              </w:p>
                            </w:tc>
                            <w:tc>
                              <w:tcPr>
                                <w:tcW w:w="0" w:type="auto"/>
                              </w:tcPr>
                              <w:p>
                                <w:pPr>
                                  <w:jc w:val="center"/>
                                  <w:rPr>
                                    <w:rFonts w:ascii="Arial" w:hAnsi="Arial" w:cs="Arial"/>
                                    <w:b/>
                                    <w:bCs/>
                                    <w:sz w:val="20"/>
                                  </w:rPr>
                                </w:pPr>
                                <w:r>
                                  <w:rPr>
                                    <w:rFonts w:ascii="Arial" w:hAnsi="Arial" w:cs="Arial"/>
                                    <w:b/>
                                    <w:bCs/>
                                    <w:sz w:val="20"/>
                                  </w:rPr>
                                  <w:t>494 071</w:t>
                                </w:r>
                              </w:p>
                            </w:tc>
                            <w:tc>
                              <w:tcPr>
                                <w:tcW w:w="0" w:type="auto"/>
                              </w:tcPr>
                              <w:p>
                                <w:pPr>
                                  <w:jc w:val="center"/>
                                  <w:rPr>
                                    <w:rFonts w:ascii="Arial" w:hAnsi="Arial" w:cs="Arial"/>
                                    <w:b/>
                                    <w:bCs/>
                                    <w:sz w:val="20"/>
                                  </w:rPr>
                                </w:pPr>
                                <w:r>
                                  <w:rPr>
                                    <w:rFonts w:ascii="Arial" w:hAnsi="Arial" w:cs="Arial"/>
                                    <w:b/>
                                    <w:bCs/>
                                    <w:sz w:val="20"/>
                                  </w:rPr>
                                  <w:t>9 761</w:t>
                                </w:r>
                              </w:p>
                            </w:tc>
                            <w:tc>
                              <w:tcPr>
                                <w:tcW w:w="0" w:type="auto"/>
                              </w:tcPr>
                              <w:p>
                                <w:pPr>
                                  <w:jc w:val="center"/>
                                  <w:rPr>
                                    <w:rFonts w:ascii="Arial" w:hAnsi="Arial" w:cs="Arial"/>
                                    <w:b/>
                                    <w:bCs/>
                                    <w:sz w:val="20"/>
                                  </w:rPr>
                                </w:pPr>
                                <w:r>
                                  <w:rPr>
                                    <w:rFonts w:ascii="Arial" w:hAnsi="Arial" w:cs="Arial"/>
                                    <w:b/>
                                    <w:bCs/>
                                    <w:sz w:val="20"/>
                                  </w:rPr>
                                  <w:t>1,98%</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Bendras transporto priemonių suvartotas degalų kiekis savivaldybėje yra įvertintas atsižvelgiant į vidutinio metinio paros eismo intensyvumo, valstybinės reikšmės keliuose, matavimo duomenis, kurie pateikti 2.1.2. lentelėje. Kiekvienos degalų rūšies (benzino, dyzelino ir SND) sąnaudos savivaldybės teritorijoje įvertintos pagal formulę:</w:t>
                          </w:r>
                        </w:p>
                        <w:p>
                          <w:pPr>
                            <w:rPr>
                              <w:sz w:val="14"/>
                              <w:szCs w:val="14"/>
                            </w:rPr>
                          </w:pPr>
                        </w:p>
                        <w:p>
                          <w:pPr>
                            <w:spacing w:line="259" w:lineRule="auto"/>
                            <w:ind w:firstLine="720"/>
                            <w:jc w:val="both"/>
                            <w:rPr>
                              <w:rFonts w:ascii="Arial" w:hAnsi="Arial" w:cs="Arial"/>
                              <w:sz w:val="22"/>
                              <w:szCs w:val="22"/>
                            </w:rPr>
                          </w:pPr>
                          <m:oMathPara>
                            <m:oMath>
                              <m:sSub>
                                <m:sSubPr>
                                  <m:ctrlPr>
                                    <w:rPr>
                                      <w:rFonts w:ascii="Cambria Math" w:hAnsi="Cambria Math" w:cs="Arial"/>
                                    </w:rPr>
                                  </m:ctrlPr>
                                </m:sSubPr>
                                <m:e>
                                  <m:r>
                                    <m:rPr>
                                      <m:sty m:val="p"/>
                                    </m:rPr>
                                    <w:rPr>
                                      <w:rFonts w:ascii="Cambria Math" w:hAnsi="Cambria Math" w:cs="Arial"/>
                                    </w:rPr>
                                    <m:t>DS</m:t>
                                  </m:r>
                                </m:e>
                                <m:sub>
                                  <m:r>
                                    <w:rPr>
                                      <w:rFonts w:ascii="Cambria Math" w:hAnsi="Cambria Math" w:cs="Arial"/>
                                    </w:rPr>
                                    <m:t>sav</m:t>
                                  </m:r>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w:rPr>
                                          <w:rFonts w:ascii="Cambria Math" w:hAnsi="Cambria Math" w:cs="Arial"/>
                                        </w:rPr>
                                        <m:t>TPEI</m:t>
                                      </m:r>
                                    </m:e>
                                    <m:sub>
                                      <m:r>
                                        <w:rPr>
                                          <w:rFonts w:ascii="Cambria Math" w:hAnsi="Cambria Math" w:cs="Arial"/>
                                        </w:rPr>
                                        <m:t>sav</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A</m:t>
                                      </m:r>
                                    </m:e>
                                    <m:sub>
                                      <m:r>
                                        <w:rPr>
                                          <w:rFonts w:ascii="Cambria Math" w:hAnsi="Cambria Math" w:cs="Arial"/>
                                        </w:rPr>
                                        <m:t>sav</m:t>
                                      </m:r>
                                    </m:sub>
                                  </m:sSub>
                                </m:num>
                                <m:den>
                                  <m:sSub>
                                    <m:sSubPr>
                                      <m:ctrlPr>
                                        <w:rPr>
                                          <w:rFonts w:ascii="Cambria Math" w:hAnsi="Cambria Math" w:cs="Arial"/>
                                        </w:rPr>
                                      </m:ctrlPr>
                                    </m:sSubPr>
                                    <m:e>
                                      <m:r>
                                        <m:rPr>
                                          <m:sty m:val="p"/>
                                        </m:rPr>
                                        <w:rPr>
                                          <w:rFonts w:ascii="Cambria Math" w:hAnsi="Cambria Math" w:cs="Arial"/>
                                        </w:rPr>
                                        <m:t>TPEI</m:t>
                                      </m:r>
                                    </m:e>
                                    <m:sub>
                                      <m:r>
                                        <w:rPr>
                                          <w:rFonts w:ascii="Cambria Math" w:hAnsi="Cambria Math" w:cs="Arial"/>
                                        </w:rPr>
                                        <m:t>LT</m:t>
                                      </m:r>
                                    </m:sub>
                                  </m:sSub>
                                  <m:r>
                                    <m:rPr>
                                      <m:sty m:val="p"/>
                                    </m:rPr>
                                    <w:rPr>
                                      <w:rFonts w:ascii="Cambria Math" w:hAnsi="Cambria Math" w:cs="Arial"/>
                                    </w:rPr>
                                    <m:t>x</m:t>
                                  </m:r>
                                  <m:sSub>
                                    <m:sSubPr>
                                      <m:ctrlPr>
                                        <w:rPr>
                                          <w:rFonts w:ascii="Cambria Math" w:hAnsi="Cambria Math" w:cs="Arial"/>
                                        </w:rPr>
                                      </m:ctrlPr>
                                    </m:sSubPr>
                                    <m:e>
                                      <m:r>
                                        <w:rPr>
                                          <w:rFonts w:ascii="Cambria Math" w:hAnsi="Cambria Math" w:cs="Arial"/>
                                        </w:rPr>
                                        <m:t>A</m:t>
                                      </m:r>
                                    </m:e>
                                    <m:sub>
                                      <m:r>
                                        <w:rPr>
                                          <w:rFonts w:ascii="Cambria Math" w:hAnsi="Cambria Math" w:cs="Arial"/>
                                        </w:rPr>
                                        <m:t>LT</m:t>
                                      </m:r>
                                    </m:sub>
                                  </m:sSub>
                                </m:den>
                              </m:f>
                              <m:r>
                                <w:rPr>
                                  <w:rFonts w:ascii="Cambria Math" w:hAnsi="Cambria Math" w:cs="Arial"/>
                                </w:rPr>
                                <m:t>×</m:t>
                              </m:r>
                              <m:sSub>
                                <m:sSubPr>
                                  <m:ctrlPr>
                                    <w:rPr>
                                      <w:rFonts w:ascii="Cambria Math" w:hAnsi="Cambria Math" w:cs="Arial"/>
                                      <w:i/>
                                    </w:rPr>
                                  </m:ctrlPr>
                                </m:sSubPr>
                                <m:e>
                                  <m:r>
                                    <w:rPr>
                                      <w:rFonts w:ascii="Cambria Math" w:hAnsi="Cambria Math" w:cs="Arial"/>
                                    </w:rPr>
                                    <m:t>DS</m:t>
                                  </m:r>
                                </m:e>
                                <m:sub>
                                  <m:r>
                                    <w:rPr>
                                      <w:rFonts w:ascii="Cambria Math" w:hAnsi="Cambria Math" w:cs="Arial"/>
                                    </w:rPr>
                                    <m:t>LT</m:t>
                                  </m:r>
                                </m:sub>
                              </m:sSub>
                            </m:oMath>
                          </m:oMathPara>
                        </w:p>
                        <w:p>
                          <w:pPr>
                            <w:rPr>
                              <w:sz w:val="14"/>
                              <w:szCs w:val="14"/>
                            </w:rPr>
                          </w:pPr>
                        </w:p>
                        <w:tbl>
                          <w:tblPr>
                            <w:tblW w:w="9940" w:type="dxa"/>
                            <w:tblInd w:w="426" w:type="dxa"/>
                            <w:tblLook w:val="04A0" w:firstRow="1" w:lastRow="0" w:firstColumn="1" w:lastColumn="0" w:noHBand="0" w:noVBand="1"/>
                          </w:tblPr>
                          <w:tblGrid>
                            <w:gridCol w:w="863"/>
                            <w:gridCol w:w="9077"/>
                          </w:tblGrid>
                          <w:tr>
                            <w:trPr>
                              <w:trHeight w:hRule="exact" w:val="275"/>
                            </w:trPr>
                            <w:tc>
                              <w:tcPr>
                                <w:tcW w:w="9940" w:type="dxa"/>
                                <w:gridSpan w:val="2"/>
                              </w:tcPr>
                              <w:p>
                                <w:pPr>
                                  <w:spacing w:line="259" w:lineRule="auto"/>
                                  <w:jc w:val="both"/>
                                  <w:rPr>
                                    <w:rFonts w:ascii="Arial" w:hAnsi="Arial" w:cs="Arial"/>
                                    <w:sz w:val="20"/>
                                  </w:rPr>
                                </w:pPr>
                                <w:r>
                                  <w:rPr>
                                    <w:rFonts w:ascii="Arial" w:hAnsi="Arial" w:cs="Arial"/>
                                    <w:i/>
                                    <w:iCs/>
                                    <w:sz w:val="20"/>
                                  </w:rPr>
                                  <w:t>Kurioje:</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𝐷𝑆</w:t>
                                </w:r>
                                <w:r>
                                  <w:rPr>
                                    <w:rFonts w:ascii="Cambria Math" w:hAnsi="Cambria Math" w:cs="Cambria Math"/>
                                    <w:sz w:val="20"/>
                                    <w:vertAlign w:val="subscript"/>
                                  </w:rPr>
                                  <w:t>𝑠𝑎𝑣</w:t>
                                </w:r>
                              </w:p>
                            </w:tc>
                            <w:tc>
                              <w:tcPr>
                                <w:tcW w:w="0" w:type="auto"/>
                              </w:tcPr>
                              <w:p>
                                <w:pPr>
                                  <w:spacing w:line="259" w:lineRule="auto"/>
                                  <w:jc w:val="both"/>
                                  <w:rPr>
                                    <w:rFonts w:ascii="Arial" w:hAnsi="Arial" w:cs="Arial"/>
                                    <w:sz w:val="20"/>
                                  </w:rPr>
                                </w:pPr>
                                <w:r>
                                  <w:rPr>
                                    <w:rFonts w:ascii="Arial" w:hAnsi="Arial" w:cs="Arial"/>
                                    <w:sz w:val="20"/>
                                  </w:rPr>
                                  <w:t>degalų sąnaudos savivaldybėje</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𝑇𝑃𝐸𝐼</w:t>
                                </w:r>
                                <w:r>
                                  <w:rPr>
                                    <w:rFonts w:ascii="Cambria Math" w:hAnsi="Cambria Math" w:cs="Cambria Math"/>
                                    <w:sz w:val="20"/>
                                    <w:vertAlign w:val="subscript"/>
                                  </w:rPr>
                                  <w:t>𝑠𝑎𝑣</w:t>
                                </w:r>
                              </w:p>
                            </w:tc>
                            <w:tc>
                              <w:tcPr>
                                <w:tcW w:w="0" w:type="auto"/>
                              </w:tcPr>
                              <w:p>
                                <w:pPr>
                                  <w:spacing w:line="259" w:lineRule="auto"/>
                                  <w:jc w:val="both"/>
                                  <w:rPr>
                                    <w:rFonts w:ascii="Arial" w:hAnsi="Arial" w:cs="Arial"/>
                                    <w:sz w:val="20"/>
                                  </w:rPr>
                                </w:pPr>
                                <w:r>
                                  <w:rPr>
                                    <w:rFonts w:ascii="Arial" w:hAnsi="Arial" w:cs="Arial"/>
                                    <w:sz w:val="20"/>
                                  </w:rPr>
                                  <w:t>vidutinis transporto priemonių eismo intensyvumas savivaldybėje (neišskiriant TP rūšių)</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𝐴</w:t>
                                </w:r>
                                <w:r>
                                  <w:rPr>
                                    <w:rFonts w:ascii="Cambria Math" w:hAnsi="Cambria Math" w:cs="Cambria Math"/>
                                    <w:sz w:val="20"/>
                                    <w:vertAlign w:val="subscript"/>
                                  </w:rPr>
                                  <w:t>𝑠𝑎𝑣</w:t>
                                </w:r>
                              </w:p>
                            </w:tc>
                            <w:tc>
                              <w:tcPr>
                                <w:tcW w:w="0" w:type="auto"/>
                              </w:tcPr>
                              <w:p>
                                <w:pPr>
                                  <w:spacing w:line="259" w:lineRule="auto"/>
                                  <w:jc w:val="both"/>
                                  <w:rPr>
                                    <w:rFonts w:ascii="Arial" w:hAnsi="Arial" w:cs="Arial"/>
                                    <w:sz w:val="20"/>
                                  </w:rPr>
                                </w:pPr>
                                <w:r>
                                  <w:rPr>
                                    <w:rFonts w:ascii="Arial" w:hAnsi="Arial" w:cs="Arial"/>
                                    <w:sz w:val="20"/>
                                  </w:rPr>
                                  <w:t>valstybinės reikšmės kelių ruožų ilgių savivaldybės teritorijoje suma</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𝑇𝑃𝐸𝐼</w:t>
                                </w:r>
                                <w:r>
                                  <w:rPr>
                                    <w:rFonts w:ascii="Arial" w:hAnsi="Arial" w:cs="Arial"/>
                                    <w:i/>
                                    <w:iCs/>
                                    <w:sz w:val="20"/>
                                    <w:vertAlign w:val="subscript"/>
                                  </w:rPr>
                                  <w:t>Lt</w:t>
                                </w:r>
                              </w:p>
                            </w:tc>
                            <w:tc>
                              <w:tcPr>
                                <w:tcW w:w="0" w:type="auto"/>
                              </w:tcPr>
                              <w:p>
                                <w:pPr>
                                  <w:spacing w:line="259" w:lineRule="auto"/>
                                  <w:jc w:val="both"/>
                                  <w:rPr>
                                    <w:rFonts w:ascii="Arial" w:hAnsi="Arial" w:cs="Arial"/>
                                    <w:sz w:val="20"/>
                                  </w:rPr>
                                </w:pPr>
                                <w:r>
                                  <w:rPr>
                                    <w:rFonts w:ascii="Arial" w:hAnsi="Arial" w:cs="Arial"/>
                                    <w:sz w:val="20"/>
                                  </w:rPr>
                                  <w:t>vidutinis transporto priemonių eismo intensyvumas Lietuvoje (neišskiriant TP rūšių)</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𝐴</w:t>
                                </w:r>
                                <w:r>
                                  <w:rPr>
                                    <w:rFonts w:ascii="Cambria Math" w:hAnsi="Cambria Math" w:cs="Cambria Math"/>
                                    <w:sz w:val="20"/>
                                    <w:vertAlign w:val="subscript"/>
                                  </w:rPr>
                                  <w:t>𝐿𝑇</w:t>
                                </w:r>
                              </w:p>
                            </w:tc>
                            <w:tc>
                              <w:tcPr>
                                <w:tcW w:w="0" w:type="auto"/>
                              </w:tcPr>
                              <w:p>
                                <w:pPr>
                                  <w:spacing w:line="259" w:lineRule="auto"/>
                                  <w:jc w:val="both"/>
                                  <w:rPr>
                                    <w:rFonts w:ascii="Arial" w:hAnsi="Arial" w:cs="Arial"/>
                                    <w:sz w:val="20"/>
                                  </w:rPr>
                                </w:pPr>
                                <w:r>
                                  <w:rPr>
                                    <w:rFonts w:ascii="Arial" w:hAnsi="Arial" w:cs="Arial"/>
                                    <w:sz w:val="20"/>
                                  </w:rPr>
                                  <w:t>valstybinės reikšmės kelių Lietuvoje bendras ilgis</w:t>
                                </w:r>
                              </w:p>
                            </w:tc>
                          </w:tr>
                          <w:tr>
                            <w:trPr>
                              <w:trHeight w:hRule="exact" w:val="275"/>
                            </w:trPr>
                            <w:tc>
                              <w:tcPr>
                                <w:tcW w:w="590" w:type="dxa"/>
                              </w:tcPr>
                              <w:p>
                                <w:pPr>
                                  <w:spacing w:line="259" w:lineRule="auto"/>
                                  <w:jc w:val="both"/>
                                  <w:rPr>
                                    <w:rFonts w:ascii="Arial" w:hAnsi="Arial" w:cs="Arial"/>
                                    <w:sz w:val="20"/>
                                  </w:rPr>
                                </w:pPr>
                                <w:r>
                                  <w:rPr>
                                    <w:rFonts w:ascii="Cambria Math" w:hAnsi="Cambria Math" w:cs="Cambria Math"/>
                                    <w:sz w:val="20"/>
                                  </w:rPr>
                                  <w:t>𝐷𝑆</w:t>
                                </w:r>
                                <w:r>
                                  <w:rPr>
                                    <w:rFonts w:ascii="Cambria Math" w:hAnsi="Cambria Math" w:cs="Cambria Math"/>
                                    <w:sz w:val="20"/>
                                    <w:vertAlign w:val="subscript"/>
                                  </w:rPr>
                                  <w:t>𝐿𝑇</w:t>
                                </w:r>
                              </w:p>
                            </w:tc>
                            <w:tc>
                              <w:tcPr>
                                <w:tcW w:w="0" w:type="auto"/>
                              </w:tcPr>
                              <w:p>
                                <w:pPr>
                                  <w:spacing w:line="259" w:lineRule="auto"/>
                                  <w:jc w:val="both"/>
                                  <w:rPr>
                                    <w:rFonts w:ascii="Arial" w:hAnsi="Arial" w:cs="Arial"/>
                                    <w:sz w:val="20"/>
                                  </w:rPr>
                                </w:pPr>
                                <w:r>
                                  <w:rPr>
                                    <w:rFonts w:ascii="Arial" w:hAnsi="Arial" w:cs="Arial"/>
                                    <w:sz w:val="20"/>
                                  </w:rPr>
                                  <w:t>suvartotas degalų kiekis Lietuvoje per metus</w:t>
                                </w:r>
                              </w:p>
                            </w:tc>
                          </w:tr>
                        </w:tbl>
                        <w:p>
                          <w:pPr>
                            <w:spacing w:line="259" w:lineRule="auto"/>
                            <w:ind w:firstLine="567"/>
                            <w:jc w:val="both"/>
                            <w:rPr>
                              <w:rFonts w:ascii="Arial" w:hAnsi="Arial" w:cs="Arial"/>
                              <w:sz w:val="22"/>
                            </w:rPr>
                          </w:pPr>
                        </w:p>
                        <w:p>
                          <w:pPr>
                            <w:rPr>
                              <w:sz w:val="14"/>
                              <w:szCs w:val="14"/>
                            </w:rPr>
                          </w:pPr>
                        </w:p>
                        <w:p>
                          <w:pPr>
                            <w:spacing w:line="259" w:lineRule="auto"/>
                            <w:ind w:firstLine="567"/>
                            <w:jc w:val="both"/>
                            <w:rPr>
                              <w:rFonts w:ascii="Arial" w:hAnsi="Arial" w:cs="Arial"/>
                              <w:sz w:val="22"/>
                            </w:rPr>
                          </w:pPr>
                          <w:r>
                            <w:rPr>
                              <w:rFonts w:ascii="Arial" w:hAnsi="Arial" w:cs="Arial"/>
                              <w:sz w:val="22"/>
                            </w:rPr>
                            <w:t>Statistikos departamento duomenimis, kelių transporte 2020 m. buvo sunaudota 88,60 tūkst. tonų SND, 250,30 tūkst. tonų benzino, 1 649,60 tūkst. tonų dyzelino. Degalų sąnaudos Joniškio rajono savivaldybės kelių transporto sektoriuje apskaičiuotos pagal Kuro ir energijos balanse pateiktus duomenis apie benzino, dyzelino ir suskystintų naftos dujų sąnaudas transporto sektoriuje Lietuvoje 2020 m.</w:t>
                          </w:r>
                        </w:p>
                        <w:p>
                          <w:pPr>
                            <w:rPr>
                              <w:sz w:val="14"/>
                              <w:szCs w:val="14"/>
                            </w:rPr>
                          </w:pPr>
                        </w:p>
                      </w:sdtContent>
                    </w:sdt>
                    <w:sdt>
                      <w:sdtPr>
                        <w:alias w:val="2.1.2 pp."/>
                        <w:tag w:val="part_2031e808de72454ea42aaada318dbbae"/>
                        <w:lock w:val="sdtLocked"/>
                        <w:richText/>
                      </w:sdtPr>
                      <w:sdtContent>
                        <w:p>
                          <w:pPr>
                            <w:spacing w:line="259" w:lineRule="auto"/>
                            <w:jc w:val="center"/>
                            <w:rPr>
                              <w:rFonts w:ascii="Arial" w:eastAsia="Calibri" w:hAnsi="Arial" w:cs="Arial"/>
                              <w:b/>
                              <w:color w:val="002060"/>
                              <w:sz w:val="22"/>
                              <w:szCs w:val="32"/>
                            </w:rPr>
                          </w:pPr>
                          <w:sdt>
                            <w:sdtPr>
                              <w:alias w:val="Numeris"/>
                              <w:tag w:val="nr_2031e808de72454ea42aaada318dbbae"/>
                              <w:lock w:val="sdtLocked"/>
                              <w:richText/>
                            </w:sdtPr>
                            <w:sdtContent>
                              <w:r>
                                <w:rPr>
                                  <w:rFonts w:ascii="Arial" w:eastAsia="Calibri" w:hAnsi="Arial" w:cs="Arial"/>
                                  <w:b/>
                                  <w:color w:val="002060"/>
                                  <w:sz w:val="22"/>
                                  <w:szCs w:val="32"/>
                                </w:rPr>
                                <w:t>2.1.2</w:t>
                              </w:r>
                            </w:sdtContent>
                          </w:sdt>
                          <w:r>
                            <w:rPr>
                              <w:rFonts w:ascii="Arial" w:eastAsia="Calibri" w:hAnsi="Arial" w:cs="Arial"/>
                              <w:b/>
                              <w:color w:val="002060"/>
                              <w:sz w:val="22"/>
                              <w:szCs w:val="32"/>
                            </w:rPr>
                            <w:t>. lentelė. Kuro energijos suvartojimas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4419"/>
                            <w:gridCol w:w="872"/>
                            <w:gridCol w:w="1095"/>
                            <w:gridCol w:w="1139"/>
                            <w:gridCol w:w="828"/>
                          </w:tblGrid>
                          <w:tr>
                            <w:trPr>
                              <w:jc w:val="center"/>
                            </w:trPr>
                            <w:tc>
                              <w:tcPr>
                                <w:tcW w:w="0" w:type="auto"/>
                              </w:tcPr>
                              <w:p>
                                <w:pPr>
                                  <w:jc w:val="both"/>
                                  <w:rPr>
                                    <w:rFonts w:ascii="Arial" w:hAnsi="Arial" w:cs="Arial"/>
                                    <w:sz w:val="20"/>
                                    <w:szCs w:val="16"/>
                                  </w:rPr>
                                </w:pPr>
                              </w:p>
                            </w:tc>
                            <w:tc>
                              <w:tcPr>
                                <w:tcW w:w="0" w:type="auto"/>
                              </w:tcPr>
                              <w:p>
                                <w:pPr>
                                  <w:jc w:val="center"/>
                                  <w:rPr>
                                    <w:rFonts w:ascii="Arial" w:hAnsi="Arial" w:cs="Arial"/>
                                    <w:sz w:val="20"/>
                                    <w:szCs w:val="16"/>
                                  </w:rPr>
                                </w:pPr>
                              </w:p>
                            </w:tc>
                            <w:tc>
                              <w:tcPr>
                                <w:tcW w:w="0" w:type="auto"/>
                              </w:tcPr>
                              <w:p>
                                <w:pPr>
                                  <w:jc w:val="center"/>
                                  <w:rPr>
                                    <w:rFonts w:ascii="Arial" w:hAnsi="Arial" w:cs="Arial"/>
                                    <w:sz w:val="20"/>
                                    <w:szCs w:val="16"/>
                                    <w:highlight w:val="yellow"/>
                                  </w:rPr>
                                </w:pPr>
                                <w:r>
                                  <w:rPr>
                                    <w:rFonts w:ascii="Arial" w:hAnsi="Arial" w:cs="Arial"/>
                                    <w:sz w:val="20"/>
                                    <w:szCs w:val="16"/>
                                  </w:rPr>
                                  <w:t>Benzinas</w:t>
                                </w:r>
                              </w:p>
                            </w:tc>
                            <w:tc>
                              <w:tcPr>
                                <w:tcW w:w="0" w:type="auto"/>
                              </w:tcPr>
                              <w:p>
                                <w:pPr>
                                  <w:jc w:val="center"/>
                                  <w:rPr>
                                    <w:rFonts w:ascii="Arial" w:hAnsi="Arial" w:cs="Arial"/>
                                    <w:sz w:val="20"/>
                                    <w:szCs w:val="16"/>
                                    <w:highlight w:val="yellow"/>
                                  </w:rPr>
                                </w:pPr>
                                <w:r>
                                  <w:rPr>
                                    <w:rFonts w:ascii="Arial" w:hAnsi="Arial" w:cs="Arial"/>
                                    <w:sz w:val="20"/>
                                    <w:szCs w:val="16"/>
                                  </w:rPr>
                                  <w:t>Dyzelinas</w:t>
                                </w:r>
                              </w:p>
                            </w:tc>
                            <w:tc>
                              <w:tcPr>
                                <w:tcW w:w="0" w:type="auto"/>
                              </w:tcPr>
                              <w:p>
                                <w:pPr>
                                  <w:jc w:val="center"/>
                                  <w:rPr>
                                    <w:rFonts w:ascii="Arial" w:hAnsi="Arial" w:cs="Arial"/>
                                    <w:sz w:val="20"/>
                                    <w:szCs w:val="16"/>
                                    <w:highlight w:val="yellow"/>
                                  </w:rPr>
                                </w:pPr>
                                <w:r>
                                  <w:rPr>
                                    <w:rFonts w:ascii="Arial" w:hAnsi="Arial" w:cs="Arial"/>
                                    <w:sz w:val="20"/>
                                    <w:szCs w:val="16"/>
                                  </w:rPr>
                                  <w:t>SND</w:t>
                                </w:r>
                              </w:p>
                            </w:tc>
                          </w:tr>
                          <w:tr>
                            <w:trPr>
                              <w:trHeight w:hRule="exact" w:val="284"/>
                              <w:jc w:val="center"/>
                            </w:trPr>
                            <w:tc>
                              <w:tcPr>
                                <w:tcW w:w="0" w:type="auto"/>
                              </w:tcPr>
                              <w:p>
                                <w:pPr>
                                  <w:jc w:val="both"/>
                                  <w:rPr>
                                    <w:rFonts w:ascii="Arial" w:hAnsi="Arial" w:cs="Arial"/>
                                    <w:sz w:val="20"/>
                                  </w:rPr>
                                </w:pPr>
                                <w:r>
                                  <w:rPr>
                                    <w:rFonts w:ascii="Arial" w:hAnsi="Arial" w:cs="Arial"/>
                                    <w:sz w:val="20"/>
                                  </w:rPr>
                                  <w:t>Degalų sąnaudos Lietuvoje</w:t>
                                </w:r>
                              </w:p>
                            </w:tc>
                            <w:tc>
                              <w:tcPr>
                                <w:tcW w:w="0" w:type="auto"/>
                              </w:tcPr>
                              <w:p>
                                <w:pPr>
                                  <w:jc w:val="center"/>
                                  <w:rPr>
                                    <w:rFonts w:ascii="Arial" w:hAnsi="Arial" w:cs="Arial"/>
                                    <w:sz w:val="20"/>
                                  </w:rPr>
                                </w:pPr>
                                <w:r>
                                  <w:rPr>
                                    <w:rFonts w:ascii="Arial" w:hAnsi="Arial" w:cs="Arial"/>
                                    <w:sz w:val="20"/>
                                  </w:rPr>
                                  <w:t>Tūkst. t</w:t>
                                </w:r>
                              </w:p>
                            </w:tc>
                            <w:tc>
                              <w:tcPr>
                                <w:tcW w:w="0" w:type="auto"/>
                              </w:tcPr>
                              <w:p>
                                <w:pPr>
                                  <w:jc w:val="center"/>
                                  <w:rPr>
                                    <w:rFonts w:ascii="Arial" w:hAnsi="Arial" w:cs="Arial"/>
                                    <w:sz w:val="20"/>
                                  </w:rPr>
                                </w:pPr>
                                <w:r>
                                  <w:rPr>
                                    <w:rFonts w:ascii="Arial" w:hAnsi="Arial" w:cs="Arial"/>
                                    <w:color w:val="000000"/>
                                    <w:sz w:val="20"/>
                                  </w:rPr>
                                  <w:t>250,30</w:t>
                                </w:r>
                              </w:p>
                            </w:tc>
                            <w:tc>
                              <w:tcPr>
                                <w:tcW w:w="0" w:type="auto"/>
                              </w:tcPr>
                              <w:p>
                                <w:pPr>
                                  <w:jc w:val="center"/>
                                  <w:rPr>
                                    <w:rFonts w:ascii="Arial" w:hAnsi="Arial" w:cs="Arial"/>
                                    <w:sz w:val="20"/>
                                  </w:rPr>
                                </w:pPr>
                                <w:r>
                                  <w:rPr>
                                    <w:rFonts w:ascii="Arial" w:hAnsi="Arial" w:cs="Arial"/>
                                    <w:color w:val="000000"/>
                                    <w:sz w:val="20"/>
                                  </w:rPr>
                                  <w:t>1649,60</w:t>
                                </w:r>
                              </w:p>
                            </w:tc>
                            <w:tc>
                              <w:tcPr>
                                <w:tcW w:w="0" w:type="auto"/>
                              </w:tcPr>
                              <w:p>
                                <w:pPr>
                                  <w:jc w:val="center"/>
                                  <w:rPr>
                                    <w:rFonts w:ascii="Arial" w:hAnsi="Arial" w:cs="Arial"/>
                                    <w:sz w:val="20"/>
                                  </w:rPr>
                                </w:pPr>
                                <w:r>
                                  <w:rPr>
                                    <w:rFonts w:ascii="Arial" w:hAnsi="Arial" w:cs="Arial"/>
                                    <w:color w:val="000000"/>
                                    <w:sz w:val="20"/>
                                  </w:rPr>
                                  <w:t>88,60</w:t>
                                </w:r>
                              </w:p>
                            </w:tc>
                          </w:tr>
                          <w:tr>
                            <w:trPr>
                              <w:trHeight w:hRule="exact" w:val="284"/>
                              <w:jc w:val="center"/>
                            </w:trPr>
                            <w:tc>
                              <w:tcPr>
                                <w:tcW w:w="0" w:type="auto"/>
                              </w:tcPr>
                              <w:p>
                                <w:pPr>
                                  <w:jc w:val="both"/>
                                  <w:rPr>
                                    <w:rFonts w:ascii="Arial" w:hAnsi="Arial" w:cs="Arial"/>
                                    <w:sz w:val="20"/>
                                  </w:rPr>
                                </w:pPr>
                                <w:r>
                                  <w:rPr>
                                    <w:rFonts w:ascii="Arial" w:hAnsi="Arial" w:cs="Arial"/>
                                    <w:sz w:val="20"/>
                                  </w:rPr>
                                  <w:t>Dalis bendrame balanse</w:t>
                                </w:r>
                              </w:p>
                            </w:tc>
                            <w:tc>
                              <w:tcPr>
                                <w:tcW w:w="0" w:type="auto"/>
                              </w:tcPr>
                              <w:p>
                                <w:pPr>
                                  <w:jc w:val="center"/>
                                  <w:rPr>
                                    <w:rFonts w:ascii="Arial" w:hAnsi="Arial" w:cs="Arial"/>
                                    <w:sz w:val="20"/>
                                  </w:rPr>
                                </w:pPr>
                                <w:r>
                                  <w:rPr>
                                    <w:rFonts w:ascii="Arial" w:hAnsi="Arial" w:cs="Arial"/>
                                    <w:sz w:val="20"/>
                                  </w:rPr>
                                  <w:t>Proc.</w:t>
                                </w:r>
                              </w:p>
                            </w:tc>
                            <w:tc>
                              <w:tcPr>
                                <w:tcW w:w="0" w:type="auto"/>
                              </w:tcPr>
                              <w:p>
                                <w:pPr>
                                  <w:jc w:val="center"/>
                                  <w:rPr>
                                    <w:rFonts w:ascii="Arial" w:hAnsi="Arial" w:cs="Arial"/>
                                    <w:sz w:val="20"/>
                                  </w:rPr>
                                </w:pPr>
                                <w:r>
                                  <w:rPr>
                                    <w:rFonts w:ascii="Arial" w:hAnsi="Arial" w:cs="Arial"/>
                                    <w:color w:val="000000"/>
                                    <w:sz w:val="20"/>
                                  </w:rPr>
                                  <w:t>12,00</w:t>
                                </w:r>
                              </w:p>
                            </w:tc>
                            <w:tc>
                              <w:tcPr>
                                <w:tcW w:w="0" w:type="auto"/>
                              </w:tcPr>
                              <w:p>
                                <w:pPr>
                                  <w:jc w:val="center"/>
                                  <w:rPr>
                                    <w:rFonts w:ascii="Arial" w:hAnsi="Arial" w:cs="Arial"/>
                                    <w:sz w:val="20"/>
                                  </w:rPr>
                                </w:pPr>
                                <w:r>
                                  <w:rPr>
                                    <w:rFonts w:ascii="Arial" w:hAnsi="Arial" w:cs="Arial"/>
                                    <w:color w:val="000000"/>
                                    <w:sz w:val="20"/>
                                  </w:rPr>
                                  <w:t>83,00</w:t>
                                </w:r>
                              </w:p>
                            </w:tc>
                            <w:tc>
                              <w:tcPr>
                                <w:tcW w:w="0" w:type="auto"/>
                              </w:tcPr>
                              <w:p>
                                <w:pPr>
                                  <w:jc w:val="center"/>
                                  <w:rPr>
                                    <w:rFonts w:ascii="Arial" w:hAnsi="Arial" w:cs="Arial"/>
                                    <w:sz w:val="20"/>
                                  </w:rPr>
                                </w:pPr>
                                <w:r>
                                  <w:rPr>
                                    <w:rFonts w:ascii="Arial" w:hAnsi="Arial" w:cs="Arial"/>
                                    <w:color w:val="000000"/>
                                    <w:sz w:val="20"/>
                                  </w:rPr>
                                  <w:t>5,00</w:t>
                                </w:r>
                              </w:p>
                            </w:tc>
                          </w:tr>
                          <w:tr>
                            <w:trPr>
                              <w:trHeight w:hRule="exact" w:val="284"/>
                              <w:jc w:val="center"/>
                            </w:trPr>
                            <w:tc>
                              <w:tcPr>
                                <w:tcW w:w="0" w:type="auto"/>
                              </w:tcPr>
                              <w:p>
                                <w:pPr>
                                  <w:jc w:val="both"/>
                                  <w:rPr>
                                    <w:rFonts w:ascii="Arial" w:hAnsi="Arial" w:cs="Arial"/>
                                    <w:sz w:val="20"/>
                                  </w:rPr>
                                </w:pPr>
                                <w:r>
                                  <w:rPr>
                                    <w:rFonts w:ascii="Arial" w:hAnsi="Arial" w:cs="Arial"/>
                                    <w:sz w:val="20"/>
                                  </w:rPr>
                                  <w:t>Degalų sąnaudos Joniškio rajono savivaldybėje</w:t>
                                </w:r>
                              </w:p>
                            </w:tc>
                            <w:tc>
                              <w:tcPr>
                                <w:tcW w:w="0" w:type="auto"/>
                              </w:tcPr>
                              <w:p>
                                <w:pPr>
                                  <w:jc w:val="center"/>
                                  <w:rPr>
                                    <w:rFonts w:ascii="Arial" w:hAnsi="Arial" w:cs="Arial"/>
                                    <w:sz w:val="20"/>
                                  </w:rPr>
                                </w:pPr>
                                <w:r>
                                  <w:rPr>
                                    <w:rFonts w:ascii="Arial" w:hAnsi="Arial" w:cs="Arial"/>
                                    <w:sz w:val="20"/>
                                  </w:rPr>
                                  <w:t>Tūkst. t</w:t>
                                </w:r>
                              </w:p>
                            </w:tc>
                            <w:tc>
                              <w:tcPr>
                                <w:tcW w:w="0" w:type="auto"/>
                              </w:tcPr>
                              <w:p>
                                <w:pPr>
                                  <w:jc w:val="center"/>
                                  <w:rPr>
                                    <w:rFonts w:ascii="Arial" w:hAnsi="Arial" w:cs="Arial"/>
                                    <w:sz w:val="20"/>
                                  </w:rPr>
                                </w:pPr>
                                <w:r>
                                  <w:rPr>
                                    <w:rFonts w:ascii="Arial" w:hAnsi="Arial" w:cs="Arial"/>
                                    <w:sz w:val="20"/>
                                  </w:rPr>
                                  <w:t>0,0256</w:t>
                                </w:r>
                              </w:p>
                            </w:tc>
                            <w:tc>
                              <w:tcPr>
                                <w:tcW w:w="0" w:type="auto"/>
                              </w:tcPr>
                              <w:p>
                                <w:pPr>
                                  <w:jc w:val="center"/>
                                  <w:rPr>
                                    <w:rFonts w:ascii="Arial" w:hAnsi="Arial" w:cs="Arial"/>
                                    <w:sz w:val="20"/>
                                  </w:rPr>
                                </w:pPr>
                                <w:r>
                                  <w:rPr>
                                    <w:rFonts w:ascii="Arial" w:hAnsi="Arial" w:cs="Arial"/>
                                    <w:sz w:val="20"/>
                                  </w:rPr>
                                  <w:t>0,1688</w:t>
                                </w:r>
                              </w:p>
                            </w:tc>
                            <w:tc>
                              <w:tcPr>
                                <w:tcW w:w="0" w:type="auto"/>
                              </w:tcPr>
                              <w:p>
                                <w:pPr>
                                  <w:jc w:val="center"/>
                                  <w:rPr>
                                    <w:rFonts w:ascii="Arial" w:hAnsi="Arial" w:cs="Arial"/>
                                    <w:sz w:val="20"/>
                                  </w:rPr>
                                </w:pPr>
                                <w:r>
                                  <w:rPr>
                                    <w:rFonts w:ascii="Arial" w:hAnsi="Arial" w:cs="Arial"/>
                                    <w:sz w:val="20"/>
                                  </w:rPr>
                                  <w:t>0,0091</w:t>
                                </w:r>
                              </w:p>
                            </w:tc>
                          </w:tr>
                          <w:tr>
                            <w:trPr>
                              <w:trHeight w:hRule="exact" w:val="284"/>
                              <w:jc w:val="center"/>
                            </w:trPr>
                            <w:tc>
                              <w:tcPr>
                                <w:tcW w:w="0" w:type="auto"/>
                              </w:tcPr>
                              <w:p>
                                <w:pPr>
                                  <w:jc w:val="both"/>
                                  <w:rPr>
                                    <w:rFonts w:ascii="Arial" w:hAnsi="Arial" w:cs="Arial"/>
                                    <w:sz w:val="20"/>
                                  </w:rPr>
                                </w:pPr>
                              </w:p>
                            </w:tc>
                            <w:tc>
                              <w:tcPr>
                                <w:tcW w:w="0" w:type="auto"/>
                              </w:tcPr>
                              <w:p>
                                <w:pPr>
                                  <w:jc w:val="center"/>
                                  <w:rPr>
                                    <w:rFonts w:ascii="Arial" w:hAnsi="Arial" w:cs="Arial"/>
                                    <w:sz w:val="20"/>
                                  </w:rPr>
                                </w:pPr>
                                <w:r>
                                  <w:rPr>
                                    <w:rFonts w:ascii="Arial" w:hAnsi="Arial" w:cs="Arial"/>
                                    <w:sz w:val="20"/>
                                  </w:rPr>
                                  <w:t>tne</w:t>
                                </w:r>
                              </w:p>
                            </w:tc>
                            <w:tc>
                              <w:tcPr>
                                <w:tcW w:w="0" w:type="auto"/>
                              </w:tcPr>
                              <w:p>
                                <w:pPr>
                                  <w:jc w:val="center"/>
                                  <w:rPr>
                                    <w:rFonts w:ascii="Arial" w:hAnsi="Arial" w:cs="Arial"/>
                                    <w:sz w:val="20"/>
                                  </w:rPr>
                                </w:pPr>
                                <w:r>
                                  <w:rPr>
                                    <w:rFonts w:ascii="Arial" w:hAnsi="Arial" w:cs="Arial"/>
                                    <w:sz w:val="20"/>
                                  </w:rPr>
                                  <w:t>27,40</w:t>
                                </w:r>
                              </w:p>
                            </w:tc>
                            <w:tc>
                              <w:tcPr>
                                <w:tcW w:w="0" w:type="auto"/>
                              </w:tcPr>
                              <w:p>
                                <w:pPr>
                                  <w:jc w:val="center"/>
                                  <w:rPr>
                                    <w:rFonts w:ascii="Arial" w:hAnsi="Arial" w:cs="Arial"/>
                                    <w:sz w:val="20"/>
                                  </w:rPr>
                                </w:pPr>
                                <w:r>
                                  <w:rPr>
                                    <w:rFonts w:ascii="Arial" w:hAnsi="Arial" w:cs="Arial"/>
                                    <w:sz w:val="20"/>
                                  </w:rPr>
                                  <w:t>173,69</w:t>
                                </w:r>
                              </w:p>
                            </w:tc>
                            <w:tc>
                              <w:tcPr>
                                <w:tcW w:w="0" w:type="auto"/>
                              </w:tcPr>
                              <w:p>
                                <w:pPr>
                                  <w:jc w:val="center"/>
                                  <w:rPr>
                                    <w:rFonts w:ascii="Arial" w:hAnsi="Arial" w:cs="Arial"/>
                                    <w:sz w:val="20"/>
                                  </w:rPr>
                                </w:pPr>
                                <w:r>
                                  <w:rPr>
                                    <w:rFonts w:ascii="Arial" w:hAnsi="Arial" w:cs="Arial"/>
                                    <w:sz w:val="20"/>
                                  </w:rPr>
                                  <w:t>10,05</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Vienas iš galimų būdų, siekiant sumažinti degalais varomų transporto priemonių skaičių mieste, yra elektra varomų transporto priemonių gausinimas. Elektros energija kelių transporto sektoriuje gali būti naudojama viešojo transporto priemonėse (troleibusuose, elektriniuose autobusuose), specialiojo transporto priemonėse (šiukšliavežėse) bei privačiose transporto priemonėse (elektromobiliai, hibridiniai automobiliai). Joniškio rajono savivaldybės administracijoje elektrinės viešojo transporto priemonės nenaudojamos, o pagal VĮ Regitros informaciją, Joniškio rajono savivaldybėje (2022 m. liepos 1 dienos duomenimis) registruotos tik 20 transporto priemonių, varomų elektros energija. Joniškio rajono savivaldybėje yra įrengta vos 1 greitojo elektromobilių įkrovimo stotelės su galimybe įkrauti po du elektromobilius (bendra galia mažesnė nei 49 kW). Mažas elektromobilių įkrovimo stotelių skaičius daro įtaką mažai elektromobilių plėtrai Joniškio rajono savivaldybėje, todėl, norint didinti atsinaujinančių išteklių energijos dalį bendrame energijos suvartojime transporto sektoriuje, būtina plėtoti elektromobilių įkrovimo stotelių tinklą Joniškio rajono savivaldybėje. Plačiau apie tai informacija pateikiama </w:t>
                          </w:r>
                          <w:r>
                            <w:rPr>
                              <w:rFonts w:ascii="Arial" w:hAnsi="Arial" w:cs="Arial"/>
                              <w:i/>
                              <w:iCs/>
                              <w:sz w:val="22"/>
                            </w:rPr>
                            <w:t>8 skyriuje</w:t>
                          </w:r>
                          <w:r>
                            <w:rPr>
                              <w:rFonts w:ascii="Arial" w:hAnsi="Arial" w:cs="Arial"/>
                              <w:sz w:val="22"/>
                            </w:rPr>
                            <w:t>.</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Elektromobilių eismo intensyvumas Joniškio rajono savivaldybėje yra labai mažas, todėl laikoma, kad Joniškio rajono savivaldybės transporto sektoriuje elektros energija nenaudojama, o visa energija suvartojama degalų pavidalu.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Savivaldybės įmonių ir įstaigų transporto priemonių bei autobusų parko suvartotų degalų kiekis pateiktas 2.1.3. lentelėje. </w:t>
                          </w:r>
                        </w:p>
                        <w:p>
                          <w:pPr>
                            <w:rPr>
                              <w:sz w:val="14"/>
                              <w:szCs w:val="14"/>
                            </w:rPr>
                          </w:pPr>
                        </w:p>
                      </w:sdtContent>
                    </w:sdt>
                    <w:sdt>
                      <w:sdtPr>
                        <w:alias w:val="2.1.3 pp."/>
                        <w:tag w:val="part_71998973ecac4984a8f0aa73d520b9aa"/>
                        <w:lock w:val="sdtLocked"/>
                        <w:richText/>
                      </w:sdtPr>
                      <w:sdtContent>
                        <w:p>
                          <w:pPr>
                            <w:spacing w:line="259" w:lineRule="auto"/>
                            <w:jc w:val="center"/>
                            <w:rPr>
                              <w:rFonts w:ascii="Arial" w:eastAsia="Calibri" w:hAnsi="Arial" w:cs="Arial"/>
                              <w:b/>
                              <w:color w:val="002060"/>
                              <w:sz w:val="22"/>
                              <w:szCs w:val="32"/>
                            </w:rPr>
                          </w:pPr>
                          <w:sdt>
                            <w:sdtPr>
                              <w:alias w:val="Numeris"/>
                              <w:tag w:val="nr_71998973ecac4984a8f0aa73d520b9aa"/>
                              <w:lock w:val="sdtLocked"/>
                              <w:richText/>
                            </w:sdtPr>
                            <w:sdtContent>
                              <w:r>
                                <w:rPr>
                                  <w:rFonts w:ascii="Arial" w:eastAsia="Calibri" w:hAnsi="Arial" w:cs="Arial"/>
                                  <w:b/>
                                  <w:color w:val="002060"/>
                                  <w:sz w:val="22"/>
                                  <w:szCs w:val="32"/>
                                </w:rPr>
                                <w:t>2.1.3</w:t>
                              </w:r>
                            </w:sdtContent>
                          </w:sdt>
                          <w:r>
                            <w:rPr>
                              <w:rFonts w:ascii="Arial" w:eastAsia="Calibri" w:hAnsi="Arial" w:cs="Arial"/>
                              <w:b/>
                              <w:color w:val="002060"/>
                              <w:sz w:val="22"/>
                              <w:szCs w:val="32"/>
                            </w:rPr>
                            <w:t>. lentelė. Kuro energijos suvartojimas savivaldybės įstaigose</w:t>
                          </w:r>
                        </w:p>
                        <w:p>
                          <w:pPr>
                            <w:rPr>
                              <w:sz w:val="10"/>
                              <w:szCs w:val="10"/>
                            </w:rPr>
                          </w:pPr>
                        </w:p>
                        <w:tbl>
                          <w:tblPr>
                            <w:tblW w:w="7408" w:type="dxa"/>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967"/>
                            <w:gridCol w:w="1189"/>
                            <w:gridCol w:w="1189"/>
                            <w:gridCol w:w="1094"/>
                            <w:gridCol w:w="969"/>
                          </w:tblGrid>
                          <w:tr>
                            <w:trPr>
                              <w:trHeight w:hRule="exact" w:val="266"/>
                              <w:jc w:val="center"/>
                            </w:trPr>
                            <w:tc>
                              <w:tcPr>
                                <w:tcW w:w="2967" w:type="dxa"/>
                                <w:noWrap/>
                                <w:hideMark/>
                              </w:tcPr>
                              <w:p>
                                <w:pPr>
                                  <w:ind w:firstLine="57"/>
                                  <w:rPr>
                                    <w:rFonts w:ascii="Arial" w:hAnsi="Arial" w:cs="Arial"/>
                                    <w:color w:val="000000"/>
                                    <w:sz w:val="20"/>
                                    <w:szCs w:val="16"/>
                                    <w:lang w:eastAsia="lt-LT"/>
                                  </w:rPr>
                                </w:pPr>
                              </w:p>
                            </w:tc>
                            <w:tc>
                              <w:tcPr>
                                <w:tcW w:w="3472" w:type="dxa"/>
                                <w:gridSpan w:val="3"/>
                                <w:noWrap/>
                                <w:hideMark/>
                              </w:tcPr>
                              <w:p>
                                <w:pPr>
                                  <w:jc w:val="center"/>
                                  <w:rPr>
                                    <w:rFonts w:ascii="Arial" w:hAnsi="Arial" w:cs="Arial"/>
                                    <w:sz w:val="20"/>
                                    <w:szCs w:val="16"/>
                                    <w:lang w:eastAsia="lt-LT"/>
                                  </w:rPr>
                                </w:pPr>
                                <w:r>
                                  <w:rPr>
                                    <w:rFonts w:ascii="Arial" w:hAnsi="Arial" w:cs="Arial"/>
                                    <w:sz w:val="20"/>
                                    <w:szCs w:val="16"/>
                                    <w:lang w:eastAsia="lt-LT"/>
                                  </w:rPr>
                                  <w:t>Tonomis</w:t>
                                </w:r>
                              </w:p>
                            </w:tc>
                            <w:tc>
                              <w:tcPr>
                                <w:tcW w:w="969" w:type="dxa"/>
                                <w:noWrap/>
                                <w:hideMark/>
                              </w:tcPr>
                              <w:p>
                                <w:pPr>
                                  <w:jc w:val="center"/>
                                  <w:rPr>
                                    <w:rFonts w:ascii="Arial" w:hAnsi="Arial" w:cs="Arial"/>
                                    <w:i/>
                                    <w:iCs/>
                                    <w:sz w:val="20"/>
                                    <w:szCs w:val="16"/>
                                    <w:lang w:eastAsia="lt-LT"/>
                                  </w:rPr>
                                </w:pPr>
                                <w:r>
                                  <w:rPr>
                                    <w:rFonts w:ascii="Arial" w:hAnsi="Arial" w:cs="Arial"/>
                                    <w:i/>
                                    <w:iCs/>
                                    <w:sz w:val="20"/>
                                    <w:szCs w:val="16"/>
                                    <w:lang w:eastAsia="lt-LT"/>
                                  </w:rPr>
                                  <w:t>Tne</w:t>
                                </w:r>
                              </w:p>
                            </w:tc>
                          </w:tr>
                          <w:tr>
                            <w:trPr>
                              <w:trHeight w:hRule="exact" w:val="228"/>
                              <w:jc w:val="center"/>
                            </w:trPr>
                            <w:tc>
                              <w:tcPr>
                                <w:tcW w:w="2967" w:type="dxa"/>
                                <w:noWrap/>
                                <w:hideMark/>
                              </w:tcPr>
                              <w:p>
                                <w:pPr>
                                  <w:ind w:firstLine="57"/>
                                  <w:rPr>
                                    <w:rFonts w:ascii="Arial" w:hAnsi="Arial" w:cs="Arial"/>
                                    <w:color w:val="000000"/>
                                    <w:sz w:val="20"/>
                                    <w:lang w:eastAsia="lt-LT"/>
                                  </w:rPr>
                                </w:pPr>
                              </w:p>
                            </w:tc>
                            <w:tc>
                              <w:tcPr>
                                <w:tcW w:w="1189"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2019</w:t>
                                </w:r>
                              </w:p>
                            </w:tc>
                            <w:tc>
                              <w:tcPr>
                                <w:tcW w:w="1189"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2020</w:t>
                                </w:r>
                              </w:p>
                            </w:tc>
                            <w:tc>
                              <w:tcPr>
                                <w:tcW w:w="1094"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2021</w:t>
                                </w:r>
                              </w:p>
                            </w:tc>
                            <w:tc>
                              <w:tcPr>
                                <w:tcW w:w="969" w:type="dxa"/>
                                <w:noWrap/>
                                <w:hideMark/>
                              </w:tcPr>
                              <w:p>
                                <w:pPr>
                                  <w:jc w:val="center"/>
                                  <w:rPr>
                                    <w:rFonts w:ascii="Arial" w:hAnsi="Arial" w:cs="Arial"/>
                                    <w:b/>
                                    <w:bCs/>
                                    <w:color w:val="000000"/>
                                    <w:sz w:val="20"/>
                                    <w:lang w:eastAsia="lt-LT"/>
                                  </w:rPr>
                                </w:pPr>
                                <w:r>
                                  <w:rPr>
                                    <w:rFonts w:ascii="Arial" w:hAnsi="Arial" w:cs="Arial"/>
                                    <w:b/>
                                    <w:bCs/>
                                    <w:color w:val="000000"/>
                                    <w:sz w:val="20"/>
                                    <w:lang w:eastAsia="lt-LT"/>
                                  </w:rPr>
                                  <w:t>2021</w:t>
                                </w:r>
                              </w:p>
                            </w:tc>
                          </w:tr>
                          <w:tr>
                            <w:trPr>
                              <w:trHeight w:hRule="exact" w:val="288"/>
                              <w:jc w:val="center"/>
                            </w:trPr>
                            <w:tc>
                              <w:tcPr>
                                <w:tcW w:w="2967" w:type="dxa"/>
                                <w:noWrap/>
                                <w:hideMark/>
                              </w:tcPr>
                              <w:p>
                                <w:pPr>
                                  <w:rPr>
                                    <w:rFonts w:ascii="Arial" w:hAnsi="Arial" w:cs="Arial"/>
                                    <w:color w:val="000000"/>
                                    <w:sz w:val="20"/>
                                    <w:lang w:eastAsia="lt-LT"/>
                                  </w:rPr>
                                </w:pPr>
                                <w:r>
                                  <w:rPr>
                                    <w:rFonts w:ascii="Arial" w:hAnsi="Arial" w:cs="Arial"/>
                                    <w:color w:val="000000"/>
                                    <w:sz w:val="20"/>
                                    <w:lang w:eastAsia="lt-LT"/>
                                  </w:rPr>
                                  <w:t>Benzinas</w:t>
                                </w:r>
                              </w:p>
                            </w:tc>
                            <w:tc>
                              <w:tcPr>
                                <w:tcW w:w="1189" w:type="dxa"/>
                                <w:noWrap/>
                              </w:tcPr>
                              <w:p>
                                <w:pPr>
                                  <w:jc w:val="center"/>
                                  <w:rPr>
                                    <w:rFonts w:ascii="Arial" w:hAnsi="Arial" w:cs="Arial"/>
                                    <w:color w:val="000000"/>
                                    <w:sz w:val="20"/>
                                    <w:lang w:eastAsia="lt-LT"/>
                                  </w:rPr>
                                </w:pPr>
                                <w:r>
                                  <w:rPr>
                                    <w:rFonts w:ascii="Arial" w:hAnsi="Arial" w:cs="Arial"/>
                                    <w:sz w:val="20"/>
                                  </w:rPr>
                                  <w:t>10,1</w:t>
                                </w:r>
                              </w:p>
                            </w:tc>
                            <w:tc>
                              <w:tcPr>
                                <w:tcW w:w="1189" w:type="dxa"/>
                                <w:noWrap/>
                              </w:tcPr>
                              <w:p>
                                <w:pPr>
                                  <w:jc w:val="center"/>
                                  <w:rPr>
                                    <w:rFonts w:ascii="Arial" w:hAnsi="Arial" w:cs="Arial"/>
                                    <w:color w:val="000000"/>
                                    <w:sz w:val="20"/>
                                    <w:lang w:eastAsia="lt-LT"/>
                                  </w:rPr>
                                </w:pPr>
                                <w:r>
                                  <w:rPr>
                                    <w:rFonts w:ascii="Arial" w:hAnsi="Arial" w:cs="Arial"/>
                                    <w:sz w:val="20"/>
                                  </w:rPr>
                                  <w:t>9,2</w:t>
                                </w:r>
                              </w:p>
                            </w:tc>
                            <w:tc>
                              <w:tcPr>
                                <w:tcW w:w="1094" w:type="dxa"/>
                                <w:noWrap/>
                              </w:tcPr>
                              <w:p>
                                <w:pPr>
                                  <w:jc w:val="center"/>
                                  <w:rPr>
                                    <w:rFonts w:ascii="Arial" w:hAnsi="Arial" w:cs="Arial"/>
                                    <w:color w:val="000000"/>
                                    <w:sz w:val="20"/>
                                    <w:lang w:eastAsia="lt-LT"/>
                                  </w:rPr>
                                </w:pPr>
                                <w:r>
                                  <w:rPr>
                                    <w:rFonts w:ascii="Arial" w:hAnsi="Arial" w:cs="Arial"/>
                                    <w:sz w:val="20"/>
                                  </w:rPr>
                                  <w:t>12,3</w:t>
                                </w:r>
                              </w:p>
                            </w:tc>
                            <w:tc>
                              <w:tcPr>
                                <w:tcW w:w="969" w:type="dxa"/>
                                <w:noWrap/>
                              </w:tcPr>
                              <w:p>
                                <w:pPr>
                                  <w:jc w:val="center"/>
                                  <w:rPr>
                                    <w:rFonts w:ascii="Arial" w:hAnsi="Arial" w:cs="Arial"/>
                                    <w:color w:val="000000"/>
                                    <w:sz w:val="20"/>
                                    <w:lang w:eastAsia="lt-LT"/>
                                  </w:rPr>
                                </w:pPr>
                                <w:r>
                                  <w:rPr>
                                    <w:rFonts w:ascii="Arial" w:hAnsi="Arial" w:cs="Arial"/>
                                    <w:sz w:val="20"/>
                                  </w:rPr>
                                  <w:t>13,2</w:t>
                                </w:r>
                              </w:p>
                            </w:tc>
                          </w:tr>
                          <w:tr>
                            <w:trPr>
                              <w:trHeight w:hRule="exact" w:val="278"/>
                              <w:jc w:val="center"/>
                            </w:trPr>
                            <w:tc>
                              <w:tcPr>
                                <w:tcW w:w="2967" w:type="dxa"/>
                                <w:noWrap/>
                                <w:hideMark/>
                              </w:tcPr>
                              <w:p>
                                <w:pPr>
                                  <w:rPr>
                                    <w:rFonts w:ascii="Arial" w:hAnsi="Arial" w:cs="Arial"/>
                                    <w:color w:val="000000"/>
                                    <w:sz w:val="20"/>
                                    <w:lang w:eastAsia="lt-LT"/>
                                  </w:rPr>
                                </w:pPr>
                                <w:r>
                                  <w:rPr>
                                    <w:rFonts w:ascii="Arial" w:hAnsi="Arial" w:cs="Arial"/>
                                    <w:color w:val="000000"/>
                                    <w:sz w:val="20"/>
                                    <w:lang w:eastAsia="lt-LT"/>
                                  </w:rPr>
                                  <w:t>Dyzelinas</w:t>
                                </w:r>
                              </w:p>
                            </w:tc>
                            <w:tc>
                              <w:tcPr>
                                <w:tcW w:w="1189" w:type="dxa"/>
                                <w:noWrap/>
                              </w:tcPr>
                              <w:p>
                                <w:pPr>
                                  <w:jc w:val="center"/>
                                  <w:rPr>
                                    <w:rFonts w:ascii="Arial" w:hAnsi="Arial" w:cs="Arial"/>
                                    <w:color w:val="000000"/>
                                    <w:sz w:val="20"/>
                                    <w:lang w:eastAsia="lt-LT"/>
                                  </w:rPr>
                                </w:pPr>
                                <w:r>
                                  <w:rPr>
                                    <w:rFonts w:ascii="Arial" w:hAnsi="Arial" w:cs="Arial"/>
                                    <w:sz w:val="20"/>
                                  </w:rPr>
                                  <w:t>295,3</w:t>
                                </w:r>
                              </w:p>
                            </w:tc>
                            <w:tc>
                              <w:tcPr>
                                <w:tcW w:w="1189" w:type="dxa"/>
                                <w:noWrap/>
                              </w:tcPr>
                              <w:p>
                                <w:pPr>
                                  <w:jc w:val="center"/>
                                  <w:rPr>
                                    <w:rFonts w:ascii="Arial" w:hAnsi="Arial" w:cs="Arial"/>
                                    <w:color w:val="000000"/>
                                    <w:sz w:val="20"/>
                                    <w:lang w:eastAsia="lt-LT"/>
                                  </w:rPr>
                                </w:pPr>
                                <w:r>
                                  <w:rPr>
                                    <w:rFonts w:ascii="Arial" w:hAnsi="Arial" w:cs="Arial"/>
                                    <w:sz w:val="20"/>
                                  </w:rPr>
                                  <w:t>213,7</w:t>
                                </w:r>
                              </w:p>
                            </w:tc>
                            <w:tc>
                              <w:tcPr>
                                <w:tcW w:w="1094" w:type="dxa"/>
                                <w:noWrap/>
                              </w:tcPr>
                              <w:p>
                                <w:pPr>
                                  <w:jc w:val="center"/>
                                  <w:rPr>
                                    <w:rFonts w:ascii="Arial" w:hAnsi="Arial" w:cs="Arial"/>
                                    <w:color w:val="000000"/>
                                    <w:sz w:val="20"/>
                                    <w:lang w:eastAsia="lt-LT"/>
                                  </w:rPr>
                                </w:pPr>
                                <w:r>
                                  <w:rPr>
                                    <w:rFonts w:ascii="Arial" w:hAnsi="Arial" w:cs="Arial"/>
                                    <w:sz w:val="20"/>
                                  </w:rPr>
                                  <w:t>233,6</w:t>
                                </w:r>
                              </w:p>
                            </w:tc>
                            <w:tc>
                              <w:tcPr>
                                <w:tcW w:w="969" w:type="dxa"/>
                                <w:noWrap/>
                              </w:tcPr>
                              <w:p>
                                <w:pPr>
                                  <w:jc w:val="center"/>
                                  <w:rPr>
                                    <w:rFonts w:ascii="Arial" w:hAnsi="Arial" w:cs="Arial"/>
                                    <w:color w:val="000000"/>
                                    <w:sz w:val="20"/>
                                    <w:lang w:eastAsia="lt-LT"/>
                                  </w:rPr>
                                </w:pPr>
                                <w:r>
                                  <w:rPr>
                                    <w:rFonts w:ascii="Arial" w:hAnsi="Arial" w:cs="Arial"/>
                                    <w:sz w:val="20"/>
                                  </w:rPr>
                                  <w:t>240,4</w:t>
                                </w:r>
                              </w:p>
                            </w:tc>
                          </w:tr>
                          <w:tr>
                            <w:trPr>
                              <w:trHeight w:hRule="exact" w:val="282"/>
                              <w:jc w:val="center"/>
                            </w:trPr>
                            <w:tc>
                              <w:tcPr>
                                <w:tcW w:w="2967" w:type="dxa"/>
                                <w:noWrap/>
                                <w:hideMark/>
                              </w:tcPr>
                              <w:p>
                                <w:pPr>
                                  <w:rPr>
                                    <w:rFonts w:ascii="Arial" w:hAnsi="Arial" w:cs="Arial"/>
                                    <w:color w:val="000000"/>
                                    <w:sz w:val="20"/>
                                    <w:lang w:eastAsia="lt-LT"/>
                                  </w:rPr>
                                </w:pPr>
                                <w:r>
                                  <w:rPr>
                                    <w:rFonts w:ascii="Arial" w:hAnsi="Arial" w:cs="Arial"/>
                                    <w:color w:val="000000"/>
                                    <w:sz w:val="20"/>
                                    <w:lang w:eastAsia="lt-LT"/>
                                  </w:rPr>
                                  <w:t>SND</w:t>
                                </w:r>
                              </w:p>
                            </w:tc>
                            <w:tc>
                              <w:tcPr>
                                <w:tcW w:w="1189" w:type="dxa"/>
                                <w:noWrap/>
                                <w:hideMark/>
                              </w:tcPr>
                              <w:p>
                                <w:pPr>
                                  <w:jc w:val="center"/>
                                  <w:rPr>
                                    <w:rFonts w:ascii="Arial" w:hAnsi="Arial" w:cs="Arial"/>
                                    <w:color w:val="000000"/>
                                    <w:sz w:val="20"/>
                                    <w:lang w:eastAsia="lt-LT"/>
                                  </w:rPr>
                                </w:pPr>
                                <w:r>
                                  <w:rPr>
                                    <w:rFonts w:ascii="Arial" w:hAnsi="Arial" w:cs="Arial"/>
                                    <w:sz w:val="20"/>
                                  </w:rPr>
                                  <w:t>7,2</w:t>
                                </w:r>
                              </w:p>
                            </w:tc>
                            <w:tc>
                              <w:tcPr>
                                <w:tcW w:w="1189" w:type="dxa"/>
                                <w:noWrap/>
                                <w:hideMark/>
                              </w:tcPr>
                              <w:p>
                                <w:pPr>
                                  <w:jc w:val="center"/>
                                  <w:rPr>
                                    <w:rFonts w:ascii="Arial" w:hAnsi="Arial" w:cs="Arial"/>
                                    <w:color w:val="000000"/>
                                    <w:sz w:val="20"/>
                                    <w:lang w:eastAsia="lt-LT"/>
                                  </w:rPr>
                                </w:pPr>
                                <w:r>
                                  <w:rPr>
                                    <w:rFonts w:ascii="Arial" w:hAnsi="Arial" w:cs="Arial"/>
                                    <w:sz w:val="20"/>
                                  </w:rPr>
                                  <w:t>7,7</w:t>
                                </w:r>
                              </w:p>
                            </w:tc>
                            <w:tc>
                              <w:tcPr>
                                <w:tcW w:w="1094" w:type="dxa"/>
                                <w:noWrap/>
                                <w:hideMark/>
                              </w:tcPr>
                              <w:p>
                                <w:pPr>
                                  <w:jc w:val="center"/>
                                  <w:rPr>
                                    <w:rFonts w:ascii="Arial" w:hAnsi="Arial" w:cs="Arial"/>
                                    <w:color w:val="000000"/>
                                    <w:sz w:val="20"/>
                                    <w:lang w:eastAsia="lt-LT"/>
                                  </w:rPr>
                                </w:pPr>
                                <w:r>
                                  <w:rPr>
                                    <w:rFonts w:ascii="Arial" w:hAnsi="Arial" w:cs="Arial"/>
                                    <w:sz w:val="20"/>
                                  </w:rPr>
                                  <w:t>7,0</w:t>
                                </w:r>
                              </w:p>
                            </w:tc>
                            <w:tc>
                              <w:tcPr>
                                <w:tcW w:w="969" w:type="dxa"/>
                                <w:noWrap/>
                              </w:tcPr>
                              <w:p>
                                <w:pPr>
                                  <w:jc w:val="center"/>
                                  <w:rPr>
                                    <w:rFonts w:ascii="Arial" w:hAnsi="Arial" w:cs="Arial"/>
                                    <w:color w:val="000000"/>
                                    <w:sz w:val="20"/>
                                    <w:lang w:eastAsia="lt-LT"/>
                                  </w:rPr>
                                </w:pPr>
                                <w:r>
                                  <w:rPr>
                                    <w:rFonts w:ascii="Arial" w:hAnsi="Arial" w:cs="Arial"/>
                                    <w:sz w:val="20"/>
                                  </w:rPr>
                                  <w:t>7,7</w:t>
                                </w:r>
                              </w:p>
                            </w:tc>
                          </w:tr>
                        </w:tbl>
                        <w:p>
                          <w:pPr>
                            <w:spacing w:line="259" w:lineRule="auto"/>
                            <w:jc w:val="center"/>
                            <w:rPr>
                              <w:rFonts w:ascii="Arial" w:hAnsi="Arial" w:cs="Arial"/>
                              <w:i/>
                              <w:iCs/>
                              <w:sz w:val="18"/>
                              <w:szCs w:val="18"/>
                            </w:rPr>
                          </w:pPr>
                          <w:r>
                            <w:rPr>
                              <w:rFonts w:ascii="Arial" w:hAnsi="Arial" w:cs="Arial"/>
                              <w:i/>
                              <w:iCs/>
                              <w:sz w:val="18"/>
                              <w:szCs w:val="18"/>
                            </w:rPr>
                            <w:t>Šaltinis: Joniškio rajono savivaldybės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Apibendrinus visus duomenis, galutiniai transporto sektoriuje suvartojamos energijos kiekiai pateikti 2.1.4. lentelėje. Naudojami paskutinių turimų metų duomenys (2021 m.). </w:t>
                          </w:r>
                        </w:p>
                        <w:p>
                          <w:pPr>
                            <w:rPr>
                              <w:sz w:val="14"/>
                              <w:szCs w:val="14"/>
                            </w:rPr>
                          </w:pPr>
                        </w:p>
                      </w:sdtContent>
                    </w:sdt>
                    <w:sdt>
                      <w:sdtPr>
                        <w:alias w:val="2.1.4 pp."/>
                        <w:tag w:val="part_e7f1714228c54214a657abefb598bd68"/>
                        <w:lock w:val="sdtLocked"/>
                        <w:richText/>
                      </w:sdtPr>
                      <w:sdtContent>
                        <w:p>
                          <w:pPr>
                            <w:spacing w:line="259" w:lineRule="auto"/>
                            <w:jc w:val="center"/>
                            <w:rPr>
                              <w:rFonts w:ascii="Arial" w:eastAsia="SegoeUI" w:hAnsi="Arial" w:cs="Arial"/>
                              <w:b/>
                              <w:color w:val="002060"/>
                              <w:sz w:val="22"/>
                              <w:szCs w:val="32"/>
                            </w:rPr>
                          </w:pPr>
                          <w:sdt>
                            <w:sdtPr>
                              <w:alias w:val="Numeris"/>
                              <w:tag w:val="nr_e7f1714228c54214a657abefb598bd68"/>
                              <w:lock w:val="sdtLocked"/>
                              <w:richText/>
                            </w:sdtPr>
                            <w:sdtContent>
                              <w:r>
                                <w:rPr>
                                  <w:rFonts w:ascii="Arial" w:eastAsia="Calibri" w:hAnsi="Arial" w:cs="Arial"/>
                                  <w:b/>
                                  <w:color w:val="002060"/>
                                  <w:sz w:val="22"/>
                                  <w:szCs w:val="32"/>
                                </w:rPr>
                                <w:t>2.1.4</w:t>
                              </w:r>
                            </w:sdtContent>
                          </w:sdt>
                          <w:r>
                            <w:rPr>
                              <w:rFonts w:ascii="Arial" w:eastAsia="Calibri" w:hAnsi="Arial" w:cs="Arial"/>
                              <w:b/>
                              <w:color w:val="002060"/>
                              <w:sz w:val="22"/>
                              <w:szCs w:val="32"/>
                            </w:rPr>
                            <w:t>. lentelė. Galutinis energijos vartojimas transporte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1217"/>
                            <w:gridCol w:w="3873"/>
                            <w:gridCol w:w="2295"/>
                            <w:gridCol w:w="1050"/>
                          </w:tblGrid>
                          <w:tr>
                            <w:trPr>
                              <w:trHeight w:hRule="exact" w:val="284"/>
                              <w:jc w:val="center"/>
                            </w:trPr>
                            <w:tc>
                              <w:tcPr>
                                <w:tcW w:w="0" w:type="auto"/>
                              </w:tcPr>
                              <w:p>
                                <w:pPr>
                                  <w:spacing w:line="259" w:lineRule="auto"/>
                                  <w:jc w:val="both"/>
                                  <w:rPr>
                                    <w:rFonts w:ascii="Arial" w:hAnsi="Arial" w:cs="Arial"/>
                                    <w:sz w:val="20"/>
                                    <w:szCs w:val="16"/>
                                  </w:rPr>
                                </w:pPr>
                                <w:r>
                                  <w:rPr>
                                    <w:rFonts w:ascii="Arial" w:hAnsi="Arial" w:cs="Arial"/>
                                    <w:sz w:val="20"/>
                                    <w:szCs w:val="16"/>
                                  </w:rPr>
                                  <w:t>Kuro rūšis</w:t>
                                </w:r>
                              </w:p>
                            </w:tc>
                            <w:tc>
                              <w:tcPr>
                                <w:tcW w:w="0" w:type="auto"/>
                              </w:tcPr>
                              <w:p>
                                <w:pPr>
                                  <w:spacing w:line="259" w:lineRule="auto"/>
                                  <w:jc w:val="center"/>
                                  <w:rPr>
                                    <w:rFonts w:ascii="Arial" w:hAnsi="Arial" w:cs="Arial"/>
                                    <w:sz w:val="20"/>
                                    <w:szCs w:val="16"/>
                                  </w:rPr>
                                </w:pPr>
                                <w:r>
                                  <w:rPr>
                                    <w:rFonts w:ascii="Arial" w:hAnsi="Arial" w:cs="Arial"/>
                                    <w:sz w:val="20"/>
                                    <w:szCs w:val="16"/>
                                  </w:rPr>
                                  <w:t>Pagal TP eismo intensyvumo rodiklius</w:t>
                                </w:r>
                              </w:p>
                            </w:tc>
                            <w:tc>
                              <w:tcPr>
                                <w:tcW w:w="0" w:type="auto"/>
                              </w:tcPr>
                              <w:p>
                                <w:pPr>
                                  <w:spacing w:line="259" w:lineRule="auto"/>
                                  <w:jc w:val="center"/>
                                  <w:rPr>
                                    <w:rFonts w:ascii="Arial" w:hAnsi="Arial" w:cs="Arial"/>
                                    <w:sz w:val="20"/>
                                    <w:szCs w:val="16"/>
                                  </w:rPr>
                                </w:pPr>
                                <w:r>
                                  <w:rPr>
                                    <w:rFonts w:ascii="Arial" w:hAnsi="Arial" w:cs="Arial"/>
                                    <w:sz w:val="20"/>
                                    <w:szCs w:val="16"/>
                                  </w:rPr>
                                  <w:t>Savivaldybės įstaigos</w:t>
                                </w:r>
                              </w:p>
                            </w:tc>
                            <w:tc>
                              <w:tcPr>
                                <w:tcW w:w="0" w:type="auto"/>
                              </w:tcPr>
                              <w:p>
                                <w:pPr>
                                  <w:spacing w:line="259" w:lineRule="auto"/>
                                  <w:jc w:val="center"/>
                                  <w:rPr>
                                    <w:rFonts w:ascii="Arial" w:hAnsi="Arial" w:cs="Arial"/>
                                    <w:sz w:val="20"/>
                                    <w:szCs w:val="16"/>
                                  </w:rPr>
                                </w:pPr>
                                <w:r>
                                  <w:rPr>
                                    <w:rFonts w:ascii="Arial" w:hAnsi="Arial" w:cs="Arial"/>
                                    <w:sz w:val="20"/>
                                    <w:szCs w:val="16"/>
                                  </w:rPr>
                                  <w:t>Viso, tne</w:t>
                                </w:r>
                              </w:p>
                            </w:tc>
                          </w:tr>
                          <w:tr>
                            <w:trPr>
                              <w:trHeight w:hRule="exact" w:val="284"/>
                              <w:jc w:val="center"/>
                            </w:trPr>
                            <w:tc>
                              <w:tcPr>
                                <w:tcW w:w="0" w:type="auto"/>
                              </w:tcPr>
                              <w:p>
                                <w:pPr>
                                  <w:spacing w:line="259" w:lineRule="auto"/>
                                  <w:jc w:val="both"/>
                                  <w:rPr>
                                    <w:rFonts w:ascii="Arial" w:hAnsi="Arial" w:cs="Arial"/>
                                    <w:sz w:val="20"/>
                                  </w:rPr>
                                </w:pPr>
                                <w:r>
                                  <w:rPr>
                                    <w:rFonts w:ascii="Arial" w:hAnsi="Arial" w:cs="Arial"/>
                                    <w:sz w:val="20"/>
                                  </w:rPr>
                                  <w:t>Benzinas</w:t>
                                </w:r>
                              </w:p>
                            </w:tc>
                            <w:tc>
                              <w:tcPr>
                                <w:tcW w:w="0" w:type="auto"/>
                              </w:tcPr>
                              <w:p>
                                <w:pPr>
                                  <w:spacing w:line="259" w:lineRule="auto"/>
                                  <w:jc w:val="center"/>
                                  <w:rPr>
                                    <w:rFonts w:ascii="Arial" w:hAnsi="Arial" w:cs="Arial"/>
                                    <w:sz w:val="20"/>
                                  </w:rPr>
                                </w:pPr>
                                <w:r>
                                  <w:rPr>
                                    <w:rFonts w:ascii="Arial" w:hAnsi="Arial" w:cs="Arial"/>
                                    <w:sz w:val="20"/>
                                  </w:rPr>
                                  <w:t>27,4</w:t>
                                </w:r>
                              </w:p>
                            </w:tc>
                            <w:tc>
                              <w:tcPr>
                                <w:tcW w:w="0" w:type="auto"/>
                              </w:tcPr>
                              <w:p>
                                <w:pPr>
                                  <w:spacing w:line="259" w:lineRule="auto"/>
                                  <w:jc w:val="center"/>
                                  <w:rPr>
                                    <w:rFonts w:ascii="Arial" w:hAnsi="Arial" w:cs="Arial"/>
                                    <w:sz w:val="20"/>
                                  </w:rPr>
                                </w:pPr>
                                <w:r>
                                  <w:rPr>
                                    <w:rFonts w:ascii="Arial" w:hAnsi="Arial" w:cs="Arial"/>
                                    <w:sz w:val="20"/>
                                  </w:rPr>
                                  <w:t>13,2</w:t>
                                </w:r>
                              </w:p>
                            </w:tc>
                            <w:tc>
                              <w:tcPr>
                                <w:tcW w:w="0" w:type="auto"/>
                              </w:tcPr>
                              <w:p>
                                <w:pPr>
                                  <w:spacing w:line="259" w:lineRule="auto"/>
                                  <w:jc w:val="center"/>
                                  <w:rPr>
                                    <w:rFonts w:ascii="Arial" w:hAnsi="Arial" w:cs="Arial"/>
                                    <w:sz w:val="20"/>
                                  </w:rPr>
                                </w:pPr>
                                <w:r>
                                  <w:rPr>
                                    <w:rFonts w:ascii="Arial" w:hAnsi="Arial" w:cs="Arial"/>
                                    <w:sz w:val="20"/>
                                  </w:rPr>
                                  <w:t>40,6</w:t>
                                </w:r>
                              </w:p>
                            </w:tc>
                          </w:tr>
                          <w:tr>
                            <w:trPr>
                              <w:trHeight w:hRule="exact" w:val="284"/>
                              <w:jc w:val="center"/>
                            </w:trPr>
                            <w:tc>
                              <w:tcPr>
                                <w:tcW w:w="0" w:type="auto"/>
                              </w:tcPr>
                              <w:p>
                                <w:pPr>
                                  <w:spacing w:line="259" w:lineRule="auto"/>
                                  <w:jc w:val="both"/>
                                  <w:rPr>
                                    <w:rFonts w:ascii="Arial" w:hAnsi="Arial" w:cs="Arial"/>
                                    <w:sz w:val="20"/>
                                  </w:rPr>
                                </w:pPr>
                                <w:r>
                                  <w:rPr>
                                    <w:rFonts w:ascii="Arial" w:hAnsi="Arial" w:cs="Arial"/>
                                    <w:sz w:val="20"/>
                                  </w:rPr>
                                  <w:t>Dyzelinas</w:t>
                                </w:r>
                              </w:p>
                            </w:tc>
                            <w:tc>
                              <w:tcPr>
                                <w:tcW w:w="0" w:type="auto"/>
                              </w:tcPr>
                              <w:p>
                                <w:pPr>
                                  <w:spacing w:line="259" w:lineRule="auto"/>
                                  <w:jc w:val="center"/>
                                  <w:rPr>
                                    <w:rFonts w:ascii="Arial" w:hAnsi="Arial" w:cs="Arial"/>
                                    <w:sz w:val="20"/>
                                  </w:rPr>
                                </w:pPr>
                                <w:r>
                                  <w:rPr>
                                    <w:rFonts w:ascii="Arial" w:hAnsi="Arial" w:cs="Arial"/>
                                    <w:sz w:val="20"/>
                                  </w:rPr>
                                  <w:t>173,7</w:t>
                                </w:r>
                              </w:p>
                            </w:tc>
                            <w:tc>
                              <w:tcPr>
                                <w:tcW w:w="0" w:type="auto"/>
                              </w:tcPr>
                              <w:p>
                                <w:pPr>
                                  <w:spacing w:line="259" w:lineRule="auto"/>
                                  <w:jc w:val="center"/>
                                  <w:rPr>
                                    <w:rFonts w:ascii="Arial" w:hAnsi="Arial" w:cs="Arial"/>
                                    <w:sz w:val="20"/>
                                  </w:rPr>
                                </w:pPr>
                                <w:r>
                                  <w:rPr>
                                    <w:rFonts w:ascii="Arial" w:hAnsi="Arial" w:cs="Arial"/>
                                    <w:sz w:val="20"/>
                                  </w:rPr>
                                  <w:t>240,4</w:t>
                                </w:r>
                              </w:p>
                            </w:tc>
                            <w:tc>
                              <w:tcPr>
                                <w:tcW w:w="0" w:type="auto"/>
                              </w:tcPr>
                              <w:p>
                                <w:pPr>
                                  <w:spacing w:line="259" w:lineRule="auto"/>
                                  <w:jc w:val="center"/>
                                  <w:rPr>
                                    <w:rFonts w:ascii="Arial" w:hAnsi="Arial" w:cs="Arial"/>
                                    <w:sz w:val="20"/>
                                  </w:rPr>
                                </w:pPr>
                                <w:r>
                                  <w:rPr>
                                    <w:rFonts w:ascii="Arial" w:hAnsi="Arial" w:cs="Arial"/>
                                    <w:sz w:val="20"/>
                                  </w:rPr>
                                  <w:t>414,1</w:t>
                                </w:r>
                              </w:p>
                            </w:tc>
                          </w:tr>
                          <w:tr>
                            <w:trPr>
                              <w:trHeight w:hRule="exact" w:val="284"/>
                              <w:jc w:val="center"/>
                            </w:trPr>
                            <w:tc>
                              <w:tcPr>
                                <w:tcW w:w="0" w:type="auto"/>
                              </w:tcPr>
                              <w:p>
                                <w:pPr>
                                  <w:spacing w:line="259" w:lineRule="auto"/>
                                  <w:jc w:val="both"/>
                                  <w:rPr>
                                    <w:rFonts w:ascii="Arial" w:hAnsi="Arial" w:cs="Arial"/>
                                    <w:sz w:val="20"/>
                                  </w:rPr>
                                </w:pPr>
                                <w:r>
                                  <w:rPr>
                                    <w:rFonts w:ascii="Arial" w:hAnsi="Arial" w:cs="Arial"/>
                                    <w:sz w:val="20"/>
                                  </w:rPr>
                                  <w:t>SND</w:t>
                                </w:r>
                              </w:p>
                            </w:tc>
                            <w:tc>
                              <w:tcPr>
                                <w:tcW w:w="0" w:type="auto"/>
                              </w:tcPr>
                              <w:p>
                                <w:pPr>
                                  <w:spacing w:line="259" w:lineRule="auto"/>
                                  <w:jc w:val="center"/>
                                  <w:rPr>
                                    <w:rFonts w:ascii="Arial" w:hAnsi="Arial" w:cs="Arial"/>
                                    <w:sz w:val="20"/>
                                  </w:rPr>
                                </w:pPr>
                                <w:r>
                                  <w:rPr>
                                    <w:rFonts w:ascii="Arial" w:hAnsi="Arial" w:cs="Arial"/>
                                    <w:sz w:val="20"/>
                                  </w:rPr>
                                  <w:t>10,1</w:t>
                                </w:r>
                              </w:p>
                            </w:tc>
                            <w:tc>
                              <w:tcPr>
                                <w:tcW w:w="0" w:type="auto"/>
                              </w:tcPr>
                              <w:p>
                                <w:pPr>
                                  <w:spacing w:line="259" w:lineRule="auto"/>
                                  <w:jc w:val="center"/>
                                  <w:rPr>
                                    <w:rFonts w:ascii="Arial" w:hAnsi="Arial" w:cs="Arial"/>
                                    <w:sz w:val="20"/>
                                  </w:rPr>
                                </w:pPr>
                                <w:r>
                                  <w:rPr>
                                    <w:rFonts w:ascii="Arial" w:hAnsi="Arial" w:cs="Arial"/>
                                    <w:sz w:val="20"/>
                                  </w:rPr>
                                  <w:t>7,7</w:t>
                                </w:r>
                              </w:p>
                            </w:tc>
                            <w:tc>
                              <w:tcPr>
                                <w:tcW w:w="0" w:type="auto"/>
                              </w:tcPr>
                              <w:p>
                                <w:pPr>
                                  <w:spacing w:line="259" w:lineRule="auto"/>
                                  <w:jc w:val="center"/>
                                  <w:rPr>
                                    <w:rFonts w:ascii="Arial" w:hAnsi="Arial" w:cs="Arial"/>
                                    <w:sz w:val="20"/>
                                  </w:rPr>
                                </w:pPr>
                                <w:r>
                                  <w:rPr>
                                    <w:rFonts w:ascii="Arial" w:hAnsi="Arial" w:cs="Arial"/>
                                    <w:sz w:val="20"/>
                                  </w:rPr>
                                  <w:t>17,8</w:t>
                                </w:r>
                              </w:p>
                            </w:tc>
                          </w:tr>
                          <w:tr>
                            <w:trPr>
                              <w:trHeight w:hRule="exact" w:val="284"/>
                              <w:jc w:val="center"/>
                            </w:trPr>
                            <w:tc>
                              <w:tcPr>
                                <w:tcW w:w="0" w:type="auto"/>
                              </w:tcPr>
                              <w:p>
                                <w:pPr>
                                  <w:spacing w:line="259" w:lineRule="auto"/>
                                  <w:jc w:val="right"/>
                                  <w:rPr>
                                    <w:rFonts w:ascii="Arial" w:hAnsi="Arial" w:cs="Arial"/>
                                    <w:b/>
                                    <w:bCs/>
                                    <w:sz w:val="20"/>
                                  </w:rPr>
                                </w:pPr>
                                <w:r>
                                  <w:rPr>
                                    <w:rFonts w:ascii="Arial" w:hAnsi="Arial" w:cs="Arial"/>
                                    <w:b/>
                                    <w:bCs/>
                                    <w:sz w:val="20"/>
                                  </w:rPr>
                                  <w:t>Iš viso</w:t>
                                </w:r>
                              </w:p>
                            </w:tc>
                            <w:tc>
                              <w:tcPr>
                                <w:tcW w:w="0" w:type="auto"/>
                              </w:tcPr>
                              <w:p>
                                <w:pPr>
                                  <w:spacing w:line="259" w:lineRule="auto"/>
                                  <w:jc w:val="center"/>
                                  <w:rPr>
                                    <w:rFonts w:ascii="Arial" w:hAnsi="Arial" w:cs="Arial"/>
                                    <w:b/>
                                    <w:bCs/>
                                    <w:sz w:val="20"/>
                                  </w:rPr>
                                </w:pPr>
                                <w:r>
                                  <w:rPr>
                                    <w:rFonts w:ascii="Arial" w:hAnsi="Arial" w:cs="Arial"/>
                                    <w:b/>
                                    <w:bCs/>
                                    <w:sz w:val="20"/>
                                  </w:rPr>
                                  <w:t>211,2</w:t>
                                </w:r>
                              </w:p>
                            </w:tc>
                            <w:tc>
                              <w:tcPr>
                                <w:tcW w:w="0" w:type="auto"/>
                              </w:tcPr>
                              <w:p>
                                <w:pPr>
                                  <w:spacing w:line="259" w:lineRule="auto"/>
                                  <w:jc w:val="center"/>
                                  <w:rPr>
                                    <w:rFonts w:ascii="Arial" w:hAnsi="Arial" w:cs="Arial"/>
                                    <w:b/>
                                    <w:bCs/>
                                    <w:sz w:val="20"/>
                                  </w:rPr>
                                </w:pPr>
                                <w:r>
                                  <w:rPr>
                                    <w:rFonts w:ascii="Arial" w:hAnsi="Arial" w:cs="Arial"/>
                                    <w:b/>
                                    <w:bCs/>
                                    <w:sz w:val="20"/>
                                  </w:rPr>
                                  <w:t>253,6</w:t>
                                </w:r>
                              </w:p>
                            </w:tc>
                            <w:tc>
                              <w:tcPr>
                                <w:tcW w:w="0" w:type="auto"/>
                              </w:tcPr>
                              <w:p>
                                <w:pPr>
                                  <w:spacing w:line="259" w:lineRule="auto"/>
                                  <w:jc w:val="center"/>
                                  <w:rPr>
                                    <w:rFonts w:ascii="Arial" w:hAnsi="Arial" w:cs="Arial"/>
                                    <w:b/>
                                    <w:bCs/>
                                    <w:sz w:val="20"/>
                                  </w:rPr>
                                </w:pPr>
                                <w:r>
                                  <w:rPr>
                                    <w:rFonts w:ascii="Arial" w:hAnsi="Arial" w:cs="Arial"/>
                                    <w:b/>
                                    <w:bCs/>
                                    <w:sz w:val="20"/>
                                  </w:rPr>
                                  <w:t>454,7</w:t>
                                </w:r>
                              </w:p>
                            </w:tc>
                          </w:tr>
                        </w:tbl>
                        <w:p>
                          <w:pPr>
                            <w:spacing w:line="259" w:lineRule="auto"/>
                            <w:ind w:firstLine="567"/>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NENS yra numatyta, kad energija iš atsinaujinančių energijos išteklių taps pagrindinė transporto sektoriuje. Todėl palaipsniui transporto sektoriuje turi įsitvirtinti ir alternatyvūs degalai (elektra, vandenilis, biodegalai, suskystintos gamtinės dujos, suslėgtosios gamtinės dujos ir kt.), o atsinaujinančių energijos išteklių dalis – vis didėti. Pagrindinis degalų srities strateginis tikslas – palaipsniui pereiti prie mažiau taršių degalų ir elektros energijos vartojimo, lanksčiai ir efektyviai išnaudojant vietinį atsinaujinančių energijos išteklių potencialą (apie atsinaujinančių energijos išteklių panaudojimo priemones transporto sektoriuje, plačiau žr. </w:t>
                          </w:r>
                          <w:r>
                            <w:rPr>
                              <w:rFonts w:ascii="Arial" w:hAnsi="Arial" w:cs="Arial"/>
                              <w:i/>
                              <w:iCs/>
                              <w:sz w:val="22"/>
                            </w:rPr>
                            <w:t>8 skyriuje</w:t>
                          </w:r>
                          <w:r>
                            <w:rPr>
                              <w:rFonts w:ascii="Arial" w:hAnsi="Arial" w:cs="Arial"/>
                              <w:sz w:val="22"/>
                            </w:rPr>
                            <w:t>).</w:t>
                          </w:r>
                        </w:p>
                        <w:p>
                          <w:pPr>
                            <w:rPr>
                              <w:sz w:val="14"/>
                              <w:szCs w:val="14"/>
                            </w:rPr>
                          </w:pPr>
                        </w:p>
                      </w:sdtContent>
                    </w:sdt>
                  </w:sdtContent>
                </w:sdt>
                <w:sdt>
                  <w:sdtPr>
                    <w:alias w:val="2.2 pp."/>
                    <w:tag w:val="part_4517f732620d4b17abc467c236e3e9ad"/>
                    <w:lock w:val="sdtLocked"/>
                    <w:richText/>
                  </w:sdtPr>
                  <w:sdtContent>
                    <w:p>
                      <w:pPr>
                        <w:keepNext/>
                        <w:keepLines/>
                        <w:spacing w:line="259" w:lineRule="auto"/>
                        <w:jc w:val="center"/>
                        <w:outlineLvl w:val="1"/>
                        <w:rPr>
                          <w:rFonts w:ascii="Arial" w:hAnsi="Arial" w:cs="Arial"/>
                          <w:b/>
                          <w:color w:val="002060"/>
                          <w:sz w:val="23"/>
                          <w:szCs w:val="23"/>
                        </w:rPr>
                      </w:pPr>
                      <w:sdt>
                        <w:sdtPr>
                          <w:alias w:val="Numeris"/>
                          <w:tag w:val="nr_4517f732620d4b17abc467c236e3e9ad"/>
                          <w:lock w:val="sdtLocked"/>
                          <w:richText/>
                        </w:sdtPr>
                        <w:sdtContent>
                          <w:r>
                            <w:rPr>
                              <w:rFonts w:ascii="Arial" w:eastAsia="SegoeUI" w:hAnsi="Arial" w:cs="Arial"/>
                              <w:b/>
                              <w:color w:val="002060"/>
                              <w:szCs w:val="26"/>
                            </w:rPr>
                            <w:t>2.2</w:t>
                          </w:r>
                        </w:sdtContent>
                      </w:sdt>
                      <w:r>
                        <w:rPr>
                          <w:rFonts w:ascii="Arial" w:eastAsia="SegoeUI" w:hAnsi="Arial" w:cs="Arial"/>
                          <w:b/>
                          <w:color w:val="002060"/>
                          <w:szCs w:val="26"/>
                        </w:rPr>
                        <w:t>. Galutinis energijos suvartojimas pramonėje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Vertinant galutinį kuro ir šilumos energijos suvartojimą laikoma, kad pramonės įmonės apsirūpina šiluma tik kūrendamos kurą nuosavose katilinėse, neprijungtose prie CŠT tinklų.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UAB „Gren Joniškis“ pateiktose klasifikacijose nurodyta, jog įstaiga centrinio šildymo paslaugų pramonės įmonėms Joniškio rajono savivaldybėje neteikia. </w:t>
                      </w:r>
                    </w:p>
                    <w:p>
                      <w:pPr>
                        <w:rPr>
                          <w:sz w:val="14"/>
                          <w:szCs w:val="14"/>
                        </w:rPr>
                      </w:pPr>
                    </w:p>
                    <w:p>
                      <w:pPr>
                        <w:spacing w:line="259" w:lineRule="auto"/>
                        <w:ind w:firstLine="567"/>
                        <w:jc w:val="both"/>
                        <w:rPr>
                          <w:rFonts w:ascii="Arial" w:hAnsi="Arial" w:cs="Arial"/>
                          <w:b/>
                          <w:bCs/>
                          <w:sz w:val="22"/>
                        </w:rPr>
                      </w:pPr>
                      <w:r>
                        <w:rPr>
                          <w:rFonts w:ascii="Arial" w:hAnsi="Arial" w:cs="Arial"/>
                          <w:sz w:val="22"/>
                        </w:rPr>
                        <w:t>Joniškio rajono savivaldybėje registruoti 1 686 gamybos, pramonės, sandėliavimo, transporto ir garažų paskirties pastatai, kurių bendras plotas sudarė 488 941 m</w:t>
                      </w:r>
                      <w:r>
                        <w:rPr>
                          <w:rFonts w:ascii="Arial" w:hAnsi="Arial" w:cs="Arial"/>
                          <w:sz w:val="22"/>
                          <w:vertAlign w:val="superscript"/>
                        </w:rPr>
                        <w:t>2</w:t>
                      </w:r>
                      <w:r>
                        <w:rPr>
                          <w:rFonts w:ascii="Arial" w:hAnsi="Arial" w:cs="Arial"/>
                          <w:sz w:val="22"/>
                        </w:rPr>
                        <w:t>. Šių pastatų šilumos energijos suvartojimo apimtys įvertintos pagal visos Lietuvos CŠT įmonių namų ūkio sektoriui (daugiabučiams ir individualiems namams) tiekiamos šilumos sąnaudų 2018–2019 m. vidurkį, kuris lygus 140 kWh/m</w:t>
                      </w:r>
                      <w:r>
                        <w:rPr>
                          <w:rFonts w:ascii="Arial" w:hAnsi="Arial" w:cs="Arial"/>
                          <w:sz w:val="22"/>
                          <w:vertAlign w:val="superscript"/>
                        </w:rPr>
                        <w:t>2</w:t>
                      </w:r>
                      <w:r>
                        <w:rPr>
                          <w:rFonts w:ascii="Arial" w:hAnsi="Arial" w:cs="Arial"/>
                          <w:sz w:val="22"/>
                        </w:rPr>
                        <w:t xml:space="preserve"> per metus ir darant prielaidą, kad pramonės įmonėms apšildymui būtina ne daugiau kaip 20 proc. šio kiekio, tai yra 28 kWh/m</w:t>
                      </w:r>
                      <w:r>
                        <w:rPr>
                          <w:rFonts w:ascii="Arial" w:hAnsi="Arial" w:cs="Arial"/>
                          <w:sz w:val="22"/>
                          <w:vertAlign w:val="superscript"/>
                        </w:rPr>
                        <w:t>2</w:t>
                      </w:r>
                      <w:r>
                        <w:rPr>
                          <w:rFonts w:ascii="Arial" w:hAnsi="Arial" w:cs="Arial"/>
                          <w:sz w:val="22"/>
                        </w:rPr>
                        <w:t xml:space="preserve">. Tokiu būdu per metus pramonės įmonės, veikiančios Joniškio rajono savivaldybėje suvartoja </w:t>
                      </w:r>
                      <w:r>
                        <w:rPr>
                          <w:rFonts w:ascii="Arial" w:hAnsi="Arial" w:cs="Arial"/>
                          <w:b/>
                          <w:bCs/>
                          <w:sz w:val="22"/>
                        </w:rPr>
                        <w:t>13 690,4 MWh (1 177,4 tne)</w:t>
                      </w:r>
                      <w:r>
                        <w:rPr>
                          <w:rFonts w:ascii="Arial" w:hAnsi="Arial" w:cs="Arial"/>
                          <w:sz w:val="22"/>
                        </w:rPr>
                        <w:t xml:space="preserve"> šilumos energijos. Pagal Lietuvos statistikos departamento duomenis, visa pramonės įmonių katilinėse šilumos energija pagaminama iš biokuro (malkos ir kurui skirtos medienos atliekos), gamtinių dujų ir suskystintų naftos dujų (atitinkamai – 78,8 proc., 19,4 proc. ir 1,8 proc.). Atitinkamai apskaičiuojama, jog pramonės įmonėse Joniškio rajono savivaldybėje </w:t>
                      </w:r>
                      <w:r>
                        <w:rPr>
                          <w:rFonts w:ascii="Arial" w:hAnsi="Arial" w:cs="Arial"/>
                          <w:b/>
                          <w:bCs/>
                          <w:sz w:val="22"/>
                        </w:rPr>
                        <w:t>927,8 tne</w:t>
                      </w:r>
                      <w:r>
                        <w:rPr>
                          <w:rFonts w:ascii="Arial" w:hAnsi="Arial" w:cs="Arial"/>
                          <w:sz w:val="22"/>
                        </w:rPr>
                        <w:t xml:space="preserve"> šilumos energijos pagaminama biokuro pagrindu, </w:t>
                      </w:r>
                      <w:r>
                        <w:rPr>
                          <w:rFonts w:ascii="Arial" w:hAnsi="Arial" w:cs="Arial"/>
                          <w:b/>
                          <w:bCs/>
                          <w:sz w:val="22"/>
                        </w:rPr>
                        <w:t>228,4 tne</w:t>
                      </w:r>
                      <w:r>
                        <w:rPr>
                          <w:rFonts w:ascii="Arial" w:hAnsi="Arial" w:cs="Arial"/>
                          <w:sz w:val="22"/>
                        </w:rPr>
                        <w:t xml:space="preserve"> šilumos energijos pagaminama gamtinių dujų pagrindu bei likusioji dalis – </w:t>
                      </w:r>
                      <w:r>
                        <w:rPr>
                          <w:rFonts w:ascii="Arial" w:hAnsi="Arial" w:cs="Arial"/>
                          <w:b/>
                          <w:bCs/>
                          <w:sz w:val="22"/>
                        </w:rPr>
                        <w:t>21,2 tne</w:t>
                      </w:r>
                      <w:r>
                        <w:rPr>
                          <w:rFonts w:ascii="Arial" w:hAnsi="Arial" w:cs="Arial"/>
                          <w:sz w:val="22"/>
                        </w:rPr>
                        <w:t xml:space="preserve"> – suskystintų naftos dujų pagrindu.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Apie Joniškio rajono pramonės įmonių elektros energijos suvartojimą duomenys gauti iš AB „ESO“ Pagal 1.6.1. lentelėje pateikiamus duomenis, 2021 m. pramonės įmonės Joniškio savivaldybėje suvartojo </w:t>
                      </w:r>
                      <w:r>
                        <w:rPr>
                          <w:rFonts w:ascii="Arial" w:hAnsi="Arial" w:cs="Arial"/>
                          <w:b/>
                          <w:bCs/>
                          <w:sz w:val="22"/>
                        </w:rPr>
                        <w:t>17 321,3 MWh (1 489,6 tne)</w:t>
                      </w:r>
                      <w:r>
                        <w:rPr>
                          <w:rFonts w:ascii="Arial" w:hAnsi="Arial" w:cs="Arial"/>
                          <w:sz w:val="22"/>
                        </w:rPr>
                        <w:t xml:space="preserve"> elektros energijos.</w:t>
                      </w:r>
                    </w:p>
                    <w:p>
                      <w:pPr>
                        <w:rPr>
                          <w:sz w:val="14"/>
                          <w:szCs w:val="14"/>
                        </w:rPr>
                      </w:pPr>
                    </w:p>
                  </w:sdtContent>
                </w:sdt>
                <w:sdt>
                  <w:sdtPr>
                    <w:alias w:val="2.3 pp."/>
                    <w:tag w:val="part_49ae4f44ed604255a1bb303a2b24c566"/>
                    <w:lock w:val="sdtLocked"/>
                    <w:richText/>
                  </w:sdtPr>
                  <w:sdtContent>
                    <w:p>
                      <w:pPr>
                        <w:keepNext/>
                        <w:keepLines/>
                        <w:spacing w:line="259" w:lineRule="auto"/>
                        <w:jc w:val="center"/>
                        <w:outlineLvl w:val="1"/>
                        <w:rPr>
                          <w:rFonts w:ascii="Arial" w:hAnsi="Arial" w:cs="Arial"/>
                          <w:b/>
                          <w:color w:val="002060"/>
                          <w:szCs w:val="26"/>
                        </w:rPr>
                      </w:pPr>
                      <w:sdt>
                        <w:sdtPr>
                          <w:alias w:val="Numeris"/>
                          <w:tag w:val="nr_49ae4f44ed604255a1bb303a2b24c566"/>
                          <w:lock w:val="sdtLocked"/>
                          <w:richText/>
                        </w:sdtPr>
                        <w:sdtContent>
                          <w:r>
                            <w:rPr>
                              <w:rFonts w:ascii="Arial" w:hAnsi="Arial" w:cs="Arial"/>
                              <w:b/>
                              <w:color w:val="002060"/>
                              <w:szCs w:val="26"/>
                            </w:rPr>
                            <w:t>2.3</w:t>
                          </w:r>
                        </w:sdtContent>
                      </w:sdt>
                      <w:r>
                        <w:rPr>
                          <w:rFonts w:ascii="Arial" w:hAnsi="Arial" w:cs="Arial"/>
                          <w:b/>
                          <w:color w:val="002060"/>
                          <w:szCs w:val="26"/>
                        </w:rPr>
                        <w:t>. Galutinis energijos suvartojimas žemės ūkio sektoriuje</w:t>
                      </w:r>
                    </w:p>
                    <w:p>
                      <w:pPr>
                        <w:rPr>
                          <w:sz w:val="14"/>
                          <w:szCs w:val="14"/>
                        </w:rPr>
                      </w:pPr>
                    </w:p>
                    <w:p>
                      <w:pPr>
                        <w:spacing w:line="259" w:lineRule="auto"/>
                        <w:ind w:firstLine="567"/>
                        <w:jc w:val="both"/>
                        <w:rPr>
                          <w:rFonts w:ascii="Arial" w:hAnsi="Arial" w:cs="Arial"/>
                          <w:sz w:val="22"/>
                        </w:rPr>
                      </w:pPr>
                      <w:r>
                        <w:rPr>
                          <w:rFonts w:ascii="Arial" w:hAnsi="Arial" w:cs="Arial"/>
                          <w:sz w:val="22"/>
                        </w:rPr>
                        <w:t>Vertinamas energijos suvartojimas įmonėse, kurių veikla susijusi su žemės ūkiu, medžiokle, miškininkyste ir žuvininkyste. Nesant informacijos apie šilumos ir elektros energijos suvartojimą žemės ūkio bendrovėse ir įmonėse, galutinis energijos suvartojimas vertinamas pagal vidutinį vienos įmonės suvartojamos energijos kiekį Lietuvoje. Šilumos energijos dalis neskirstoma pagal kilmę (CŠT ar nuosavos katilinės) dėl informacijos trūkumo, energija perskaičiuojama į biokuro sąnaudas.</w:t>
                      </w:r>
                    </w:p>
                    <w:p>
                      <w:pPr>
                        <w:rPr>
                          <w:sz w:val="14"/>
                          <w:szCs w:val="14"/>
                        </w:rPr>
                      </w:pPr>
                    </w:p>
                    <w:p>
                      <w:pPr>
                        <w:spacing w:line="259" w:lineRule="auto"/>
                        <w:ind w:firstLine="567"/>
                        <w:jc w:val="both"/>
                        <w:rPr>
                          <w:rFonts w:ascii="Arial" w:eastAsia="SegoeUI" w:hAnsi="Arial" w:cs="Arial"/>
                          <w:sz w:val="22"/>
                        </w:rPr>
                      </w:pPr>
                      <w:r>
                        <w:rPr>
                          <w:rFonts w:ascii="Arial" w:eastAsia="SegoeUI" w:hAnsi="Arial" w:cs="Arial"/>
                          <w:sz w:val="22"/>
                        </w:rPr>
                        <w:t xml:space="preserve">2020 m. Lietuvos žemės ūkio ir žvejybos sektoriuje buvo suvartota 39,9 GWh šilumos energijos. 2020 m. pradžioje Lietuvoje veikė 2 793 žemės ūkio, miškininkystės ir žuvininkystės sektorių ūkio subjektai. Gaunama, kad vienas ūkio subjektas suvartoja apie 14,29 MWh šilumos energijos per metus. Pagal vidutinius šalies rodiklius apskaičiuojama, kad Joniškio rajono savivaldybėje veikiančios 63 žemės ūkio ir žuvininkystės įmonės per metus suvartoja </w:t>
                      </w:r>
                      <w:r>
                        <w:rPr>
                          <w:rFonts w:ascii="Arial" w:eastAsia="SegoeUI" w:hAnsi="Arial" w:cs="Arial"/>
                          <w:b/>
                          <w:bCs/>
                          <w:sz w:val="22"/>
                        </w:rPr>
                        <w:t>900,3 MWh (77,4 tne)</w:t>
                      </w:r>
                      <w:r>
                        <w:rPr>
                          <w:rFonts w:ascii="Arial" w:eastAsia="SegoeUI" w:hAnsi="Arial" w:cs="Arial"/>
                          <w:sz w:val="22"/>
                        </w:rPr>
                        <w:t xml:space="preserve"> šiluminės energijos. Remiantis AB „ESO“ duomenimis, žemės ūkio sektoriuje 2021 m. buvo suvartota </w:t>
                      </w:r>
                      <w:r>
                        <w:rPr>
                          <w:rFonts w:ascii="Arial" w:eastAsia="SegoeUI" w:hAnsi="Arial" w:cs="Arial"/>
                          <w:b/>
                          <w:bCs/>
                          <w:sz w:val="22"/>
                        </w:rPr>
                        <w:t>3 464,2 MWh (297,9 tne)</w:t>
                      </w:r>
                      <w:r>
                        <w:rPr>
                          <w:rFonts w:ascii="Arial" w:eastAsia="SegoeUI" w:hAnsi="Arial" w:cs="Arial"/>
                          <w:sz w:val="22"/>
                        </w:rPr>
                        <w:t xml:space="preserve"> elektros energijos. </w:t>
                      </w:r>
                    </w:p>
                    <w:p>
                      <w:pPr>
                        <w:rPr>
                          <w:sz w:val="14"/>
                          <w:szCs w:val="14"/>
                        </w:rPr>
                      </w:pPr>
                    </w:p>
                  </w:sdtContent>
                </w:sdt>
                <w:sdt>
                  <w:sdtPr>
                    <w:alias w:val="2.4 pp."/>
                    <w:tag w:val="part_48d2e660cf424a9c8d85fdc9c7455115"/>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48d2e660cf424a9c8d85fdc9c7455115"/>
                          <w:lock w:val="sdtLocked"/>
                          <w:richText/>
                        </w:sdtPr>
                        <w:sdtContent>
                          <w:r>
                            <w:rPr>
                              <w:rFonts w:ascii="Arial" w:eastAsia="SegoeUI" w:hAnsi="Arial" w:cs="Arial"/>
                              <w:b/>
                              <w:color w:val="002060"/>
                              <w:szCs w:val="26"/>
                            </w:rPr>
                            <w:t>2.4</w:t>
                          </w:r>
                        </w:sdtContent>
                      </w:sdt>
                      <w:r>
                        <w:rPr>
                          <w:rFonts w:ascii="Arial" w:eastAsia="SegoeUI" w:hAnsi="Arial" w:cs="Arial"/>
                          <w:b/>
                          <w:color w:val="002060"/>
                          <w:szCs w:val="26"/>
                        </w:rPr>
                        <w:t>. Galutinis energijos suvartojimas namų ūkiuose</w:t>
                      </w:r>
                    </w:p>
                    <w:p>
                      <w:pPr>
                        <w:rPr>
                          <w:sz w:val="14"/>
                          <w:szCs w:val="14"/>
                        </w:rPr>
                      </w:pPr>
                    </w:p>
                    <w:p>
                      <w:pPr>
                        <w:spacing w:line="259" w:lineRule="auto"/>
                        <w:ind w:firstLine="567"/>
                        <w:jc w:val="both"/>
                        <w:rPr>
                          <w:rFonts w:ascii="Arial" w:hAnsi="Arial" w:cs="Arial"/>
                          <w:sz w:val="22"/>
                        </w:rPr>
                      </w:pPr>
                      <w:r>
                        <w:rPr>
                          <w:rFonts w:ascii="Arial" w:hAnsi="Arial" w:cs="Arial"/>
                          <w:sz w:val="22"/>
                        </w:rPr>
                        <w:t>Vertinant galutinį šilumos energijos suvartojimą namų ūkių sektoriuje, laikoma, kad namų ūkiai šiluma apsirūpina dviem būdais – iš CŠT tinklų ir degindami įvairų kurą individualiuose šildymo įrenginiuose.</w:t>
                      </w:r>
                    </w:p>
                    <w:p>
                      <w:pPr>
                        <w:rPr>
                          <w:sz w:val="14"/>
                          <w:szCs w:val="14"/>
                        </w:rPr>
                      </w:pPr>
                    </w:p>
                    <w:p>
                      <w:pPr>
                        <w:spacing w:line="259" w:lineRule="auto"/>
                        <w:ind w:firstLine="567"/>
                        <w:jc w:val="both"/>
                        <w:rPr>
                          <w:rFonts w:ascii="Arial" w:hAnsi="Arial" w:cs="Arial"/>
                          <w:b/>
                          <w:bCs/>
                          <w:sz w:val="22"/>
                        </w:rPr>
                      </w:pPr>
                      <w:r>
                        <w:rPr>
                          <w:rFonts w:ascii="Arial" w:hAnsi="Arial" w:cs="Arial"/>
                          <w:sz w:val="22"/>
                        </w:rPr>
                        <w:t xml:space="preserve">Šilumos energijos suvartojimas prie tinklo prijungti namų ūkiai įvertinti 1.4. skyriuje, neprijungtuose prie CŠT – 1.5.2. skyriuje, bendras elektros energijos suvartojimas Joniškio rajono savivaldybėje įvertintas 1.6. skyriuje. Apibendrinant duomenis apskaičiuojama, kad namų ūkiuose iš CŠT Joniškio rajono savivaldybėje suvartojama </w:t>
                      </w:r>
                      <w:r>
                        <w:rPr>
                          <w:rFonts w:ascii="Arial" w:hAnsi="Arial" w:cs="Arial"/>
                          <w:b/>
                          <w:bCs/>
                          <w:sz w:val="22"/>
                          <w:szCs w:val="22"/>
                        </w:rPr>
                        <w:t>14 055,8 MWh</w:t>
                      </w:r>
                      <w:r>
                        <w:rPr>
                          <w:rFonts w:ascii="Arial" w:hAnsi="Arial" w:cs="Arial"/>
                          <w:b/>
                          <w:bCs/>
                          <w:sz w:val="22"/>
                        </w:rPr>
                        <w:t xml:space="preserve"> (1 208,8 tne)</w:t>
                      </w:r>
                      <w:r>
                        <w:rPr>
                          <w:rFonts w:ascii="Arial" w:hAnsi="Arial" w:cs="Arial"/>
                          <w:sz w:val="22"/>
                        </w:rPr>
                        <w:t xml:space="preserve"> šilumos energijos. Šilumos energijos suvartojimas neprijungtuose namų ūkiuose siekia </w:t>
                      </w:r>
                      <w:r>
                        <w:rPr>
                          <w:rFonts w:ascii="Arial" w:hAnsi="Arial" w:cs="Arial"/>
                          <w:b/>
                          <w:bCs/>
                          <w:sz w:val="22"/>
                          <w:szCs w:val="22"/>
                        </w:rPr>
                        <w:t>126 864,4 MWh</w:t>
                      </w:r>
                      <w:r>
                        <w:rPr>
                          <w:rFonts w:ascii="Arial" w:hAnsi="Arial" w:cs="Arial"/>
                          <w:sz w:val="22"/>
                          <w:szCs w:val="22"/>
                        </w:rPr>
                        <w:t xml:space="preserve"> (</w:t>
                      </w:r>
                      <w:r>
                        <w:rPr>
                          <w:rFonts w:ascii="Arial" w:hAnsi="Arial" w:cs="Arial"/>
                          <w:b/>
                          <w:bCs/>
                          <w:sz w:val="22"/>
                          <w:szCs w:val="22"/>
                        </w:rPr>
                        <w:t>10 908,4 tne)</w:t>
                      </w:r>
                      <w:r>
                        <w:rPr>
                          <w:rFonts w:ascii="Arial" w:hAnsi="Arial" w:cs="Arial"/>
                          <w:sz w:val="22"/>
                          <w:szCs w:val="22"/>
                        </w:rPr>
                        <w:t>.</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1.6. skyriuje pateikiamus elektros energijos suvartojimo namų ūkiuose kiekius, Joniškio rajono savivaldybėje galutinės elektros energijos sąnaudos sudaro </w:t>
                      </w:r>
                      <w:r>
                        <w:rPr>
                          <w:rFonts w:ascii="Arial" w:hAnsi="Arial" w:cs="Arial"/>
                          <w:b/>
                          <w:bCs/>
                          <w:sz w:val="22"/>
                          <w:szCs w:val="22"/>
                        </w:rPr>
                        <w:t>22 364,0 MWh</w:t>
                      </w:r>
                      <w:r>
                        <w:rPr>
                          <w:rFonts w:ascii="Arial" w:hAnsi="Arial" w:cs="Arial"/>
                          <w:sz w:val="22"/>
                          <w:szCs w:val="22"/>
                        </w:rPr>
                        <w:t xml:space="preserve"> </w:t>
                      </w:r>
                      <w:r>
                        <w:rPr>
                          <w:rFonts w:ascii="Arial" w:hAnsi="Arial" w:cs="Arial"/>
                          <w:b/>
                          <w:bCs/>
                          <w:sz w:val="22"/>
                          <w:szCs w:val="22"/>
                        </w:rPr>
                        <w:t>(1 923,3 tne)</w:t>
                      </w:r>
                      <w:r>
                        <w:rPr>
                          <w:rFonts w:ascii="Arial" w:hAnsi="Arial" w:cs="Arial"/>
                          <w:sz w:val="22"/>
                        </w:rPr>
                        <w:t xml:space="preserve"> per metus. Į šį skaičių įskaičiuota elektros energija skirta šildymui.</w:t>
                      </w:r>
                    </w:p>
                    <w:p>
                      <w:pPr>
                        <w:rPr>
                          <w:sz w:val="14"/>
                          <w:szCs w:val="14"/>
                        </w:rPr>
                      </w:pPr>
                    </w:p>
                  </w:sdtContent>
                </w:sdt>
                <w:sdt>
                  <w:sdtPr>
                    <w:alias w:val="2.5 pp."/>
                    <w:tag w:val="part_96b8e7a6a3aa458b8f2b30ff84e8c29f"/>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96b8e7a6a3aa458b8f2b30ff84e8c29f"/>
                          <w:lock w:val="sdtLocked"/>
                          <w:richText/>
                        </w:sdtPr>
                        <w:sdtContent>
                          <w:r>
                            <w:rPr>
                              <w:rFonts w:ascii="Arial" w:eastAsia="SegoeUI" w:hAnsi="Arial" w:cs="Arial"/>
                              <w:b/>
                              <w:color w:val="002060"/>
                              <w:szCs w:val="26"/>
                            </w:rPr>
                            <w:t>2.5</w:t>
                          </w:r>
                        </w:sdtContent>
                      </w:sdt>
                      <w:r>
                        <w:rPr>
                          <w:rFonts w:ascii="Arial" w:eastAsia="SegoeUI" w:hAnsi="Arial" w:cs="Arial"/>
                          <w:b/>
                          <w:color w:val="002060"/>
                          <w:szCs w:val="26"/>
                        </w:rPr>
                        <w:t>. Galutinis energijos suvartojimas paslaugų sektoriuje</w:t>
                      </w:r>
                    </w:p>
                    <w:p>
                      <w:pPr>
                        <w:rPr>
                          <w:sz w:val="14"/>
                          <w:szCs w:val="14"/>
                        </w:rPr>
                      </w:pPr>
                    </w:p>
                    <w:p>
                      <w:pPr>
                        <w:spacing w:line="259" w:lineRule="auto"/>
                        <w:ind w:firstLine="567"/>
                        <w:jc w:val="both"/>
                        <w:rPr>
                          <w:rFonts w:ascii="Arial" w:hAnsi="Arial" w:cs="Arial"/>
                          <w:sz w:val="22"/>
                        </w:rPr>
                      </w:pPr>
                      <w:r>
                        <w:rPr>
                          <w:rFonts w:ascii="Arial" w:hAnsi="Arial" w:cs="Arial"/>
                          <w:sz w:val="22"/>
                        </w:rPr>
                        <w:t>Vertinant galutinį šilumos energijos suvartojimą paslaugų sektoriuje, laikoma, kad įstaigos ir įmonės apsirūpina šiluma iš CŠT tinklų arba kūrendamos kurą nuosavose katilinėse, neprijungtose prie CŠT tinklų. Informacija apie šilumos energijos gamybą gauta iš UAB „Gren Joniškis“. Duomenys apie elektros energijos suvartojimą gauti iš AB „ESO“.</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Remiantis AB „ESO“ pateiktais duomenimis, 2021 m. paslaugų įmonės Joniškio rajono savivaldybėje suvartojo </w:t>
                      </w:r>
                      <w:r>
                        <w:rPr>
                          <w:rFonts w:ascii="Arial" w:hAnsi="Arial" w:cs="Arial"/>
                          <w:b/>
                          <w:bCs/>
                          <w:sz w:val="22"/>
                        </w:rPr>
                        <w:t>13 857,1 MWh (1 191,7 tne)</w:t>
                      </w:r>
                      <w:r>
                        <w:rPr>
                          <w:rFonts w:ascii="Arial" w:hAnsi="Arial" w:cs="Arial"/>
                          <w:sz w:val="22"/>
                        </w:rPr>
                        <w:t xml:space="preserve"> elektros energijos. Pagal 1.5. skyriuje pateiktus duomenis, Joniškio rajono savivaldybės administracijai pavaldžios įmonės bei įstaigos per metus suvartojo </w:t>
                      </w:r>
                      <w:r>
                        <w:rPr>
                          <w:rFonts w:ascii="Arial" w:hAnsi="Arial" w:cs="Arial"/>
                          <w:b/>
                          <w:bCs/>
                          <w:sz w:val="22"/>
                        </w:rPr>
                        <w:t>5 912,0 MWh (508,4 tne)</w:t>
                      </w:r>
                      <w:r>
                        <w:rPr>
                          <w:rFonts w:ascii="Arial" w:hAnsi="Arial" w:cs="Arial"/>
                          <w:sz w:val="22"/>
                        </w:rPr>
                        <w:t xml:space="preserve"> šilumos energijos.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UAB „Gren Joniškis“ duomenimis, 2021 m. visuomeninės paskirties pastatuose ir kitos paskirties pastatuose (paslaugų sektorius) buvo sunaudota </w:t>
                      </w:r>
                      <w:r>
                        <w:rPr>
                          <w:rFonts w:ascii="Arial" w:hAnsi="Arial" w:cs="Arial"/>
                          <w:b/>
                          <w:bCs/>
                          <w:sz w:val="22"/>
                        </w:rPr>
                        <w:t xml:space="preserve">4 711,8 MWh (405,2 tne) </w:t>
                      </w:r>
                      <w:r>
                        <w:rPr>
                          <w:rFonts w:ascii="Arial" w:hAnsi="Arial" w:cs="Arial"/>
                          <w:sz w:val="22"/>
                        </w:rPr>
                        <w:t>šilumos energijos, kuri remiantis 1.5.2. lentelėje pateiktomis proporcijomis pagaminta biokuro bei gamtinių dujų pagrindu.</w:t>
                      </w:r>
                    </w:p>
                    <w:p>
                      <w:pPr>
                        <w:rPr>
                          <w:sz w:val="14"/>
                          <w:szCs w:val="14"/>
                        </w:rPr>
                      </w:pPr>
                    </w:p>
                  </w:sdtContent>
                </w:sdt>
                <w:sdt>
                  <w:sdtPr>
                    <w:alias w:val="2.6 pp."/>
                    <w:tag w:val="part_7dded3422b0340a4ba186625b06fc8da"/>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7dded3422b0340a4ba186625b06fc8da"/>
                          <w:lock w:val="sdtLocked"/>
                          <w:richText/>
                        </w:sdtPr>
                        <w:sdtContent>
                          <w:r>
                            <w:rPr>
                              <w:rFonts w:ascii="Arial" w:eastAsia="SegoeUI" w:hAnsi="Arial" w:cs="Arial"/>
                              <w:b/>
                              <w:color w:val="002060"/>
                              <w:szCs w:val="26"/>
                            </w:rPr>
                            <w:t>2.6</w:t>
                          </w:r>
                        </w:sdtContent>
                      </w:sdt>
                      <w:r>
                        <w:rPr>
                          <w:rFonts w:ascii="Arial" w:eastAsia="SegoeUI" w:hAnsi="Arial" w:cs="Arial"/>
                          <w:b/>
                          <w:color w:val="002060"/>
                          <w:szCs w:val="26"/>
                        </w:rPr>
                        <w:t>. Galutinis energijos suvartojimas Joniškio rajono savivaldybėje</w:t>
                      </w:r>
                    </w:p>
                    <w:p>
                      <w:pPr>
                        <w:rPr>
                          <w:sz w:val="14"/>
                          <w:szCs w:val="14"/>
                        </w:rPr>
                      </w:pPr>
                    </w:p>
                    <w:p>
                      <w:pPr>
                        <w:spacing w:line="259" w:lineRule="auto"/>
                        <w:ind w:firstLine="567"/>
                        <w:jc w:val="both"/>
                        <w:rPr>
                          <w:rFonts w:ascii="Arial" w:hAnsi="Arial" w:cs="Arial"/>
                          <w:sz w:val="22"/>
                        </w:rPr>
                      </w:pPr>
                      <w:r>
                        <w:rPr>
                          <w:rFonts w:ascii="Arial" w:hAnsi="Arial" w:cs="Arial"/>
                          <w:sz w:val="22"/>
                        </w:rPr>
                        <w:t>Sudarant bendrojo galutinio energijos suvartojimo Joniškio rajono savivaldybėje lentelę, pateikiami elektros energijos, šilumos, gaunamos iš CŠT tinklų, ir kuro sąnaudų individualiuose šildymo įrenginiuose kiekiai. Kuro sąnaudos individualiose katilinėse ir kituose šildymo įrenginiuose apskaičiuotos ankstesniuose skyriuose.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Elektros energijos nuostoliai prilyginti 10 proc. ir pridėti prie elektros energijos bendrų sąnaudų atskirame stulpelyje, nuostoliai gaminant ir tiekiant šilumos energiją įvertinti atsižvelgiant į faktinius UAB „Gren Joniškis“ duomenis. </w:t>
                      </w:r>
                    </w:p>
                    <w:p>
                      <w:pPr>
                        <w:rPr>
                          <w:sz w:val="14"/>
                          <w:szCs w:val="14"/>
                        </w:rPr>
                      </w:pPr>
                    </w:p>
                    <w:sdt>
                      <w:sdtPr>
                        <w:alias w:val="2.6.1 pp."/>
                        <w:tag w:val="part_8c011b22ec114a46b3341ceff792c9d4"/>
                        <w:lock w:val="sdtLocked"/>
                        <w:richText/>
                      </w:sdtPr>
                      <w:sdtContent>
                        <w:p>
                          <w:pPr>
                            <w:spacing w:line="259" w:lineRule="auto"/>
                            <w:jc w:val="center"/>
                            <w:rPr>
                              <w:rFonts w:ascii="Arial" w:eastAsia="Calibri" w:hAnsi="Arial" w:cs="Arial"/>
                              <w:b/>
                              <w:color w:val="002060"/>
                              <w:sz w:val="22"/>
                              <w:szCs w:val="32"/>
                            </w:rPr>
                          </w:pPr>
                          <w:sdt>
                            <w:sdtPr>
                              <w:alias w:val="Numeris"/>
                              <w:tag w:val="nr_8c011b22ec114a46b3341ceff792c9d4"/>
                              <w:lock w:val="sdtLocked"/>
                              <w:richText/>
                            </w:sdtPr>
                            <w:sdtContent>
                              <w:r>
                                <w:rPr>
                                  <w:rFonts w:ascii="Arial" w:eastAsia="Calibri" w:hAnsi="Arial" w:cs="Arial"/>
                                  <w:b/>
                                  <w:color w:val="002060"/>
                                  <w:sz w:val="22"/>
                                  <w:szCs w:val="32"/>
                                </w:rPr>
                                <w:t>2.6.1</w:t>
                              </w:r>
                            </w:sdtContent>
                          </w:sdt>
                          <w:r>
                            <w:rPr>
                              <w:rFonts w:ascii="Arial" w:eastAsia="Calibri" w:hAnsi="Arial" w:cs="Arial"/>
                              <w:b/>
                              <w:color w:val="002060"/>
                              <w:sz w:val="22"/>
                              <w:szCs w:val="32"/>
                            </w:rPr>
                            <w:t>. lentelė. Galutinis energijos vartojimas savivaldybėje, tne</w:t>
                          </w:r>
                        </w:p>
                        <w:p>
                          <w:pPr>
                            <w:rPr>
                              <w:sz w:val="10"/>
                              <w:szCs w:val="10"/>
                            </w:rPr>
                          </w:pPr>
                        </w:p>
                        <w:tbl>
                          <w:tblPr>
                            <w:tblW w:w="5142" w:type="pct"/>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2650"/>
                            <w:gridCol w:w="1372"/>
                            <w:gridCol w:w="1087"/>
                            <w:gridCol w:w="1085"/>
                            <w:gridCol w:w="1012"/>
                            <w:gridCol w:w="1106"/>
                            <w:gridCol w:w="1161"/>
                            <w:gridCol w:w="1012"/>
                          </w:tblGrid>
                          <w:tr>
                            <w:trPr>
                              <w:trHeight w:val="742"/>
                              <w:jc w:val="center"/>
                            </w:trPr>
                            <w:tc>
                              <w:tcPr>
                                <w:tcW w:w="1286" w:type="pct"/>
                              </w:tcPr>
                              <w:p>
                                <w:pPr>
                                  <w:jc w:val="center"/>
                                  <w:rPr>
                                    <w:rFonts w:ascii="Arial" w:hAnsi="Arial" w:cs="Arial"/>
                                    <w:sz w:val="20"/>
                                  </w:rPr>
                                </w:pPr>
                                <w:r>
                                  <w:rPr>
                                    <w:rFonts w:ascii="Arial" w:hAnsi="Arial" w:cs="Arial"/>
                                    <w:sz w:val="20"/>
                                  </w:rPr>
                                  <w:t>Energijos išteklių rūšis</w:t>
                                </w:r>
                              </w:p>
                            </w:tc>
                            <w:tc>
                              <w:tcPr>
                                <w:tcW w:w="608" w:type="pct"/>
                              </w:tcPr>
                              <w:p>
                                <w:pPr>
                                  <w:jc w:val="center"/>
                                  <w:rPr>
                                    <w:rFonts w:ascii="Arial" w:hAnsi="Arial" w:cs="Arial"/>
                                    <w:sz w:val="20"/>
                                  </w:rPr>
                                </w:pPr>
                                <w:r>
                                  <w:rPr>
                                    <w:rFonts w:ascii="Arial" w:hAnsi="Arial" w:cs="Arial"/>
                                    <w:sz w:val="20"/>
                                  </w:rPr>
                                  <w:t>Transportas</w:t>
                                </w:r>
                              </w:p>
                            </w:tc>
                            <w:tc>
                              <w:tcPr>
                                <w:tcW w:w="541" w:type="pct"/>
                              </w:tcPr>
                              <w:p>
                                <w:pPr>
                                  <w:jc w:val="center"/>
                                  <w:rPr>
                                    <w:rFonts w:ascii="Arial" w:hAnsi="Arial" w:cs="Arial"/>
                                    <w:sz w:val="20"/>
                                  </w:rPr>
                                </w:pPr>
                                <w:r>
                                  <w:rPr>
                                    <w:rFonts w:ascii="Arial" w:hAnsi="Arial" w:cs="Arial"/>
                                    <w:sz w:val="20"/>
                                  </w:rPr>
                                  <w:t>Pramonė</w:t>
                                </w:r>
                              </w:p>
                            </w:tc>
                            <w:tc>
                              <w:tcPr>
                                <w:tcW w:w="540" w:type="pct"/>
                              </w:tcPr>
                              <w:p>
                                <w:pPr>
                                  <w:jc w:val="center"/>
                                  <w:rPr>
                                    <w:rFonts w:ascii="Arial" w:hAnsi="Arial" w:cs="Arial"/>
                                    <w:sz w:val="20"/>
                                  </w:rPr>
                                </w:pPr>
                                <w:r>
                                  <w:rPr>
                                    <w:rFonts w:ascii="Arial" w:hAnsi="Arial" w:cs="Arial"/>
                                    <w:sz w:val="20"/>
                                  </w:rPr>
                                  <w:t>Žemės ūkis</w:t>
                                </w:r>
                              </w:p>
                            </w:tc>
                            <w:tc>
                              <w:tcPr>
                                <w:tcW w:w="501" w:type="pct"/>
                              </w:tcPr>
                              <w:p>
                                <w:pPr>
                                  <w:jc w:val="center"/>
                                  <w:rPr>
                                    <w:rFonts w:ascii="Arial" w:hAnsi="Arial" w:cs="Arial"/>
                                    <w:sz w:val="20"/>
                                  </w:rPr>
                                </w:pPr>
                                <w:r>
                                  <w:rPr>
                                    <w:rFonts w:ascii="Arial" w:hAnsi="Arial" w:cs="Arial"/>
                                    <w:sz w:val="20"/>
                                  </w:rPr>
                                  <w:t>Namų ūkiai</w:t>
                                </w:r>
                              </w:p>
                            </w:tc>
                            <w:tc>
                              <w:tcPr>
                                <w:tcW w:w="501" w:type="pct"/>
                              </w:tcPr>
                              <w:p>
                                <w:pPr>
                                  <w:jc w:val="center"/>
                                  <w:rPr>
                                    <w:rFonts w:ascii="Arial" w:hAnsi="Arial" w:cs="Arial"/>
                                    <w:sz w:val="20"/>
                                  </w:rPr>
                                </w:pPr>
                                <w:r>
                                  <w:rPr>
                                    <w:rFonts w:ascii="Arial" w:hAnsi="Arial" w:cs="Arial"/>
                                    <w:sz w:val="20"/>
                                  </w:rPr>
                                  <w:t>Paslaugų sektorius</w:t>
                                </w:r>
                              </w:p>
                            </w:tc>
                            <w:tc>
                              <w:tcPr>
                                <w:tcW w:w="522" w:type="pct"/>
                              </w:tcPr>
                              <w:p>
                                <w:pPr>
                                  <w:jc w:val="center"/>
                                  <w:rPr>
                                    <w:rFonts w:ascii="Arial" w:hAnsi="Arial" w:cs="Arial"/>
                                    <w:sz w:val="20"/>
                                  </w:rPr>
                                </w:pPr>
                                <w:r>
                                  <w:rPr>
                                    <w:rFonts w:ascii="Arial" w:hAnsi="Arial" w:cs="Arial"/>
                                    <w:sz w:val="20"/>
                                  </w:rPr>
                                  <w:t>Energijos nuostoliai ir savos reikmės</w:t>
                                </w:r>
                              </w:p>
                            </w:tc>
                            <w:tc>
                              <w:tcPr>
                                <w:tcW w:w="501" w:type="pct"/>
                              </w:tcPr>
                              <w:p>
                                <w:pPr>
                                  <w:jc w:val="center"/>
                                  <w:rPr>
                                    <w:rFonts w:ascii="Arial" w:hAnsi="Arial" w:cs="Arial"/>
                                    <w:sz w:val="20"/>
                                  </w:rPr>
                                </w:pPr>
                                <w:r>
                                  <w:rPr>
                                    <w:rFonts w:ascii="Arial" w:hAnsi="Arial" w:cs="Arial"/>
                                    <w:sz w:val="20"/>
                                  </w:rPr>
                                  <w:t>Iš viso</w:t>
                                </w:r>
                              </w:p>
                            </w:tc>
                          </w:tr>
                          <w:tr>
                            <w:trPr>
                              <w:trHeight w:val="92"/>
                              <w:jc w:val="center"/>
                            </w:trPr>
                            <w:tc>
                              <w:tcPr>
                                <w:tcW w:w="1286" w:type="pct"/>
                              </w:tcPr>
                              <w:p>
                                <w:pPr>
                                  <w:rPr>
                                    <w:rFonts w:ascii="Arial" w:hAnsi="Arial" w:cs="Arial"/>
                                    <w:sz w:val="20"/>
                                  </w:rPr>
                                </w:pPr>
                                <w:r>
                                  <w:rPr>
                                    <w:rFonts w:ascii="Arial" w:hAnsi="Arial" w:cs="Arial"/>
                                    <w:sz w:val="20"/>
                                  </w:rPr>
                                  <w:t>Benzinas</w:t>
                                </w:r>
                              </w:p>
                            </w:tc>
                            <w:tc>
                              <w:tcPr>
                                <w:tcW w:w="608" w:type="pct"/>
                              </w:tcPr>
                              <w:p>
                                <w:pPr>
                                  <w:jc w:val="center"/>
                                  <w:rPr>
                                    <w:rFonts w:ascii="Arial" w:hAnsi="Arial" w:cs="Arial"/>
                                    <w:sz w:val="22"/>
                                    <w:szCs w:val="22"/>
                                  </w:rPr>
                                </w:pPr>
                                <w:r>
                                  <w:rPr>
                                    <w:rFonts w:ascii="Arial" w:hAnsi="Arial" w:cs="Arial"/>
                                    <w:sz w:val="22"/>
                                    <w:szCs w:val="22"/>
                                  </w:rPr>
                                  <w:t>40,6</w:t>
                                </w:r>
                              </w:p>
                            </w:tc>
                            <w:tc>
                              <w:tcPr>
                                <w:tcW w:w="541" w:type="pct"/>
                              </w:tcPr>
                              <w:p>
                                <w:pPr>
                                  <w:jc w:val="center"/>
                                  <w:rPr>
                                    <w:rFonts w:ascii="Arial" w:hAnsi="Arial" w:cs="Arial"/>
                                    <w:sz w:val="22"/>
                                    <w:szCs w:val="22"/>
                                  </w:rPr>
                                </w:pP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p>
                            </w:tc>
                            <w:tc>
                              <w:tcPr>
                                <w:tcW w:w="501" w:type="pct"/>
                              </w:tcPr>
                              <w:p>
                                <w:pPr>
                                  <w:jc w:val="center"/>
                                  <w:rPr>
                                    <w:rFonts w:ascii="Arial" w:hAnsi="Arial" w:cs="Arial"/>
                                    <w:sz w:val="22"/>
                                    <w:szCs w:val="22"/>
                                  </w:rPr>
                                </w:pP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40,6</w:t>
                                </w:r>
                              </w:p>
                            </w:tc>
                          </w:tr>
                          <w:tr>
                            <w:trPr>
                              <w:trHeight w:val="58"/>
                              <w:jc w:val="center"/>
                            </w:trPr>
                            <w:tc>
                              <w:tcPr>
                                <w:tcW w:w="1286" w:type="pct"/>
                              </w:tcPr>
                              <w:p>
                                <w:pPr>
                                  <w:rPr>
                                    <w:rFonts w:ascii="Arial" w:hAnsi="Arial" w:cs="Arial"/>
                                    <w:sz w:val="20"/>
                                  </w:rPr>
                                </w:pPr>
                                <w:r>
                                  <w:rPr>
                                    <w:rFonts w:ascii="Arial" w:hAnsi="Arial" w:cs="Arial"/>
                                    <w:sz w:val="20"/>
                                  </w:rPr>
                                  <w:t>Dyzelinas</w:t>
                                </w:r>
                              </w:p>
                            </w:tc>
                            <w:tc>
                              <w:tcPr>
                                <w:tcW w:w="608" w:type="pct"/>
                              </w:tcPr>
                              <w:p>
                                <w:pPr>
                                  <w:jc w:val="center"/>
                                  <w:rPr>
                                    <w:rFonts w:ascii="Arial" w:hAnsi="Arial" w:cs="Arial"/>
                                    <w:sz w:val="22"/>
                                    <w:szCs w:val="22"/>
                                  </w:rPr>
                                </w:pPr>
                                <w:r>
                                  <w:rPr>
                                    <w:rFonts w:ascii="Arial" w:hAnsi="Arial" w:cs="Arial"/>
                                    <w:sz w:val="22"/>
                                    <w:szCs w:val="22"/>
                                  </w:rPr>
                                  <w:t>414,1</w:t>
                                </w:r>
                              </w:p>
                            </w:tc>
                            <w:tc>
                              <w:tcPr>
                                <w:tcW w:w="541" w:type="pct"/>
                              </w:tcPr>
                              <w:p>
                                <w:pPr>
                                  <w:jc w:val="center"/>
                                  <w:rPr>
                                    <w:rFonts w:ascii="Arial" w:hAnsi="Arial" w:cs="Arial"/>
                                    <w:sz w:val="22"/>
                                    <w:szCs w:val="22"/>
                                  </w:rPr>
                                </w:pP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p>
                            </w:tc>
                            <w:tc>
                              <w:tcPr>
                                <w:tcW w:w="501" w:type="pct"/>
                              </w:tcPr>
                              <w:p>
                                <w:pPr>
                                  <w:jc w:val="center"/>
                                  <w:rPr>
                                    <w:rFonts w:ascii="Arial" w:hAnsi="Arial" w:cs="Arial"/>
                                    <w:sz w:val="22"/>
                                    <w:szCs w:val="22"/>
                                  </w:rPr>
                                </w:pP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414,1</w:t>
                                </w:r>
                              </w:p>
                            </w:tc>
                          </w:tr>
                          <w:tr>
                            <w:trPr>
                              <w:trHeight w:val="20"/>
                              <w:jc w:val="center"/>
                            </w:trPr>
                            <w:tc>
                              <w:tcPr>
                                <w:tcW w:w="1286" w:type="pct"/>
                              </w:tcPr>
                              <w:p>
                                <w:pPr>
                                  <w:rPr>
                                    <w:rFonts w:ascii="Arial" w:hAnsi="Arial" w:cs="Arial"/>
                                    <w:sz w:val="20"/>
                                  </w:rPr>
                                </w:pPr>
                                <w:r>
                                  <w:rPr>
                                    <w:rFonts w:ascii="Arial" w:hAnsi="Arial" w:cs="Arial"/>
                                    <w:sz w:val="20"/>
                                  </w:rPr>
                                  <w:t>SND</w:t>
                                </w:r>
                                <w:r>
                                  <w:rPr>
                                    <w:rFonts w:ascii="Arial" w:hAnsi="Arial" w:cs="Arial"/>
                                    <w:sz w:val="20"/>
                                    <w:vertAlign w:val="superscript"/>
                                  </w:rPr>
                                  <w:footnoteReference w:id="9"/>
                                </w:r>
                              </w:p>
                            </w:tc>
                            <w:tc>
                              <w:tcPr>
                                <w:tcW w:w="608" w:type="pct"/>
                              </w:tcPr>
                              <w:p>
                                <w:pPr>
                                  <w:jc w:val="center"/>
                                  <w:rPr>
                                    <w:rFonts w:ascii="Arial" w:hAnsi="Arial" w:cs="Arial"/>
                                    <w:sz w:val="22"/>
                                    <w:szCs w:val="22"/>
                                  </w:rPr>
                                </w:pPr>
                                <w:r>
                                  <w:rPr>
                                    <w:rFonts w:ascii="Arial" w:hAnsi="Arial" w:cs="Arial"/>
                                    <w:sz w:val="22"/>
                                    <w:szCs w:val="22"/>
                                  </w:rPr>
                                  <w:t>17,8</w:t>
                                </w:r>
                              </w:p>
                            </w:tc>
                            <w:tc>
                              <w:tcPr>
                                <w:tcW w:w="541" w:type="pct"/>
                              </w:tcPr>
                              <w:p>
                                <w:pPr>
                                  <w:jc w:val="center"/>
                                  <w:rPr>
                                    <w:rFonts w:ascii="Arial" w:hAnsi="Arial" w:cs="Arial"/>
                                    <w:sz w:val="22"/>
                                    <w:szCs w:val="22"/>
                                  </w:rPr>
                                </w:pPr>
                                <w:r>
                                  <w:rPr>
                                    <w:rFonts w:ascii="Arial" w:hAnsi="Arial" w:cs="Arial"/>
                                    <w:sz w:val="22"/>
                                    <w:szCs w:val="22"/>
                                  </w:rPr>
                                  <w:t>21,2</w:t>
                                </w: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r>
                                  <w:rPr>
                                    <w:rFonts w:ascii="Arial" w:hAnsi="Arial" w:cs="Arial"/>
                                    <w:sz w:val="22"/>
                                    <w:szCs w:val="22"/>
                                  </w:rPr>
                                  <w:t>10,9</w:t>
                                </w:r>
                              </w:p>
                            </w:tc>
                            <w:tc>
                              <w:tcPr>
                                <w:tcW w:w="501" w:type="pct"/>
                              </w:tcPr>
                              <w:p>
                                <w:pPr>
                                  <w:jc w:val="center"/>
                                  <w:rPr>
                                    <w:rFonts w:ascii="Arial" w:hAnsi="Arial" w:cs="Arial"/>
                                    <w:sz w:val="22"/>
                                    <w:szCs w:val="22"/>
                                  </w:rPr>
                                </w:pP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49,9</w:t>
                                </w:r>
                              </w:p>
                            </w:tc>
                          </w:tr>
                          <w:tr>
                            <w:trPr>
                              <w:trHeight w:val="20"/>
                              <w:jc w:val="center"/>
                            </w:trPr>
                            <w:tc>
                              <w:tcPr>
                                <w:tcW w:w="1286" w:type="pct"/>
                              </w:tcPr>
                              <w:p>
                                <w:pPr>
                                  <w:rPr>
                                    <w:rFonts w:ascii="Arial" w:hAnsi="Arial" w:cs="Arial"/>
                                    <w:sz w:val="20"/>
                                  </w:rPr>
                                </w:pPr>
                                <w:r>
                                  <w:rPr>
                                    <w:rFonts w:ascii="Arial" w:hAnsi="Arial" w:cs="Arial"/>
                                    <w:sz w:val="20"/>
                                  </w:rPr>
                                  <w:t>Anglys ir durpės</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r>
                                  <w:rPr>
                                    <w:rFonts w:ascii="Arial" w:hAnsi="Arial" w:cs="Arial"/>
                                    <w:sz w:val="22"/>
                                    <w:szCs w:val="22"/>
                                  </w:rPr>
                                  <w:t>632,7</w:t>
                                </w:r>
                              </w:p>
                            </w:tc>
                            <w:tc>
                              <w:tcPr>
                                <w:tcW w:w="501" w:type="pct"/>
                              </w:tcPr>
                              <w:p>
                                <w:pPr>
                                  <w:jc w:val="center"/>
                                  <w:rPr>
                                    <w:rFonts w:ascii="Arial" w:hAnsi="Arial" w:cs="Arial"/>
                                    <w:sz w:val="22"/>
                                    <w:szCs w:val="22"/>
                                  </w:rPr>
                                </w:pPr>
                                <w:r>
                                  <w:rPr>
                                    <w:rFonts w:ascii="Arial" w:hAnsi="Arial" w:cs="Arial"/>
                                    <w:sz w:val="22"/>
                                    <w:szCs w:val="22"/>
                                  </w:rPr>
                                  <w:t>53,1</w:t>
                                </w: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685,8</w:t>
                                </w:r>
                              </w:p>
                            </w:tc>
                          </w:tr>
                          <w:tr>
                            <w:trPr>
                              <w:trHeight w:val="20"/>
                              <w:jc w:val="center"/>
                            </w:trPr>
                            <w:tc>
                              <w:tcPr>
                                <w:tcW w:w="1286" w:type="pct"/>
                              </w:tcPr>
                              <w:p>
                                <w:pPr>
                                  <w:rPr>
                                    <w:rFonts w:ascii="Arial" w:hAnsi="Arial" w:cs="Arial"/>
                                    <w:sz w:val="20"/>
                                  </w:rPr>
                                </w:pPr>
                                <w:r>
                                  <w:rPr>
                                    <w:rFonts w:ascii="Arial" w:hAnsi="Arial" w:cs="Arial"/>
                                    <w:sz w:val="20"/>
                                  </w:rPr>
                                  <w:t>Gamtinės dujos</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r>
                                  <w:rPr>
                                    <w:rFonts w:ascii="Arial" w:hAnsi="Arial" w:cs="Arial"/>
                                    <w:sz w:val="22"/>
                                    <w:szCs w:val="22"/>
                                  </w:rPr>
                                  <w:t>228,4</w:t>
                                </w: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r>
                                  <w:rPr>
                                    <w:rFonts w:ascii="Arial" w:hAnsi="Arial" w:cs="Arial"/>
                                    <w:sz w:val="22"/>
                                    <w:szCs w:val="22"/>
                                  </w:rPr>
                                  <w:t>818,1</w:t>
                                </w:r>
                              </w:p>
                            </w:tc>
                            <w:tc>
                              <w:tcPr>
                                <w:tcW w:w="501" w:type="pct"/>
                              </w:tcPr>
                              <w:p>
                                <w:pPr>
                                  <w:jc w:val="center"/>
                                  <w:rPr>
                                    <w:rFonts w:ascii="Arial" w:hAnsi="Arial" w:cs="Arial"/>
                                    <w:sz w:val="22"/>
                                    <w:szCs w:val="22"/>
                                  </w:rPr>
                                </w:pPr>
                                <w:r>
                                  <w:rPr>
                                    <w:rFonts w:ascii="Arial" w:hAnsi="Arial" w:cs="Arial"/>
                                    <w:sz w:val="22"/>
                                    <w:szCs w:val="22"/>
                                  </w:rPr>
                                  <w:t>321,5</w:t>
                                </w: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1368,0</w:t>
                                </w:r>
                              </w:p>
                            </w:tc>
                          </w:tr>
                          <w:tr>
                            <w:trPr>
                              <w:trHeight w:val="20"/>
                              <w:jc w:val="center"/>
                            </w:trPr>
                            <w:tc>
                              <w:tcPr>
                                <w:tcW w:w="1286" w:type="pct"/>
                              </w:tcPr>
                              <w:p>
                                <w:pPr>
                                  <w:rPr>
                                    <w:rFonts w:ascii="Arial" w:hAnsi="Arial" w:cs="Arial"/>
                                    <w:sz w:val="20"/>
                                  </w:rPr>
                                </w:pPr>
                                <w:r>
                                  <w:rPr>
                                    <w:rFonts w:ascii="Arial" w:hAnsi="Arial" w:cs="Arial"/>
                                    <w:sz w:val="20"/>
                                  </w:rPr>
                                  <w:t>Skystasis kuras</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r>
                                  <w:rPr>
                                    <w:rFonts w:ascii="Arial" w:hAnsi="Arial" w:cs="Arial"/>
                                    <w:sz w:val="22"/>
                                    <w:szCs w:val="22"/>
                                  </w:rPr>
                                  <w:t>349,1</w:t>
                                </w:r>
                              </w:p>
                            </w:tc>
                            <w:tc>
                              <w:tcPr>
                                <w:tcW w:w="501" w:type="pct"/>
                              </w:tcPr>
                              <w:p>
                                <w:pPr>
                                  <w:jc w:val="center"/>
                                  <w:rPr>
                                    <w:rFonts w:ascii="Arial" w:hAnsi="Arial" w:cs="Arial"/>
                                    <w:sz w:val="22"/>
                                    <w:szCs w:val="22"/>
                                  </w:rPr>
                                </w:pP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349,1</w:t>
                                </w:r>
                              </w:p>
                            </w:tc>
                          </w:tr>
                          <w:tr>
                            <w:trPr>
                              <w:trHeight w:val="20"/>
                              <w:jc w:val="center"/>
                            </w:trPr>
                            <w:tc>
                              <w:tcPr>
                                <w:tcW w:w="1286" w:type="pct"/>
                              </w:tcPr>
                              <w:p>
                                <w:pPr>
                                  <w:rPr>
                                    <w:rFonts w:ascii="Arial" w:hAnsi="Arial" w:cs="Arial"/>
                                    <w:sz w:val="20"/>
                                  </w:rPr>
                                </w:pPr>
                                <w:r>
                                  <w:rPr>
                                    <w:rFonts w:ascii="Arial" w:hAnsi="Arial" w:cs="Arial"/>
                                    <w:sz w:val="20"/>
                                  </w:rPr>
                                  <w:t>Biokuras (mediena)</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r>
                                  <w:rPr>
                                    <w:rFonts w:ascii="Arial" w:hAnsi="Arial" w:cs="Arial"/>
                                    <w:sz w:val="22"/>
                                    <w:szCs w:val="22"/>
                                  </w:rPr>
                                  <w:t>927,8</w:t>
                                </w:r>
                              </w:p>
                            </w:tc>
                            <w:tc>
                              <w:tcPr>
                                <w:tcW w:w="540" w:type="pct"/>
                              </w:tcPr>
                              <w:p>
                                <w:pPr>
                                  <w:jc w:val="center"/>
                                  <w:rPr>
                                    <w:rFonts w:ascii="Arial" w:hAnsi="Arial" w:cs="Arial"/>
                                    <w:sz w:val="22"/>
                                    <w:szCs w:val="22"/>
                                  </w:rPr>
                                </w:pPr>
                                <w:r>
                                  <w:rPr>
                                    <w:rFonts w:ascii="Arial" w:hAnsi="Arial" w:cs="Arial"/>
                                    <w:sz w:val="22"/>
                                    <w:szCs w:val="22"/>
                                  </w:rPr>
                                  <w:t>77,4</w:t>
                                </w:r>
                              </w:p>
                            </w:tc>
                            <w:tc>
                              <w:tcPr>
                                <w:tcW w:w="501" w:type="pct"/>
                              </w:tcPr>
                              <w:p>
                                <w:pPr>
                                  <w:jc w:val="center"/>
                                  <w:rPr>
                                    <w:rFonts w:ascii="Arial" w:hAnsi="Arial" w:cs="Arial"/>
                                    <w:sz w:val="22"/>
                                    <w:szCs w:val="22"/>
                                  </w:rPr>
                                </w:pPr>
                                <w:r>
                                  <w:rPr>
                                    <w:rFonts w:ascii="Arial" w:hAnsi="Arial" w:cs="Arial"/>
                                    <w:sz w:val="22"/>
                                    <w:szCs w:val="22"/>
                                  </w:rPr>
                                  <w:t>7777,7</w:t>
                                </w:r>
                              </w:p>
                            </w:tc>
                            <w:tc>
                              <w:tcPr>
                                <w:tcW w:w="501" w:type="pct"/>
                              </w:tcPr>
                              <w:p>
                                <w:pPr>
                                  <w:jc w:val="center"/>
                                  <w:rPr>
                                    <w:rFonts w:ascii="Arial" w:hAnsi="Arial" w:cs="Arial"/>
                                    <w:sz w:val="22"/>
                                    <w:szCs w:val="22"/>
                                  </w:rPr>
                                </w:pPr>
                                <w:r>
                                  <w:rPr>
                                    <w:rFonts w:ascii="Arial" w:hAnsi="Arial" w:cs="Arial"/>
                                    <w:sz w:val="22"/>
                                    <w:szCs w:val="22"/>
                                  </w:rPr>
                                  <w:t>133,9</w:t>
                                </w:r>
                              </w:p>
                            </w:tc>
                            <w:tc>
                              <w:tcPr>
                                <w:tcW w:w="522" w:type="pct"/>
                              </w:tcPr>
                              <w:p>
                                <w:pPr>
                                  <w:jc w:val="center"/>
                                  <w:rPr>
                                    <w:rFonts w:ascii="Arial" w:hAnsi="Arial" w:cs="Arial"/>
                                    <w:sz w:val="22"/>
                                    <w:szCs w:val="22"/>
                                  </w:rPr>
                                </w:pPr>
                              </w:p>
                            </w:tc>
                            <w:tc>
                              <w:tcPr>
                                <w:tcW w:w="501" w:type="pct"/>
                              </w:tcPr>
                              <w:p>
                                <w:pPr>
                                  <w:jc w:val="center"/>
                                  <w:rPr>
                                    <w:rFonts w:ascii="Arial" w:hAnsi="Arial" w:cs="Arial"/>
                                    <w:b/>
                                    <w:bCs/>
                                    <w:sz w:val="22"/>
                                    <w:szCs w:val="22"/>
                                  </w:rPr>
                                </w:pPr>
                                <w:r>
                                  <w:rPr>
                                    <w:rFonts w:ascii="Arial" w:hAnsi="Arial" w:cs="Arial"/>
                                    <w:sz w:val="22"/>
                                    <w:szCs w:val="22"/>
                                  </w:rPr>
                                  <w:t>8916,8</w:t>
                                </w:r>
                              </w:p>
                            </w:tc>
                          </w:tr>
                          <w:tr>
                            <w:trPr>
                              <w:trHeight w:val="20"/>
                              <w:jc w:val="center"/>
                            </w:trPr>
                            <w:tc>
                              <w:tcPr>
                                <w:tcW w:w="1286" w:type="pct"/>
                              </w:tcPr>
                              <w:p>
                                <w:pPr>
                                  <w:rPr>
                                    <w:rFonts w:ascii="Arial" w:hAnsi="Arial" w:cs="Arial"/>
                                    <w:sz w:val="20"/>
                                  </w:rPr>
                                </w:pPr>
                                <w:r>
                                  <w:rPr>
                                    <w:rFonts w:ascii="Arial" w:hAnsi="Arial" w:cs="Arial"/>
                                    <w:sz w:val="20"/>
                                  </w:rPr>
                                  <w:t xml:space="preserve">Elektros energija </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r>
                                  <w:rPr>
                                    <w:rFonts w:ascii="Arial" w:hAnsi="Arial" w:cs="Arial"/>
                                    <w:sz w:val="22"/>
                                    <w:szCs w:val="22"/>
                                  </w:rPr>
                                  <w:t>1489,6</w:t>
                                </w:r>
                              </w:p>
                            </w:tc>
                            <w:tc>
                              <w:tcPr>
                                <w:tcW w:w="540" w:type="pct"/>
                              </w:tcPr>
                              <w:p>
                                <w:pPr>
                                  <w:jc w:val="center"/>
                                  <w:rPr>
                                    <w:rFonts w:ascii="Arial" w:hAnsi="Arial" w:cs="Arial"/>
                                    <w:sz w:val="22"/>
                                    <w:szCs w:val="22"/>
                                  </w:rPr>
                                </w:pPr>
                                <w:r>
                                  <w:rPr>
                                    <w:rFonts w:ascii="Arial" w:hAnsi="Arial" w:cs="Arial"/>
                                    <w:sz w:val="22"/>
                                    <w:szCs w:val="22"/>
                                  </w:rPr>
                                  <w:t>297,9</w:t>
                                </w:r>
                              </w:p>
                            </w:tc>
                            <w:tc>
                              <w:tcPr>
                                <w:tcW w:w="501" w:type="pct"/>
                              </w:tcPr>
                              <w:p>
                                <w:pPr>
                                  <w:jc w:val="center"/>
                                  <w:rPr>
                                    <w:rFonts w:ascii="Arial" w:hAnsi="Arial" w:cs="Arial"/>
                                    <w:sz w:val="22"/>
                                    <w:szCs w:val="22"/>
                                  </w:rPr>
                                </w:pPr>
                                <w:r>
                                  <w:rPr>
                                    <w:rFonts w:ascii="Arial" w:hAnsi="Arial" w:cs="Arial"/>
                                    <w:sz w:val="22"/>
                                    <w:szCs w:val="22"/>
                                  </w:rPr>
                                  <w:t>1923,3</w:t>
                                </w:r>
                              </w:p>
                            </w:tc>
                            <w:tc>
                              <w:tcPr>
                                <w:tcW w:w="501" w:type="pct"/>
                              </w:tcPr>
                              <w:p>
                                <w:pPr>
                                  <w:jc w:val="center"/>
                                  <w:rPr>
                                    <w:rFonts w:ascii="Arial" w:hAnsi="Arial" w:cs="Arial"/>
                                    <w:sz w:val="22"/>
                                    <w:szCs w:val="22"/>
                                  </w:rPr>
                                </w:pPr>
                                <w:r>
                                  <w:rPr>
                                    <w:rFonts w:ascii="Arial" w:hAnsi="Arial" w:cs="Arial"/>
                                    <w:sz w:val="22"/>
                                    <w:szCs w:val="22"/>
                                  </w:rPr>
                                  <w:t>1191,7</w:t>
                                </w:r>
                              </w:p>
                            </w:tc>
                            <w:tc>
                              <w:tcPr>
                                <w:tcW w:w="522" w:type="pct"/>
                              </w:tcPr>
                              <w:p>
                                <w:pPr>
                                  <w:jc w:val="center"/>
                                  <w:rPr>
                                    <w:rFonts w:ascii="Arial" w:hAnsi="Arial" w:cs="Arial"/>
                                    <w:sz w:val="22"/>
                                    <w:szCs w:val="22"/>
                                  </w:rPr>
                                </w:pPr>
                                <w:r>
                                  <w:rPr>
                                    <w:rFonts w:ascii="Arial" w:hAnsi="Arial" w:cs="Arial"/>
                                    <w:sz w:val="22"/>
                                    <w:szCs w:val="22"/>
                                  </w:rPr>
                                  <w:t>490,3</w:t>
                                </w:r>
                              </w:p>
                            </w:tc>
                            <w:tc>
                              <w:tcPr>
                                <w:tcW w:w="501" w:type="pct"/>
                              </w:tcPr>
                              <w:p>
                                <w:pPr>
                                  <w:jc w:val="center"/>
                                  <w:rPr>
                                    <w:rFonts w:ascii="Arial" w:hAnsi="Arial" w:cs="Arial"/>
                                    <w:b/>
                                    <w:bCs/>
                                    <w:sz w:val="22"/>
                                    <w:szCs w:val="22"/>
                                  </w:rPr>
                                </w:pPr>
                                <w:r>
                                  <w:rPr>
                                    <w:rFonts w:ascii="Arial" w:hAnsi="Arial" w:cs="Arial"/>
                                    <w:sz w:val="22"/>
                                    <w:szCs w:val="22"/>
                                  </w:rPr>
                                  <w:t>5392,8</w:t>
                                </w:r>
                              </w:p>
                            </w:tc>
                          </w:tr>
                          <w:tr>
                            <w:trPr>
                              <w:trHeight w:val="20"/>
                              <w:jc w:val="center"/>
                            </w:trPr>
                            <w:tc>
                              <w:tcPr>
                                <w:tcW w:w="1286" w:type="pct"/>
                              </w:tcPr>
                              <w:p>
                                <w:pPr>
                                  <w:rPr>
                                    <w:rFonts w:ascii="Arial" w:hAnsi="Arial" w:cs="Arial"/>
                                    <w:sz w:val="20"/>
                                  </w:rPr>
                                </w:pPr>
                                <w:r>
                                  <w:rPr>
                                    <w:rFonts w:ascii="Arial" w:hAnsi="Arial" w:cs="Arial"/>
                                    <w:color w:val="000000"/>
                                    <w:sz w:val="20"/>
                                    <w:lang w:eastAsia="lt-LT"/>
                                  </w:rPr>
                                  <w:t>Aplinkos šiluminė energija (šilumos siurbliai)</w:t>
                                </w:r>
                              </w:p>
                            </w:tc>
                            <w:tc>
                              <w:tcPr>
                                <w:tcW w:w="608" w:type="pct"/>
                              </w:tcPr>
                              <w:p>
                                <w:pPr>
                                  <w:jc w:val="center"/>
                                  <w:rPr>
                                    <w:rFonts w:ascii="Arial" w:hAnsi="Arial" w:cs="Arial"/>
                                    <w:color w:val="000000"/>
                                    <w:sz w:val="22"/>
                                    <w:szCs w:val="22"/>
                                  </w:rPr>
                                </w:pPr>
                              </w:p>
                            </w:tc>
                            <w:tc>
                              <w:tcPr>
                                <w:tcW w:w="541" w:type="pct"/>
                              </w:tcPr>
                              <w:p>
                                <w:pPr>
                                  <w:jc w:val="center"/>
                                  <w:rPr>
                                    <w:rFonts w:ascii="Arial" w:hAnsi="Arial" w:cs="Arial"/>
                                    <w:color w:val="000000"/>
                                    <w:sz w:val="22"/>
                                    <w:szCs w:val="22"/>
                                  </w:rPr>
                                </w:pPr>
                              </w:p>
                            </w:tc>
                            <w:tc>
                              <w:tcPr>
                                <w:tcW w:w="540" w:type="pct"/>
                              </w:tcPr>
                              <w:p>
                                <w:pPr>
                                  <w:jc w:val="center"/>
                                  <w:rPr>
                                    <w:rFonts w:ascii="Arial" w:hAnsi="Arial" w:cs="Arial"/>
                                    <w:color w:val="000000"/>
                                    <w:sz w:val="22"/>
                                    <w:szCs w:val="22"/>
                                  </w:rPr>
                                </w:pPr>
                              </w:p>
                            </w:tc>
                            <w:tc>
                              <w:tcPr>
                                <w:tcW w:w="501" w:type="pct"/>
                              </w:tcPr>
                              <w:p>
                                <w:pPr>
                                  <w:jc w:val="center"/>
                                  <w:rPr>
                                    <w:rFonts w:ascii="Arial" w:hAnsi="Arial" w:cs="Arial"/>
                                    <w:color w:val="000000"/>
                                    <w:sz w:val="22"/>
                                    <w:szCs w:val="22"/>
                                  </w:rPr>
                                </w:pPr>
                                <w:r>
                                  <w:rPr>
                                    <w:rFonts w:ascii="Arial" w:hAnsi="Arial" w:cs="Arial"/>
                                    <w:sz w:val="22"/>
                                    <w:szCs w:val="22"/>
                                  </w:rPr>
                                  <w:t>392,7</w:t>
                                </w:r>
                              </w:p>
                            </w:tc>
                            <w:tc>
                              <w:tcPr>
                                <w:tcW w:w="501" w:type="pct"/>
                              </w:tcPr>
                              <w:p>
                                <w:pPr>
                                  <w:jc w:val="center"/>
                                  <w:rPr>
                                    <w:rFonts w:ascii="Arial" w:hAnsi="Arial" w:cs="Arial"/>
                                    <w:color w:val="000000"/>
                                    <w:sz w:val="22"/>
                                    <w:szCs w:val="22"/>
                                  </w:rPr>
                                </w:pPr>
                              </w:p>
                            </w:tc>
                            <w:tc>
                              <w:tcPr>
                                <w:tcW w:w="522" w:type="pct"/>
                              </w:tcPr>
                              <w:p>
                                <w:pPr>
                                  <w:jc w:val="center"/>
                                  <w:rPr>
                                    <w:rFonts w:ascii="Arial" w:hAnsi="Arial" w:cs="Arial"/>
                                    <w:color w:val="000000"/>
                                    <w:sz w:val="22"/>
                                    <w:szCs w:val="22"/>
                                  </w:rPr>
                                </w:pPr>
                              </w:p>
                            </w:tc>
                            <w:tc>
                              <w:tcPr>
                                <w:tcW w:w="501" w:type="pct"/>
                              </w:tcPr>
                              <w:p>
                                <w:pPr>
                                  <w:jc w:val="center"/>
                                  <w:rPr>
                                    <w:rFonts w:ascii="Arial" w:hAnsi="Arial" w:cs="Arial"/>
                                    <w:b/>
                                    <w:bCs/>
                                    <w:color w:val="000000"/>
                                    <w:sz w:val="22"/>
                                    <w:szCs w:val="22"/>
                                  </w:rPr>
                                </w:pPr>
                                <w:r>
                                  <w:rPr>
                                    <w:rFonts w:ascii="Arial" w:hAnsi="Arial" w:cs="Arial"/>
                                    <w:sz w:val="22"/>
                                    <w:szCs w:val="22"/>
                                  </w:rPr>
                                  <w:t>392,7</w:t>
                                </w:r>
                              </w:p>
                            </w:tc>
                          </w:tr>
                          <w:tr>
                            <w:trPr>
                              <w:trHeight w:val="20"/>
                              <w:jc w:val="center"/>
                            </w:trPr>
                            <w:tc>
                              <w:tcPr>
                                <w:tcW w:w="1286" w:type="pct"/>
                              </w:tcPr>
                              <w:p>
                                <w:pPr>
                                  <w:rPr>
                                    <w:rFonts w:ascii="Arial" w:hAnsi="Arial" w:cs="Arial"/>
                                    <w:sz w:val="20"/>
                                  </w:rPr>
                                </w:pPr>
                                <w:r>
                                  <w:rPr>
                                    <w:rFonts w:ascii="Arial" w:hAnsi="Arial" w:cs="Arial"/>
                                    <w:color w:val="000000"/>
                                    <w:sz w:val="20"/>
                                    <w:lang w:eastAsia="lt-LT"/>
                                  </w:rPr>
                                  <w:t>Kitos kuro ir energijos rūšys</w:t>
                                </w:r>
                              </w:p>
                            </w:tc>
                            <w:tc>
                              <w:tcPr>
                                <w:tcW w:w="608" w:type="pct"/>
                              </w:tcPr>
                              <w:p>
                                <w:pPr>
                                  <w:jc w:val="center"/>
                                  <w:rPr>
                                    <w:rFonts w:ascii="Arial" w:hAnsi="Arial" w:cs="Arial"/>
                                    <w:color w:val="000000"/>
                                    <w:sz w:val="22"/>
                                    <w:szCs w:val="22"/>
                                  </w:rPr>
                                </w:pPr>
                              </w:p>
                            </w:tc>
                            <w:tc>
                              <w:tcPr>
                                <w:tcW w:w="541" w:type="pct"/>
                              </w:tcPr>
                              <w:p>
                                <w:pPr>
                                  <w:jc w:val="center"/>
                                  <w:rPr>
                                    <w:rFonts w:ascii="Arial" w:hAnsi="Arial" w:cs="Arial"/>
                                    <w:color w:val="000000"/>
                                    <w:sz w:val="22"/>
                                    <w:szCs w:val="22"/>
                                  </w:rPr>
                                </w:pPr>
                              </w:p>
                            </w:tc>
                            <w:tc>
                              <w:tcPr>
                                <w:tcW w:w="540" w:type="pct"/>
                              </w:tcPr>
                              <w:p>
                                <w:pPr>
                                  <w:jc w:val="center"/>
                                  <w:rPr>
                                    <w:rFonts w:ascii="Arial" w:hAnsi="Arial" w:cs="Arial"/>
                                    <w:color w:val="000000"/>
                                    <w:sz w:val="22"/>
                                    <w:szCs w:val="22"/>
                                  </w:rPr>
                                </w:pPr>
                              </w:p>
                            </w:tc>
                            <w:tc>
                              <w:tcPr>
                                <w:tcW w:w="501" w:type="pct"/>
                              </w:tcPr>
                              <w:p>
                                <w:pPr>
                                  <w:jc w:val="center"/>
                                  <w:rPr>
                                    <w:rFonts w:ascii="Arial" w:hAnsi="Arial" w:cs="Arial"/>
                                    <w:color w:val="000000"/>
                                    <w:sz w:val="22"/>
                                    <w:szCs w:val="22"/>
                                  </w:rPr>
                                </w:pPr>
                                <w:r>
                                  <w:rPr>
                                    <w:rFonts w:ascii="Arial" w:hAnsi="Arial" w:cs="Arial"/>
                                    <w:sz w:val="22"/>
                                    <w:szCs w:val="22"/>
                                  </w:rPr>
                                  <w:t>294,5</w:t>
                                </w:r>
                              </w:p>
                            </w:tc>
                            <w:tc>
                              <w:tcPr>
                                <w:tcW w:w="501" w:type="pct"/>
                              </w:tcPr>
                              <w:p>
                                <w:pPr>
                                  <w:jc w:val="center"/>
                                  <w:rPr>
                                    <w:rFonts w:ascii="Arial" w:hAnsi="Arial" w:cs="Arial"/>
                                    <w:color w:val="000000"/>
                                    <w:sz w:val="22"/>
                                    <w:szCs w:val="22"/>
                                  </w:rPr>
                                </w:pPr>
                              </w:p>
                            </w:tc>
                            <w:tc>
                              <w:tcPr>
                                <w:tcW w:w="522" w:type="pct"/>
                              </w:tcPr>
                              <w:p>
                                <w:pPr>
                                  <w:jc w:val="center"/>
                                  <w:rPr>
                                    <w:rFonts w:ascii="Arial" w:hAnsi="Arial" w:cs="Arial"/>
                                    <w:color w:val="000000"/>
                                    <w:sz w:val="22"/>
                                    <w:szCs w:val="22"/>
                                  </w:rPr>
                                </w:pPr>
                              </w:p>
                            </w:tc>
                            <w:tc>
                              <w:tcPr>
                                <w:tcW w:w="501" w:type="pct"/>
                              </w:tcPr>
                              <w:p>
                                <w:pPr>
                                  <w:jc w:val="center"/>
                                  <w:rPr>
                                    <w:rFonts w:ascii="Arial" w:hAnsi="Arial" w:cs="Arial"/>
                                    <w:b/>
                                    <w:bCs/>
                                    <w:color w:val="000000"/>
                                    <w:sz w:val="22"/>
                                    <w:szCs w:val="22"/>
                                  </w:rPr>
                                </w:pPr>
                                <w:r>
                                  <w:rPr>
                                    <w:rFonts w:ascii="Arial" w:hAnsi="Arial" w:cs="Arial"/>
                                    <w:sz w:val="22"/>
                                    <w:szCs w:val="22"/>
                                  </w:rPr>
                                  <w:t>294,5</w:t>
                                </w:r>
                              </w:p>
                            </w:tc>
                          </w:tr>
                          <w:tr>
                            <w:trPr>
                              <w:trHeight w:val="20"/>
                              <w:jc w:val="center"/>
                            </w:trPr>
                            <w:tc>
                              <w:tcPr>
                                <w:tcW w:w="1286" w:type="pct"/>
                              </w:tcPr>
                              <w:p>
                                <w:pPr>
                                  <w:rPr>
                                    <w:rFonts w:ascii="Arial" w:hAnsi="Arial" w:cs="Arial"/>
                                    <w:sz w:val="20"/>
                                  </w:rPr>
                                </w:pPr>
                                <w:r>
                                  <w:rPr>
                                    <w:rFonts w:ascii="Arial" w:hAnsi="Arial" w:cs="Arial"/>
                                    <w:sz w:val="20"/>
                                  </w:rPr>
                                  <w:t>Šilumos energija</w:t>
                                </w:r>
                                <w:r>
                                  <w:rPr>
                                    <w:rFonts w:ascii="Arial" w:hAnsi="Arial" w:cs="Arial"/>
                                    <w:sz w:val="20"/>
                                    <w:vertAlign w:val="superscript"/>
                                  </w:rPr>
                                  <w:footnoteReference w:id="10"/>
                                </w:r>
                                <w:r>
                                  <w:rPr>
                                    <w:rFonts w:ascii="Arial" w:hAnsi="Arial" w:cs="Arial"/>
                                    <w:sz w:val="20"/>
                                  </w:rPr>
                                  <w:t xml:space="preserve"> </w:t>
                                </w:r>
                              </w:p>
                            </w:tc>
                            <w:tc>
                              <w:tcPr>
                                <w:tcW w:w="608" w:type="pct"/>
                              </w:tcPr>
                              <w:p>
                                <w:pPr>
                                  <w:jc w:val="center"/>
                                  <w:rPr>
                                    <w:rFonts w:ascii="Arial" w:hAnsi="Arial" w:cs="Arial"/>
                                    <w:sz w:val="22"/>
                                    <w:szCs w:val="22"/>
                                  </w:rPr>
                                </w:pPr>
                              </w:p>
                            </w:tc>
                            <w:tc>
                              <w:tcPr>
                                <w:tcW w:w="541" w:type="pct"/>
                              </w:tcPr>
                              <w:p>
                                <w:pPr>
                                  <w:jc w:val="center"/>
                                  <w:rPr>
                                    <w:rFonts w:ascii="Arial" w:hAnsi="Arial" w:cs="Arial"/>
                                    <w:sz w:val="22"/>
                                    <w:szCs w:val="22"/>
                                  </w:rPr>
                                </w:pPr>
                                <w:r>
                                  <w:rPr>
                                    <w:rFonts w:ascii="Arial" w:hAnsi="Arial" w:cs="Arial"/>
                                    <w:sz w:val="22"/>
                                    <w:szCs w:val="22"/>
                                  </w:rPr>
                                  <w:t>0,0</w:t>
                                </w:r>
                              </w:p>
                            </w:tc>
                            <w:tc>
                              <w:tcPr>
                                <w:tcW w:w="540" w:type="pct"/>
                              </w:tcPr>
                              <w:p>
                                <w:pPr>
                                  <w:jc w:val="center"/>
                                  <w:rPr>
                                    <w:rFonts w:ascii="Arial" w:hAnsi="Arial" w:cs="Arial"/>
                                    <w:sz w:val="22"/>
                                    <w:szCs w:val="22"/>
                                  </w:rPr>
                                </w:pPr>
                              </w:p>
                            </w:tc>
                            <w:tc>
                              <w:tcPr>
                                <w:tcW w:w="501" w:type="pct"/>
                              </w:tcPr>
                              <w:p>
                                <w:pPr>
                                  <w:jc w:val="center"/>
                                  <w:rPr>
                                    <w:rFonts w:ascii="Arial" w:hAnsi="Arial" w:cs="Arial"/>
                                    <w:sz w:val="22"/>
                                    <w:szCs w:val="22"/>
                                  </w:rPr>
                                </w:pPr>
                                <w:r>
                                  <w:rPr>
                                    <w:rFonts w:ascii="Arial" w:hAnsi="Arial" w:cs="Arial"/>
                                    <w:sz w:val="22"/>
                                    <w:szCs w:val="22"/>
                                  </w:rPr>
                                  <w:t>1208,8</w:t>
                                </w:r>
                              </w:p>
                            </w:tc>
                            <w:tc>
                              <w:tcPr>
                                <w:tcW w:w="501" w:type="pct"/>
                              </w:tcPr>
                              <w:p>
                                <w:pPr>
                                  <w:jc w:val="center"/>
                                  <w:rPr>
                                    <w:rFonts w:ascii="Arial" w:hAnsi="Arial" w:cs="Arial"/>
                                    <w:sz w:val="22"/>
                                    <w:szCs w:val="22"/>
                                  </w:rPr>
                                </w:pPr>
                                <w:r>
                                  <w:rPr>
                                    <w:rFonts w:ascii="Arial" w:hAnsi="Arial" w:cs="Arial"/>
                                    <w:sz w:val="22"/>
                                    <w:szCs w:val="22"/>
                                  </w:rPr>
                                  <w:t>405,2</w:t>
                                </w:r>
                              </w:p>
                            </w:tc>
                            <w:tc>
                              <w:tcPr>
                                <w:tcW w:w="522" w:type="pct"/>
                              </w:tcPr>
                              <w:p>
                                <w:pPr>
                                  <w:jc w:val="center"/>
                                  <w:rPr>
                                    <w:rFonts w:ascii="Arial" w:hAnsi="Arial" w:cs="Arial"/>
                                    <w:sz w:val="22"/>
                                    <w:szCs w:val="22"/>
                                  </w:rPr>
                                </w:pPr>
                                <w:r>
                                  <w:rPr>
                                    <w:rFonts w:ascii="Arial" w:hAnsi="Arial" w:cs="Arial"/>
                                    <w:sz w:val="22"/>
                                    <w:szCs w:val="22"/>
                                  </w:rPr>
                                  <w:t>275,8</w:t>
                                </w:r>
                              </w:p>
                            </w:tc>
                            <w:tc>
                              <w:tcPr>
                                <w:tcW w:w="501" w:type="pct"/>
                              </w:tcPr>
                              <w:p>
                                <w:pPr>
                                  <w:jc w:val="center"/>
                                  <w:rPr>
                                    <w:rFonts w:ascii="Arial" w:hAnsi="Arial" w:cs="Arial"/>
                                    <w:b/>
                                    <w:bCs/>
                                    <w:sz w:val="22"/>
                                    <w:szCs w:val="22"/>
                                  </w:rPr>
                                </w:pPr>
                                <w:r>
                                  <w:rPr>
                                    <w:rFonts w:ascii="Arial" w:hAnsi="Arial" w:cs="Arial"/>
                                    <w:sz w:val="22"/>
                                    <w:szCs w:val="22"/>
                                  </w:rPr>
                                  <w:t>1889,8</w:t>
                                </w:r>
                              </w:p>
                            </w:tc>
                          </w:tr>
                          <w:tr>
                            <w:trPr>
                              <w:trHeight w:val="20"/>
                              <w:jc w:val="center"/>
                            </w:trPr>
                            <w:tc>
                              <w:tcPr>
                                <w:tcW w:w="1286" w:type="pct"/>
                              </w:tcPr>
                              <w:p>
                                <w:pPr>
                                  <w:jc w:val="both"/>
                                  <w:rPr>
                                    <w:rFonts w:ascii="Arial" w:hAnsi="Arial" w:cs="Arial"/>
                                    <w:b/>
                                    <w:bCs/>
                                    <w:sz w:val="20"/>
                                  </w:rPr>
                                </w:pPr>
                                <w:r>
                                  <w:rPr>
                                    <w:rFonts w:ascii="Arial" w:hAnsi="Arial" w:cs="Arial"/>
                                    <w:b/>
                                    <w:bCs/>
                                    <w:sz w:val="20"/>
                                  </w:rPr>
                                  <w:t>Iš viso</w:t>
                                </w:r>
                              </w:p>
                            </w:tc>
                            <w:tc>
                              <w:tcPr>
                                <w:tcW w:w="608" w:type="pct"/>
                              </w:tcPr>
                              <w:p>
                                <w:pPr>
                                  <w:jc w:val="center"/>
                                  <w:rPr>
                                    <w:rFonts w:ascii="Arial" w:hAnsi="Arial" w:cs="Arial"/>
                                    <w:b/>
                                    <w:bCs/>
                                    <w:sz w:val="22"/>
                                    <w:szCs w:val="22"/>
                                  </w:rPr>
                                </w:pPr>
                                <w:r>
                                  <w:rPr>
                                    <w:rFonts w:ascii="Arial" w:hAnsi="Arial" w:cs="Arial"/>
                                    <w:b/>
                                    <w:bCs/>
                                    <w:sz w:val="22"/>
                                    <w:szCs w:val="22"/>
                                  </w:rPr>
                                  <w:t>472,5</w:t>
                                </w:r>
                              </w:p>
                            </w:tc>
                            <w:tc>
                              <w:tcPr>
                                <w:tcW w:w="541" w:type="pct"/>
                              </w:tcPr>
                              <w:p>
                                <w:pPr>
                                  <w:jc w:val="center"/>
                                  <w:rPr>
                                    <w:rFonts w:ascii="Arial" w:hAnsi="Arial" w:cs="Arial"/>
                                    <w:b/>
                                    <w:bCs/>
                                    <w:sz w:val="22"/>
                                    <w:szCs w:val="22"/>
                                  </w:rPr>
                                </w:pPr>
                                <w:r>
                                  <w:rPr>
                                    <w:rFonts w:ascii="Arial" w:hAnsi="Arial" w:cs="Arial"/>
                                    <w:b/>
                                    <w:bCs/>
                                    <w:sz w:val="22"/>
                                    <w:szCs w:val="22"/>
                                  </w:rPr>
                                  <w:t>2667,0</w:t>
                                </w:r>
                              </w:p>
                            </w:tc>
                            <w:tc>
                              <w:tcPr>
                                <w:tcW w:w="540" w:type="pct"/>
                              </w:tcPr>
                              <w:p>
                                <w:pPr>
                                  <w:jc w:val="center"/>
                                  <w:rPr>
                                    <w:rFonts w:ascii="Arial" w:hAnsi="Arial" w:cs="Arial"/>
                                    <w:b/>
                                    <w:bCs/>
                                    <w:sz w:val="22"/>
                                    <w:szCs w:val="22"/>
                                  </w:rPr>
                                </w:pPr>
                                <w:r>
                                  <w:rPr>
                                    <w:rFonts w:ascii="Arial" w:hAnsi="Arial" w:cs="Arial"/>
                                    <w:b/>
                                    <w:bCs/>
                                    <w:sz w:val="22"/>
                                    <w:szCs w:val="22"/>
                                  </w:rPr>
                                  <w:t>375,3</w:t>
                                </w:r>
                              </w:p>
                            </w:tc>
                            <w:tc>
                              <w:tcPr>
                                <w:tcW w:w="501" w:type="pct"/>
                              </w:tcPr>
                              <w:p>
                                <w:pPr>
                                  <w:jc w:val="center"/>
                                  <w:rPr>
                                    <w:rFonts w:ascii="Arial" w:hAnsi="Arial" w:cs="Arial"/>
                                    <w:b/>
                                    <w:bCs/>
                                    <w:sz w:val="22"/>
                                    <w:szCs w:val="22"/>
                                  </w:rPr>
                                </w:pPr>
                                <w:r>
                                  <w:rPr>
                                    <w:rFonts w:ascii="Arial" w:hAnsi="Arial" w:cs="Arial"/>
                                    <w:b/>
                                    <w:bCs/>
                                    <w:sz w:val="22"/>
                                    <w:szCs w:val="22"/>
                                  </w:rPr>
                                  <w:t>13407,8</w:t>
                                </w:r>
                              </w:p>
                            </w:tc>
                            <w:tc>
                              <w:tcPr>
                                <w:tcW w:w="501" w:type="pct"/>
                              </w:tcPr>
                              <w:p>
                                <w:pPr>
                                  <w:jc w:val="center"/>
                                  <w:rPr>
                                    <w:rFonts w:ascii="Arial" w:hAnsi="Arial" w:cs="Arial"/>
                                    <w:b/>
                                    <w:bCs/>
                                    <w:color w:val="000000"/>
                                    <w:sz w:val="22"/>
                                    <w:szCs w:val="22"/>
                                  </w:rPr>
                                </w:pPr>
                                <w:r>
                                  <w:rPr>
                                    <w:rFonts w:ascii="Arial" w:hAnsi="Arial" w:cs="Arial"/>
                                    <w:b/>
                                    <w:bCs/>
                                    <w:sz w:val="22"/>
                                    <w:szCs w:val="22"/>
                                  </w:rPr>
                                  <w:t>2105,4</w:t>
                                </w:r>
                              </w:p>
                            </w:tc>
                            <w:tc>
                              <w:tcPr>
                                <w:tcW w:w="522" w:type="pct"/>
                              </w:tcPr>
                              <w:p>
                                <w:pPr>
                                  <w:jc w:val="center"/>
                                  <w:rPr>
                                    <w:rFonts w:ascii="Arial" w:hAnsi="Arial" w:cs="Arial"/>
                                    <w:b/>
                                    <w:bCs/>
                                    <w:sz w:val="22"/>
                                    <w:szCs w:val="22"/>
                                  </w:rPr>
                                </w:pPr>
                                <w:r>
                                  <w:rPr>
                                    <w:rFonts w:ascii="Arial" w:hAnsi="Arial" w:cs="Arial"/>
                                    <w:b/>
                                    <w:bCs/>
                                    <w:sz w:val="22"/>
                                    <w:szCs w:val="22"/>
                                  </w:rPr>
                                  <w:t>766,1</w:t>
                                </w:r>
                              </w:p>
                            </w:tc>
                            <w:tc>
                              <w:tcPr>
                                <w:tcW w:w="501" w:type="pct"/>
                              </w:tcPr>
                              <w:p>
                                <w:pPr>
                                  <w:jc w:val="center"/>
                                  <w:rPr>
                                    <w:rFonts w:ascii="Arial" w:hAnsi="Arial" w:cs="Arial"/>
                                    <w:b/>
                                    <w:bCs/>
                                    <w:sz w:val="22"/>
                                    <w:szCs w:val="22"/>
                                  </w:rPr>
                                </w:pPr>
                                <w:r>
                                  <w:rPr>
                                    <w:rFonts w:ascii="Arial" w:hAnsi="Arial" w:cs="Arial"/>
                                    <w:b/>
                                    <w:bCs/>
                                    <w:sz w:val="22"/>
                                    <w:szCs w:val="22"/>
                                  </w:rPr>
                                  <w:t>19794,0</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Kuro ir energijos sąnaudos pagal vartojimo sektorius yra pateiktos sekančiuose paveiksluose. Daugiausia energijos išteklių Joniškio rajono savivaldybėje suvartojama namų ūkiuose (70,5 proc.) ir pramonės (14,0 proc.) sektoriuje.</w:t>
                          </w:r>
                        </w:p>
                        <w:p>
                          <w:pPr>
                            <w:rPr>
                              <w:sz w:val="14"/>
                              <w:szCs w:val="14"/>
                            </w:rPr>
                          </w:pPr>
                        </w:p>
                        <w:p>
                          <w:pPr>
                            <w:spacing w:line="259" w:lineRule="auto"/>
                            <w:ind w:firstLine="567"/>
                            <w:jc w:val="both"/>
                            <w:rPr>
                              <w:rFonts w:ascii="Arial" w:hAnsi="Arial" w:cs="Arial"/>
                              <w:sz w:val="22"/>
                            </w:rPr>
                          </w:pPr>
                          <w:r>
                            <w:rPr>
                              <w:rFonts w:ascii="Arial" w:hAnsi="Arial" w:cs="Arial"/>
                              <w:sz w:val="22"/>
                            </w:rPr>
                            <w:t>Pagal naudojamas kuro rūšis, daugiausia savivaldybėje suvartojama biokuro, kuris tarp visų kuro rūšių sudaro 49,8 proc., taip elektros energija, kuri bendrame suvartojimo balanse sudaro 30,1 proc.</w:t>
                          </w:r>
                        </w:p>
                        <w:p>
                          <w:pPr>
                            <w:rPr>
                              <w:sz w:val="14"/>
                              <w:szCs w:val="14"/>
                            </w:rPr>
                          </w:pPr>
                        </w:p>
                        <w:p>
                          <w:pPr>
                            <w:spacing w:line="259" w:lineRule="auto"/>
                            <w:ind w:firstLine="567"/>
                            <w:jc w:val="both"/>
                            <w:rPr>
                              <w:rFonts w:ascii="Arial" w:hAnsi="Arial" w:cs="Arial"/>
                              <w:sz w:val="22"/>
                            </w:rPr>
                          </w:pPr>
                        </w:p>
                        <w:p>
                          <w:pPr>
                            <w:rPr>
                              <w:sz w:val="14"/>
                              <w:szCs w:val="14"/>
                            </w:rPr>
                          </w:pPr>
                        </w:p>
                        <w:p>
                          <w:pPr>
                            <w:spacing w:line="259" w:lineRule="auto"/>
                            <w:rPr>
                              <w:rFonts w:ascii="Arial" w:hAnsi="Arial" w:cs="Arial"/>
                              <w:bCs/>
                              <w:i/>
                              <w:iCs/>
                              <w:sz w:val="20"/>
                            </w:rPr>
                          </w:pPr>
                          <w:r>
                            <w:rPr>
                              <w:rFonts w:ascii="Arial" w:hAnsi="Arial" w:cs="Arial"/>
                              <w:b/>
                              <w:bCs/>
                              <w:i/>
                              <w:iCs/>
                              <w:sz w:val="20"/>
                            </w:rPr>
                            <w:br w:type="page"/>
                          </w:r>
                        </w:p>
                        <w:p>
                          <w:pPr>
                            <w:rPr>
                              <w:sz w:val="14"/>
                              <w:szCs w:val="14"/>
                            </w:rPr>
                          </w:pPr>
                        </w:p>
                      </w:sdtContent>
                    </w:sdt>
                  </w:sdtContent>
                </w:sdt>
              </w:sdtContent>
            </w:sdt>
            <w:sdt>
              <w:sdtPr>
                <w:alias w:val="3 p."/>
                <w:tag w:val="part_b4fd029db13f42639a63f318333ac928"/>
                <w:lock w:val="sdtLocked"/>
                <w:richText/>
              </w:sdtPr>
              <w:sdtContent>
                <w:p>
                  <w:pPr>
                    <w:keepNext/>
                    <w:keepLines/>
                    <w:spacing w:line="259" w:lineRule="auto"/>
                    <w:jc w:val="center"/>
                    <w:rPr>
                      <w:rFonts w:ascii="Arial" w:hAnsi="Arial" w:cs="Arial"/>
                      <w:b/>
                      <w:caps/>
                      <w:color w:val="002060"/>
                      <w:sz w:val="28"/>
                      <w:szCs w:val="32"/>
                    </w:rPr>
                  </w:pPr>
                  <w:sdt>
                    <w:sdtPr>
                      <w:alias w:val="Numeris"/>
                      <w:tag w:val="nr_b4fd029db13f42639a63f318333ac928"/>
                      <w:lock w:val="sdtLocked"/>
                      <w:richText/>
                    </w:sdtPr>
                    <w:sdtContent>
                      <w:r>
                        <w:rPr>
                          <w:rFonts w:ascii="Arial" w:hAnsi="Arial" w:cs="Arial"/>
                          <w:b/>
                          <w:caps/>
                          <w:color w:val="002060"/>
                          <w:sz w:val="28"/>
                          <w:szCs w:val="32"/>
                        </w:rPr>
                        <w:t>3</w:t>
                      </w:r>
                    </w:sdtContent>
                  </w:sdt>
                  <w:r>
                    <w:rPr>
                      <w:rFonts w:ascii="Arial" w:hAnsi="Arial" w:cs="Arial"/>
                      <w:b/>
                      <w:caps/>
                      <w:color w:val="002060"/>
                      <w:sz w:val="28"/>
                      <w:szCs w:val="32"/>
                    </w:rPr>
                    <w:t>. AEI dalies energijos vartojime nustatymas</w:t>
                  </w:r>
                </w:p>
                <w:p>
                  <w:pPr>
                    <w:rPr>
                      <w:sz w:val="14"/>
                      <w:szCs w:val="14"/>
                    </w:rPr>
                  </w:pPr>
                </w:p>
                <w:p>
                  <w:pPr>
                    <w:spacing w:line="259" w:lineRule="auto"/>
                    <w:ind w:firstLine="567"/>
                    <w:jc w:val="both"/>
                    <w:rPr>
                      <w:rFonts w:ascii="Arial" w:hAnsi="Arial" w:cs="Arial"/>
                      <w:sz w:val="22"/>
                    </w:rPr>
                  </w:pPr>
                  <w:r>
                    <w:rPr>
                      <w:rFonts w:ascii="Arial" w:hAnsi="Arial" w:cs="Arial"/>
                      <w:sz w:val="22"/>
                    </w:rPr>
                    <w:t>Lietuva, tame tarpe ir Joniškio rajono savivaldybė ir toliau siekia būti ambicinga AEI srityje ir vykdo nuoseklią AEI plėtrą. AEI (hidroenergijos, vėjo, saulės, geoterminės energijos, kietojo biokuro (malkų ir medienos atliekų, šiaudų), biodujų, biodegalų, atsinaujinančių komunalinių atliekų) naudojimo skatinimas – vienas geriausių sprendimų patenkinti energijos poreikį, saugant gamtą ir jos išteklius.</w:t>
                  </w:r>
                  <w:r>
                    <w:rPr>
                      <w:rFonts w:ascii="Arial" w:hAnsi="Arial" w:cs="Arial"/>
                      <w:sz w:val="22"/>
                      <w:vertAlign w:val="superscript"/>
                    </w:rPr>
                    <w:footnoteReference w:id="11"/>
                  </w:r>
                </w:p>
                <w:p>
                  <w:pPr>
                    <w:rPr>
                      <w:sz w:val="14"/>
                      <w:szCs w:val="14"/>
                    </w:rPr>
                  </w:pPr>
                </w:p>
                <w:p>
                  <w:pPr>
                    <w:spacing w:line="259" w:lineRule="auto"/>
                    <w:ind w:firstLine="567"/>
                    <w:jc w:val="both"/>
                    <w:rPr>
                      <w:rFonts w:ascii="Arial" w:hAnsi="Arial" w:cs="Arial"/>
                      <w:i/>
                      <w:iCs/>
                      <w:sz w:val="22"/>
                    </w:rPr>
                  </w:pPr>
                  <w:r>
                    <w:rPr>
                      <w:rFonts w:ascii="Arial" w:hAnsi="Arial" w:cs="Arial"/>
                      <w:sz w:val="22"/>
                    </w:rPr>
                    <w:t>Pagrindinis Nacionalinės energetinės nepriklausomybės strategijos tikslas atsinaujinančių energijos išteklių srityje – toliau didinti atsinaujinančių energijos išteklių dalį Lietuvos vidaus energijos gamyboje ir galutiniame energijos suvartojimo balanse, taip mažinant priklausomybę nuo iškastinio kuro importo ir didinant vietinės elektros energijos gamybos pajėgumus.</w:t>
                  </w:r>
                  <w:r>
                    <w:rPr>
                      <w:rFonts w:ascii="Arial" w:hAnsi="Arial" w:cs="Arial"/>
                      <w:sz w:val="22"/>
                      <w:vertAlign w:val="superscript"/>
                    </w:rPr>
                    <w:footnoteReference w:id="12"/>
                  </w:r>
                  <w:r>
                    <w:rPr>
                      <w:rFonts w:ascii="Arial" w:hAnsi="Arial" w:cs="Arial"/>
                      <w:sz w:val="22"/>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Nors atsinaujinančių energijos išteklių technologijos nuolat tobulėja, o įrangos kaina mažėja, iš atsinaujinančių energijos išteklių pagaminta energija, gaminama naujai įrengtuose įrenginiuose, šiuo metu dar negali konkuruoti rinkoje, todėl energijos iš atsinaujinančių energijos išteklių gamyba yra skatinama ir tai bus tęsiama iki šaliai ekonomiškai ir techniškai priimtinos atsinaujinančių energijos išteklių plėtros ribos, orientuojantis į aktyvų energijos iš atsinaujinančių energijos išteklių gamintojų dalyvavimą rinkos sąlygomis arba kol energijos iš atsinaujinančių energijos išteklių gamyba pasieks rinkos kainą.</w:t>
                  </w:r>
                  <w:r>
                    <w:rPr>
                      <w:rFonts w:ascii="Arial" w:hAnsi="Arial" w:cs="Arial"/>
                      <w:sz w:val="22"/>
                      <w:vertAlign w:val="superscript"/>
                    </w:rPr>
                    <w:footnoteReference w:id="13"/>
                  </w:r>
                  <w:r>
                    <w:rPr>
                      <w:rFonts w:ascii="Arial" w:hAnsi="Arial" w:cs="Arial"/>
                      <w:sz w:val="22"/>
                    </w:rPr>
                    <w:t xml:space="preserve"> Bendrai įgyvendinant strateginį atsinaujinančių energijos išteklių tikslą, siekiama didinti atsinaujinančių energijos išteklių dalį, palyginti su šalies bendruoju galutiniu energijos suvartojimu: iki 2020 metų (30 proc.), iki 2030 metų (45 proc.) ir 2050 metų (80 proc.)  – energija iš atsinaujinančių energijos išteklių taps pagrindinė visuose – elektros, šilumos ir vėsumos energijos bei transporto – sektoriuose. Sekančiame paveiksle pateikiami detalizuoti, siekiami rezultatai Lietuvos energetikos sektoriuje 2020 ir 2030.</w:t>
                  </w:r>
                </w:p>
                <w:p>
                  <w:pPr>
                    <w:rPr>
                      <w:sz w:val="14"/>
                      <w:szCs w:val="14"/>
                    </w:rPr>
                  </w:pPr>
                </w:p>
                <w:p>
                  <w:pPr>
                    <w:spacing w:line="259" w:lineRule="auto"/>
                    <w:jc w:val="center"/>
                    <w:rPr>
                      <w:rFonts w:ascii="Arial" w:hAnsi="Arial" w:cs="Arial"/>
                      <w:sz w:val="22"/>
                      <w:szCs w:val="22"/>
                      <w:lang w:eastAsia="lt-LT"/>
                    </w:rPr>
                  </w:pPr>
                  <w:r>
                    <w:rPr>
                      <w:szCs w:val="24"/>
                      <w:lang w:val="en-US"/>
                    </w:rPr>
                    <w:drawing>
                      <wp:inline distT="0" distB="0" distL="0" distR="0" wp14:anchorId="58626116" wp14:editId="033269BD">
                        <wp:extent cx="4216793" cy="3489960"/>
                        <wp:effectExtent l="0" t="0" r="0" b="0"/>
                        <wp:docPr id="44" name="Paveikslėlis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229199" cy="3500228"/>
                                </a:xfrm>
                                <a:prstGeom prst="rect">
                                  <a:avLst/>
                                </a:prstGeom>
                              </pic:spPr>
                            </pic:pic>
                          </a:graphicData>
                        </a:graphic>
                      </wp:inline>
                    </w:drawing>
                  </w:r>
                </w:p>
                <w:p>
                  <w:pPr>
                    <w:rPr>
                      <w:sz w:val="14"/>
                      <w:szCs w:val="14"/>
                    </w:rPr>
                  </w:pPr>
                </w:p>
                <w:sdt>
                  <w:sdtPr>
                    <w:alias w:val="3.1 pp."/>
                    <w:tag w:val="part_286bf05777ae492791af142bfa3186a6"/>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286bf05777ae492791af142bfa3186a6"/>
                          <w:lock w:val="sdtLocked"/>
                          <w:richText/>
                        </w:sdtPr>
                        <w:sdtContent>
                          <w:r>
                            <w:rPr>
                              <w:rFonts w:ascii="Arial" w:eastAsia="Calibri" w:hAnsi="Arial" w:cs="Arial"/>
                              <w:b/>
                              <w:color w:val="002060"/>
                              <w:sz w:val="22"/>
                              <w:szCs w:val="22"/>
                            </w:rPr>
                            <w:t>3.1</w:t>
                          </w:r>
                        </w:sdtContent>
                      </w:sdt>
                      <w:r>
                        <w:rPr>
                          <w:rFonts w:ascii="Arial" w:eastAsia="Calibri" w:hAnsi="Arial" w:cs="Arial"/>
                          <w:b/>
                          <w:color w:val="002060"/>
                          <w:sz w:val="22"/>
                          <w:szCs w:val="22"/>
                        </w:rPr>
                        <w:t>. pav. Lietuvos energetikos sektoriuje 2020 ir 2030 metais siekiami tikslai</w:t>
                      </w:r>
                    </w:p>
                    <w:p>
                      <w:pPr>
                        <w:rPr>
                          <w:sz w:val="10"/>
                          <w:szCs w:val="10"/>
                        </w:rPr>
                      </w:pPr>
                    </w:p>
                    <w:p>
                      <w:pPr>
                        <w:spacing w:line="259" w:lineRule="auto"/>
                        <w:jc w:val="center"/>
                        <w:rPr>
                          <w:rFonts w:ascii="Arial" w:hAnsi="Arial" w:cs="Arial"/>
                          <w:i/>
                          <w:iCs/>
                          <w:sz w:val="18"/>
                          <w:szCs w:val="18"/>
                          <w:vertAlign w:val="superscript"/>
                          <w:lang w:eastAsia="lt-LT"/>
                        </w:rPr>
                      </w:pPr>
                      <w:r>
                        <w:rPr>
                          <w:rFonts w:ascii="Arial" w:hAnsi="Arial" w:cs="Arial"/>
                          <w:i/>
                          <w:iCs/>
                          <w:sz w:val="18"/>
                          <w:szCs w:val="18"/>
                          <w:lang w:eastAsia="lt-LT"/>
                        </w:rPr>
                        <w:t>Šaltinis: Lietuvos Respublikos Nacionalinė energetinės nepriklausomybės strategija</w:t>
                      </w:r>
                      <w:r>
                        <w:rPr>
                          <w:rFonts w:ascii="Arial" w:hAnsi="Arial" w:cs="Arial"/>
                          <w:i/>
                          <w:iCs/>
                          <w:sz w:val="18"/>
                          <w:szCs w:val="18"/>
                          <w:vertAlign w:val="superscript"/>
                          <w:lang w:eastAsia="lt-LT"/>
                        </w:rPr>
                        <w:t>20</w:t>
                      </w:r>
                    </w:p>
                    <w:p>
                      <w:pPr>
                        <w:rPr>
                          <w:sz w:val="14"/>
                          <w:szCs w:val="14"/>
                        </w:rPr>
                      </w:pPr>
                    </w:p>
                    <w:p>
                      <w:pPr>
                        <w:spacing w:line="259" w:lineRule="auto"/>
                        <w:ind w:firstLine="567"/>
                        <w:jc w:val="both"/>
                        <w:rPr>
                          <w:rFonts w:ascii="Arial" w:hAnsi="Arial" w:cs="Arial"/>
                          <w:sz w:val="22"/>
                        </w:rPr>
                      </w:pPr>
                      <w:r>
                        <w:rPr>
                          <w:rFonts w:ascii="Arial" w:hAnsi="Arial" w:cs="Arial"/>
                          <w:sz w:val="22"/>
                        </w:rPr>
                        <w:t>Energijos vartojimo efektyvumas gerina valstybės gyventojų finansinę būklę, didina verslo konkurencingumą, mažina išmetamų šiltnamio efektą sukeliančių dujų ir aplinkos oro teršalų kiekį, gerina aplinkos oro kokybę. Bus siekiama, kad energijos vartojimo efektyvumo didinimas taptų neatsiejama kasdienybės veikla tiek įmonėse, tiek pas galutinius vartotojus.</w:t>
                      </w:r>
                    </w:p>
                    <w:p>
                      <w:pPr>
                        <w:rPr>
                          <w:sz w:val="14"/>
                          <w:szCs w:val="14"/>
                        </w:rPr>
                      </w:pPr>
                    </w:p>
                    <w:p>
                      <w:pPr>
                        <w:spacing w:line="259" w:lineRule="auto"/>
                        <w:ind w:firstLine="567"/>
                        <w:jc w:val="both"/>
                        <w:rPr>
                          <w:rFonts w:ascii="Arial" w:hAnsi="Arial" w:cs="Arial"/>
                          <w:sz w:val="22"/>
                        </w:rPr>
                      </w:pPr>
                      <w:r>
                        <w:rPr>
                          <w:rFonts w:ascii="Arial" w:hAnsi="Arial" w:cs="Arial"/>
                          <w:sz w:val="22"/>
                        </w:rPr>
                        <w:t>Lietuvos Respublikos atsinaujinančių išteklių energetikos įstatyme įtvirtinta, kad savivaldybės rengia ir, suderinusios su Vyriausybe ar jos įgaliota institucija, tvirtina ir įgyvendina atsinaujinančių išteklių energijos naudojimo plėtros veiksmų planus; organizuodamos aprūpinimą šilumos energija savivaldybės teritorijoje, siekia, kad šilumos energijos gamybai būtų naudojami atsinaujinantys energijos ištekliai; siekia, kad viešajame transporte būtų naudojamos transporto priemonės, naudojančios atsinaujinančių išteklių energiją, elektromobiliai ir hibridinės transporto priemonės; kuria infrastruktūrą, reikalingą atsinaujinančių išteklių energiją ir elektros energiją naudojančių transporto priemonių naudojimo plėtrai; rengia ir įgyvendina visuomenės informavimo ir sąmoningumo ugdymo priemones, teikia konsultacijas ir rengia mokymo programas apie atsinaujinančių energijos išteklių plėtojimo ir naudojimo praktines galimybes ir naudą.</w:t>
                      </w:r>
                    </w:p>
                    <w:p>
                      <w:pPr>
                        <w:rPr>
                          <w:sz w:val="14"/>
                          <w:szCs w:val="14"/>
                        </w:rPr>
                      </w:pPr>
                    </w:p>
                    <w:p>
                      <w:pPr>
                        <w:spacing w:line="259" w:lineRule="auto"/>
                        <w:ind w:firstLine="567"/>
                        <w:jc w:val="both"/>
                        <w:rPr>
                          <w:rFonts w:ascii="Arial" w:hAnsi="Arial" w:cs="Arial"/>
                          <w:sz w:val="22"/>
                        </w:rPr>
                      </w:pPr>
                      <w:r>
                        <w:rPr>
                          <w:rFonts w:ascii="Arial" w:hAnsi="Arial" w:cs="Arial"/>
                          <w:sz w:val="22"/>
                        </w:rPr>
                        <w:t>Nacionalinį atsinaujinančių išteklių energijos naudojimo plėtros veiksmų planą pagal kompetenciją įgyvendina valstybės ir savivaldybių institucijos, įstaigos, įmonės, organizacijos ir privatūs subjektai.</w:t>
                      </w:r>
                    </w:p>
                    <w:p>
                      <w:pPr>
                        <w:rPr>
                          <w:sz w:val="14"/>
                          <w:szCs w:val="14"/>
                        </w:rPr>
                      </w:pPr>
                    </w:p>
                  </w:sdtContent>
                </w:sdt>
                <w:sdt>
                  <w:sdtPr>
                    <w:alias w:val="3.1 pp."/>
                    <w:tag w:val="part_7676e42ef6564f269aa894ffd7c63914"/>
                    <w:lock w:val="sdtLocked"/>
                    <w:richText/>
                  </w:sdtPr>
                  <w:sdtContent>
                    <w:p>
                      <w:pPr>
                        <w:spacing w:line="259" w:lineRule="auto"/>
                        <w:jc w:val="center"/>
                        <w:rPr>
                          <w:rFonts w:ascii="Arial" w:eastAsia="Calibri" w:hAnsi="Arial"/>
                          <w:b/>
                          <w:color w:val="002060"/>
                          <w:sz w:val="22"/>
                          <w:szCs w:val="32"/>
                        </w:rPr>
                      </w:pPr>
                      <w:sdt>
                        <w:sdtPr>
                          <w:alias w:val="Numeris"/>
                          <w:tag w:val="nr_7676e42ef6564f269aa894ffd7c63914"/>
                          <w:lock w:val="sdtLocked"/>
                          <w:richText/>
                        </w:sdtPr>
                        <w:sdtContent>
                          <w:r>
                            <w:rPr>
                              <w:rFonts w:ascii="Arial" w:eastAsia="Calibri" w:hAnsi="Arial"/>
                              <w:b/>
                              <w:color w:val="002060"/>
                              <w:sz w:val="22"/>
                              <w:szCs w:val="32"/>
                            </w:rPr>
                            <w:t>3.1</w:t>
                          </w:r>
                        </w:sdtContent>
                      </w:sdt>
                      <w:r>
                        <w:rPr>
                          <w:rFonts w:ascii="Arial" w:eastAsia="Calibri" w:hAnsi="Arial"/>
                          <w:b/>
                          <w:color w:val="002060"/>
                          <w:sz w:val="22"/>
                          <w:szCs w:val="32"/>
                        </w:rPr>
                        <w:t>. lentelė. Atsinaujinančių energijos išteklių dalis (proc.) suvartojime Lietuvoje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5097"/>
                        <w:gridCol w:w="717"/>
                        <w:gridCol w:w="717"/>
                        <w:gridCol w:w="717"/>
                        <w:gridCol w:w="717"/>
                        <w:gridCol w:w="717"/>
                        <w:gridCol w:w="717"/>
                      </w:tblGrid>
                      <w:tr>
                        <w:trPr>
                          <w:trHeight w:hRule="exact" w:val="284"/>
                          <w:jc w:val="center"/>
                        </w:trPr>
                        <w:tc>
                          <w:tcPr>
                            <w:tcW w:w="0" w:type="auto"/>
                            <w:noWrap/>
                            <w:hideMark/>
                          </w:tcPr>
                          <w:p>
                            <w:pPr>
                              <w:spacing w:line="259" w:lineRule="auto"/>
                              <w:jc w:val="both"/>
                              <w:rPr>
                                <w:rFonts w:ascii="Arial" w:hAnsi="Arial" w:cs="Arial"/>
                                <w:sz w:val="22"/>
                                <w:lang w:eastAsia="lt-LT"/>
                              </w:rPr>
                            </w:pP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2015</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2016</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2017</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2018</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2019</w:t>
                            </w:r>
                          </w:p>
                        </w:tc>
                        <w:tc>
                          <w:tcPr>
                            <w:tcW w:w="0" w:type="auto"/>
                          </w:tcPr>
                          <w:p>
                            <w:pPr>
                              <w:spacing w:line="259" w:lineRule="auto"/>
                              <w:jc w:val="center"/>
                              <w:rPr>
                                <w:rFonts w:ascii="Arial" w:hAnsi="Arial" w:cs="Arial"/>
                                <w:sz w:val="20"/>
                                <w:szCs w:val="16"/>
                                <w:lang w:eastAsia="lt-LT"/>
                              </w:rPr>
                            </w:pPr>
                            <w:r>
                              <w:rPr>
                                <w:rFonts w:ascii="Arial" w:hAnsi="Arial" w:cs="Arial"/>
                                <w:sz w:val="20"/>
                                <w:szCs w:val="16"/>
                                <w:lang w:eastAsia="lt-LT"/>
                              </w:rPr>
                              <w:t>2020</w:t>
                            </w:r>
                          </w:p>
                        </w:tc>
                      </w:tr>
                      <w:tr>
                        <w:trPr>
                          <w:trHeight w:hRule="exact" w:val="284"/>
                          <w:jc w:val="center"/>
                        </w:trPr>
                        <w:tc>
                          <w:tcPr>
                            <w:tcW w:w="0" w:type="auto"/>
                            <w:hideMark/>
                          </w:tcPr>
                          <w:p>
                            <w:pPr>
                              <w:spacing w:line="259" w:lineRule="auto"/>
                              <w:jc w:val="both"/>
                              <w:rPr>
                                <w:rFonts w:ascii="Arial" w:hAnsi="Arial" w:cs="Arial"/>
                                <w:sz w:val="20"/>
                                <w:lang w:eastAsia="lt-LT"/>
                              </w:rPr>
                            </w:pPr>
                            <w:r>
                              <w:rPr>
                                <w:rFonts w:ascii="Arial" w:hAnsi="Arial" w:cs="Arial"/>
                                <w:sz w:val="20"/>
                                <w:lang w:eastAsia="lt-LT"/>
                              </w:rPr>
                              <w:t>Bendrame galutiniame energijos suvartojime</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25,75</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25,61</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26,04</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25,51</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25,47</w:t>
                            </w:r>
                          </w:p>
                        </w:tc>
                        <w:tc>
                          <w:tcPr>
                            <w:tcW w:w="0" w:type="auto"/>
                          </w:tcPr>
                          <w:p>
                            <w:pPr>
                              <w:spacing w:line="259" w:lineRule="auto"/>
                              <w:jc w:val="center"/>
                              <w:rPr>
                                <w:rFonts w:ascii="Arial" w:hAnsi="Arial" w:cs="Arial"/>
                                <w:sz w:val="20"/>
                                <w:lang w:eastAsia="lt-LT"/>
                              </w:rPr>
                            </w:pPr>
                            <w:r>
                              <w:rPr>
                                <w:rFonts w:ascii="Arial" w:hAnsi="Arial" w:cs="Arial"/>
                                <w:sz w:val="20"/>
                                <w:lang w:eastAsia="lt-LT"/>
                              </w:rPr>
                              <w:t>27,36</w:t>
                            </w:r>
                          </w:p>
                        </w:tc>
                      </w:tr>
                      <w:tr>
                        <w:trPr>
                          <w:trHeight w:hRule="exact" w:val="284"/>
                          <w:jc w:val="center"/>
                        </w:trPr>
                        <w:tc>
                          <w:tcPr>
                            <w:tcW w:w="0" w:type="auto"/>
                            <w:hideMark/>
                          </w:tcPr>
                          <w:p>
                            <w:pPr>
                              <w:spacing w:line="259" w:lineRule="auto"/>
                              <w:jc w:val="both"/>
                              <w:rPr>
                                <w:rFonts w:ascii="Arial" w:hAnsi="Arial" w:cs="Arial"/>
                                <w:sz w:val="20"/>
                                <w:lang w:eastAsia="lt-LT"/>
                              </w:rPr>
                            </w:pPr>
                            <w:r>
                              <w:rPr>
                                <w:rFonts w:ascii="Arial" w:hAnsi="Arial" w:cs="Arial"/>
                                <w:sz w:val="20"/>
                                <w:lang w:eastAsia="lt-LT"/>
                              </w:rPr>
                              <w:t>Galutiniame energijos suvartojime šildymui ir aušinimui</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46,09</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46,57</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46,5</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46,02</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47,38</w:t>
                            </w:r>
                          </w:p>
                        </w:tc>
                        <w:tc>
                          <w:tcPr>
                            <w:tcW w:w="0" w:type="auto"/>
                          </w:tcPr>
                          <w:p>
                            <w:pPr>
                              <w:spacing w:line="259" w:lineRule="auto"/>
                              <w:jc w:val="center"/>
                              <w:rPr>
                                <w:rFonts w:ascii="Arial" w:hAnsi="Arial" w:cs="Arial"/>
                                <w:sz w:val="20"/>
                                <w:lang w:eastAsia="lt-LT"/>
                              </w:rPr>
                            </w:pPr>
                            <w:r>
                              <w:rPr>
                                <w:rFonts w:ascii="Arial" w:hAnsi="Arial" w:cs="Arial"/>
                                <w:sz w:val="20"/>
                                <w:lang w:eastAsia="lt-LT"/>
                              </w:rPr>
                              <w:t>50,23</w:t>
                            </w:r>
                          </w:p>
                        </w:tc>
                      </w:tr>
                      <w:tr>
                        <w:trPr>
                          <w:trHeight w:hRule="exact" w:val="284"/>
                          <w:jc w:val="center"/>
                        </w:trPr>
                        <w:tc>
                          <w:tcPr>
                            <w:tcW w:w="0" w:type="auto"/>
                            <w:hideMark/>
                          </w:tcPr>
                          <w:p>
                            <w:pPr>
                              <w:spacing w:line="259" w:lineRule="auto"/>
                              <w:jc w:val="both"/>
                              <w:rPr>
                                <w:rFonts w:ascii="Arial" w:hAnsi="Arial" w:cs="Arial"/>
                                <w:sz w:val="20"/>
                                <w:lang w:eastAsia="lt-LT"/>
                              </w:rPr>
                            </w:pPr>
                            <w:r>
                              <w:rPr>
                                <w:rFonts w:ascii="Arial" w:hAnsi="Arial" w:cs="Arial"/>
                                <w:sz w:val="20"/>
                                <w:lang w:eastAsia="lt-LT"/>
                              </w:rPr>
                              <w:t>Bendrame elektros energijos suvartojime</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15,55</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16,88</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18,25</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18,41</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18,79</w:t>
                            </w:r>
                          </w:p>
                        </w:tc>
                        <w:tc>
                          <w:tcPr>
                            <w:tcW w:w="0" w:type="auto"/>
                          </w:tcPr>
                          <w:p>
                            <w:pPr>
                              <w:spacing w:line="259" w:lineRule="auto"/>
                              <w:jc w:val="center"/>
                              <w:rPr>
                                <w:rFonts w:ascii="Arial" w:hAnsi="Arial" w:cs="Arial"/>
                                <w:sz w:val="20"/>
                                <w:lang w:eastAsia="lt-LT"/>
                              </w:rPr>
                            </w:pPr>
                            <w:r>
                              <w:rPr>
                                <w:rFonts w:ascii="Arial" w:hAnsi="Arial" w:cs="Arial"/>
                                <w:sz w:val="20"/>
                                <w:lang w:eastAsia="lt-LT"/>
                              </w:rPr>
                              <w:t>20,17</w:t>
                            </w:r>
                          </w:p>
                        </w:tc>
                      </w:tr>
                      <w:tr>
                        <w:trPr>
                          <w:trHeight w:hRule="exact" w:val="284"/>
                          <w:jc w:val="center"/>
                        </w:trPr>
                        <w:tc>
                          <w:tcPr>
                            <w:tcW w:w="0" w:type="auto"/>
                            <w:hideMark/>
                          </w:tcPr>
                          <w:p>
                            <w:pPr>
                              <w:spacing w:line="259" w:lineRule="auto"/>
                              <w:jc w:val="both"/>
                              <w:rPr>
                                <w:rFonts w:ascii="Arial" w:hAnsi="Arial" w:cs="Arial"/>
                                <w:sz w:val="20"/>
                                <w:lang w:eastAsia="lt-LT"/>
                              </w:rPr>
                            </w:pPr>
                            <w:r>
                              <w:rPr>
                                <w:rFonts w:ascii="Arial" w:hAnsi="Arial" w:cs="Arial"/>
                                <w:sz w:val="20"/>
                                <w:lang w:eastAsia="lt-LT"/>
                              </w:rPr>
                              <w:t>Galutiniame energijos suvartojime transporto sektoriuje</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4,56</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3,63</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4,29</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4,33</w:t>
                            </w:r>
                          </w:p>
                        </w:tc>
                        <w:tc>
                          <w:tcPr>
                            <w:tcW w:w="0" w:type="auto"/>
                            <w:hideMark/>
                          </w:tcPr>
                          <w:p>
                            <w:pPr>
                              <w:spacing w:line="259" w:lineRule="auto"/>
                              <w:jc w:val="center"/>
                              <w:rPr>
                                <w:rFonts w:ascii="Arial" w:hAnsi="Arial" w:cs="Arial"/>
                                <w:sz w:val="20"/>
                                <w:lang w:eastAsia="lt-LT"/>
                              </w:rPr>
                            </w:pPr>
                            <w:r>
                              <w:rPr>
                                <w:rFonts w:ascii="Arial" w:hAnsi="Arial" w:cs="Arial"/>
                                <w:sz w:val="20"/>
                                <w:lang w:eastAsia="lt-LT"/>
                              </w:rPr>
                              <w:t>4,04</w:t>
                            </w:r>
                          </w:p>
                        </w:tc>
                        <w:tc>
                          <w:tcPr>
                            <w:tcW w:w="0" w:type="auto"/>
                          </w:tcPr>
                          <w:p>
                            <w:pPr>
                              <w:spacing w:line="259" w:lineRule="auto"/>
                              <w:jc w:val="center"/>
                              <w:rPr>
                                <w:rFonts w:ascii="Arial" w:hAnsi="Arial" w:cs="Arial"/>
                                <w:sz w:val="20"/>
                                <w:lang w:eastAsia="lt-LT"/>
                              </w:rPr>
                            </w:pPr>
                            <w:r>
                              <w:rPr>
                                <w:rFonts w:ascii="Arial" w:hAnsi="Arial" w:cs="Arial"/>
                                <w:sz w:val="20"/>
                                <w:lang w:eastAsia="lt-LT"/>
                              </w:rPr>
                              <w:t>5,50</w:t>
                            </w:r>
                          </w:p>
                        </w:tc>
                      </w:tr>
                    </w:tbl>
                    <w:p>
                      <w:pPr>
                        <w:spacing w:line="259" w:lineRule="auto"/>
                        <w:ind w:firstLine="567"/>
                        <w:jc w:val="center"/>
                        <w:rPr>
                          <w:rFonts w:ascii="Arial" w:hAnsi="Arial" w:cs="Arial"/>
                          <w:i/>
                          <w:iCs/>
                          <w:sz w:val="18"/>
                          <w:szCs w:val="18"/>
                          <w:lang w:eastAsia="lt-LT"/>
                        </w:rPr>
                      </w:pPr>
                      <w:r>
                        <w:rPr>
                          <w:rFonts w:ascii="Arial" w:hAnsi="Arial" w:cs="Arial"/>
                          <w:i/>
                          <w:iCs/>
                          <w:sz w:val="18"/>
                          <w:szCs w:val="18"/>
                          <w:lang w:eastAsia="lt-LT"/>
                        </w:rPr>
                        <w:t>Šaltinis: Statistikos departamento duomenys</w:t>
                      </w:r>
                    </w:p>
                    <w:p>
                      <w:pPr>
                        <w:rPr>
                          <w:sz w:val="14"/>
                          <w:szCs w:val="14"/>
                        </w:rPr>
                      </w:pPr>
                    </w:p>
                    <w:p>
                      <w:pPr>
                        <w:spacing w:line="259" w:lineRule="auto"/>
                        <w:ind w:firstLine="567"/>
                        <w:jc w:val="both"/>
                        <w:rPr>
                          <w:rFonts w:ascii="Arial" w:hAnsi="Arial" w:cs="Arial"/>
                          <w:sz w:val="22"/>
                        </w:rPr>
                      </w:pPr>
                      <w:r>
                        <w:rPr>
                          <w:rFonts w:ascii="Arial" w:hAnsi="Arial" w:cs="Arial"/>
                          <w:sz w:val="22"/>
                        </w:rPr>
                        <w:t>Didinant AEI panaudojimą, reikšmingas vaidmuo įgyvendinimo procese neabejotinai priklauso savivaldybėms. Todėl sekančiose dalyse yra pateikiamas detalus Joniškio rajono savivaldybės AEI dalies energijos vartojime nustatymas ir su tuo susijusi situacijos analizė.</w:t>
                      </w:r>
                    </w:p>
                    <w:p>
                      <w:pPr>
                        <w:rPr>
                          <w:sz w:val="14"/>
                          <w:szCs w:val="14"/>
                        </w:rPr>
                      </w:pPr>
                    </w:p>
                  </w:sdtContent>
                </w:sdt>
                <w:sdt>
                  <w:sdtPr>
                    <w:alias w:val="3.1 pp."/>
                    <w:tag w:val="part_8f15526169b746628549327aa95c1275"/>
                    <w:lock w:val="sdtLocked"/>
                    <w:richText/>
                  </w:sdtPr>
                  <w:sdtContent>
                    <w:p>
                      <w:pPr>
                        <w:keepNext/>
                        <w:keepLines/>
                        <w:spacing w:line="259" w:lineRule="auto"/>
                        <w:jc w:val="center"/>
                        <w:outlineLvl w:val="1"/>
                        <w:rPr>
                          <w:rFonts w:ascii="Arial" w:hAnsi="Arial" w:cs="Arial"/>
                          <w:b/>
                          <w:color w:val="002060"/>
                          <w:szCs w:val="26"/>
                        </w:rPr>
                      </w:pPr>
                      <w:sdt>
                        <w:sdtPr>
                          <w:alias w:val="Numeris"/>
                          <w:tag w:val="nr_8f15526169b746628549327aa95c1275"/>
                          <w:lock w:val="sdtLocked"/>
                          <w:richText/>
                        </w:sdtPr>
                        <w:sdtContent>
                          <w:r>
                            <w:rPr>
                              <w:rFonts w:ascii="Arial" w:hAnsi="Arial" w:cs="Arial"/>
                              <w:b/>
                              <w:color w:val="002060"/>
                              <w:szCs w:val="26"/>
                            </w:rPr>
                            <w:t>3.1</w:t>
                          </w:r>
                        </w:sdtContent>
                      </w:sdt>
                      <w:r>
                        <w:rPr>
                          <w:rFonts w:ascii="Arial" w:hAnsi="Arial" w:cs="Arial"/>
                          <w:b/>
                          <w:color w:val="002060"/>
                          <w:szCs w:val="26"/>
                        </w:rPr>
                        <w:t>. AIE naudojimas centralizuoto šilumos tiekimo sistemoje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Duomenys apie UAB „Gren Joniškis” katilinėse gaminamos šilumos energijos tiekiamo į Joniškio rajono CŠT, naudojamo kuro pasiskirstymas pateiktas 1.4. skyriuje. Vertinant biokuro pajėgumų naudojimą šilumos gamybai Lietuvos savivaldybėse 2021 metais , paaiškėjo, kad optimalus biokuro pajėgumų panaudojimas yra ir Joniškio r. savivaldybėje.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Kaip jau buvo minėta 1.4. skyriuje UAB „Gren Joniškis“ savalaikiai įdiegė biokuro deginimo įrenginius ir veiksmingai juos naudoja. Siekiant užtikrinti patikimą šilumos tiekimą bei mažinti šilumos nuostolius, kasmet atliekami eksploatuojamų miesto šilumos tiekimo tinklų ruožų remontai ar atskirų šilumos tiekimo tinklų ruožų rekonstrukcijos, kurių metu keičiami šilumos tiekimo vamzdynai, panaudojant pramoniniu būdu izoliuotus vamzdžius. Ateityje UAB „Gren Joniškis“ yra nusimačiusi ambicingus tikslus dėl CŠT modernizavimo, siekiant didinti AIE dalį, bendrame balanse. Apie numatytas priemones iki 2030 metų plačiau pateikiama 8 skyriuje.. </w:t>
                      </w:r>
                    </w:p>
                    <w:p>
                      <w:pPr>
                        <w:rPr>
                          <w:sz w:val="14"/>
                          <w:szCs w:val="14"/>
                        </w:rPr>
                      </w:pPr>
                    </w:p>
                  </w:sdtContent>
                </w:sdt>
                <w:sdt>
                  <w:sdtPr>
                    <w:alias w:val="3.2 pp."/>
                    <w:tag w:val="part_cb70c5de1dbb42698af5d9376f63f2ce"/>
                    <w:lock w:val="sdtLocked"/>
                    <w:richText/>
                  </w:sdtPr>
                  <w:sdtContent>
                    <w:p>
                      <w:pPr>
                        <w:keepNext/>
                        <w:keepLines/>
                        <w:spacing w:line="259" w:lineRule="auto"/>
                        <w:jc w:val="center"/>
                        <w:outlineLvl w:val="1"/>
                        <w:rPr>
                          <w:rFonts w:ascii="Arial" w:hAnsi="Arial" w:cs="Arial"/>
                          <w:b/>
                          <w:color w:val="002060"/>
                          <w:szCs w:val="26"/>
                        </w:rPr>
                      </w:pPr>
                      <w:sdt>
                        <w:sdtPr>
                          <w:alias w:val="Numeris"/>
                          <w:tag w:val="nr_cb70c5de1dbb42698af5d9376f63f2ce"/>
                          <w:lock w:val="sdtLocked"/>
                          <w:richText/>
                        </w:sdtPr>
                        <w:sdtContent>
                          <w:r>
                            <w:rPr>
                              <w:rFonts w:ascii="Arial" w:hAnsi="Arial" w:cs="Arial"/>
                              <w:b/>
                              <w:color w:val="002060"/>
                              <w:szCs w:val="26"/>
                            </w:rPr>
                            <w:t>3.2</w:t>
                          </w:r>
                        </w:sdtContent>
                      </w:sdt>
                      <w:r>
                        <w:rPr>
                          <w:rFonts w:ascii="Arial" w:hAnsi="Arial" w:cs="Arial"/>
                          <w:b/>
                          <w:color w:val="002060"/>
                          <w:szCs w:val="26"/>
                        </w:rPr>
                        <w:t>. AEI naudojimas šildymui centralizuoto šilumos tiekimo sistemai nepriklausančiuose namų ūkiuose</w:t>
                      </w:r>
                    </w:p>
                    <w:p>
                      <w:pPr>
                        <w:rPr>
                          <w:sz w:val="14"/>
                          <w:szCs w:val="14"/>
                        </w:rPr>
                      </w:pPr>
                    </w:p>
                    <w:p>
                      <w:pPr>
                        <w:spacing w:line="259" w:lineRule="auto"/>
                        <w:ind w:firstLine="567"/>
                        <w:jc w:val="both"/>
                        <w:rPr>
                          <w:rFonts w:ascii="Arial" w:hAnsi="Arial" w:cs="Arial"/>
                          <w:sz w:val="22"/>
                        </w:rPr>
                      </w:pPr>
                      <w:r>
                        <w:rPr>
                          <w:rFonts w:ascii="Arial" w:hAnsi="Arial" w:cs="Arial"/>
                          <w:sz w:val="22"/>
                        </w:rPr>
                        <w:t>Vertinant AEI naudojimą šildymui CŠT nepriklausančiuose namų ūkiuose laikoma, kad būstai šildomi deginant įvairų kurą nuosavuose šildymo įrenginiuose bei naudojant elektros energiją. Bendras šilumos kiekis, sunaudojamas prie CŠT neprijungtuose namų ūkiuose, įvertintas 1.5.2. skyriuje. Bendros metinės šilumos energijos sąnaudos prie CŠT neprijungtuose namų ūkiuose sudaro 126 864,4 MWh (10 908,4 tne). Pagal vidutines Lietuvos namų ūkiuose suvartojamo kuro proporcijas, kurios pateiktos 1.5.2.1. lentelėje, apskaičiuoti įvairaus kuro sunaudojami kiekiai, Joniškio rajono savivaldybėje, pateikiami sekančioje lentelėje (žr. 3.2.1. lentelę).</w:t>
                      </w:r>
                    </w:p>
                    <w:p>
                      <w:pPr>
                        <w:rPr>
                          <w:sz w:val="14"/>
                          <w:szCs w:val="14"/>
                        </w:rPr>
                      </w:pPr>
                    </w:p>
                    <w:sdt>
                      <w:sdtPr>
                        <w:alias w:val="3.2.1 pp."/>
                        <w:tag w:val="part_c8b97187382c469d8a27105cc9dad84d"/>
                        <w:lock w:val="sdtLocked"/>
                        <w:richText/>
                      </w:sdtPr>
                      <w:sdtContent>
                        <w:p>
                          <w:pPr>
                            <w:spacing w:line="259" w:lineRule="auto"/>
                            <w:jc w:val="center"/>
                            <w:rPr>
                              <w:rFonts w:ascii="Arial" w:eastAsia="Calibri" w:hAnsi="Arial" w:cs="Arial"/>
                              <w:b/>
                              <w:color w:val="002060"/>
                              <w:sz w:val="22"/>
                              <w:szCs w:val="32"/>
                            </w:rPr>
                          </w:pPr>
                          <w:sdt>
                            <w:sdtPr>
                              <w:alias w:val="Numeris"/>
                              <w:tag w:val="nr_c8b97187382c469d8a27105cc9dad84d"/>
                              <w:lock w:val="sdtLocked"/>
                              <w:richText/>
                            </w:sdtPr>
                            <w:sdtContent>
                              <w:r>
                                <w:rPr>
                                  <w:rFonts w:ascii="Arial" w:eastAsia="Calibri" w:hAnsi="Arial" w:cs="Arial"/>
                                  <w:b/>
                                  <w:color w:val="002060"/>
                                  <w:sz w:val="22"/>
                                  <w:szCs w:val="32"/>
                                </w:rPr>
                                <w:t>3.2.1</w:t>
                              </w:r>
                            </w:sdtContent>
                          </w:sdt>
                          <w:r>
                            <w:rPr>
                              <w:rFonts w:ascii="Arial" w:eastAsia="Calibri" w:hAnsi="Arial" w:cs="Arial"/>
                              <w:b/>
                              <w:color w:val="002060"/>
                              <w:sz w:val="22"/>
                              <w:szCs w:val="32"/>
                            </w:rPr>
                            <w:t>. lentelė. Įvairių kuro rūšių sunaudojami energijos kiekiai Joniškio rajono savivaldybės namų ūkiuose, neprijungtuose prie centralizuoto šilumos tiekimo sistemos</w:t>
                          </w:r>
                        </w:p>
                        <w:p>
                          <w:pPr>
                            <w:rPr>
                              <w:sz w:val="10"/>
                              <w:szCs w:val="10"/>
                            </w:rPr>
                          </w:pPr>
                        </w:p>
                        <w:tbl>
                          <w:tblPr>
                            <w:tblW w:w="3678"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3298"/>
                            <w:gridCol w:w="2100"/>
                            <w:gridCol w:w="2101"/>
                          </w:tblGrid>
                          <w:tr>
                            <w:trPr>
                              <w:jc w:val="center"/>
                            </w:trPr>
                            <w:tc>
                              <w:tcPr>
                                <w:tcW w:w="3298" w:type="dxa"/>
                              </w:tcPr>
                              <w:p>
                                <w:pPr>
                                  <w:jc w:val="center"/>
                                  <w:rPr>
                                    <w:rFonts w:ascii="Arial" w:hAnsi="Arial" w:cs="Arial"/>
                                    <w:sz w:val="20"/>
                                    <w:szCs w:val="16"/>
                                  </w:rPr>
                                </w:pPr>
                                <w:r>
                                  <w:rPr>
                                    <w:rFonts w:ascii="Arial" w:hAnsi="Arial" w:cs="Arial"/>
                                    <w:sz w:val="20"/>
                                    <w:szCs w:val="16"/>
                                  </w:rPr>
                                  <w:t>Energijos išteklių rūšis</w:t>
                                </w:r>
                              </w:p>
                            </w:tc>
                            <w:tc>
                              <w:tcPr>
                                <w:tcW w:w="2100" w:type="dxa"/>
                              </w:tcPr>
                              <w:p>
                                <w:pPr>
                                  <w:jc w:val="center"/>
                                  <w:rPr>
                                    <w:rFonts w:ascii="Arial" w:hAnsi="Arial" w:cs="Arial"/>
                                    <w:sz w:val="20"/>
                                    <w:szCs w:val="16"/>
                                    <w:highlight w:val="yellow"/>
                                  </w:rPr>
                                </w:pPr>
                                <w:r>
                                  <w:rPr>
                                    <w:rFonts w:ascii="Arial" w:hAnsi="Arial" w:cs="Arial"/>
                                    <w:sz w:val="20"/>
                                    <w:szCs w:val="16"/>
                                  </w:rPr>
                                  <w:t>Bendros energijos sąnaudos, tne</w:t>
                                </w:r>
                              </w:p>
                            </w:tc>
                            <w:tc>
                              <w:tcPr>
                                <w:tcW w:w="2101" w:type="dxa"/>
                              </w:tcPr>
                              <w:p>
                                <w:pPr>
                                  <w:jc w:val="center"/>
                                  <w:rPr>
                                    <w:rFonts w:ascii="Arial" w:hAnsi="Arial" w:cs="Arial"/>
                                    <w:sz w:val="20"/>
                                    <w:szCs w:val="16"/>
                                  </w:rPr>
                                </w:pPr>
                                <w:r>
                                  <w:rPr>
                                    <w:rFonts w:ascii="Arial" w:hAnsi="Arial" w:cs="Arial"/>
                                    <w:sz w:val="20"/>
                                    <w:szCs w:val="16"/>
                                  </w:rPr>
                                  <w:t>AIE dalis, tne</w:t>
                                </w:r>
                              </w:p>
                            </w:tc>
                          </w:tr>
                          <w:tr>
                            <w:trPr>
                              <w:trHeight w:val="20"/>
                              <w:jc w:val="center"/>
                            </w:trPr>
                            <w:tc>
                              <w:tcPr>
                                <w:tcW w:w="3298" w:type="dxa"/>
                              </w:tcPr>
                              <w:p>
                                <w:pPr>
                                  <w:rPr>
                                    <w:rFonts w:ascii="Arial" w:hAnsi="Arial" w:cs="Arial"/>
                                    <w:sz w:val="20"/>
                                  </w:rPr>
                                </w:pPr>
                                <w:r>
                                  <w:rPr>
                                    <w:rFonts w:ascii="Arial" w:hAnsi="Arial" w:cs="Arial"/>
                                    <w:sz w:val="20"/>
                                  </w:rPr>
                                  <w:t>Anglys ir durpės</w:t>
                                </w:r>
                              </w:p>
                            </w:tc>
                            <w:tc>
                              <w:tcPr>
                                <w:tcW w:w="2100" w:type="dxa"/>
                              </w:tcPr>
                              <w:p>
                                <w:pPr>
                                  <w:jc w:val="center"/>
                                  <w:rPr>
                                    <w:rFonts w:ascii="Arial" w:hAnsi="Arial" w:cs="Arial"/>
                                    <w:sz w:val="20"/>
                                  </w:rPr>
                                </w:pPr>
                                <w:r>
                                  <w:rPr>
                                    <w:rFonts w:ascii="Arial" w:hAnsi="Arial" w:cs="Arial"/>
                                    <w:sz w:val="20"/>
                                  </w:rPr>
                                  <w:t>632,7</w:t>
                                </w:r>
                              </w:p>
                            </w:tc>
                            <w:tc>
                              <w:tcPr>
                                <w:tcW w:w="2101" w:type="dxa"/>
                              </w:tcPr>
                              <w:p>
                                <w:pPr>
                                  <w:jc w:val="center"/>
                                  <w:rPr>
                                    <w:rFonts w:ascii="Arial" w:hAnsi="Arial" w:cs="Arial"/>
                                    <w:color w:val="000000"/>
                                    <w:sz w:val="20"/>
                                  </w:rPr>
                                </w:pPr>
                                <w:r>
                                  <w:rPr>
                                    <w:rFonts w:ascii="Arial" w:hAnsi="Arial" w:cs="Arial"/>
                                    <w:sz w:val="20"/>
                                  </w:rPr>
                                  <w:t>0,0</w:t>
                                </w:r>
                              </w:p>
                            </w:tc>
                          </w:tr>
                          <w:tr>
                            <w:trPr>
                              <w:trHeight w:val="20"/>
                              <w:jc w:val="center"/>
                            </w:trPr>
                            <w:tc>
                              <w:tcPr>
                                <w:tcW w:w="3298" w:type="dxa"/>
                              </w:tcPr>
                              <w:p>
                                <w:pPr>
                                  <w:rPr>
                                    <w:rFonts w:ascii="Arial" w:hAnsi="Arial" w:cs="Arial"/>
                                    <w:sz w:val="20"/>
                                  </w:rPr>
                                </w:pPr>
                                <w:r>
                                  <w:rPr>
                                    <w:rFonts w:ascii="Arial" w:hAnsi="Arial" w:cs="Arial"/>
                                    <w:sz w:val="20"/>
                                  </w:rPr>
                                  <w:t>Gamtinės dujos</w:t>
                                </w:r>
                              </w:p>
                            </w:tc>
                            <w:tc>
                              <w:tcPr>
                                <w:tcW w:w="2100" w:type="dxa"/>
                              </w:tcPr>
                              <w:p>
                                <w:pPr>
                                  <w:jc w:val="center"/>
                                  <w:rPr>
                                    <w:rFonts w:ascii="Arial" w:hAnsi="Arial" w:cs="Arial"/>
                                    <w:sz w:val="20"/>
                                  </w:rPr>
                                </w:pPr>
                                <w:r>
                                  <w:rPr>
                                    <w:rFonts w:ascii="Arial" w:hAnsi="Arial" w:cs="Arial"/>
                                    <w:sz w:val="20"/>
                                  </w:rPr>
                                  <w:t>818,1</w:t>
                                </w:r>
                              </w:p>
                            </w:tc>
                            <w:tc>
                              <w:tcPr>
                                <w:tcW w:w="2101" w:type="dxa"/>
                              </w:tcPr>
                              <w:p>
                                <w:pPr>
                                  <w:jc w:val="center"/>
                                  <w:rPr>
                                    <w:rFonts w:ascii="Arial" w:hAnsi="Arial" w:cs="Arial"/>
                                    <w:color w:val="000000"/>
                                    <w:sz w:val="20"/>
                                  </w:rPr>
                                </w:pPr>
                                <w:r>
                                  <w:rPr>
                                    <w:rFonts w:ascii="Arial" w:hAnsi="Arial" w:cs="Arial"/>
                                    <w:sz w:val="20"/>
                                  </w:rPr>
                                  <w:t>0,0</w:t>
                                </w:r>
                              </w:p>
                            </w:tc>
                          </w:tr>
                          <w:tr>
                            <w:trPr>
                              <w:trHeight w:val="20"/>
                              <w:jc w:val="center"/>
                            </w:trPr>
                            <w:tc>
                              <w:tcPr>
                                <w:tcW w:w="3298" w:type="dxa"/>
                              </w:tcPr>
                              <w:p>
                                <w:pPr>
                                  <w:rPr>
                                    <w:rFonts w:ascii="Arial" w:hAnsi="Arial" w:cs="Arial"/>
                                    <w:sz w:val="20"/>
                                  </w:rPr>
                                </w:pPr>
                                <w:r>
                                  <w:rPr>
                                    <w:rFonts w:ascii="Arial" w:hAnsi="Arial" w:cs="Arial"/>
                                    <w:sz w:val="20"/>
                                  </w:rPr>
                                  <w:t>Suskystintos naftos dujos</w:t>
                                </w:r>
                              </w:p>
                            </w:tc>
                            <w:tc>
                              <w:tcPr>
                                <w:tcW w:w="2100" w:type="dxa"/>
                              </w:tcPr>
                              <w:p>
                                <w:pPr>
                                  <w:jc w:val="center"/>
                                  <w:rPr>
                                    <w:rFonts w:ascii="Arial" w:hAnsi="Arial" w:cs="Arial"/>
                                    <w:sz w:val="20"/>
                                  </w:rPr>
                                </w:pPr>
                                <w:r>
                                  <w:rPr>
                                    <w:rFonts w:ascii="Arial" w:hAnsi="Arial" w:cs="Arial"/>
                                    <w:sz w:val="20"/>
                                  </w:rPr>
                                  <w:t>10,9</w:t>
                                </w:r>
                              </w:p>
                            </w:tc>
                            <w:tc>
                              <w:tcPr>
                                <w:tcW w:w="2101" w:type="dxa"/>
                              </w:tcPr>
                              <w:p>
                                <w:pPr>
                                  <w:jc w:val="center"/>
                                  <w:rPr>
                                    <w:rFonts w:ascii="Arial" w:hAnsi="Arial" w:cs="Arial"/>
                                    <w:color w:val="000000"/>
                                    <w:sz w:val="20"/>
                                  </w:rPr>
                                </w:pPr>
                                <w:r>
                                  <w:rPr>
                                    <w:rFonts w:ascii="Arial" w:hAnsi="Arial" w:cs="Arial"/>
                                    <w:sz w:val="20"/>
                                  </w:rPr>
                                  <w:t>0,0</w:t>
                                </w:r>
                              </w:p>
                            </w:tc>
                          </w:tr>
                          <w:tr>
                            <w:trPr>
                              <w:trHeight w:val="20"/>
                              <w:jc w:val="center"/>
                            </w:trPr>
                            <w:tc>
                              <w:tcPr>
                                <w:tcW w:w="3298" w:type="dxa"/>
                              </w:tcPr>
                              <w:p>
                                <w:pPr>
                                  <w:rPr>
                                    <w:rFonts w:ascii="Arial" w:hAnsi="Arial" w:cs="Arial"/>
                                    <w:sz w:val="20"/>
                                  </w:rPr>
                                </w:pPr>
                                <w:r>
                                  <w:rPr>
                                    <w:rFonts w:ascii="Arial" w:hAnsi="Arial" w:cs="Arial"/>
                                    <w:sz w:val="20"/>
                                  </w:rPr>
                                  <w:t>Skystasis kuras</w:t>
                                </w:r>
                              </w:p>
                            </w:tc>
                            <w:tc>
                              <w:tcPr>
                                <w:tcW w:w="2100" w:type="dxa"/>
                              </w:tcPr>
                              <w:p>
                                <w:pPr>
                                  <w:jc w:val="center"/>
                                  <w:rPr>
                                    <w:rFonts w:ascii="Arial" w:hAnsi="Arial" w:cs="Arial"/>
                                    <w:sz w:val="20"/>
                                  </w:rPr>
                                </w:pPr>
                                <w:r>
                                  <w:rPr>
                                    <w:rFonts w:ascii="Arial" w:hAnsi="Arial" w:cs="Arial"/>
                                    <w:sz w:val="20"/>
                                  </w:rPr>
                                  <w:t>349,1</w:t>
                                </w:r>
                              </w:p>
                            </w:tc>
                            <w:tc>
                              <w:tcPr>
                                <w:tcW w:w="2101" w:type="dxa"/>
                              </w:tcPr>
                              <w:p>
                                <w:pPr>
                                  <w:jc w:val="center"/>
                                  <w:rPr>
                                    <w:rFonts w:ascii="Arial" w:hAnsi="Arial" w:cs="Arial"/>
                                    <w:color w:val="000000"/>
                                    <w:sz w:val="20"/>
                                  </w:rPr>
                                </w:pPr>
                                <w:r>
                                  <w:rPr>
                                    <w:rFonts w:ascii="Arial" w:hAnsi="Arial" w:cs="Arial"/>
                                    <w:sz w:val="20"/>
                                  </w:rPr>
                                  <w:t>0,0</w:t>
                                </w:r>
                              </w:p>
                            </w:tc>
                          </w:tr>
                          <w:tr>
                            <w:trPr>
                              <w:trHeight w:val="20"/>
                              <w:jc w:val="center"/>
                            </w:trPr>
                            <w:tc>
                              <w:tcPr>
                                <w:tcW w:w="3298" w:type="dxa"/>
                              </w:tcPr>
                              <w:p>
                                <w:pPr>
                                  <w:rPr>
                                    <w:rFonts w:ascii="Arial" w:hAnsi="Arial" w:cs="Arial"/>
                                    <w:sz w:val="20"/>
                                  </w:rPr>
                                </w:pPr>
                                <w:r>
                                  <w:rPr>
                                    <w:rFonts w:ascii="Arial" w:hAnsi="Arial" w:cs="Arial"/>
                                    <w:sz w:val="20"/>
                                  </w:rPr>
                                  <w:t>Biokuras (malkos ir kurui skirtos medienos atliekos)</w:t>
                                </w:r>
                              </w:p>
                            </w:tc>
                            <w:tc>
                              <w:tcPr>
                                <w:tcW w:w="2100" w:type="dxa"/>
                              </w:tcPr>
                              <w:p>
                                <w:pPr>
                                  <w:jc w:val="center"/>
                                  <w:rPr>
                                    <w:rFonts w:ascii="Arial" w:hAnsi="Arial" w:cs="Arial"/>
                                    <w:sz w:val="20"/>
                                  </w:rPr>
                                </w:pPr>
                                <w:r>
                                  <w:rPr>
                                    <w:rFonts w:ascii="Arial" w:hAnsi="Arial" w:cs="Arial"/>
                                    <w:sz w:val="20"/>
                                  </w:rPr>
                                  <w:t>7 777,7</w:t>
                                </w:r>
                              </w:p>
                            </w:tc>
                            <w:tc>
                              <w:tcPr>
                                <w:tcW w:w="2101" w:type="dxa"/>
                              </w:tcPr>
                              <w:p>
                                <w:pPr>
                                  <w:jc w:val="center"/>
                                  <w:rPr>
                                    <w:rFonts w:ascii="Arial" w:hAnsi="Arial" w:cs="Arial"/>
                                    <w:color w:val="000000"/>
                                    <w:sz w:val="20"/>
                                  </w:rPr>
                                </w:pPr>
                                <w:r>
                                  <w:rPr>
                                    <w:rFonts w:ascii="Arial" w:hAnsi="Arial" w:cs="Arial"/>
                                    <w:sz w:val="20"/>
                                  </w:rPr>
                                  <w:t>7 777,7</w:t>
                                </w:r>
                              </w:p>
                            </w:tc>
                          </w:tr>
                          <w:tr>
                            <w:trPr>
                              <w:trHeight w:val="20"/>
                              <w:jc w:val="center"/>
                            </w:trPr>
                            <w:tc>
                              <w:tcPr>
                                <w:tcW w:w="3298" w:type="dxa"/>
                              </w:tcPr>
                              <w:p>
                                <w:pPr>
                                  <w:rPr>
                                    <w:rFonts w:ascii="Arial" w:hAnsi="Arial" w:cs="Arial"/>
                                    <w:sz w:val="20"/>
                                  </w:rPr>
                                </w:pPr>
                                <w:r>
                                  <w:rPr>
                                    <w:rFonts w:ascii="Arial" w:hAnsi="Arial" w:cs="Arial"/>
                                    <w:sz w:val="20"/>
                                  </w:rPr>
                                  <w:t>Elektros energija</w:t>
                                </w:r>
                              </w:p>
                            </w:tc>
                            <w:tc>
                              <w:tcPr>
                                <w:tcW w:w="2100" w:type="dxa"/>
                              </w:tcPr>
                              <w:p>
                                <w:pPr>
                                  <w:jc w:val="center"/>
                                  <w:rPr>
                                    <w:rFonts w:ascii="Arial" w:hAnsi="Arial" w:cs="Arial"/>
                                    <w:sz w:val="20"/>
                                  </w:rPr>
                                </w:pPr>
                                <w:r>
                                  <w:rPr>
                                    <w:rFonts w:ascii="Arial" w:hAnsi="Arial" w:cs="Arial"/>
                                    <w:sz w:val="20"/>
                                  </w:rPr>
                                  <w:t>632,7</w:t>
                                </w:r>
                              </w:p>
                            </w:tc>
                            <w:tc>
                              <w:tcPr>
                                <w:tcW w:w="2101" w:type="dxa"/>
                              </w:tcPr>
                              <w:p>
                                <w:pPr>
                                  <w:jc w:val="center"/>
                                  <w:rPr>
                                    <w:rFonts w:ascii="Arial" w:hAnsi="Arial" w:cs="Arial"/>
                                    <w:color w:val="000000"/>
                                    <w:sz w:val="20"/>
                                  </w:rPr>
                                </w:pPr>
                                <w:r>
                                  <w:rPr>
                                    <w:rFonts w:ascii="Arial" w:hAnsi="Arial" w:cs="Arial"/>
                                    <w:sz w:val="20"/>
                                  </w:rPr>
                                  <w:t>127,6</w:t>
                                </w:r>
                              </w:p>
                            </w:tc>
                          </w:tr>
                          <w:tr>
                            <w:trPr>
                              <w:trHeight w:val="20"/>
                              <w:jc w:val="center"/>
                            </w:trPr>
                            <w:tc>
                              <w:tcPr>
                                <w:tcW w:w="3298" w:type="dxa"/>
                              </w:tcPr>
                              <w:p>
                                <w:pPr>
                                  <w:rPr>
                                    <w:rFonts w:ascii="Arial" w:hAnsi="Arial" w:cs="Arial"/>
                                    <w:sz w:val="20"/>
                                  </w:rPr>
                                </w:pPr>
                                <w:r>
                                  <w:rPr>
                                    <w:rFonts w:ascii="Arial" w:hAnsi="Arial" w:cs="Arial"/>
                                    <w:sz w:val="20"/>
                                  </w:rPr>
                                  <w:t>Aplinkos šiluminė energija (šilumos siurbliai)</w:t>
                                </w:r>
                              </w:p>
                            </w:tc>
                            <w:tc>
                              <w:tcPr>
                                <w:tcW w:w="2100" w:type="dxa"/>
                              </w:tcPr>
                              <w:p>
                                <w:pPr>
                                  <w:jc w:val="center"/>
                                  <w:rPr>
                                    <w:rFonts w:ascii="Arial" w:hAnsi="Arial" w:cs="Arial"/>
                                    <w:sz w:val="20"/>
                                  </w:rPr>
                                </w:pPr>
                                <w:r>
                                  <w:rPr>
                                    <w:rFonts w:ascii="Arial" w:hAnsi="Arial" w:cs="Arial"/>
                                    <w:sz w:val="20"/>
                                  </w:rPr>
                                  <w:t>392,7</w:t>
                                </w:r>
                              </w:p>
                            </w:tc>
                            <w:tc>
                              <w:tcPr>
                                <w:tcW w:w="2101" w:type="dxa"/>
                              </w:tcPr>
                              <w:p>
                                <w:pPr>
                                  <w:jc w:val="center"/>
                                  <w:rPr>
                                    <w:rFonts w:ascii="Arial" w:hAnsi="Arial" w:cs="Arial"/>
                                    <w:color w:val="000000"/>
                                    <w:sz w:val="20"/>
                                  </w:rPr>
                                </w:pPr>
                                <w:r>
                                  <w:rPr>
                                    <w:rFonts w:ascii="Arial" w:hAnsi="Arial" w:cs="Arial"/>
                                    <w:sz w:val="20"/>
                                  </w:rPr>
                                  <w:t>392,7</w:t>
                                </w:r>
                              </w:p>
                            </w:tc>
                          </w:tr>
                          <w:tr>
                            <w:trPr>
                              <w:trHeight w:val="20"/>
                              <w:jc w:val="center"/>
                            </w:trPr>
                            <w:tc>
                              <w:tcPr>
                                <w:tcW w:w="3298" w:type="dxa"/>
                              </w:tcPr>
                              <w:p>
                                <w:pPr>
                                  <w:rPr>
                                    <w:rFonts w:ascii="Arial" w:hAnsi="Arial" w:cs="Arial"/>
                                    <w:sz w:val="20"/>
                                  </w:rPr>
                                </w:pPr>
                                <w:r>
                                  <w:rPr>
                                    <w:rFonts w:ascii="Arial" w:hAnsi="Arial" w:cs="Arial"/>
                                    <w:sz w:val="20"/>
                                  </w:rPr>
                                  <w:t>Kitos kuro ir energijos rūšys</w:t>
                                </w:r>
                              </w:p>
                            </w:tc>
                            <w:tc>
                              <w:tcPr>
                                <w:tcW w:w="2100" w:type="dxa"/>
                              </w:tcPr>
                              <w:p>
                                <w:pPr>
                                  <w:jc w:val="center"/>
                                  <w:rPr>
                                    <w:rFonts w:ascii="Arial" w:hAnsi="Arial" w:cs="Arial"/>
                                    <w:sz w:val="20"/>
                                  </w:rPr>
                                </w:pPr>
                                <w:r>
                                  <w:rPr>
                                    <w:rFonts w:ascii="Arial" w:hAnsi="Arial" w:cs="Arial"/>
                                    <w:sz w:val="20"/>
                                  </w:rPr>
                                  <w:t>294,5</w:t>
                                </w:r>
                              </w:p>
                            </w:tc>
                            <w:tc>
                              <w:tcPr>
                                <w:tcW w:w="2101" w:type="dxa"/>
                              </w:tcPr>
                              <w:p>
                                <w:pPr>
                                  <w:jc w:val="center"/>
                                  <w:rPr>
                                    <w:rFonts w:ascii="Arial" w:hAnsi="Arial" w:cs="Arial"/>
                                    <w:color w:val="000000"/>
                                    <w:sz w:val="20"/>
                                  </w:rPr>
                                </w:pPr>
                                <w:r>
                                  <w:rPr>
                                    <w:rFonts w:ascii="Arial" w:hAnsi="Arial" w:cs="Arial"/>
                                    <w:sz w:val="20"/>
                                  </w:rPr>
                                  <w:t>0,0</w:t>
                                </w:r>
                              </w:p>
                            </w:tc>
                          </w:tr>
                          <w:tr>
                            <w:trPr>
                              <w:trHeight w:val="20"/>
                              <w:jc w:val="center"/>
                            </w:trPr>
                            <w:tc>
                              <w:tcPr>
                                <w:tcW w:w="3298" w:type="dxa"/>
                              </w:tcPr>
                              <w:p>
                                <w:pPr>
                                  <w:rPr>
                                    <w:rFonts w:ascii="Arial" w:hAnsi="Arial" w:cs="Arial"/>
                                    <w:sz w:val="20"/>
                                  </w:rPr>
                                </w:pPr>
                                <w:r>
                                  <w:rPr>
                                    <w:rFonts w:ascii="Arial" w:hAnsi="Arial" w:cs="Arial"/>
                                    <w:b/>
                                    <w:bCs/>
                                    <w:sz w:val="20"/>
                                  </w:rPr>
                                  <w:t>VISO</w:t>
                                </w:r>
                              </w:p>
                            </w:tc>
                            <w:tc>
                              <w:tcPr>
                                <w:tcW w:w="2100" w:type="dxa"/>
                              </w:tcPr>
                              <w:p>
                                <w:pPr>
                                  <w:jc w:val="center"/>
                                  <w:rPr>
                                    <w:rFonts w:ascii="Arial" w:hAnsi="Arial" w:cs="Arial"/>
                                    <w:b/>
                                    <w:bCs/>
                                    <w:color w:val="000000"/>
                                    <w:sz w:val="20"/>
                                  </w:rPr>
                                </w:pPr>
                                <w:r>
                                  <w:rPr>
                                    <w:rFonts w:ascii="Arial" w:hAnsi="Arial" w:cs="Arial"/>
                                    <w:b/>
                                    <w:bCs/>
                                    <w:sz w:val="20"/>
                                  </w:rPr>
                                  <w:t>10 908,4</w:t>
                                </w:r>
                              </w:p>
                            </w:tc>
                            <w:tc>
                              <w:tcPr>
                                <w:tcW w:w="2101" w:type="dxa"/>
                              </w:tcPr>
                              <w:p>
                                <w:pPr>
                                  <w:jc w:val="center"/>
                                  <w:rPr>
                                    <w:rFonts w:ascii="Arial" w:hAnsi="Arial" w:cs="Arial"/>
                                    <w:b/>
                                    <w:bCs/>
                                    <w:color w:val="000000"/>
                                    <w:sz w:val="20"/>
                                  </w:rPr>
                                </w:pPr>
                                <w:r>
                                  <w:rPr>
                                    <w:rFonts w:ascii="Arial" w:hAnsi="Arial" w:cs="Arial"/>
                                    <w:b/>
                                    <w:bCs/>
                                    <w:sz w:val="20"/>
                                  </w:rPr>
                                  <w:t>8 298,0</w:t>
                                </w:r>
                              </w:p>
                            </w:tc>
                          </w:tr>
                          <w:tr>
                            <w:trPr>
                              <w:trHeight w:val="20"/>
                              <w:jc w:val="center"/>
                            </w:trPr>
                            <w:tc>
                              <w:tcPr>
                                <w:tcW w:w="5398" w:type="dxa"/>
                                <w:gridSpan w:val="2"/>
                              </w:tcPr>
                              <w:p>
                                <w:pPr>
                                  <w:jc w:val="center"/>
                                  <w:rPr>
                                    <w:rFonts w:ascii="Arial" w:hAnsi="Arial" w:cs="Arial"/>
                                    <w:b/>
                                    <w:bCs/>
                                    <w:color w:val="000000"/>
                                    <w:sz w:val="20"/>
                                  </w:rPr>
                                </w:pPr>
                                <w:r>
                                  <w:rPr>
                                    <w:rFonts w:ascii="Arial" w:hAnsi="Arial" w:cs="Arial"/>
                                    <w:b/>
                                    <w:bCs/>
                                    <w:color w:val="000000"/>
                                    <w:sz w:val="20"/>
                                  </w:rPr>
                                  <w:t>AIE dalis, proc.</w:t>
                                </w:r>
                              </w:p>
                            </w:tc>
                            <w:tc>
                              <w:tcPr>
                                <w:tcW w:w="2101" w:type="dxa"/>
                              </w:tcPr>
                              <w:p>
                                <w:pPr>
                                  <w:jc w:val="center"/>
                                  <w:rPr>
                                    <w:rFonts w:ascii="Arial" w:hAnsi="Arial" w:cs="Arial"/>
                                    <w:b/>
                                    <w:bCs/>
                                    <w:color w:val="000000"/>
                                    <w:sz w:val="20"/>
                                  </w:rPr>
                                </w:pPr>
                                <w:r>
                                  <w:rPr>
                                    <w:rFonts w:ascii="Arial" w:hAnsi="Arial" w:cs="Arial"/>
                                    <w:b/>
                                    <w:bCs/>
                                    <w:color w:val="000000"/>
                                    <w:sz w:val="20"/>
                                  </w:rPr>
                                  <w:t>76,07</w:t>
                                </w:r>
                              </w:p>
                            </w:tc>
                          </w:tr>
                        </w:tbl>
                        <w:p>
                          <w:pPr>
                            <w:widowControl w:val="0"/>
                            <w:spacing w:line="259" w:lineRule="auto"/>
                            <w:jc w:val="center"/>
                            <w:rPr>
                              <w:rFonts w:ascii="Arial" w:eastAsia="Calibri" w:hAnsi="Arial" w:cs="Arial"/>
                              <w:i/>
                              <w:iCs/>
                              <w:sz w:val="18"/>
                              <w:szCs w:val="18"/>
                            </w:rPr>
                          </w:pPr>
                          <w:r>
                            <w:rPr>
                              <w:rFonts w:ascii="Arial" w:eastAsia="Calibri" w:hAnsi="Arial" w:cs="Arial"/>
                              <w:i/>
                              <w:iCs/>
                              <w:sz w:val="18"/>
                              <w:szCs w:val="18"/>
                            </w:rPr>
                            <w:t>Šaltinis: sudaryta autorių</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Remiantis Statistikos departamento leidiniu „Lietuvos aplinka, žemės ūkis ir energetika, 2020 m. leidimas, Atsinaujinantys ištekliai“, Lietuvoje iš atsinaujinančių energijos išteklių 2020 m. pagaminta 60,1 proc. visos elektros energijos, </w:t>
                          </w:r>
                          <w:r>
                            <w:rPr>
                              <w:rFonts w:ascii="Arial" w:hAnsi="Arial" w:cs="Arial"/>
                              <w:sz w:val="22"/>
                              <w:szCs w:val="22"/>
                            </w:rPr>
                            <w:t xml:space="preserve">o bendrame elektros energijos suvartojime AIE dalis siekia 20,17 proc. </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Remiantis atliktais skaičiavimais vertinama, kad Joniškio rajono savivaldybėje prie CŠT sistemos neprijungtų namų ūkių šildymui suvartojama apie 10 908,4 tne kuro energijos, kurios 8 298,0 tne (76,07 proc.) sudaro energija iš AIE.</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Skaičiavimuose neatsižvelgta į saulės šilumos ir geoterminės energijos panaudojimą namų ūkiuose, nes statistinės informacijos apie šių technologijų naudojimo apimtis Lietuvoje nėra.</w:t>
                          </w:r>
                        </w:p>
                        <w:p>
                          <w:pPr>
                            <w:rPr>
                              <w:sz w:val="14"/>
                              <w:szCs w:val="14"/>
                            </w:rPr>
                          </w:pPr>
                        </w:p>
                      </w:sdtContent>
                    </w:sdt>
                  </w:sdtContent>
                </w:sdt>
                <w:sdt>
                  <w:sdtPr>
                    <w:alias w:val="3.3 pp."/>
                    <w:tag w:val="part_9e043502c5774bc88394c674d301debf"/>
                    <w:lock w:val="sdtLocked"/>
                    <w:richText/>
                  </w:sdtPr>
                  <w:sdtContent>
                    <w:p>
                      <w:pPr>
                        <w:keepNext/>
                        <w:keepLines/>
                        <w:spacing w:line="259" w:lineRule="auto"/>
                        <w:jc w:val="center"/>
                        <w:outlineLvl w:val="1"/>
                        <w:rPr>
                          <w:rFonts w:ascii="Arial" w:hAnsi="Arial" w:cs="Arial"/>
                          <w:b/>
                          <w:color w:val="002060"/>
                          <w:szCs w:val="26"/>
                        </w:rPr>
                      </w:pPr>
                      <w:sdt>
                        <w:sdtPr>
                          <w:alias w:val="Numeris"/>
                          <w:tag w:val="nr_9e043502c5774bc88394c674d301debf"/>
                          <w:lock w:val="sdtLocked"/>
                          <w:richText/>
                        </w:sdtPr>
                        <w:sdtContent>
                          <w:r>
                            <w:rPr>
                              <w:rFonts w:ascii="Arial" w:hAnsi="Arial" w:cs="Arial"/>
                              <w:b/>
                              <w:color w:val="002060"/>
                              <w:szCs w:val="26"/>
                            </w:rPr>
                            <w:t>3.3</w:t>
                          </w:r>
                        </w:sdtContent>
                      </w:sdt>
                      <w:r>
                        <w:rPr>
                          <w:rFonts w:ascii="Arial" w:hAnsi="Arial" w:cs="Arial"/>
                          <w:b/>
                          <w:color w:val="002060"/>
                          <w:szCs w:val="26"/>
                        </w:rPr>
                        <w:t>. Elektros energijos gamyba savivaldybėje iš AEI</w:t>
                      </w:r>
                    </w:p>
                    <w:p>
                      <w:pPr>
                        <w:rPr>
                          <w:sz w:val="14"/>
                          <w:szCs w:val="14"/>
                        </w:rPr>
                      </w:pPr>
                    </w:p>
                    <w:p>
                      <w:pPr>
                        <w:spacing w:line="259" w:lineRule="auto"/>
                        <w:ind w:firstLine="567"/>
                        <w:jc w:val="both"/>
                        <w:rPr>
                          <w:rFonts w:ascii="Arial" w:hAnsi="Arial" w:cs="Arial"/>
                          <w:sz w:val="22"/>
                        </w:rPr>
                      </w:pPr>
                      <w:r>
                        <w:rPr>
                          <w:rFonts w:ascii="Arial" w:hAnsi="Arial" w:cs="Arial"/>
                          <w:sz w:val="22"/>
                        </w:rPr>
                        <w:t>Elektros energiją gaminantis vartotojas arba nutolęs gaminantis vartotojas – fizinis arba juridinis asmuo, įsirengęs atsinaujinančių išteklių technologijų elektrinę ir gaminantis elektrą savo reikmėms, o nesuvartotą elektros kiekį pateikiantis į elektros tinklus ir, esant poreikiui, ją susigrąžinantis iš šių tinklų (toliau – gaminantis vartotojas). Tokią decentralizuotos elektros energijos gamybos plėtrą skatina ne tik pingančios saulės elektrinės, bet ir kitos naujos technologijos, skatinančios energetikos sistemos decentralizaciją – iš svarbiausių galima paminėti elektromobilių plėtrą, baterijų sistemas, išmaniąją apskaitą, agregatorių vaidmenį tinklui balansuoti, išmaniuosius elektros tinklus, energetinio efektyvumo technologijas, šilumos siurblių diegimą. Ateities elektros energijos gamyba bus vis labiau decentralizuota ir joje dominuos atsinaujinantys energijos ištekliai. Numatoma, kad iki 2030 metų gaminantys vartotojai sudarys 30 proc. visų elektros energijos vartotojų, o 2050 m. – 50 procentų. Gaminantis vartotojas elektrą gamina ir naudoja toje pačioje vietoje, kur įrengtas skaitiklis apskaito tiek į tinklą patiektą elektros kiekį, tiek paimtą. Elektra, kuri sunaudojama iš karto, gamybos metu, nėra apskaitoma. Įvertinus duomenis</w:t>
                      </w:r>
                      <w:r>
                        <w:rPr>
                          <w:rFonts w:ascii="Arial" w:hAnsi="Arial" w:cs="Arial"/>
                          <w:sz w:val="22"/>
                          <w:vertAlign w:val="superscript"/>
                        </w:rPr>
                        <w:footnoteReference w:id="14"/>
                      </w:r>
                      <w:r>
                        <w:rPr>
                          <w:rFonts w:ascii="Arial" w:hAnsi="Arial" w:cs="Arial"/>
                          <w:sz w:val="22"/>
                        </w:rPr>
                        <w:t xml:space="preserve"> (naudoti AB "Energijos skirstymo operatorius" pateikti 2021 m. spalio mėn. pradžios duomenys) nustatyta, kad Joniškio rajono savivaldybėje elektros energiją gaminančių vartotojų įrenginių galia, tenkanti 1000-iui gyventojų, siekė 26,81 kW, ir tarp šešiasdešimties Lietuvos savivaldybių Joniškio rajono savivaldybė užėmė 54 vietą. Lyginant su 2020 metais, pokytis buvo +14,86 kW (2020 m. energiją gaminančių vartotojų įrenginių galia, tenkanti 1000-iui gyventojų siekė 11,95 kW).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Kadangi laikotarpyje iki 2030 m. prognozuojamas didelis elektros energiją gaminančių vartotojų skaičiaus augimas, todėl tikėtina, kad elektros energijos iš atsinaujinančių išteklių bus pagaminta iki 45 proc., kaip numatyta Nacionalinėje energetinės nepriklausomybės strategijoje. </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savivaldybės teritorijoje elektros energija iš AIE gaminama saulės šviesos bei vėjo elektrinėse.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Valstybinės energetikos reguliavimo tarybos 2022-03-29 duomenimis, Joniškio rajono savivaldybėje buvo išduota 9 leidimai gaminti elektros energiją saulės šviesos elektrinėse (bendra galia siekia 0,1952 MW). </w:t>
                      </w:r>
                      <w:r>
                        <w:rPr>
                          <w:rFonts w:ascii="Arial" w:eastAsia="SegoeUI" w:hAnsi="Arial" w:cs="Arial"/>
                          <w:sz w:val="22"/>
                        </w:rPr>
                        <w:t>Fotovoltinės geografinės informacinės sistemos (PVGIS) duomenimis, Lietuvos geografinėje teritorijoje įrengta 1 kW galingumo saulės fotovoltinė elektrinė gamina 935 kWh per metus. Taigi, Joniškio rajono</w:t>
                      </w:r>
                      <w:r>
                        <w:rPr>
                          <w:rFonts w:ascii="Arial" w:hAnsi="Arial" w:cs="Arial"/>
                          <w:sz w:val="22"/>
                        </w:rPr>
                        <w:t xml:space="preserve"> savivaldybės teritorijoje įrengtos saulės šviesos elektrinės per metus pagamina apie </w:t>
                      </w:r>
                      <w:r>
                        <w:rPr>
                          <w:rFonts w:ascii="Arial" w:hAnsi="Arial" w:cs="Arial"/>
                          <w:b/>
                          <w:bCs/>
                          <w:sz w:val="22"/>
                        </w:rPr>
                        <w:t>182,5 MWh</w:t>
                      </w:r>
                      <w:r>
                        <w:rPr>
                          <w:rFonts w:ascii="Arial" w:hAnsi="Arial" w:cs="Arial"/>
                          <w:sz w:val="22"/>
                        </w:rPr>
                        <w:t xml:space="preserve"> </w:t>
                      </w:r>
                      <w:r>
                        <w:rPr>
                          <w:rFonts w:ascii="Arial" w:hAnsi="Arial" w:cs="Arial"/>
                          <w:b/>
                          <w:bCs/>
                          <w:sz w:val="22"/>
                        </w:rPr>
                        <w:t>(15,7 tne)</w:t>
                      </w:r>
                      <w:r>
                        <w:rPr>
                          <w:rFonts w:ascii="Arial" w:hAnsi="Arial" w:cs="Arial"/>
                          <w:sz w:val="22"/>
                        </w:rPr>
                        <w:t xml:space="preserve"> elektros energijos.</w:t>
                      </w:r>
                    </w:p>
                    <w:p>
                      <w:pPr>
                        <w:rPr>
                          <w:sz w:val="14"/>
                          <w:szCs w:val="14"/>
                        </w:rPr>
                      </w:pPr>
                    </w:p>
                    <w:sdt>
                      <w:sdtPr>
                        <w:alias w:val="3.3.1 pp."/>
                        <w:tag w:val="part_4d0bfee2966441169c5696c390076646"/>
                        <w:lock w:val="sdtLocked"/>
                        <w:richText/>
                      </w:sdtPr>
                      <w:sdtContent>
                        <w:p>
                          <w:pPr>
                            <w:spacing w:line="259" w:lineRule="auto"/>
                            <w:jc w:val="center"/>
                            <w:rPr>
                              <w:rFonts w:ascii="Arial" w:eastAsia="Calibri" w:hAnsi="Arial" w:cs="Arial"/>
                              <w:b/>
                              <w:color w:val="002060"/>
                              <w:sz w:val="22"/>
                              <w:szCs w:val="32"/>
                            </w:rPr>
                          </w:pPr>
                          <w:sdt>
                            <w:sdtPr>
                              <w:alias w:val="Numeris"/>
                              <w:tag w:val="nr_4d0bfee2966441169c5696c390076646"/>
                              <w:lock w:val="sdtLocked"/>
                              <w:richText/>
                            </w:sdtPr>
                            <w:sdtContent>
                              <w:r>
                                <w:rPr>
                                  <w:rFonts w:ascii="Arial" w:eastAsia="Calibri" w:hAnsi="Arial" w:cs="Arial"/>
                                  <w:b/>
                                  <w:color w:val="002060"/>
                                  <w:sz w:val="22"/>
                                  <w:szCs w:val="32"/>
                                </w:rPr>
                                <w:t>3.3.1</w:t>
                              </w:r>
                            </w:sdtContent>
                          </w:sdt>
                          <w:r>
                            <w:rPr>
                              <w:rFonts w:ascii="Arial" w:eastAsia="Calibri" w:hAnsi="Arial" w:cs="Arial"/>
                              <w:b/>
                              <w:color w:val="002060"/>
                              <w:sz w:val="22"/>
                              <w:szCs w:val="32"/>
                            </w:rPr>
                            <w:t>. lentelė. Elektros energijos gamintojai iš AIE (</w:t>
                          </w:r>
                          <w:r>
                            <w:rPr>
                              <w:rFonts w:ascii="Arial" w:eastAsia="Calibri" w:hAnsi="Arial" w:cs="Arial"/>
                              <w:b/>
                              <w:bCs/>
                              <w:color w:val="002060"/>
                              <w:sz w:val="20"/>
                            </w:rPr>
                            <w:t>saulės šviesos elektrinės)</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2853"/>
                            <w:gridCol w:w="1050"/>
                            <w:gridCol w:w="1952"/>
                            <w:gridCol w:w="2251"/>
                            <w:gridCol w:w="2089"/>
                          </w:tblGrid>
                          <w:tr>
                            <w:trPr>
                              <w:jc w:val="center"/>
                            </w:trPr>
                            <w:tc>
                              <w:tcPr>
                                <w:tcW w:w="2853" w:type="dxa"/>
                              </w:tcPr>
                              <w:p>
                                <w:pPr>
                                  <w:jc w:val="center"/>
                                  <w:rPr>
                                    <w:rFonts w:ascii="Arial" w:hAnsi="Arial" w:cs="Arial"/>
                                    <w:sz w:val="20"/>
                                    <w:szCs w:val="16"/>
                                  </w:rPr>
                                </w:pPr>
                                <w:r>
                                  <w:rPr>
                                    <w:rFonts w:ascii="Arial" w:hAnsi="Arial" w:cs="Arial"/>
                                    <w:sz w:val="20"/>
                                    <w:szCs w:val="16"/>
                                  </w:rPr>
                                  <w:t>Energijos išteklių rūšis</w:t>
                                </w:r>
                              </w:p>
                            </w:tc>
                            <w:tc>
                              <w:tcPr>
                                <w:tcW w:w="1050" w:type="dxa"/>
                              </w:tcPr>
                              <w:p>
                                <w:pPr>
                                  <w:jc w:val="center"/>
                                  <w:rPr>
                                    <w:rFonts w:ascii="Arial" w:hAnsi="Arial" w:cs="Arial"/>
                                    <w:sz w:val="20"/>
                                    <w:szCs w:val="16"/>
                                    <w:highlight w:val="yellow"/>
                                  </w:rPr>
                                </w:pPr>
                                <w:r>
                                  <w:rPr>
                                    <w:rFonts w:ascii="Arial" w:hAnsi="Arial" w:cs="Arial"/>
                                    <w:sz w:val="20"/>
                                    <w:szCs w:val="16"/>
                                  </w:rPr>
                                  <w:t>Leidimų skaičius</w:t>
                                </w:r>
                              </w:p>
                            </w:tc>
                            <w:tc>
                              <w:tcPr>
                                <w:tcW w:w="1952" w:type="dxa"/>
                              </w:tcPr>
                              <w:p>
                                <w:pPr>
                                  <w:jc w:val="center"/>
                                  <w:rPr>
                                    <w:rFonts w:ascii="Arial" w:hAnsi="Arial" w:cs="Arial"/>
                                    <w:sz w:val="20"/>
                                    <w:szCs w:val="16"/>
                                    <w:highlight w:val="yellow"/>
                                  </w:rPr>
                                </w:pPr>
                                <w:r>
                                  <w:rPr>
                                    <w:rFonts w:ascii="Arial" w:hAnsi="Arial" w:cs="Arial"/>
                                    <w:sz w:val="20"/>
                                    <w:szCs w:val="16"/>
                                  </w:rPr>
                                  <w:t>Bendra įrengtoji galia, MW</w:t>
                                </w:r>
                              </w:p>
                            </w:tc>
                            <w:tc>
                              <w:tcPr>
                                <w:tcW w:w="2251" w:type="dxa"/>
                              </w:tcPr>
                              <w:p>
                                <w:pPr>
                                  <w:jc w:val="center"/>
                                  <w:rPr>
                                    <w:rFonts w:ascii="Arial" w:hAnsi="Arial" w:cs="Arial"/>
                                    <w:sz w:val="20"/>
                                    <w:szCs w:val="16"/>
                                    <w:highlight w:val="yellow"/>
                                  </w:rPr>
                                </w:pPr>
                                <w:r>
                                  <w:rPr>
                                    <w:rFonts w:ascii="Arial" w:hAnsi="Arial" w:cs="Arial"/>
                                    <w:sz w:val="20"/>
                                    <w:szCs w:val="16"/>
                                  </w:rPr>
                                  <w:t>Pagaminamos energijos kiekis, MWh</w:t>
                                </w:r>
                              </w:p>
                            </w:tc>
                            <w:tc>
                              <w:tcPr>
                                <w:tcW w:w="2089" w:type="dxa"/>
                              </w:tcPr>
                              <w:p>
                                <w:pPr>
                                  <w:jc w:val="center"/>
                                  <w:rPr>
                                    <w:rFonts w:ascii="Arial" w:hAnsi="Arial" w:cs="Arial"/>
                                    <w:sz w:val="20"/>
                                    <w:szCs w:val="16"/>
                                    <w:highlight w:val="yellow"/>
                                  </w:rPr>
                                </w:pPr>
                                <w:r>
                                  <w:rPr>
                                    <w:rFonts w:ascii="Arial" w:hAnsi="Arial" w:cs="Arial"/>
                                    <w:sz w:val="20"/>
                                    <w:szCs w:val="16"/>
                                  </w:rPr>
                                  <w:t>Pagaminamos energijos kiekis, tne</w:t>
                                </w:r>
                              </w:p>
                            </w:tc>
                          </w:tr>
                          <w:tr>
                            <w:trPr>
                              <w:trHeight w:hRule="exact" w:val="255"/>
                              <w:jc w:val="center"/>
                            </w:trPr>
                            <w:tc>
                              <w:tcPr>
                                <w:tcW w:w="2853" w:type="dxa"/>
                              </w:tcPr>
                              <w:p>
                                <w:pPr>
                                  <w:jc w:val="both"/>
                                  <w:rPr>
                                    <w:rFonts w:ascii="Arial" w:hAnsi="Arial" w:cs="Arial"/>
                                    <w:b/>
                                    <w:bCs/>
                                    <w:sz w:val="20"/>
                                  </w:rPr>
                                </w:pPr>
                                <w:r>
                                  <w:rPr>
                                    <w:rFonts w:ascii="Arial" w:hAnsi="Arial" w:cs="Arial"/>
                                    <w:b/>
                                    <w:bCs/>
                                    <w:sz w:val="20"/>
                                  </w:rPr>
                                  <w:t>Saulės šviesos elektrinės</w:t>
                                </w:r>
                              </w:p>
                            </w:tc>
                            <w:tc>
                              <w:tcPr>
                                <w:tcW w:w="1050" w:type="dxa"/>
                              </w:tcPr>
                              <w:p>
                                <w:pPr>
                                  <w:jc w:val="center"/>
                                  <w:rPr>
                                    <w:rFonts w:ascii="Arial" w:hAnsi="Arial" w:cs="Arial"/>
                                    <w:b/>
                                    <w:bCs/>
                                    <w:sz w:val="20"/>
                                  </w:rPr>
                                </w:pPr>
                                <w:r>
                                  <w:rPr>
                                    <w:rFonts w:ascii="Arial" w:hAnsi="Arial" w:cs="Arial"/>
                                    <w:b/>
                                    <w:bCs/>
                                    <w:sz w:val="20"/>
                                  </w:rPr>
                                  <w:t>9</w:t>
                                </w:r>
                              </w:p>
                            </w:tc>
                            <w:tc>
                              <w:tcPr>
                                <w:tcW w:w="1952" w:type="dxa"/>
                              </w:tcPr>
                              <w:p>
                                <w:pPr>
                                  <w:jc w:val="center"/>
                                  <w:rPr>
                                    <w:rFonts w:ascii="Arial" w:hAnsi="Arial" w:cs="Arial"/>
                                    <w:b/>
                                    <w:bCs/>
                                    <w:sz w:val="20"/>
                                  </w:rPr>
                                </w:pPr>
                                <w:r>
                                  <w:rPr>
                                    <w:rFonts w:ascii="Arial" w:hAnsi="Arial" w:cs="Arial"/>
                                    <w:b/>
                                    <w:bCs/>
                                    <w:sz w:val="20"/>
                                  </w:rPr>
                                  <w:t>0,1952</w:t>
                                </w:r>
                              </w:p>
                            </w:tc>
                            <w:tc>
                              <w:tcPr>
                                <w:tcW w:w="2251" w:type="dxa"/>
                              </w:tcPr>
                              <w:p>
                                <w:pPr>
                                  <w:jc w:val="center"/>
                                  <w:rPr>
                                    <w:rFonts w:ascii="Arial" w:hAnsi="Arial" w:cs="Arial"/>
                                    <w:b/>
                                    <w:bCs/>
                                    <w:sz w:val="20"/>
                                  </w:rPr>
                                </w:pPr>
                                <w:r>
                                  <w:rPr>
                                    <w:rFonts w:ascii="Arial" w:hAnsi="Arial" w:cs="Arial"/>
                                    <w:b/>
                                    <w:bCs/>
                                    <w:sz w:val="20"/>
                                  </w:rPr>
                                  <w:t>182,5</w:t>
                                </w:r>
                              </w:p>
                            </w:tc>
                            <w:tc>
                              <w:tcPr>
                                <w:tcW w:w="2089" w:type="dxa"/>
                              </w:tcPr>
                              <w:p>
                                <w:pPr>
                                  <w:jc w:val="center"/>
                                  <w:rPr>
                                    <w:rFonts w:ascii="Arial" w:hAnsi="Arial" w:cs="Arial"/>
                                    <w:b/>
                                    <w:bCs/>
                                    <w:sz w:val="20"/>
                                  </w:rPr>
                                </w:pPr>
                                <w:r>
                                  <w:rPr>
                                    <w:rFonts w:ascii="Arial" w:hAnsi="Arial" w:cs="Arial"/>
                                    <w:b/>
                                    <w:bCs/>
                                    <w:sz w:val="20"/>
                                  </w:rPr>
                                  <w:t>15,7</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www.regula.lt</w:t>
                          </w:r>
                        </w:p>
                        <w:p>
                          <w:pPr>
                            <w:rPr>
                              <w:sz w:val="14"/>
                              <w:szCs w:val="14"/>
                            </w:rPr>
                          </w:pPr>
                        </w:p>
                        <w:p>
                          <w:pPr>
                            <w:spacing w:line="259" w:lineRule="auto"/>
                            <w:ind w:firstLine="567"/>
                            <w:jc w:val="both"/>
                            <w:rPr>
                              <w:rFonts w:ascii="Arial" w:hAnsi="Arial" w:cs="Arial"/>
                              <w:sz w:val="22"/>
                            </w:rPr>
                          </w:pPr>
                          <w:r>
                            <w:rPr>
                              <w:rFonts w:ascii="Arial" w:eastAsia="TimesNewRomanPS-BoldMT" w:hAnsi="Arial" w:cs="Arial"/>
                              <w:sz w:val="22"/>
                            </w:rPr>
                            <w:t>Taip pat, pagal Valstybinės energetikos reguliavimo tarybos 2022-03-29 duomenis, Joniškio rajono savivaldybės teritorijoje buvo išduotas 1 leidimas gaminti elektros energiją iš vėjo elektrinės. Bendra šios vėjo elektrinės galia siekia 0,25 MW. Remiantis ekspertų nuomone, vidutiniškai Lietuvoje esanti 1MW galingumo vėjo jėgainė per metus pagamina apie 2 500 MWh elektros energijos, todėl Joniškyje esančios vėjo jėgainės apytiksliai per metus pagamina 625,00 MWh (53,75 tne) elektros energijos.</w:t>
                          </w:r>
                          <w:r>
                            <w:rPr>
                              <w:rFonts w:ascii="Arial" w:hAnsi="Arial" w:cs="Arial"/>
                              <w:sz w:val="22"/>
                            </w:rPr>
                            <w:t xml:space="preserve"> </w:t>
                          </w:r>
                        </w:p>
                        <w:p>
                          <w:pPr>
                            <w:rPr>
                              <w:sz w:val="14"/>
                              <w:szCs w:val="14"/>
                            </w:rPr>
                          </w:pPr>
                        </w:p>
                        <w:p>
                          <w:pPr>
                            <w:spacing w:line="276" w:lineRule="auto"/>
                            <w:ind w:firstLine="567"/>
                            <w:jc w:val="both"/>
                            <w:rPr>
                              <w:rFonts w:ascii="Arial" w:eastAsia="TimesNewRomanPS-BoldMT" w:hAnsi="Arial" w:cs="Arial"/>
                              <w:sz w:val="22"/>
                              <w:szCs w:val="23"/>
                            </w:rPr>
                          </w:pPr>
                          <w:r>
                            <w:rPr>
                              <w:rFonts w:ascii="Arial" w:eastAsia="TimesNewRomanPS-BoldMT" w:hAnsi="Arial" w:cs="Arial"/>
                              <w:sz w:val="22"/>
                              <w:szCs w:val="23"/>
                            </w:rPr>
                            <w:t>VšĮ „Lietuvos energetikos agentūra“ pateikė duomenis apie atsinaujinančių išteklių energiją naudojančių elektros energijos gamybos įrenginius ir jų sumines įrengtąsias galias (Taisyklių 7.3.2 papunktis), taip pat, apie elektros energijos gamintojus pagal tipus. Duomenys pateikiami žemiau esančioje lentelėj.</w:t>
                          </w:r>
                        </w:p>
                        <w:p>
                          <w:pPr>
                            <w:rPr>
                              <w:sz w:val="10"/>
                              <w:szCs w:val="10"/>
                            </w:rPr>
                          </w:pPr>
                        </w:p>
                      </w:sdtContent>
                    </w:sdt>
                    <w:sdt>
                      <w:sdtPr>
                        <w:alias w:val="3.3.2 pp."/>
                        <w:tag w:val="part_42c8b841f24140b9b362825fb42b8188"/>
                        <w:lock w:val="sdtLocked"/>
                        <w:richText/>
                      </w:sdtPr>
                      <w:sdtContent>
                        <w:p>
                          <w:pPr>
                            <w:spacing w:line="259" w:lineRule="auto"/>
                            <w:jc w:val="center"/>
                            <w:rPr>
                              <w:rFonts w:ascii="Arial" w:eastAsia="Calibri" w:hAnsi="Arial"/>
                              <w:b/>
                              <w:color w:val="002060"/>
                              <w:sz w:val="22"/>
                              <w:szCs w:val="32"/>
                              <w:lang w:val="en-US"/>
                            </w:rPr>
                          </w:pPr>
                          <w:sdt>
                            <w:sdtPr>
                              <w:alias w:val="Numeris"/>
                              <w:tag w:val="nr_42c8b841f24140b9b362825fb42b8188"/>
                              <w:lock w:val="sdtLocked"/>
                              <w:richText/>
                            </w:sdtPr>
                            <w:sdtContent>
                              <w:r>
                                <w:rPr>
                                  <w:rFonts w:ascii="Arial" w:eastAsia="Calibri" w:hAnsi="Arial"/>
                                  <w:b/>
                                  <w:color w:val="002060"/>
                                  <w:sz w:val="22"/>
                                  <w:szCs w:val="32"/>
                                  <w:lang w:val="en-US"/>
                                </w:rPr>
                                <w:t>3.3.2</w:t>
                              </w:r>
                            </w:sdtContent>
                          </w:sdt>
                          <w:r>
                            <w:rPr>
                              <w:rFonts w:ascii="Arial" w:eastAsia="Calibri" w:hAnsi="Arial"/>
                              <w:b/>
                              <w:color w:val="002060"/>
                              <w:sz w:val="22"/>
                              <w:szCs w:val="32"/>
                              <w:lang w:val="en-US"/>
                            </w:rPr>
                            <w:t>. lentelė. Elektros energijos gamintojai iš AIE pagal tipus</w:t>
                          </w:r>
                        </w:p>
                        <w:p>
                          <w:pPr>
                            <w:rPr>
                              <w:sz w:val="10"/>
                              <w:szCs w:val="10"/>
                            </w:rPr>
                          </w:pPr>
                        </w:p>
                        <w:tbl>
                          <w:tblPr>
                            <w:tblW w:w="0" w:type="auto"/>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9033"/>
                            <w:gridCol w:w="1162"/>
                          </w:tblGrid>
                          <w:tr>
                            <w:trPr>
                              <w:trHeight w:val="57"/>
                            </w:trPr>
                            <w:tc>
                              <w:tcPr>
                                <w:tcW w:w="0" w:type="auto"/>
                                <w:hideMark/>
                              </w:tcPr>
                              <w:p>
                                <w:pPr>
                                  <w:rPr>
                                    <w:rFonts w:ascii="Arial" w:hAnsi="Arial" w:cs="Arial"/>
                                    <w:sz w:val="20"/>
                                    <w:u w:val="single"/>
                                    <w:lang w:val="en-US" w:eastAsia="lt-LT"/>
                                  </w:rPr>
                                </w:pPr>
                                <w:r>
                                  <w:rPr>
                                    <w:rFonts w:ascii="Arial" w:hAnsi="Arial" w:cs="Arial"/>
                                    <w:sz w:val="20"/>
                                    <w:u w:val="single"/>
                                    <w:lang w:val="en-US" w:eastAsia="lt-LT"/>
                                  </w:rPr>
                                  <w:t>Gamintojas</w:t>
                                </w:r>
                              </w:p>
                            </w:tc>
                            <w:tc>
                              <w:tcPr>
                                <w:tcW w:w="0" w:type="auto"/>
                                <w:noWrap/>
                                <w:hideMark/>
                              </w:tcPr>
                              <w:p>
                                <w:pPr>
                                  <w:jc w:val="center"/>
                                  <w:rPr>
                                    <w:rFonts w:ascii="Arial" w:hAnsi="Arial" w:cs="Arial"/>
                                    <w:sz w:val="20"/>
                                    <w:lang w:val="en-US" w:eastAsia="lt-LT"/>
                                  </w:rPr>
                                </w:pPr>
                                <w:r>
                                  <w:rPr>
                                    <w:rFonts w:ascii="Arial" w:hAnsi="Arial" w:cs="Arial"/>
                                    <w:sz w:val="20"/>
                                    <w:lang w:val="en-US" w:eastAsia="lt-LT"/>
                                  </w:rPr>
                                  <w:t>kWh</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elektrinių įrengtoji galia 2019 m., kW</w:t>
                                </w:r>
                              </w:p>
                            </w:tc>
                            <w:tc>
                              <w:tcPr>
                                <w:tcW w:w="0" w:type="auto"/>
                                <w:noWrap/>
                                <w:hideMark/>
                              </w:tcPr>
                              <w:p>
                                <w:pPr>
                                  <w:jc w:val="center"/>
                                  <w:rPr>
                                    <w:rFonts w:ascii="Arial" w:hAnsi="Arial" w:cs="Arial"/>
                                    <w:color w:val="FFFFFF"/>
                                    <w:sz w:val="20"/>
                                    <w:lang w:val="en-US" w:eastAsia="lt-LT"/>
                                  </w:rPr>
                                </w:pPr>
                                <w:r>
                                  <w:rPr>
                                    <w:rFonts w:ascii="Arial" w:hAnsi="Arial" w:cs="Arial"/>
                                    <w:sz w:val="20"/>
                                    <w:lang w:val="en-US"/>
                                  </w:rPr>
                                  <w:t>85,66</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elektrinėse pagamintos elektros energijos kiekis 2019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1990</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elektrinių įrengtoji galia 2020 m., kW</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214,19</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elektrinėse pagamintos elektros energijos kiekis 2020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88730,25</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elektrinių įrengtoji galia 2021 m., kW</w:t>
                                </w:r>
                              </w:p>
                            </w:tc>
                            <w:tc>
                              <w:tcPr>
                                <w:tcW w:w="0" w:type="auto"/>
                                <w:noWrap/>
                                <w:hideMark/>
                              </w:tcPr>
                              <w:p>
                                <w:pPr>
                                  <w:jc w:val="center"/>
                                  <w:rPr>
                                    <w:rFonts w:ascii="Arial" w:hAnsi="Arial" w:cs="Arial"/>
                                    <w:color w:val="FFFFFF"/>
                                    <w:sz w:val="20"/>
                                    <w:lang w:val="en-US" w:eastAsia="lt-LT"/>
                                  </w:rPr>
                                </w:pPr>
                                <w:r>
                                  <w:rPr>
                                    <w:rFonts w:ascii="Arial" w:hAnsi="Arial" w:cs="Arial"/>
                                    <w:sz w:val="20"/>
                                    <w:lang w:val="en-US"/>
                                  </w:rPr>
                                  <w:t>411,15</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Fizinių asmenų elektrinėse pagamintos elektros energijos kiekis 2021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210365,73</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elektrinių įrengtoji galia 2019 m., kW</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79,6</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elektrinėse pagamintos elektros energijos kiekis 2019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2424</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elektrinių įrengtoji galia 2020 m., kW</w:t>
                                </w:r>
                              </w:p>
                            </w:tc>
                            <w:tc>
                              <w:tcPr>
                                <w:tcW w:w="0" w:type="auto"/>
                                <w:noWrap/>
                                <w:hideMark/>
                              </w:tcPr>
                              <w:p>
                                <w:pPr>
                                  <w:jc w:val="center"/>
                                  <w:rPr>
                                    <w:rFonts w:ascii="Arial" w:hAnsi="Arial" w:cs="Arial"/>
                                    <w:color w:val="FFFFFF"/>
                                    <w:sz w:val="20"/>
                                    <w:lang w:val="en-US" w:eastAsia="lt-LT"/>
                                  </w:rPr>
                                </w:pPr>
                                <w:r>
                                  <w:rPr>
                                    <w:rFonts w:ascii="Arial" w:hAnsi="Arial" w:cs="Arial"/>
                                    <w:sz w:val="20"/>
                                    <w:lang w:val="en-US"/>
                                  </w:rPr>
                                  <w:t>108,6</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elektrinėse pagamintos elektros energijos kiekis 2020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61249</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elektrinių įrengtoji galia 2021 m., kW</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128,36</w:t>
                                </w:r>
                              </w:p>
                            </w:tc>
                          </w:tr>
                          <w:tr>
                            <w:trPr>
                              <w:trHeight w:val="57"/>
                            </w:trPr>
                            <w:tc>
                              <w:tcPr>
                                <w:tcW w:w="0" w:type="auto"/>
                                <w:hideMark/>
                              </w:tcPr>
                              <w:p>
                                <w:pPr>
                                  <w:rPr>
                                    <w:rFonts w:ascii="Arial" w:hAnsi="Arial" w:cs="Arial"/>
                                    <w:color w:val="000000"/>
                                    <w:sz w:val="20"/>
                                    <w:lang w:val="en-US" w:eastAsia="lt-LT"/>
                                  </w:rPr>
                                </w:pPr>
                                <w:r>
                                  <w:rPr>
                                    <w:rFonts w:ascii="Arial" w:hAnsi="Arial" w:cs="Arial"/>
                                    <w:sz w:val="20"/>
                                    <w:lang w:val="en-US"/>
                                  </w:rPr>
                                  <w:t>Juridinių asmenų elektrinėse pagamintos elektros energijos kiekis 2021 m., kWh</w:t>
                                </w:r>
                              </w:p>
                            </w:tc>
                            <w:tc>
                              <w:tcPr>
                                <w:tcW w:w="0" w:type="auto"/>
                                <w:noWrap/>
                                <w:hideMark/>
                              </w:tcPr>
                              <w:p>
                                <w:pPr>
                                  <w:jc w:val="center"/>
                                  <w:rPr>
                                    <w:rFonts w:ascii="Arial" w:hAnsi="Arial" w:cs="Arial"/>
                                    <w:color w:val="000000"/>
                                    <w:sz w:val="20"/>
                                    <w:lang w:val="en-US" w:eastAsia="lt-LT"/>
                                  </w:rPr>
                                </w:pPr>
                                <w:r>
                                  <w:rPr>
                                    <w:rFonts w:ascii="Arial" w:hAnsi="Arial" w:cs="Arial"/>
                                    <w:sz w:val="20"/>
                                    <w:lang w:val="en-US"/>
                                  </w:rPr>
                                  <w:t>63372</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elektrinių įrengtoji galia 2019 m., kW</w:t>
                                </w:r>
                              </w:p>
                            </w:tc>
                            <w:tc>
                              <w:tcPr>
                                <w:tcW w:w="0" w:type="auto"/>
                                <w:noWrap/>
                              </w:tcPr>
                              <w:p>
                                <w:pPr>
                                  <w:jc w:val="center"/>
                                  <w:rPr>
                                    <w:rFonts w:ascii="Arial" w:hAnsi="Arial" w:cs="Arial"/>
                                    <w:sz w:val="20"/>
                                    <w:lang w:val="en-US"/>
                                  </w:rPr>
                                </w:pPr>
                                <w:r>
                                  <w:rPr>
                                    <w:rFonts w:ascii="Arial" w:hAnsi="Arial" w:cs="Arial"/>
                                    <w:sz w:val="20"/>
                                    <w:lang w:val="en-US"/>
                                  </w:rPr>
                                  <w:t>0</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elektrinėse pagamintos elektros energijos kiekis 2019 m., kWh</w:t>
                                </w:r>
                              </w:p>
                            </w:tc>
                            <w:tc>
                              <w:tcPr>
                                <w:tcW w:w="0" w:type="auto"/>
                                <w:noWrap/>
                              </w:tcPr>
                              <w:p>
                                <w:pPr>
                                  <w:jc w:val="center"/>
                                  <w:rPr>
                                    <w:rFonts w:ascii="Arial" w:hAnsi="Arial" w:cs="Arial"/>
                                    <w:sz w:val="20"/>
                                    <w:lang w:val="en-US"/>
                                  </w:rPr>
                                </w:pPr>
                                <w:r>
                                  <w:rPr>
                                    <w:rFonts w:ascii="Arial" w:hAnsi="Arial" w:cs="Arial"/>
                                    <w:sz w:val="20"/>
                                    <w:lang w:val="en-US"/>
                                  </w:rPr>
                                  <w:t>0</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elektrinių įrengtoji galia 2020 m., kW</w:t>
                                </w:r>
                              </w:p>
                            </w:tc>
                            <w:tc>
                              <w:tcPr>
                                <w:tcW w:w="0" w:type="auto"/>
                                <w:noWrap/>
                              </w:tcPr>
                              <w:p>
                                <w:pPr>
                                  <w:jc w:val="center"/>
                                  <w:rPr>
                                    <w:rFonts w:ascii="Arial" w:hAnsi="Arial" w:cs="Arial"/>
                                    <w:sz w:val="20"/>
                                    <w:lang w:val="en-US"/>
                                  </w:rPr>
                                </w:pPr>
                                <w:r>
                                  <w:rPr>
                                    <w:rFonts w:ascii="Arial" w:hAnsi="Arial" w:cs="Arial"/>
                                    <w:sz w:val="20"/>
                                    <w:lang w:val="en-US"/>
                                  </w:rPr>
                                  <w:t>3</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elektrinėse pagamintos elektros energijos kiekis 2020 m., kWh</w:t>
                                </w:r>
                              </w:p>
                            </w:tc>
                            <w:tc>
                              <w:tcPr>
                                <w:tcW w:w="0" w:type="auto"/>
                                <w:noWrap/>
                              </w:tcPr>
                              <w:p>
                                <w:pPr>
                                  <w:jc w:val="center"/>
                                  <w:rPr>
                                    <w:rFonts w:ascii="Arial" w:hAnsi="Arial" w:cs="Arial"/>
                                    <w:sz w:val="20"/>
                                    <w:lang w:val="en-US"/>
                                  </w:rPr>
                                </w:pPr>
                                <w:r>
                                  <w:rPr>
                                    <w:rFonts w:ascii="Arial" w:hAnsi="Arial" w:cs="Arial"/>
                                    <w:sz w:val="20"/>
                                    <w:lang w:val="en-US"/>
                                  </w:rPr>
                                  <w:t>1090,76</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elektrinių įrengtoji galia 2021 m., kW</w:t>
                                </w:r>
                              </w:p>
                            </w:tc>
                            <w:tc>
                              <w:tcPr>
                                <w:tcW w:w="0" w:type="auto"/>
                                <w:noWrap/>
                              </w:tcPr>
                              <w:p>
                                <w:pPr>
                                  <w:jc w:val="center"/>
                                  <w:rPr>
                                    <w:rFonts w:ascii="Arial" w:hAnsi="Arial" w:cs="Arial"/>
                                    <w:sz w:val="20"/>
                                    <w:lang w:val="en-US"/>
                                  </w:rPr>
                                </w:pPr>
                                <w:r>
                                  <w:rPr>
                                    <w:rFonts w:ascii="Arial" w:hAnsi="Arial" w:cs="Arial"/>
                                    <w:sz w:val="20"/>
                                    <w:lang w:val="en-US"/>
                                  </w:rPr>
                                  <w:t>7,8</w:t>
                                </w:r>
                              </w:p>
                            </w:tc>
                          </w:tr>
                          <w:tr>
                            <w:trPr>
                              <w:trHeight w:val="57"/>
                            </w:trPr>
                            <w:tc>
                              <w:tcPr>
                                <w:tcW w:w="0" w:type="auto"/>
                              </w:tcPr>
                              <w:p>
                                <w:pPr>
                                  <w:rPr>
                                    <w:rFonts w:ascii="Arial" w:hAnsi="Arial" w:cs="Arial"/>
                                    <w:color w:val="000000"/>
                                    <w:sz w:val="20"/>
                                    <w:lang w:val="en-US" w:eastAsia="lt-LT"/>
                                  </w:rPr>
                                </w:pPr>
                                <w:r>
                                  <w:rPr>
                                    <w:rFonts w:ascii="Arial" w:hAnsi="Arial" w:cs="Arial"/>
                                    <w:sz w:val="20"/>
                                    <w:lang w:val="en-US"/>
                                  </w:rPr>
                                  <w:t>Nutolusių elektros energiją gaminančių vartotojų (fiziniai ir juridiniai asmenys) elektrinėse pagamintos elektros energijos kiekis 2021 m., kWh</w:t>
                                </w:r>
                              </w:p>
                            </w:tc>
                            <w:tc>
                              <w:tcPr>
                                <w:tcW w:w="0" w:type="auto"/>
                                <w:noWrap/>
                              </w:tcPr>
                              <w:p>
                                <w:pPr>
                                  <w:jc w:val="center"/>
                                  <w:rPr>
                                    <w:rFonts w:ascii="Arial" w:hAnsi="Arial" w:cs="Arial"/>
                                    <w:sz w:val="20"/>
                                    <w:lang w:val="en-US"/>
                                  </w:rPr>
                                </w:pPr>
                                <w:r>
                                  <w:rPr>
                                    <w:rFonts w:ascii="Arial" w:hAnsi="Arial" w:cs="Arial"/>
                                    <w:sz w:val="20"/>
                                    <w:lang w:val="en-US"/>
                                  </w:rPr>
                                  <w:t>3211,29</w:t>
                                </w:r>
                              </w:p>
                            </w:tc>
                          </w:tr>
                        </w:tbl>
                        <w:p>
                          <w:pPr>
                            <w:jc w:val="center"/>
                            <w:rPr>
                              <w:rFonts w:ascii="Arial" w:eastAsia="SegoeUI" w:hAnsi="Arial" w:cs="Arial"/>
                              <w:i/>
                              <w:iCs/>
                              <w:sz w:val="20"/>
                            </w:rPr>
                          </w:pPr>
                          <w:r>
                            <w:rPr>
                              <w:rFonts w:ascii="Arial" w:eastAsia="SegoeUI" w:hAnsi="Arial" w:cs="Arial"/>
                              <w:i/>
                              <w:iCs/>
                              <w:sz w:val="20"/>
                            </w:rPr>
                            <w:t>Šaltinis: sudaryta autorių, remiantis Lietuvos energetikos agentūros duomenimis</w:t>
                          </w:r>
                        </w:p>
                        <w:p>
                          <w:pPr>
                            <w:rPr>
                              <w:sz w:val="10"/>
                              <w:szCs w:val="10"/>
                            </w:rPr>
                          </w:pPr>
                        </w:p>
                        <w:p>
                          <w:pPr>
                            <w:spacing w:line="259" w:lineRule="auto"/>
                            <w:ind w:firstLine="567"/>
                            <w:jc w:val="both"/>
                            <w:rPr>
                              <w:rFonts w:ascii="Arial" w:hAnsi="Arial" w:cs="Arial"/>
                              <w:sz w:val="22"/>
                            </w:rPr>
                          </w:pPr>
                        </w:p>
                        <w:p>
                          <w:pPr>
                            <w:rPr>
                              <w:sz w:val="14"/>
                              <w:szCs w:val="14"/>
                            </w:rPr>
                          </w:pPr>
                        </w:p>
                      </w:sdtContent>
                    </w:sdt>
                  </w:sdtContent>
                </w:sdt>
                <w:sdt>
                  <w:sdtPr>
                    <w:alias w:val="3.4 pp."/>
                    <w:tag w:val="part_9078483f97ba4e8eb6a8b0ae83fda4be"/>
                    <w:lock w:val="sdtLocked"/>
                    <w:richText/>
                  </w:sdtPr>
                  <w:sdtContent>
                    <w:p>
                      <w:pPr>
                        <w:keepNext/>
                        <w:keepLines/>
                        <w:spacing w:line="259" w:lineRule="auto"/>
                        <w:jc w:val="center"/>
                        <w:outlineLvl w:val="1"/>
                        <w:rPr>
                          <w:rFonts w:ascii="Arial" w:hAnsi="Arial" w:cs="Arial"/>
                          <w:b/>
                          <w:color w:val="002060"/>
                          <w:szCs w:val="26"/>
                        </w:rPr>
                      </w:pPr>
                      <w:sdt>
                        <w:sdtPr>
                          <w:alias w:val="Numeris"/>
                          <w:tag w:val="nr_9078483f97ba4e8eb6a8b0ae83fda4be"/>
                          <w:lock w:val="sdtLocked"/>
                          <w:richText/>
                        </w:sdtPr>
                        <w:sdtContent>
                          <w:r>
                            <w:rPr>
                              <w:rFonts w:ascii="Arial" w:hAnsi="Arial" w:cs="Arial"/>
                              <w:b/>
                              <w:color w:val="002060"/>
                              <w:szCs w:val="26"/>
                            </w:rPr>
                            <w:t>3.4</w:t>
                          </w:r>
                        </w:sdtContent>
                      </w:sdt>
                      <w:r>
                        <w:rPr>
                          <w:rFonts w:ascii="Arial" w:hAnsi="Arial" w:cs="Arial"/>
                          <w:b/>
                          <w:color w:val="002060"/>
                          <w:szCs w:val="26"/>
                        </w:rPr>
                        <w:t>. Biodegalų naudojimas ir kiekiai savivaldybėje</w:t>
                      </w:r>
                    </w:p>
                    <w:p>
                      <w:pPr>
                        <w:rPr>
                          <w:sz w:val="14"/>
                          <w:szCs w:val="14"/>
                        </w:rPr>
                      </w:pPr>
                    </w:p>
                    <w:p>
                      <w:pPr>
                        <w:spacing w:line="259" w:lineRule="auto"/>
                        <w:ind w:firstLine="567"/>
                        <w:jc w:val="both"/>
                        <w:rPr>
                          <w:rFonts w:ascii="Arial" w:hAnsi="Arial" w:cs="Arial"/>
                          <w:sz w:val="22"/>
                        </w:rPr>
                      </w:pPr>
                      <w:r>
                        <w:rPr>
                          <w:rFonts w:ascii="Arial" w:hAnsi="Arial" w:cs="Arial"/>
                          <w:sz w:val="22"/>
                        </w:rPr>
                        <w:t>Biodegalų gamybą ir naudojimą Joniškio rajono savivaldybėje, kaip ir visoje Lietuvoje, lemia įteisintas privalomas jų maišymas į mineralinius degalus. Pagal Lietuvos Respublikos atsinaujinančių išteklių energetikos įstatymo 39 str.</w:t>
                      </w:r>
                      <w:r>
                        <w:rPr>
                          <w:rFonts w:ascii="Arial" w:hAnsi="Arial" w:cs="Arial"/>
                          <w:sz w:val="22"/>
                          <w:vertAlign w:val="superscript"/>
                        </w:rPr>
                        <w:footnoteReference w:id="15"/>
                      </w:r>
                      <w:r>
                        <w:rPr>
                          <w:rFonts w:ascii="Arial" w:hAnsi="Arial" w:cs="Arial"/>
                          <w:sz w:val="22"/>
                        </w:rPr>
                        <w:t xml:space="preserve"> degalų pardavimo vietose turi būti prekiaujama Lietuvos arba Europos standartų reikalavimus atitinkančiu benzinu, kuriame yra 6,6 procentų biodegalų, ir dyzelinu, kuriame yra ne mažiau kaip 6,2 procentai biodegalų. </w:t>
                      </w:r>
                    </w:p>
                    <w:p>
                      <w:pPr>
                        <w:rPr>
                          <w:sz w:val="14"/>
                          <w:szCs w:val="14"/>
                        </w:rPr>
                      </w:pPr>
                    </w:p>
                    <w:p>
                      <w:pPr>
                        <w:spacing w:line="259" w:lineRule="auto"/>
                        <w:ind w:firstLine="567"/>
                        <w:jc w:val="both"/>
                        <w:rPr>
                          <w:rFonts w:ascii="Arial" w:hAnsi="Arial" w:cs="Arial"/>
                          <w:sz w:val="22"/>
                        </w:rPr>
                      </w:pPr>
                      <w:r>
                        <w:rPr>
                          <w:rFonts w:ascii="Arial" w:hAnsi="Arial" w:cs="Arial"/>
                          <w:sz w:val="22"/>
                        </w:rPr>
                        <w:t>Lietuvoje šiuo metu naudojamos dvi biodegalų rūšys: biodyzelinas ir bioetanolis, kurių gamybą ir naudojimą skatina tarptautiniai įsipareigojimai mažinti šiltnamio efekto dujų emisijas ir didinti transporte naudojamų biodegalų kiekį. Laikoma, kad Joniškio rajono savivaldybėje registruotos, savivaldybės administracijos bei savivaldybės ir biudžetinių įstaigų eksploatuojamos ir savivaldybės teritoriją kertančios transporto priemonės naudoja Lietuvoje parduodamus degalus su privalomais biodegalų priedais. Remiantis šia prielaida laikoma, kad AIE dalis šiame sektoriuje atitinka Lietuvos biodegalų naudojimo vidurkį (6,2 proc. biodyzelino mineraliniame dyzeline ir 6,6 proc. bioetanolio benzine). Pagal 1.8.1. skyriuje apskaičiuotas benzino ir dyzelino suvartojimo apimtis įvertinti per metus sunaudojamų biodegalų kiekiai pateikti 3.4.1. lentelėje.</w:t>
                      </w:r>
                    </w:p>
                    <w:p>
                      <w:pPr>
                        <w:rPr>
                          <w:sz w:val="14"/>
                          <w:szCs w:val="14"/>
                        </w:rPr>
                      </w:pPr>
                    </w:p>
                    <w:sdt>
                      <w:sdtPr>
                        <w:alias w:val="3.4.1 pp."/>
                        <w:tag w:val="part_3c140b58f36c4e20b57ffc9f332b1996"/>
                        <w:lock w:val="sdtLocked"/>
                        <w:richText/>
                      </w:sdtPr>
                      <w:sdtContent>
                        <w:p>
                          <w:pPr>
                            <w:spacing w:line="259" w:lineRule="auto"/>
                            <w:jc w:val="center"/>
                            <w:rPr>
                              <w:rFonts w:ascii="Arial" w:eastAsia="Calibri" w:hAnsi="Arial" w:cs="Arial"/>
                              <w:b/>
                              <w:color w:val="002060"/>
                              <w:sz w:val="22"/>
                              <w:szCs w:val="32"/>
                            </w:rPr>
                          </w:pPr>
                          <w:sdt>
                            <w:sdtPr>
                              <w:alias w:val="Numeris"/>
                              <w:tag w:val="nr_3c140b58f36c4e20b57ffc9f332b1996"/>
                              <w:lock w:val="sdtLocked"/>
                              <w:richText/>
                            </w:sdtPr>
                            <w:sdtContent>
                              <w:r>
                                <w:rPr>
                                  <w:rFonts w:ascii="Arial" w:eastAsia="Calibri" w:hAnsi="Arial" w:cs="Arial"/>
                                  <w:b/>
                                  <w:color w:val="002060"/>
                                  <w:sz w:val="22"/>
                                  <w:szCs w:val="32"/>
                                </w:rPr>
                                <w:t>3.4.1</w:t>
                              </w:r>
                            </w:sdtContent>
                          </w:sdt>
                          <w:r>
                            <w:rPr>
                              <w:rFonts w:ascii="Arial" w:eastAsia="Calibri" w:hAnsi="Arial" w:cs="Arial"/>
                              <w:b/>
                              <w:color w:val="002060"/>
                              <w:sz w:val="22"/>
                              <w:szCs w:val="32"/>
                            </w:rPr>
                            <w:t>. lentelė. Biodegalų vartojimas Joniškio rajono savivaldybėje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1339"/>
                            <w:gridCol w:w="495"/>
                            <w:gridCol w:w="2839"/>
                            <w:gridCol w:w="2126"/>
                            <w:gridCol w:w="2826"/>
                          </w:tblGrid>
                          <w:tr>
                            <w:trPr>
                              <w:trHeight w:hRule="exact" w:val="507"/>
                              <w:jc w:val="center"/>
                            </w:trPr>
                            <w:tc>
                              <w:tcPr>
                                <w:tcW w:w="0" w:type="auto"/>
                              </w:tcPr>
                              <w:p>
                                <w:pPr>
                                  <w:jc w:val="center"/>
                                  <w:rPr>
                                    <w:rFonts w:ascii="Arial" w:hAnsi="Arial" w:cs="Arial"/>
                                    <w:sz w:val="20"/>
                                    <w:szCs w:val="16"/>
                                  </w:rPr>
                                </w:pPr>
                                <w:r>
                                  <w:rPr>
                                    <w:rFonts w:ascii="Arial" w:hAnsi="Arial" w:cs="Arial"/>
                                    <w:sz w:val="20"/>
                                    <w:szCs w:val="16"/>
                                  </w:rPr>
                                  <w:t>Kuro rūšis</w:t>
                                </w:r>
                              </w:p>
                            </w:tc>
                            <w:tc>
                              <w:tcPr>
                                <w:tcW w:w="0" w:type="auto"/>
                              </w:tcPr>
                              <w:p>
                                <w:pPr>
                                  <w:jc w:val="center"/>
                                  <w:rPr>
                                    <w:rFonts w:ascii="Arial" w:hAnsi="Arial" w:cs="Arial"/>
                                    <w:sz w:val="20"/>
                                    <w:szCs w:val="16"/>
                                  </w:rPr>
                                </w:pPr>
                              </w:p>
                            </w:tc>
                            <w:tc>
                              <w:tcPr>
                                <w:tcW w:w="2839" w:type="dxa"/>
                              </w:tcPr>
                              <w:p>
                                <w:pPr>
                                  <w:jc w:val="center"/>
                                  <w:rPr>
                                    <w:rFonts w:ascii="Arial" w:hAnsi="Arial" w:cs="Arial"/>
                                    <w:sz w:val="20"/>
                                    <w:szCs w:val="16"/>
                                  </w:rPr>
                                </w:pPr>
                                <w:r>
                                  <w:rPr>
                                    <w:rFonts w:ascii="Arial" w:hAnsi="Arial" w:cs="Arial"/>
                                    <w:sz w:val="20"/>
                                    <w:szCs w:val="16"/>
                                  </w:rPr>
                                  <w:t>Iš viso savivaldybėje pagal TP eismo intensyvumo rodiklius</w:t>
                                </w:r>
                              </w:p>
                            </w:tc>
                            <w:tc>
                              <w:tcPr>
                                <w:tcW w:w="2126" w:type="dxa"/>
                              </w:tcPr>
                              <w:p>
                                <w:pPr>
                                  <w:jc w:val="center"/>
                                  <w:rPr>
                                    <w:rFonts w:ascii="Arial" w:hAnsi="Arial" w:cs="Arial"/>
                                    <w:sz w:val="20"/>
                                    <w:szCs w:val="16"/>
                                  </w:rPr>
                                </w:pPr>
                                <w:r>
                                  <w:rPr>
                                    <w:rFonts w:ascii="Arial" w:hAnsi="Arial" w:cs="Arial"/>
                                    <w:sz w:val="20"/>
                                    <w:szCs w:val="16"/>
                                  </w:rPr>
                                  <w:t>T. sk. savivaldybės įmonėse ir įstaigose</w:t>
                                </w:r>
                              </w:p>
                            </w:tc>
                            <w:tc>
                              <w:tcPr>
                                <w:tcW w:w="2826" w:type="dxa"/>
                              </w:tcPr>
                              <w:p>
                                <w:pPr>
                                  <w:jc w:val="center"/>
                                  <w:rPr>
                                    <w:rFonts w:ascii="Arial" w:hAnsi="Arial" w:cs="Arial"/>
                                    <w:sz w:val="20"/>
                                    <w:szCs w:val="16"/>
                                  </w:rPr>
                                </w:pPr>
                                <w:r>
                                  <w:rPr>
                                    <w:rFonts w:ascii="Arial" w:hAnsi="Arial" w:cs="Arial"/>
                                    <w:sz w:val="20"/>
                                    <w:szCs w:val="16"/>
                                  </w:rPr>
                                  <w:t>Iš viso Joniškio rajono savivaldybėje AIE dalis, tne</w:t>
                                </w:r>
                              </w:p>
                            </w:tc>
                          </w:tr>
                          <w:tr>
                            <w:trPr>
                              <w:trHeight w:hRule="exact" w:val="284"/>
                              <w:jc w:val="center"/>
                            </w:trPr>
                            <w:tc>
                              <w:tcPr>
                                <w:tcW w:w="0" w:type="auto"/>
                              </w:tcPr>
                              <w:p>
                                <w:pPr>
                                  <w:jc w:val="both"/>
                                  <w:rPr>
                                    <w:rFonts w:ascii="Arial" w:hAnsi="Arial" w:cs="Arial"/>
                                    <w:sz w:val="20"/>
                                  </w:rPr>
                                </w:pPr>
                                <w:r>
                                  <w:rPr>
                                    <w:rFonts w:ascii="Arial" w:hAnsi="Arial" w:cs="Arial"/>
                                    <w:sz w:val="20"/>
                                  </w:rPr>
                                  <w:t>Bioetanolis</w:t>
                                </w:r>
                              </w:p>
                            </w:tc>
                            <w:tc>
                              <w:tcPr>
                                <w:tcW w:w="0" w:type="auto"/>
                              </w:tcPr>
                              <w:p>
                                <w:pPr>
                                  <w:jc w:val="center"/>
                                  <w:rPr>
                                    <w:rFonts w:ascii="Arial" w:hAnsi="Arial" w:cs="Arial"/>
                                    <w:sz w:val="20"/>
                                  </w:rPr>
                                </w:pPr>
                                <w:r>
                                  <w:rPr>
                                    <w:rFonts w:ascii="Arial" w:hAnsi="Arial" w:cs="Arial"/>
                                    <w:sz w:val="20"/>
                                  </w:rPr>
                                  <w:t>tne</w:t>
                                </w:r>
                              </w:p>
                            </w:tc>
                            <w:tc>
                              <w:tcPr>
                                <w:tcW w:w="2839" w:type="dxa"/>
                              </w:tcPr>
                              <w:p>
                                <w:pPr>
                                  <w:jc w:val="center"/>
                                  <w:rPr>
                                    <w:rFonts w:ascii="Arial" w:hAnsi="Arial" w:cs="Arial"/>
                                    <w:sz w:val="20"/>
                                  </w:rPr>
                                </w:pPr>
                                <w:r>
                                  <w:rPr>
                                    <w:rFonts w:ascii="Arial" w:hAnsi="Arial" w:cs="Arial"/>
                                    <w:sz w:val="20"/>
                                  </w:rPr>
                                  <w:t>1,8</w:t>
                                </w:r>
                              </w:p>
                            </w:tc>
                            <w:tc>
                              <w:tcPr>
                                <w:tcW w:w="2126" w:type="dxa"/>
                              </w:tcPr>
                              <w:p>
                                <w:pPr>
                                  <w:jc w:val="center"/>
                                  <w:rPr>
                                    <w:rFonts w:ascii="Arial" w:hAnsi="Arial" w:cs="Arial"/>
                                    <w:sz w:val="20"/>
                                  </w:rPr>
                                </w:pPr>
                                <w:r>
                                  <w:rPr>
                                    <w:rFonts w:ascii="Arial" w:hAnsi="Arial" w:cs="Arial"/>
                                    <w:sz w:val="20"/>
                                  </w:rPr>
                                  <w:t>0,9</w:t>
                                </w:r>
                              </w:p>
                            </w:tc>
                            <w:tc>
                              <w:tcPr>
                                <w:tcW w:w="2826" w:type="dxa"/>
                              </w:tcPr>
                              <w:p>
                                <w:pPr>
                                  <w:jc w:val="center"/>
                                  <w:rPr>
                                    <w:rFonts w:ascii="Arial" w:hAnsi="Arial" w:cs="Arial"/>
                                    <w:sz w:val="20"/>
                                  </w:rPr>
                                </w:pPr>
                                <w:r>
                                  <w:rPr>
                                    <w:rFonts w:ascii="Arial" w:hAnsi="Arial" w:cs="Arial"/>
                                    <w:sz w:val="20"/>
                                  </w:rPr>
                                  <w:t>2,7</w:t>
                                </w:r>
                              </w:p>
                            </w:tc>
                          </w:tr>
                          <w:tr>
                            <w:trPr>
                              <w:trHeight w:hRule="exact" w:val="284"/>
                              <w:jc w:val="center"/>
                            </w:trPr>
                            <w:tc>
                              <w:tcPr>
                                <w:tcW w:w="0" w:type="auto"/>
                              </w:tcPr>
                              <w:p>
                                <w:pPr>
                                  <w:jc w:val="both"/>
                                  <w:rPr>
                                    <w:rFonts w:ascii="Arial" w:hAnsi="Arial" w:cs="Arial"/>
                                    <w:sz w:val="20"/>
                                  </w:rPr>
                                </w:pPr>
                                <w:r>
                                  <w:rPr>
                                    <w:rFonts w:ascii="Arial" w:hAnsi="Arial" w:cs="Arial"/>
                                    <w:sz w:val="20"/>
                                  </w:rPr>
                                  <w:t>Biodyzelinas</w:t>
                                </w:r>
                              </w:p>
                            </w:tc>
                            <w:tc>
                              <w:tcPr>
                                <w:tcW w:w="0" w:type="auto"/>
                              </w:tcPr>
                              <w:p>
                                <w:pPr>
                                  <w:jc w:val="center"/>
                                  <w:rPr>
                                    <w:rFonts w:ascii="Arial" w:hAnsi="Arial" w:cs="Arial"/>
                                    <w:sz w:val="20"/>
                                  </w:rPr>
                                </w:pPr>
                                <w:r>
                                  <w:rPr>
                                    <w:rFonts w:ascii="Arial" w:hAnsi="Arial" w:cs="Arial"/>
                                    <w:sz w:val="20"/>
                                  </w:rPr>
                                  <w:t>tne</w:t>
                                </w:r>
                              </w:p>
                            </w:tc>
                            <w:tc>
                              <w:tcPr>
                                <w:tcW w:w="2839" w:type="dxa"/>
                              </w:tcPr>
                              <w:p>
                                <w:pPr>
                                  <w:jc w:val="center"/>
                                  <w:rPr>
                                    <w:rFonts w:ascii="Arial" w:hAnsi="Arial" w:cs="Arial"/>
                                    <w:sz w:val="20"/>
                                  </w:rPr>
                                </w:pPr>
                                <w:r>
                                  <w:rPr>
                                    <w:rFonts w:ascii="Arial" w:hAnsi="Arial" w:cs="Arial"/>
                                    <w:sz w:val="20"/>
                                  </w:rPr>
                                  <w:t>10,8</w:t>
                                </w:r>
                              </w:p>
                            </w:tc>
                            <w:tc>
                              <w:tcPr>
                                <w:tcW w:w="2126" w:type="dxa"/>
                              </w:tcPr>
                              <w:p>
                                <w:pPr>
                                  <w:jc w:val="center"/>
                                  <w:rPr>
                                    <w:rFonts w:ascii="Arial" w:hAnsi="Arial" w:cs="Arial"/>
                                    <w:sz w:val="20"/>
                                  </w:rPr>
                                </w:pPr>
                                <w:r>
                                  <w:rPr>
                                    <w:rFonts w:ascii="Arial" w:hAnsi="Arial" w:cs="Arial"/>
                                    <w:sz w:val="20"/>
                                  </w:rPr>
                                  <w:t>14,9</w:t>
                                </w:r>
                              </w:p>
                            </w:tc>
                            <w:tc>
                              <w:tcPr>
                                <w:tcW w:w="2826" w:type="dxa"/>
                              </w:tcPr>
                              <w:p>
                                <w:pPr>
                                  <w:jc w:val="center"/>
                                  <w:rPr>
                                    <w:rFonts w:ascii="Arial" w:hAnsi="Arial" w:cs="Arial"/>
                                    <w:sz w:val="20"/>
                                  </w:rPr>
                                </w:pPr>
                                <w:r>
                                  <w:rPr>
                                    <w:rFonts w:ascii="Arial" w:hAnsi="Arial" w:cs="Arial"/>
                                    <w:sz w:val="20"/>
                                  </w:rPr>
                                  <w:t>25,7</w:t>
                                </w:r>
                              </w:p>
                            </w:tc>
                          </w:tr>
                          <w:tr>
                            <w:trPr>
                              <w:trHeight w:hRule="exact" w:val="284"/>
                              <w:jc w:val="center"/>
                            </w:trPr>
                            <w:tc>
                              <w:tcPr>
                                <w:tcW w:w="0" w:type="auto"/>
                                <w:gridSpan w:val="2"/>
                              </w:tcPr>
                              <w:p>
                                <w:pPr>
                                  <w:jc w:val="right"/>
                                  <w:rPr>
                                    <w:rFonts w:ascii="Arial" w:hAnsi="Arial" w:cs="Arial"/>
                                    <w:b/>
                                    <w:bCs/>
                                    <w:sz w:val="20"/>
                                  </w:rPr>
                                </w:pPr>
                                <w:r>
                                  <w:rPr>
                                    <w:rFonts w:ascii="Arial" w:hAnsi="Arial" w:cs="Arial"/>
                                    <w:b/>
                                    <w:bCs/>
                                    <w:sz w:val="20"/>
                                  </w:rPr>
                                  <w:t>Iš viso</w:t>
                                </w:r>
                              </w:p>
                            </w:tc>
                            <w:tc>
                              <w:tcPr>
                                <w:tcW w:w="2839" w:type="dxa"/>
                              </w:tcPr>
                              <w:p>
                                <w:pPr>
                                  <w:jc w:val="center"/>
                                  <w:rPr>
                                    <w:rFonts w:ascii="Arial" w:hAnsi="Arial" w:cs="Arial"/>
                                    <w:b/>
                                    <w:bCs/>
                                    <w:sz w:val="20"/>
                                  </w:rPr>
                                </w:pPr>
                                <w:r>
                                  <w:rPr>
                                    <w:rFonts w:ascii="Arial" w:hAnsi="Arial" w:cs="Arial"/>
                                    <w:b/>
                                    <w:bCs/>
                                    <w:sz w:val="20"/>
                                  </w:rPr>
                                  <w:t>12,6</w:t>
                                </w:r>
                              </w:p>
                            </w:tc>
                            <w:tc>
                              <w:tcPr>
                                <w:tcW w:w="2126" w:type="dxa"/>
                              </w:tcPr>
                              <w:p>
                                <w:pPr>
                                  <w:jc w:val="center"/>
                                  <w:rPr>
                                    <w:rFonts w:ascii="Arial" w:hAnsi="Arial" w:cs="Arial"/>
                                    <w:b/>
                                    <w:bCs/>
                                    <w:sz w:val="20"/>
                                  </w:rPr>
                                </w:pPr>
                                <w:r>
                                  <w:rPr>
                                    <w:rFonts w:ascii="Arial" w:hAnsi="Arial" w:cs="Arial"/>
                                    <w:b/>
                                    <w:bCs/>
                                    <w:sz w:val="20"/>
                                  </w:rPr>
                                  <w:t>15,8</w:t>
                                </w:r>
                              </w:p>
                            </w:tc>
                            <w:tc>
                              <w:tcPr>
                                <w:tcW w:w="2826" w:type="dxa"/>
                              </w:tcPr>
                              <w:p>
                                <w:pPr>
                                  <w:jc w:val="center"/>
                                  <w:rPr>
                                    <w:rFonts w:ascii="Arial" w:hAnsi="Arial" w:cs="Arial"/>
                                    <w:b/>
                                    <w:bCs/>
                                    <w:sz w:val="20"/>
                                  </w:rPr>
                                </w:pPr>
                                <w:r>
                                  <w:rPr>
                                    <w:rFonts w:ascii="Arial" w:hAnsi="Arial" w:cs="Arial"/>
                                    <w:b/>
                                    <w:bCs/>
                                    <w:sz w:val="20"/>
                                  </w:rPr>
                                  <w:t>28,4</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ES transporto baltoji knyga numato, iki 2030 m. dvigubai sumažinti įprastiniu kuru varomų automobilių naudojimą miestuose. Iki 2050 m. pasiekti, kad miestuose jų nebeliktų. Šio tikslo įgyvendinimui reikalinga sukurti viešųjų elektromobilių įkrovimo prieigų tinklą visame Joniškyje. </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 xml:space="preserve">Pažymima, jog siekdama didinti AIE dalį transporto sektoriuje, Joniškio rajono savivaldybės administracija yra parengusi Joniškio rajono savivaldybės viešųjų elektromobilių įkrovimo prieigų planą (planas suderintas su Susisiekimo ministerija), kuriame numatoma, jog iki 2030 m. visoje savivaldybės teritorijoje (lokacijos detalizuojamos plane) bus įrengta 13 viešųjų elektromobilių įkrovimo stotelių (galia sieks nuo 70 iki 140 kW). </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Europoje, kaip ir visame pasaulyje, vis labiau plinta alternatyviuosius degalus naudojančių transporto priemonių panaudojimas. Alternatyviesiems degalams priklauso tokios kuro rūšys kaip suslėgtos ir suskystintos gamtinės dujos, biodujos ir vandenilio dujos). Lietuvoje jau galima rasti šių kuro rūšių papildymo stočių, tačiau Joniškio rajono savivaldybėje tokių stočių nėra, t.y. infrastruktūra nepritaikyta alternatyviuosius degalus naudojančių automobilių plėtrai.</w:t>
                          </w:r>
                        </w:p>
                        <w:p>
                          <w:pPr>
                            <w:rPr>
                              <w:sz w:val="14"/>
                              <w:szCs w:val="14"/>
                            </w:rPr>
                          </w:pPr>
                        </w:p>
                      </w:sdtContent>
                    </w:sdt>
                  </w:sdtContent>
                </w:sdt>
                <w:sdt>
                  <w:sdtPr>
                    <w:alias w:val="3.5 pp."/>
                    <w:tag w:val="part_30be06da22434f0b92296aee3a547260"/>
                    <w:lock w:val="sdtLocked"/>
                    <w:richText/>
                  </w:sdtPr>
                  <w:sdtContent>
                    <w:p>
                      <w:pPr>
                        <w:keepNext/>
                        <w:keepLines/>
                        <w:spacing w:line="259" w:lineRule="auto"/>
                        <w:jc w:val="center"/>
                        <w:outlineLvl w:val="1"/>
                        <w:rPr>
                          <w:rFonts w:ascii="Arial" w:hAnsi="Arial" w:cs="Arial"/>
                          <w:b/>
                          <w:i/>
                          <w:iCs/>
                          <w:color w:val="002060"/>
                          <w:szCs w:val="26"/>
                        </w:rPr>
                      </w:pPr>
                      <w:sdt>
                        <w:sdtPr>
                          <w:alias w:val="Numeris"/>
                          <w:tag w:val="nr_30be06da22434f0b92296aee3a547260"/>
                          <w:lock w:val="sdtLocked"/>
                          <w:richText/>
                        </w:sdtPr>
                        <w:sdtContent>
                          <w:r>
                            <w:rPr>
                              <w:rFonts w:ascii="Arial" w:hAnsi="Arial" w:cs="Arial"/>
                              <w:b/>
                              <w:color w:val="002060"/>
                              <w:szCs w:val="26"/>
                            </w:rPr>
                            <w:t>3.5</w:t>
                          </w:r>
                        </w:sdtContent>
                      </w:sdt>
                      <w:r>
                        <w:rPr>
                          <w:rFonts w:ascii="Arial" w:hAnsi="Arial" w:cs="Arial"/>
                          <w:b/>
                          <w:color w:val="002060"/>
                          <w:szCs w:val="26"/>
                        </w:rPr>
                        <w:t>. AIE sunaudojimo bendrajame galutinės energijos suvartojime nustatymas</w:t>
                      </w:r>
                    </w:p>
                    <w:p>
                      <w:pPr>
                        <w:rPr>
                          <w:sz w:val="14"/>
                          <w:szCs w:val="14"/>
                        </w:rPr>
                      </w:pPr>
                    </w:p>
                    <w:p>
                      <w:pPr>
                        <w:spacing w:line="259" w:lineRule="auto"/>
                        <w:ind w:firstLine="567"/>
                        <w:jc w:val="both"/>
                        <w:rPr>
                          <w:rFonts w:ascii="Arial" w:hAnsi="Arial" w:cs="Arial"/>
                          <w:sz w:val="22"/>
                        </w:rPr>
                      </w:pPr>
                      <w:r>
                        <w:rPr>
                          <w:rFonts w:ascii="Arial" w:hAnsi="Arial" w:cs="Arial"/>
                          <w:sz w:val="22"/>
                        </w:rPr>
                        <w:t>AIE dalis bendrame galutinės energijos suvartojime įvertinama apibendrinant 3 skyriuje atliktus skaičiavimus. Rezultatai pateikiami 3.5.1. lentelėje.</w:t>
                      </w:r>
                    </w:p>
                    <w:p>
                      <w:pPr>
                        <w:rPr>
                          <w:sz w:val="14"/>
                          <w:szCs w:val="14"/>
                        </w:rPr>
                      </w:pPr>
                    </w:p>
                    <w:sdt>
                      <w:sdtPr>
                        <w:alias w:val="3.5.1 pp."/>
                        <w:tag w:val="part_22d82b196ae14706b75df45ed61cb7c6"/>
                        <w:lock w:val="sdtLocked"/>
                        <w:richText/>
                      </w:sdtPr>
                      <w:sdtContent>
                        <w:p>
                          <w:pPr>
                            <w:spacing w:line="259" w:lineRule="auto"/>
                            <w:jc w:val="center"/>
                            <w:rPr>
                              <w:rFonts w:ascii="Arial" w:eastAsia="Calibri" w:hAnsi="Arial"/>
                              <w:b/>
                              <w:color w:val="002060"/>
                              <w:sz w:val="22"/>
                              <w:szCs w:val="32"/>
                            </w:rPr>
                          </w:pPr>
                          <w:sdt>
                            <w:sdtPr>
                              <w:alias w:val="Numeris"/>
                              <w:tag w:val="nr_22d82b196ae14706b75df45ed61cb7c6"/>
                              <w:lock w:val="sdtLocked"/>
                              <w:richText/>
                            </w:sdtPr>
                            <w:sdtContent>
                              <w:r>
                                <w:rPr>
                                  <w:rFonts w:ascii="Arial" w:eastAsia="Calibri" w:hAnsi="Arial"/>
                                  <w:b/>
                                  <w:color w:val="002060"/>
                                  <w:sz w:val="22"/>
                                  <w:szCs w:val="32"/>
                                </w:rPr>
                                <w:t>3.5.1</w:t>
                              </w:r>
                            </w:sdtContent>
                          </w:sdt>
                          <w:r>
                            <w:rPr>
                              <w:rFonts w:ascii="Arial" w:eastAsia="Calibri" w:hAnsi="Arial"/>
                              <w:b/>
                              <w:color w:val="002060"/>
                              <w:sz w:val="22"/>
                              <w:szCs w:val="32"/>
                            </w:rPr>
                            <w:t>. lentelė. AIE dalis bendrame galutinės energijos suvartojime Joniškio rajono savivaldybėje</w:t>
                          </w:r>
                        </w:p>
                        <w:p>
                          <w:pPr>
                            <w:rPr>
                              <w:sz w:val="10"/>
                              <w:szCs w:val="10"/>
                            </w:rPr>
                          </w:pPr>
                        </w:p>
                        <w:tbl>
                          <w:tblPr>
                            <w:tblW w:w="10343" w:type="dxa"/>
                            <w:tblBorders>
                              <w:top w:val="single" w:sz="4" w:space="0" w:color="4472C4"/>
                              <w:left w:val="single" w:sz="4" w:space="0" w:color="4472C4"/>
                              <w:bottom w:val="single" w:sz="4" w:space="0" w:color="4472C4"/>
                              <w:right w:val="single" w:sz="4" w:space="0" w:color="4472C4"/>
                            </w:tblBorders>
                            <w:tblLayout w:type="fixed"/>
                            <w:tblLook w:val="04A0" w:firstRow="1" w:lastRow="0" w:firstColumn="1" w:lastColumn="0" w:noHBand="0" w:noVBand="1"/>
                          </w:tblPr>
                          <w:tblGrid>
                            <w:gridCol w:w="1980"/>
                            <w:gridCol w:w="1134"/>
                            <w:gridCol w:w="992"/>
                            <w:gridCol w:w="992"/>
                            <w:gridCol w:w="1134"/>
                            <w:gridCol w:w="993"/>
                            <w:gridCol w:w="992"/>
                            <w:gridCol w:w="992"/>
                            <w:gridCol w:w="1134"/>
                          </w:tblGrid>
                          <w:tr>
                            <w:trPr>
                              <w:trHeight w:hRule="exact" w:val="1097"/>
                            </w:trPr>
                            <w:tc>
                              <w:tcPr>
                                <w:tcW w:w="1980" w:type="dxa"/>
                                <w:hideMark/>
                              </w:tcPr>
                              <w:p>
                                <w:pPr>
                                  <w:jc w:val="center"/>
                                  <w:rPr>
                                    <w:rFonts w:ascii="Arial" w:hAnsi="Arial" w:cs="Arial"/>
                                    <w:sz w:val="20"/>
                                    <w:lang w:eastAsia="lt-LT"/>
                                  </w:rPr>
                                </w:pPr>
                                <w:r>
                                  <w:rPr>
                                    <w:rFonts w:ascii="Arial" w:hAnsi="Arial" w:cs="Arial"/>
                                    <w:sz w:val="20"/>
                                    <w:lang w:eastAsia="lt-LT"/>
                                  </w:rPr>
                                  <w:t>Energijos išteklių rūšis</w:t>
                                </w:r>
                              </w:p>
                            </w:tc>
                            <w:tc>
                              <w:tcPr>
                                <w:tcW w:w="1134" w:type="dxa"/>
                                <w:hideMark/>
                              </w:tcPr>
                              <w:p>
                                <w:pPr>
                                  <w:jc w:val="center"/>
                                  <w:rPr>
                                    <w:rFonts w:ascii="Arial" w:hAnsi="Arial" w:cs="Arial"/>
                                    <w:sz w:val="20"/>
                                    <w:lang w:eastAsia="lt-LT"/>
                                  </w:rPr>
                                </w:pPr>
                                <w:r>
                                  <w:rPr>
                                    <w:rFonts w:ascii="Arial" w:hAnsi="Arial" w:cs="Arial"/>
                                    <w:sz w:val="20"/>
                                    <w:lang w:eastAsia="lt-LT"/>
                                  </w:rPr>
                                  <w:t>Transportas</w:t>
                                </w:r>
                              </w:p>
                            </w:tc>
                            <w:tc>
                              <w:tcPr>
                                <w:tcW w:w="992" w:type="dxa"/>
                                <w:hideMark/>
                              </w:tcPr>
                              <w:p>
                                <w:pPr>
                                  <w:jc w:val="center"/>
                                  <w:rPr>
                                    <w:rFonts w:ascii="Arial" w:hAnsi="Arial" w:cs="Arial"/>
                                    <w:sz w:val="20"/>
                                    <w:lang w:eastAsia="lt-LT"/>
                                  </w:rPr>
                                </w:pPr>
                                <w:r>
                                  <w:rPr>
                                    <w:rFonts w:ascii="Arial" w:hAnsi="Arial" w:cs="Arial"/>
                                    <w:sz w:val="20"/>
                                    <w:lang w:eastAsia="lt-LT"/>
                                  </w:rPr>
                                  <w:t>Pramonė</w:t>
                                </w:r>
                              </w:p>
                            </w:tc>
                            <w:tc>
                              <w:tcPr>
                                <w:tcW w:w="992" w:type="dxa"/>
                                <w:hideMark/>
                              </w:tcPr>
                              <w:p>
                                <w:pPr>
                                  <w:jc w:val="center"/>
                                  <w:rPr>
                                    <w:rFonts w:ascii="Arial" w:hAnsi="Arial" w:cs="Arial"/>
                                    <w:sz w:val="20"/>
                                    <w:lang w:eastAsia="lt-LT"/>
                                  </w:rPr>
                                </w:pPr>
                                <w:r>
                                  <w:rPr>
                                    <w:rFonts w:ascii="Arial" w:hAnsi="Arial" w:cs="Arial"/>
                                    <w:sz w:val="20"/>
                                    <w:lang w:eastAsia="lt-LT"/>
                                  </w:rPr>
                                  <w:t>Žemės ūkis</w:t>
                                </w:r>
                              </w:p>
                            </w:tc>
                            <w:tc>
                              <w:tcPr>
                                <w:tcW w:w="1134" w:type="dxa"/>
                                <w:hideMark/>
                              </w:tcPr>
                              <w:p>
                                <w:pPr>
                                  <w:jc w:val="center"/>
                                  <w:rPr>
                                    <w:rFonts w:ascii="Arial" w:hAnsi="Arial" w:cs="Arial"/>
                                    <w:sz w:val="20"/>
                                    <w:lang w:eastAsia="lt-LT"/>
                                  </w:rPr>
                                </w:pPr>
                                <w:r>
                                  <w:rPr>
                                    <w:rFonts w:ascii="Arial" w:hAnsi="Arial" w:cs="Arial"/>
                                    <w:sz w:val="20"/>
                                    <w:lang w:eastAsia="lt-LT"/>
                                  </w:rPr>
                                  <w:t>Namų ūkiai</w:t>
                                </w:r>
                              </w:p>
                            </w:tc>
                            <w:tc>
                              <w:tcPr>
                                <w:tcW w:w="993" w:type="dxa"/>
                                <w:hideMark/>
                              </w:tcPr>
                              <w:p>
                                <w:pPr>
                                  <w:jc w:val="center"/>
                                  <w:rPr>
                                    <w:rFonts w:ascii="Arial" w:hAnsi="Arial" w:cs="Arial"/>
                                    <w:sz w:val="20"/>
                                    <w:lang w:eastAsia="lt-LT"/>
                                  </w:rPr>
                                </w:pPr>
                                <w:r>
                                  <w:rPr>
                                    <w:rFonts w:ascii="Arial" w:hAnsi="Arial" w:cs="Arial"/>
                                    <w:sz w:val="20"/>
                                    <w:lang w:eastAsia="lt-LT"/>
                                  </w:rPr>
                                  <w:t>Paslaugų sektorius</w:t>
                                </w:r>
                              </w:p>
                            </w:tc>
                            <w:tc>
                              <w:tcPr>
                                <w:tcW w:w="992" w:type="dxa"/>
                                <w:hideMark/>
                              </w:tcPr>
                              <w:p>
                                <w:pPr>
                                  <w:jc w:val="center"/>
                                  <w:rPr>
                                    <w:rFonts w:ascii="Arial" w:hAnsi="Arial" w:cs="Arial"/>
                                    <w:sz w:val="20"/>
                                    <w:lang w:eastAsia="lt-LT"/>
                                  </w:rPr>
                                </w:pPr>
                                <w:r>
                                  <w:rPr>
                                    <w:rFonts w:ascii="Arial" w:hAnsi="Arial" w:cs="Arial"/>
                                    <w:sz w:val="20"/>
                                    <w:lang w:eastAsia="lt-LT"/>
                                  </w:rPr>
                                  <w:t>Energijos nuostoliai ir savos reikmės</w:t>
                                </w:r>
                              </w:p>
                            </w:tc>
                            <w:tc>
                              <w:tcPr>
                                <w:tcW w:w="992" w:type="dxa"/>
                                <w:hideMark/>
                              </w:tcPr>
                              <w:p>
                                <w:pPr>
                                  <w:jc w:val="center"/>
                                  <w:rPr>
                                    <w:rFonts w:ascii="Arial" w:hAnsi="Arial" w:cs="Arial"/>
                                    <w:sz w:val="20"/>
                                    <w:lang w:eastAsia="lt-LT"/>
                                  </w:rPr>
                                </w:pPr>
                                <w:r>
                                  <w:rPr>
                                    <w:rFonts w:ascii="Arial" w:hAnsi="Arial" w:cs="Arial"/>
                                    <w:sz w:val="20"/>
                                    <w:lang w:eastAsia="lt-LT"/>
                                  </w:rPr>
                                  <w:t>Iš viso</w:t>
                                </w:r>
                              </w:p>
                            </w:tc>
                            <w:tc>
                              <w:tcPr>
                                <w:tcW w:w="1134" w:type="dxa"/>
                              </w:tcPr>
                              <w:p>
                                <w:pPr>
                                  <w:jc w:val="center"/>
                                  <w:rPr>
                                    <w:rFonts w:ascii="Arial" w:hAnsi="Arial" w:cs="Arial"/>
                                    <w:sz w:val="20"/>
                                    <w:lang w:eastAsia="lt-LT"/>
                                  </w:rPr>
                                </w:pPr>
                                <w:r>
                                  <w:rPr>
                                    <w:rFonts w:ascii="Arial" w:hAnsi="Arial" w:cs="Arial"/>
                                    <w:sz w:val="20"/>
                                    <w:lang w:eastAsia="lt-LT"/>
                                  </w:rPr>
                                  <w:t>AIE dalis</w:t>
                                </w: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Benzinas</w:t>
                                </w:r>
                              </w:p>
                            </w:tc>
                            <w:tc>
                              <w:tcPr>
                                <w:tcW w:w="1134" w:type="dxa"/>
                              </w:tcPr>
                              <w:p>
                                <w:pPr>
                                  <w:jc w:val="center"/>
                                  <w:rPr>
                                    <w:rFonts w:ascii="Arial" w:hAnsi="Arial" w:cs="Arial"/>
                                    <w:sz w:val="20"/>
                                    <w:lang w:eastAsia="lt-LT"/>
                                  </w:rPr>
                                </w:pPr>
                                <w:r>
                                  <w:rPr>
                                    <w:rFonts w:ascii="Arial" w:hAnsi="Arial" w:cs="Arial"/>
                                    <w:sz w:val="20"/>
                                  </w:rPr>
                                  <w:t>40,6</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0,0</w:t>
                                </w:r>
                              </w:p>
                            </w:tc>
                            <w:tc>
                              <w:tcPr>
                                <w:tcW w:w="993"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40,6</w:t>
                                </w:r>
                              </w:p>
                            </w:tc>
                            <w:tc>
                              <w:tcPr>
                                <w:tcW w:w="1134" w:type="dxa"/>
                              </w:tcPr>
                              <w:p>
                                <w:pPr>
                                  <w:jc w:val="center"/>
                                  <w:rPr>
                                    <w:rFonts w:ascii="Arial" w:hAnsi="Arial" w:cs="Arial"/>
                                    <w:sz w:val="20"/>
                                    <w:lang w:eastAsia="lt-LT"/>
                                  </w:rPr>
                                </w:pPr>
                                <w:r>
                                  <w:rPr>
                                    <w:rFonts w:ascii="Arial" w:hAnsi="Arial" w:cs="Arial"/>
                                    <w:sz w:val="20"/>
                                  </w:rPr>
                                  <w:t>2,7</w:t>
                                </w: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Dyzelinas</w:t>
                                </w:r>
                              </w:p>
                            </w:tc>
                            <w:tc>
                              <w:tcPr>
                                <w:tcW w:w="1134" w:type="dxa"/>
                              </w:tcPr>
                              <w:p>
                                <w:pPr>
                                  <w:jc w:val="center"/>
                                  <w:rPr>
                                    <w:rFonts w:ascii="Arial" w:hAnsi="Arial" w:cs="Arial"/>
                                    <w:sz w:val="20"/>
                                    <w:lang w:eastAsia="lt-LT"/>
                                  </w:rPr>
                                </w:pPr>
                                <w:r>
                                  <w:rPr>
                                    <w:rFonts w:ascii="Arial" w:hAnsi="Arial" w:cs="Arial"/>
                                    <w:sz w:val="20"/>
                                  </w:rPr>
                                  <w:t>414,1</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0,0</w:t>
                                </w:r>
                              </w:p>
                            </w:tc>
                            <w:tc>
                              <w:tcPr>
                                <w:tcW w:w="993"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414,1</w:t>
                                </w:r>
                              </w:p>
                            </w:tc>
                            <w:tc>
                              <w:tcPr>
                                <w:tcW w:w="1134" w:type="dxa"/>
                              </w:tcPr>
                              <w:p>
                                <w:pPr>
                                  <w:jc w:val="center"/>
                                  <w:rPr>
                                    <w:rFonts w:ascii="Arial" w:hAnsi="Arial" w:cs="Arial"/>
                                    <w:sz w:val="20"/>
                                    <w:lang w:eastAsia="lt-LT"/>
                                  </w:rPr>
                                </w:pPr>
                                <w:r>
                                  <w:rPr>
                                    <w:rFonts w:ascii="Arial" w:hAnsi="Arial" w:cs="Arial"/>
                                    <w:sz w:val="20"/>
                                  </w:rPr>
                                  <w:t>25,7</w:t>
                                </w: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SND</w:t>
                                </w:r>
                                <w:r>
                                  <w:rPr>
                                    <w:rFonts w:ascii="Arial" w:hAnsi="Arial" w:cs="Arial"/>
                                    <w:sz w:val="20"/>
                                    <w:vertAlign w:val="superscript"/>
                                    <w:lang w:eastAsia="lt-LT"/>
                                  </w:rPr>
                                  <w:footnoteReference w:id="16"/>
                                </w:r>
                              </w:p>
                            </w:tc>
                            <w:tc>
                              <w:tcPr>
                                <w:tcW w:w="1134" w:type="dxa"/>
                              </w:tcPr>
                              <w:p>
                                <w:pPr>
                                  <w:jc w:val="center"/>
                                  <w:rPr>
                                    <w:rFonts w:ascii="Arial" w:hAnsi="Arial" w:cs="Arial"/>
                                    <w:sz w:val="20"/>
                                    <w:lang w:eastAsia="lt-LT"/>
                                  </w:rPr>
                                </w:pPr>
                                <w:r>
                                  <w:rPr>
                                    <w:rFonts w:ascii="Arial" w:hAnsi="Arial" w:cs="Arial"/>
                                    <w:sz w:val="20"/>
                                  </w:rPr>
                                  <w:t>17,8</w:t>
                                </w:r>
                              </w:p>
                            </w:tc>
                            <w:tc>
                              <w:tcPr>
                                <w:tcW w:w="992" w:type="dxa"/>
                              </w:tcPr>
                              <w:p>
                                <w:pPr>
                                  <w:jc w:val="center"/>
                                  <w:rPr>
                                    <w:rFonts w:ascii="Arial" w:hAnsi="Arial" w:cs="Arial"/>
                                    <w:sz w:val="20"/>
                                    <w:lang w:eastAsia="lt-LT"/>
                                  </w:rPr>
                                </w:pPr>
                                <w:r>
                                  <w:rPr>
                                    <w:rFonts w:ascii="Arial" w:hAnsi="Arial" w:cs="Arial"/>
                                    <w:sz w:val="20"/>
                                  </w:rPr>
                                  <w:t>21,2</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10,9</w:t>
                                </w:r>
                              </w:p>
                            </w:tc>
                            <w:tc>
                              <w:tcPr>
                                <w:tcW w:w="993"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49,9</w:t>
                                </w:r>
                              </w:p>
                            </w:tc>
                            <w:tc>
                              <w:tcPr>
                                <w:tcW w:w="1134" w:type="dxa"/>
                              </w:tcPr>
                              <w:p>
                                <w:pPr>
                                  <w:jc w:val="center"/>
                                  <w:rPr>
                                    <w:rFonts w:ascii="Arial" w:hAnsi="Arial" w:cs="Arial"/>
                                    <w:sz w:val="20"/>
                                    <w:lang w:eastAsia="lt-LT"/>
                                  </w:rPr>
                                </w:pP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Anglys ir durpės</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632,7</w:t>
                                </w:r>
                              </w:p>
                            </w:tc>
                            <w:tc>
                              <w:tcPr>
                                <w:tcW w:w="993" w:type="dxa"/>
                              </w:tcPr>
                              <w:p>
                                <w:pPr>
                                  <w:jc w:val="center"/>
                                  <w:rPr>
                                    <w:rFonts w:ascii="Arial" w:hAnsi="Arial" w:cs="Arial"/>
                                    <w:sz w:val="20"/>
                                    <w:lang w:eastAsia="lt-LT"/>
                                  </w:rPr>
                                </w:pPr>
                                <w:r>
                                  <w:rPr>
                                    <w:rFonts w:ascii="Arial" w:hAnsi="Arial" w:cs="Arial"/>
                                    <w:sz w:val="20"/>
                                  </w:rPr>
                                  <w:t>53,1</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685,8</w:t>
                                </w:r>
                              </w:p>
                            </w:tc>
                            <w:tc>
                              <w:tcPr>
                                <w:tcW w:w="1134" w:type="dxa"/>
                              </w:tcPr>
                              <w:p>
                                <w:pPr>
                                  <w:jc w:val="center"/>
                                  <w:rPr>
                                    <w:rFonts w:ascii="Arial" w:hAnsi="Arial" w:cs="Arial"/>
                                    <w:sz w:val="20"/>
                                    <w:lang w:eastAsia="lt-LT"/>
                                  </w:rPr>
                                </w:pP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Gamtinės dujos</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228,4</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818,1</w:t>
                                </w:r>
                              </w:p>
                            </w:tc>
                            <w:tc>
                              <w:tcPr>
                                <w:tcW w:w="993" w:type="dxa"/>
                              </w:tcPr>
                              <w:p>
                                <w:pPr>
                                  <w:jc w:val="center"/>
                                  <w:rPr>
                                    <w:rFonts w:ascii="Arial" w:hAnsi="Arial" w:cs="Arial"/>
                                    <w:sz w:val="20"/>
                                    <w:lang w:eastAsia="lt-LT"/>
                                  </w:rPr>
                                </w:pPr>
                                <w:r>
                                  <w:rPr>
                                    <w:rFonts w:ascii="Arial" w:hAnsi="Arial" w:cs="Arial"/>
                                    <w:sz w:val="20"/>
                                  </w:rPr>
                                  <w:t>321,5</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1368,0</w:t>
                                </w:r>
                              </w:p>
                            </w:tc>
                            <w:tc>
                              <w:tcPr>
                                <w:tcW w:w="1134" w:type="dxa"/>
                              </w:tcPr>
                              <w:p>
                                <w:pPr>
                                  <w:jc w:val="center"/>
                                  <w:rPr>
                                    <w:rFonts w:ascii="Arial" w:hAnsi="Arial" w:cs="Arial"/>
                                    <w:sz w:val="20"/>
                                    <w:lang w:eastAsia="lt-LT"/>
                                  </w:rPr>
                                </w:pP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Skystasis kuras</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349,1</w:t>
                                </w:r>
                              </w:p>
                            </w:tc>
                            <w:tc>
                              <w:tcPr>
                                <w:tcW w:w="993"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349,1</w:t>
                                </w:r>
                              </w:p>
                            </w:tc>
                            <w:tc>
                              <w:tcPr>
                                <w:tcW w:w="1134" w:type="dxa"/>
                              </w:tcPr>
                              <w:p>
                                <w:pPr>
                                  <w:jc w:val="center"/>
                                  <w:rPr>
                                    <w:rFonts w:ascii="Arial" w:hAnsi="Arial" w:cs="Arial"/>
                                    <w:sz w:val="20"/>
                                    <w:lang w:eastAsia="lt-LT"/>
                                  </w:rPr>
                                </w:pP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Biokuras</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927,8</w:t>
                                </w:r>
                              </w:p>
                            </w:tc>
                            <w:tc>
                              <w:tcPr>
                                <w:tcW w:w="992" w:type="dxa"/>
                              </w:tcPr>
                              <w:p>
                                <w:pPr>
                                  <w:jc w:val="center"/>
                                  <w:rPr>
                                    <w:rFonts w:ascii="Arial" w:hAnsi="Arial" w:cs="Arial"/>
                                    <w:sz w:val="20"/>
                                    <w:lang w:eastAsia="lt-LT"/>
                                  </w:rPr>
                                </w:pPr>
                                <w:r>
                                  <w:rPr>
                                    <w:rFonts w:ascii="Arial" w:hAnsi="Arial" w:cs="Arial"/>
                                    <w:sz w:val="20"/>
                                  </w:rPr>
                                  <w:t>77,4</w:t>
                                </w:r>
                              </w:p>
                            </w:tc>
                            <w:tc>
                              <w:tcPr>
                                <w:tcW w:w="1134" w:type="dxa"/>
                              </w:tcPr>
                              <w:p>
                                <w:pPr>
                                  <w:jc w:val="center"/>
                                  <w:rPr>
                                    <w:rFonts w:ascii="Arial" w:hAnsi="Arial" w:cs="Arial"/>
                                    <w:sz w:val="20"/>
                                    <w:lang w:eastAsia="lt-LT"/>
                                  </w:rPr>
                                </w:pPr>
                                <w:r>
                                  <w:rPr>
                                    <w:rFonts w:ascii="Arial" w:hAnsi="Arial" w:cs="Arial"/>
                                    <w:sz w:val="20"/>
                                  </w:rPr>
                                  <w:t>7777,7</w:t>
                                </w:r>
                              </w:p>
                            </w:tc>
                            <w:tc>
                              <w:tcPr>
                                <w:tcW w:w="993" w:type="dxa"/>
                              </w:tcPr>
                              <w:p>
                                <w:pPr>
                                  <w:jc w:val="center"/>
                                  <w:rPr>
                                    <w:rFonts w:ascii="Arial" w:hAnsi="Arial" w:cs="Arial"/>
                                    <w:sz w:val="20"/>
                                    <w:lang w:eastAsia="lt-LT"/>
                                  </w:rPr>
                                </w:pPr>
                                <w:r>
                                  <w:rPr>
                                    <w:rFonts w:ascii="Arial" w:hAnsi="Arial" w:cs="Arial"/>
                                    <w:sz w:val="20"/>
                                  </w:rPr>
                                  <w:t>133,9</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8916,8</w:t>
                                </w:r>
                              </w:p>
                            </w:tc>
                            <w:tc>
                              <w:tcPr>
                                <w:tcW w:w="1134" w:type="dxa"/>
                              </w:tcPr>
                              <w:p>
                                <w:pPr>
                                  <w:jc w:val="center"/>
                                  <w:rPr>
                                    <w:rFonts w:ascii="Arial" w:hAnsi="Arial" w:cs="Arial"/>
                                    <w:sz w:val="20"/>
                                    <w:lang w:eastAsia="lt-LT"/>
                                  </w:rPr>
                                </w:pPr>
                                <w:r>
                                  <w:rPr>
                                    <w:rFonts w:ascii="Arial" w:hAnsi="Arial" w:cs="Arial"/>
                                    <w:sz w:val="20"/>
                                  </w:rPr>
                                  <w:t>8916,8</w:t>
                                </w:r>
                              </w:p>
                            </w:tc>
                          </w:tr>
                          <w:tr>
                            <w:trPr>
                              <w:trHeight w:hRule="exact" w:val="227"/>
                            </w:trPr>
                            <w:tc>
                              <w:tcPr>
                                <w:tcW w:w="1980" w:type="dxa"/>
                                <w:hideMark/>
                              </w:tcPr>
                              <w:p>
                                <w:pPr>
                                  <w:rPr>
                                    <w:rFonts w:ascii="Arial" w:hAnsi="Arial" w:cs="Arial"/>
                                    <w:sz w:val="20"/>
                                    <w:lang w:eastAsia="lt-LT"/>
                                  </w:rPr>
                                </w:pPr>
                                <w:r>
                                  <w:rPr>
                                    <w:rFonts w:ascii="Arial" w:hAnsi="Arial" w:cs="Arial"/>
                                    <w:sz w:val="20"/>
                                    <w:lang w:eastAsia="lt-LT"/>
                                  </w:rPr>
                                  <w:t>Elektros energija</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1489,6</w:t>
                                </w:r>
                              </w:p>
                            </w:tc>
                            <w:tc>
                              <w:tcPr>
                                <w:tcW w:w="992" w:type="dxa"/>
                              </w:tcPr>
                              <w:p>
                                <w:pPr>
                                  <w:jc w:val="center"/>
                                  <w:rPr>
                                    <w:rFonts w:ascii="Arial" w:hAnsi="Arial" w:cs="Arial"/>
                                    <w:sz w:val="20"/>
                                    <w:lang w:eastAsia="lt-LT"/>
                                  </w:rPr>
                                </w:pPr>
                                <w:r>
                                  <w:rPr>
                                    <w:rFonts w:ascii="Arial" w:hAnsi="Arial" w:cs="Arial"/>
                                    <w:sz w:val="20"/>
                                  </w:rPr>
                                  <w:t>297,9</w:t>
                                </w:r>
                              </w:p>
                            </w:tc>
                            <w:tc>
                              <w:tcPr>
                                <w:tcW w:w="1134" w:type="dxa"/>
                              </w:tcPr>
                              <w:p>
                                <w:pPr>
                                  <w:jc w:val="center"/>
                                  <w:rPr>
                                    <w:rFonts w:ascii="Arial" w:hAnsi="Arial" w:cs="Arial"/>
                                    <w:sz w:val="20"/>
                                    <w:lang w:eastAsia="lt-LT"/>
                                  </w:rPr>
                                </w:pPr>
                                <w:r>
                                  <w:rPr>
                                    <w:rFonts w:ascii="Arial" w:hAnsi="Arial" w:cs="Arial"/>
                                    <w:sz w:val="20"/>
                                  </w:rPr>
                                  <w:t>1923,3</w:t>
                                </w:r>
                              </w:p>
                            </w:tc>
                            <w:tc>
                              <w:tcPr>
                                <w:tcW w:w="993" w:type="dxa"/>
                              </w:tcPr>
                              <w:p>
                                <w:pPr>
                                  <w:jc w:val="center"/>
                                  <w:rPr>
                                    <w:rFonts w:ascii="Arial" w:hAnsi="Arial" w:cs="Arial"/>
                                    <w:sz w:val="20"/>
                                    <w:lang w:eastAsia="lt-LT"/>
                                  </w:rPr>
                                </w:pPr>
                                <w:r>
                                  <w:rPr>
                                    <w:rFonts w:ascii="Arial" w:hAnsi="Arial" w:cs="Arial"/>
                                    <w:sz w:val="20"/>
                                  </w:rPr>
                                  <w:t>1191,7</w:t>
                                </w:r>
                              </w:p>
                            </w:tc>
                            <w:tc>
                              <w:tcPr>
                                <w:tcW w:w="992" w:type="dxa"/>
                              </w:tcPr>
                              <w:p>
                                <w:pPr>
                                  <w:jc w:val="center"/>
                                  <w:rPr>
                                    <w:rFonts w:ascii="Arial" w:hAnsi="Arial" w:cs="Arial"/>
                                    <w:sz w:val="20"/>
                                    <w:lang w:eastAsia="lt-LT"/>
                                  </w:rPr>
                                </w:pPr>
                                <w:r>
                                  <w:rPr>
                                    <w:rFonts w:ascii="Arial" w:hAnsi="Arial" w:cs="Arial"/>
                                    <w:sz w:val="20"/>
                                  </w:rPr>
                                  <w:t>490,3</w:t>
                                </w:r>
                              </w:p>
                            </w:tc>
                            <w:tc>
                              <w:tcPr>
                                <w:tcW w:w="992" w:type="dxa"/>
                              </w:tcPr>
                              <w:p>
                                <w:pPr>
                                  <w:jc w:val="center"/>
                                  <w:rPr>
                                    <w:rFonts w:ascii="Arial" w:hAnsi="Arial" w:cs="Arial"/>
                                    <w:sz w:val="20"/>
                                    <w:lang w:eastAsia="lt-LT"/>
                                  </w:rPr>
                                </w:pPr>
                                <w:r>
                                  <w:rPr>
                                    <w:rFonts w:ascii="Arial" w:hAnsi="Arial" w:cs="Arial"/>
                                    <w:sz w:val="20"/>
                                  </w:rPr>
                                  <w:t>5392,8</w:t>
                                </w:r>
                              </w:p>
                            </w:tc>
                            <w:tc>
                              <w:tcPr>
                                <w:tcW w:w="1134" w:type="dxa"/>
                              </w:tcPr>
                              <w:p>
                                <w:pPr>
                                  <w:jc w:val="center"/>
                                  <w:rPr>
                                    <w:rFonts w:ascii="Arial" w:hAnsi="Arial" w:cs="Arial"/>
                                    <w:sz w:val="20"/>
                                    <w:lang w:eastAsia="lt-LT"/>
                                  </w:rPr>
                                </w:pPr>
                                <w:r>
                                  <w:rPr>
                                    <w:rFonts w:ascii="Arial" w:hAnsi="Arial" w:cs="Arial"/>
                                    <w:sz w:val="20"/>
                                  </w:rPr>
                                  <w:t>1087,7</w:t>
                                </w:r>
                              </w:p>
                            </w:tc>
                          </w:tr>
                          <w:tr>
                            <w:trPr>
                              <w:trHeight w:hRule="exact" w:val="873"/>
                            </w:trPr>
                            <w:tc>
                              <w:tcPr>
                                <w:tcW w:w="1980" w:type="dxa"/>
                              </w:tcPr>
                              <w:p>
                                <w:pPr>
                                  <w:rPr>
                                    <w:rFonts w:ascii="Arial" w:hAnsi="Arial" w:cs="Arial"/>
                                    <w:sz w:val="20"/>
                                    <w:lang w:eastAsia="lt-LT"/>
                                  </w:rPr>
                                </w:pPr>
                                <w:r>
                                  <w:rPr>
                                    <w:rFonts w:ascii="Arial" w:hAnsi="Arial" w:cs="Arial"/>
                                    <w:sz w:val="20"/>
                                  </w:rPr>
                                  <w:t>Aplinkos šiluminė energija (šilumos siurbliai)</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1134" w:type="dxa"/>
                              </w:tcPr>
                              <w:p>
                                <w:pPr>
                                  <w:jc w:val="center"/>
                                  <w:rPr>
                                    <w:rFonts w:ascii="Arial" w:hAnsi="Arial" w:cs="Arial"/>
                                    <w:color w:val="000000"/>
                                    <w:sz w:val="20"/>
                                  </w:rPr>
                                </w:pPr>
                                <w:r>
                                  <w:rPr>
                                    <w:rFonts w:ascii="Arial" w:hAnsi="Arial" w:cs="Arial"/>
                                    <w:sz w:val="20"/>
                                  </w:rPr>
                                  <w:t>392,7</w:t>
                                </w:r>
                              </w:p>
                            </w:tc>
                            <w:tc>
                              <w:tcPr>
                                <w:tcW w:w="993"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392,7</w:t>
                                </w:r>
                              </w:p>
                            </w:tc>
                            <w:tc>
                              <w:tcPr>
                                <w:tcW w:w="1134" w:type="dxa"/>
                              </w:tcPr>
                              <w:p>
                                <w:pPr>
                                  <w:jc w:val="center"/>
                                  <w:rPr>
                                    <w:rFonts w:ascii="Arial" w:hAnsi="Arial" w:cs="Arial"/>
                                    <w:color w:val="000000"/>
                                    <w:sz w:val="20"/>
                                  </w:rPr>
                                </w:pPr>
                                <w:r>
                                  <w:rPr>
                                    <w:rFonts w:ascii="Arial" w:hAnsi="Arial" w:cs="Arial"/>
                                    <w:sz w:val="20"/>
                                  </w:rPr>
                                  <w:t>392,7</w:t>
                                </w:r>
                              </w:p>
                            </w:tc>
                          </w:tr>
                          <w:tr>
                            <w:trPr>
                              <w:trHeight w:hRule="exact" w:val="527"/>
                            </w:trPr>
                            <w:tc>
                              <w:tcPr>
                                <w:tcW w:w="1980" w:type="dxa"/>
                              </w:tcPr>
                              <w:p>
                                <w:pPr>
                                  <w:rPr>
                                    <w:rFonts w:ascii="Arial" w:hAnsi="Arial" w:cs="Arial"/>
                                    <w:sz w:val="20"/>
                                    <w:lang w:eastAsia="lt-LT"/>
                                  </w:rPr>
                                </w:pPr>
                                <w:r>
                                  <w:rPr>
                                    <w:rFonts w:ascii="Arial" w:hAnsi="Arial" w:cs="Arial"/>
                                    <w:sz w:val="20"/>
                                  </w:rPr>
                                  <w:t>Kitos kuro ir energijos rūšys</w:t>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1134" w:type="dxa"/>
                              </w:tcPr>
                              <w:p>
                                <w:pPr>
                                  <w:jc w:val="center"/>
                                  <w:rPr>
                                    <w:rFonts w:ascii="Arial" w:hAnsi="Arial" w:cs="Arial"/>
                                    <w:color w:val="000000"/>
                                    <w:sz w:val="20"/>
                                  </w:rPr>
                                </w:pPr>
                                <w:r>
                                  <w:rPr>
                                    <w:rFonts w:ascii="Arial" w:hAnsi="Arial" w:cs="Arial"/>
                                    <w:sz w:val="20"/>
                                  </w:rPr>
                                  <w:t>294,5</w:t>
                                </w:r>
                              </w:p>
                            </w:tc>
                            <w:tc>
                              <w:tcPr>
                                <w:tcW w:w="993"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0,0</w:t>
                                </w:r>
                              </w:p>
                            </w:tc>
                            <w:tc>
                              <w:tcPr>
                                <w:tcW w:w="992" w:type="dxa"/>
                              </w:tcPr>
                              <w:p>
                                <w:pPr>
                                  <w:jc w:val="center"/>
                                  <w:rPr>
                                    <w:rFonts w:ascii="Arial" w:hAnsi="Arial" w:cs="Arial"/>
                                    <w:color w:val="000000"/>
                                    <w:sz w:val="20"/>
                                  </w:rPr>
                                </w:pPr>
                                <w:r>
                                  <w:rPr>
                                    <w:rFonts w:ascii="Arial" w:hAnsi="Arial" w:cs="Arial"/>
                                    <w:sz w:val="20"/>
                                  </w:rPr>
                                  <w:t>294,5</w:t>
                                </w:r>
                              </w:p>
                            </w:tc>
                            <w:tc>
                              <w:tcPr>
                                <w:tcW w:w="1134" w:type="dxa"/>
                              </w:tcPr>
                              <w:p>
                                <w:pPr>
                                  <w:jc w:val="center"/>
                                  <w:rPr>
                                    <w:rFonts w:ascii="Arial" w:hAnsi="Arial" w:cs="Arial"/>
                                    <w:color w:val="000000"/>
                                    <w:sz w:val="20"/>
                                  </w:rPr>
                                </w:pPr>
                              </w:p>
                            </w:tc>
                          </w:tr>
                          <w:tr>
                            <w:trPr>
                              <w:trHeight w:hRule="exact" w:val="284"/>
                            </w:trPr>
                            <w:tc>
                              <w:tcPr>
                                <w:tcW w:w="1980" w:type="dxa"/>
                                <w:hideMark/>
                              </w:tcPr>
                              <w:p>
                                <w:pPr>
                                  <w:rPr>
                                    <w:rFonts w:ascii="Arial" w:hAnsi="Arial" w:cs="Arial"/>
                                    <w:sz w:val="20"/>
                                    <w:lang w:eastAsia="lt-LT"/>
                                  </w:rPr>
                                </w:pPr>
                                <w:r>
                                  <w:rPr>
                                    <w:rFonts w:ascii="Arial" w:hAnsi="Arial" w:cs="Arial"/>
                                    <w:sz w:val="20"/>
                                    <w:lang w:eastAsia="lt-LT"/>
                                  </w:rPr>
                                  <w:t>Šilumos energija</w:t>
                                </w:r>
                                <w:r>
                                  <w:rPr>
                                    <w:rFonts w:ascii="Arial" w:hAnsi="Arial" w:cs="Arial"/>
                                    <w:sz w:val="20"/>
                                    <w:vertAlign w:val="superscript"/>
                                    <w:lang w:eastAsia="lt-LT"/>
                                  </w:rPr>
                                  <w:footnoteReference w:id="17"/>
                                </w:r>
                              </w:p>
                            </w:tc>
                            <w:tc>
                              <w:tcPr>
                                <w:tcW w:w="1134"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992" w:type="dxa"/>
                              </w:tcPr>
                              <w:p>
                                <w:pPr>
                                  <w:jc w:val="center"/>
                                  <w:rPr>
                                    <w:rFonts w:ascii="Arial" w:hAnsi="Arial" w:cs="Arial"/>
                                    <w:sz w:val="20"/>
                                    <w:lang w:eastAsia="lt-LT"/>
                                  </w:rPr>
                                </w:pPr>
                                <w:r>
                                  <w:rPr>
                                    <w:rFonts w:ascii="Arial" w:hAnsi="Arial" w:cs="Arial"/>
                                    <w:sz w:val="20"/>
                                  </w:rPr>
                                  <w:t>0,0</w:t>
                                </w:r>
                              </w:p>
                            </w:tc>
                            <w:tc>
                              <w:tcPr>
                                <w:tcW w:w="1134" w:type="dxa"/>
                              </w:tcPr>
                              <w:p>
                                <w:pPr>
                                  <w:jc w:val="center"/>
                                  <w:rPr>
                                    <w:rFonts w:ascii="Arial" w:hAnsi="Arial" w:cs="Arial"/>
                                    <w:sz w:val="20"/>
                                    <w:lang w:eastAsia="lt-LT"/>
                                  </w:rPr>
                                </w:pPr>
                                <w:r>
                                  <w:rPr>
                                    <w:rFonts w:ascii="Arial" w:hAnsi="Arial" w:cs="Arial"/>
                                    <w:sz w:val="20"/>
                                  </w:rPr>
                                  <w:t>1208,8</w:t>
                                </w:r>
                              </w:p>
                            </w:tc>
                            <w:tc>
                              <w:tcPr>
                                <w:tcW w:w="993" w:type="dxa"/>
                              </w:tcPr>
                              <w:p>
                                <w:pPr>
                                  <w:jc w:val="center"/>
                                  <w:rPr>
                                    <w:rFonts w:ascii="Arial" w:hAnsi="Arial" w:cs="Arial"/>
                                    <w:sz w:val="20"/>
                                    <w:lang w:eastAsia="lt-LT"/>
                                  </w:rPr>
                                </w:pPr>
                                <w:r>
                                  <w:rPr>
                                    <w:rFonts w:ascii="Arial" w:hAnsi="Arial" w:cs="Arial"/>
                                    <w:sz w:val="20"/>
                                  </w:rPr>
                                  <w:t>405,2</w:t>
                                </w:r>
                              </w:p>
                            </w:tc>
                            <w:tc>
                              <w:tcPr>
                                <w:tcW w:w="992" w:type="dxa"/>
                              </w:tcPr>
                              <w:p>
                                <w:pPr>
                                  <w:jc w:val="center"/>
                                  <w:rPr>
                                    <w:rFonts w:ascii="Arial" w:hAnsi="Arial" w:cs="Arial"/>
                                    <w:sz w:val="20"/>
                                    <w:lang w:eastAsia="lt-LT"/>
                                  </w:rPr>
                                </w:pPr>
                                <w:r>
                                  <w:rPr>
                                    <w:rFonts w:ascii="Arial" w:hAnsi="Arial" w:cs="Arial"/>
                                    <w:sz w:val="20"/>
                                  </w:rPr>
                                  <w:t>275,8</w:t>
                                </w:r>
                              </w:p>
                            </w:tc>
                            <w:tc>
                              <w:tcPr>
                                <w:tcW w:w="992" w:type="dxa"/>
                              </w:tcPr>
                              <w:p>
                                <w:pPr>
                                  <w:jc w:val="center"/>
                                  <w:rPr>
                                    <w:rFonts w:ascii="Arial" w:hAnsi="Arial" w:cs="Arial"/>
                                    <w:sz w:val="20"/>
                                    <w:lang w:eastAsia="lt-LT"/>
                                  </w:rPr>
                                </w:pPr>
                                <w:r>
                                  <w:rPr>
                                    <w:rFonts w:ascii="Arial" w:hAnsi="Arial" w:cs="Arial"/>
                                    <w:sz w:val="20"/>
                                  </w:rPr>
                                  <w:t>1889,8</w:t>
                                </w:r>
                              </w:p>
                            </w:tc>
                            <w:tc>
                              <w:tcPr>
                                <w:tcW w:w="1134" w:type="dxa"/>
                              </w:tcPr>
                              <w:p>
                                <w:pPr>
                                  <w:jc w:val="center"/>
                                  <w:rPr>
                                    <w:rFonts w:ascii="Arial" w:hAnsi="Arial" w:cs="Arial"/>
                                    <w:sz w:val="20"/>
                                    <w:lang w:eastAsia="lt-LT"/>
                                  </w:rPr>
                                </w:pPr>
                                <w:r>
                                  <w:rPr>
                                    <w:rFonts w:ascii="Arial" w:hAnsi="Arial" w:cs="Arial"/>
                                    <w:sz w:val="20"/>
                                  </w:rPr>
                                  <w:t>1574,2</w:t>
                                </w:r>
                              </w:p>
                            </w:tc>
                          </w:tr>
                          <w:tr>
                            <w:trPr>
                              <w:trHeight w:hRule="exact" w:val="227"/>
                            </w:trPr>
                            <w:tc>
                              <w:tcPr>
                                <w:tcW w:w="1980" w:type="dxa"/>
                                <w:hideMark/>
                              </w:tcPr>
                              <w:p>
                                <w:pPr>
                                  <w:jc w:val="right"/>
                                  <w:rPr>
                                    <w:rFonts w:ascii="Arial" w:hAnsi="Arial" w:cs="Arial"/>
                                    <w:sz w:val="20"/>
                                    <w:lang w:eastAsia="lt-LT"/>
                                  </w:rPr>
                                </w:pPr>
                                <w:r>
                                  <w:rPr>
                                    <w:rFonts w:ascii="Arial" w:hAnsi="Arial" w:cs="Arial"/>
                                    <w:sz w:val="20"/>
                                    <w:lang w:eastAsia="lt-LT"/>
                                  </w:rPr>
                                  <w:t>Iš viso</w:t>
                                </w:r>
                              </w:p>
                            </w:tc>
                            <w:tc>
                              <w:tcPr>
                                <w:tcW w:w="1134" w:type="dxa"/>
                              </w:tcPr>
                              <w:p>
                                <w:pPr>
                                  <w:jc w:val="center"/>
                                  <w:rPr>
                                    <w:rFonts w:ascii="Arial" w:hAnsi="Arial" w:cs="Arial"/>
                                    <w:b/>
                                    <w:bCs/>
                                    <w:sz w:val="20"/>
                                    <w:lang w:eastAsia="lt-LT"/>
                                  </w:rPr>
                                </w:pPr>
                                <w:r>
                                  <w:rPr>
                                    <w:rFonts w:ascii="Arial" w:hAnsi="Arial" w:cs="Arial"/>
                                    <w:b/>
                                    <w:bCs/>
                                    <w:sz w:val="20"/>
                                  </w:rPr>
                                  <w:t>472,5</w:t>
                                </w:r>
                              </w:p>
                            </w:tc>
                            <w:tc>
                              <w:tcPr>
                                <w:tcW w:w="992" w:type="dxa"/>
                              </w:tcPr>
                              <w:p>
                                <w:pPr>
                                  <w:jc w:val="center"/>
                                  <w:rPr>
                                    <w:rFonts w:ascii="Arial" w:hAnsi="Arial" w:cs="Arial"/>
                                    <w:b/>
                                    <w:bCs/>
                                    <w:sz w:val="20"/>
                                    <w:lang w:eastAsia="lt-LT"/>
                                  </w:rPr>
                                </w:pPr>
                                <w:r>
                                  <w:rPr>
                                    <w:rFonts w:ascii="Arial" w:hAnsi="Arial" w:cs="Arial"/>
                                    <w:b/>
                                    <w:bCs/>
                                    <w:sz w:val="20"/>
                                  </w:rPr>
                                  <w:t>2667,0</w:t>
                                </w:r>
                              </w:p>
                            </w:tc>
                            <w:tc>
                              <w:tcPr>
                                <w:tcW w:w="992" w:type="dxa"/>
                              </w:tcPr>
                              <w:p>
                                <w:pPr>
                                  <w:jc w:val="center"/>
                                  <w:rPr>
                                    <w:rFonts w:ascii="Arial" w:hAnsi="Arial" w:cs="Arial"/>
                                    <w:b/>
                                    <w:bCs/>
                                    <w:sz w:val="20"/>
                                    <w:lang w:eastAsia="lt-LT"/>
                                  </w:rPr>
                                </w:pPr>
                                <w:r>
                                  <w:rPr>
                                    <w:rFonts w:ascii="Arial" w:hAnsi="Arial" w:cs="Arial"/>
                                    <w:b/>
                                    <w:bCs/>
                                    <w:sz w:val="20"/>
                                  </w:rPr>
                                  <w:t>375,3</w:t>
                                </w:r>
                              </w:p>
                            </w:tc>
                            <w:tc>
                              <w:tcPr>
                                <w:tcW w:w="1134" w:type="dxa"/>
                              </w:tcPr>
                              <w:p>
                                <w:pPr>
                                  <w:jc w:val="center"/>
                                  <w:rPr>
                                    <w:rFonts w:ascii="Arial" w:hAnsi="Arial" w:cs="Arial"/>
                                    <w:b/>
                                    <w:bCs/>
                                    <w:sz w:val="20"/>
                                    <w:lang w:eastAsia="lt-LT"/>
                                  </w:rPr>
                                </w:pPr>
                                <w:r>
                                  <w:rPr>
                                    <w:rFonts w:ascii="Arial" w:hAnsi="Arial" w:cs="Arial"/>
                                    <w:b/>
                                    <w:bCs/>
                                    <w:sz w:val="20"/>
                                  </w:rPr>
                                  <w:t>13407,8</w:t>
                                </w:r>
                              </w:p>
                            </w:tc>
                            <w:tc>
                              <w:tcPr>
                                <w:tcW w:w="993" w:type="dxa"/>
                              </w:tcPr>
                              <w:p>
                                <w:pPr>
                                  <w:jc w:val="center"/>
                                  <w:rPr>
                                    <w:rFonts w:ascii="Arial" w:hAnsi="Arial" w:cs="Arial"/>
                                    <w:b/>
                                    <w:bCs/>
                                    <w:sz w:val="20"/>
                                    <w:lang w:eastAsia="lt-LT"/>
                                  </w:rPr>
                                </w:pPr>
                                <w:r>
                                  <w:rPr>
                                    <w:rFonts w:ascii="Arial" w:hAnsi="Arial" w:cs="Arial"/>
                                    <w:b/>
                                    <w:bCs/>
                                    <w:sz w:val="20"/>
                                  </w:rPr>
                                  <w:t>2105,4</w:t>
                                </w:r>
                              </w:p>
                            </w:tc>
                            <w:tc>
                              <w:tcPr>
                                <w:tcW w:w="992" w:type="dxa"/>
                              </w:tcPr>
                              <w:p>
                                <w:pPr>
                                  <w:jc w:val="center"/>
                                  <w:rPr>
                                    <w:rFonts w:ascii="Arial" w:hAnsi="Arial" w:cs="Arial"/>
                                    <w:b/>
                                    <w:bCs/>
                                    <w:sz w:val="20"/>
                                    <w:lang w:eastAsia="lt-LT"/>
                                  </w:rPr>
                                </w:pPr>
                                <w:r>
                                  <w:rPr>
                                    <w:rFonts w:ascii="Arial" w:hAnsi="Arial" w:cs="Arial"/>
                                    <w:b/>
                                    <w:bCs/>
                                    <w:sz w:val="20"/>
                                  </w:rPr>
                                  <w:t>766,1</w:t>
                                </w:r>
                              </w:p>
                            </w:tc>
                            <w:tc>
                              <w:tcPr>
                                <w:tcW w:w="992" w:type="dxa"/>
                              </w:tcPr>
                              <w:p>
                                <w:pPr>
                                  <w:jc w:val="center"/>
                                  <w:rPr>
                                    <w:rFonts w:ascii="Arial" w:hAnsi="Arial" w:cs="Arial"/>
                                    <w:b/>
                                    <w:bCs/>
                                    <w:sz w:val="20"/>
                                    <w:lang w:eastAsia="lt-LT"/>
                                  </w:rPr>
                                </w:pPr>
                                <w:r>
                                  <w:rPr>
                                    <w:rFonts w:ascii="Arial" w:hAnsi="Arial" w:cs="Arial"/>
                                    <w:b/>
                                    <w:bCs/>
                                    <w:sz w:val="20"/>
                                  </w:rPr>
                                  <w:t>19794,0</w:t>
                                </w:r>
                              </w:p>
                            </w:tc>
                            <w:tc>
                              <w:tcPr>
                                <w:tcW w:w="1134" w:type="dxa"/>
                              </w:tcPr>
                              <w:p>
                                <w:pPr>
                                  <w:jc w:val="center"/>
                                  <w:rPr>
                                    <w:rFonts w:ascii="Arial" w:hAnsi="Arial" w:cs="Arial"/>
                                    <w:b/>
                                    <w:bCs/>
                                    <w:sz w:val="20"/>
                                  </w:rPr>
                                </w:pPr>
                                <w:r>
                                  <w:rPr>
                                    <w:rFonts w:ascii="Arial" w:hAnsi="Arial" w:cs="Arial"/>
                                    <w:b/>
                                    <w:bCs/>
                                    <w:sz w:val="20"/>
                                  </w:rPr>
                                  <w:t>11999,8</w:t>
                                </w:r>
                              </w:p>
                            </w:tc>
                          </w:tr>
                          <w:tr>
                            <w:trPr>
                              <w:trHeight w:hRule="exact" w:val="227"/>
                            </w:trPr>
                            <w:tc>
                              <w:tcPr>
                                <w:tcW w:w="9209" w:type="dxa"/>
                                <w:gridSpan w:val="8"/>
                              </w:tcPr>
                              <w:p>
                                <w:pPr>
                                  <w:jc w:val="right"/>
                                  <w:rPr>
                                    <w:rFonts w:ascii="Arial" w:hAnsi="Arial" w:cs="Arial"/>
                                    <w:sz w:val="20"/>
                                    <w:lang w:eastAsia="lt-LT"/>
                                  </w:rPr>
                                </w:pPr>
                                <w:r>
                                  <w:rPr>
                                    <w:rFonts w:ascii="Arial" w:hAnsi="Arial" w:cs="Arial"/>
                                    <w:sz w:val="20"/>
                                    <w:lang w:eastAsia="lt-LT"/>
                                  </w:rPr>
                                  <w:t>AIE dalis, proc.</w:t>
                                </w:r>
                              </w:p>
                            </w:tc>
                            <w:tc>
                              <w:tcPr>
                                <w:tcW w:w="1134" w:type="dxa"/>
                              </w:tcPr>
                              <w:p>
                                <w:pPr>
                                  <w:jc w:val="center"/>
                                  <w:rPr>
                                    <w:rFonts w:ascii="Arial" w:hAnsi="Arial" w:cs="Arial"/>
                                    <w:b/>
                                    <w:bCs/>
                                    <w:sz w:val="20"/>
                                  </w:rPr>
                                </w:pPr>
                                <w:r>
                                  <w:rPr>
                                    <w:rFonts w:ascii="Arial" w:hAnsi="Arial" w:cs="Arial"/>
                                    <w:b/>
                                    <w:bCs/>
                                    <w:sz w:val="20"/>
                                  </w:rPr>
                                  <w:t>60,6</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Skaičiavimų rezultatai rodo, kad AIE dalis bendrame galutinės energijos suvartojime Joniškio rajono savivaldybėje sudaro </w:t>
                          </w:r>
                          <w:r>
                            <w:rPr>
                              <w:rFonts w:ascii="Arial" w:hAnsi="Arial" w:cs="Arial"/>
                              <w:b/>
                              <w:bCs/>
                              <w:sz w:val="22"/>
                            </w:rPr>
                            <w:t xml:space="preserve">60,6 proc. </w:t>
                          </w:r>
                          <w:r>
                            <w:rPr>
                              <w:rFonts w:ascii="Arial" w:hAnsi="Arial" w:cs="Arial"/>
                              <w:sz w:val="22"/>
                            </w:rPr>
                            <w:t>ir viršija Lietuvos AEI dalį galutinio energijos vartojimo balanse (2020 m. ji siekė 27,36 proc.). Savivaldybėje didelę įtaką AIE naudojime daro biokuro naudojimas, kuris tarp AIE rūšių sudaro 87,4 proc., o bendrame energijos vartojime 49,8 proc. Analizuojant AIE dalį pagal sektorius, didžiausia AIE dalis yra namų ūkių sektoriuje (71,3 proc.), transporto sektoriuje AIE dalis siekia 6,0 proc., pramonės sektoriuje – 46,1 proc. žemės ūkio sektoriuje – 36,6 proc., paslaugų sektoriuje – 79,9 proc.</w:t>
                            <w:br w:type="page"/>
                          </w:r>
                        </w:p>
                        <w:p>
                          <w:pPr>
                            <w:rPr>
                              <w:sz w:val="20"/>
                            </w:rPr>
                          </w:pPr>
                        </w:p>
                      </w:sdtContent>
                    </w:sdt>
                  </w:sdtContent>
                </w:sdt>
              </w:sdtContent>
            </w:sdt>
            <w:sdt>
              <w:sdtPr>
                <w:alias w:val="4 p."/>
                <w:tag w:val="part_f82eba350d4e455a8f65f64dddc8eeb7"/>
                <w:lock w:val="sdtLocked"/>
                <w:richText/>
              </w:sdtPr>
              <w:sdtContent>
                <w:p>
                  <w:pPr>
                    <w:keepNext/>
                    <w:keepLines/>
                    <w:jc w:val="center"/>
                    <w:rPr>
                      <w:rFonts w:ascii="Arial" w:hAnsi="Arial" w:cs="Arial"/>
                      <w:b/>
                      <w:caps/>
                      <w:color w:val="002060"/>
                      <w:sz w:val="28"/>
                      <w:szCs w:val="32"/>
                    </w:rPr>
                  </w:pPr>
                  <w:sdt>
                    <w:sdtPr>
                      <w:alias w:val="Numeris"/>
                      <w:tag w:val="nr_f82eba350d4e455a8f65f64dddc8eeb7"/>
                      <w:lock w:val="sdtLocked"/>
                      <w:richText/>
                    </w:sdtPr>
                    <w:sdtContent>
                      <w:r>
                        <w:rPr>
                          <w:rFonts w:ascii="Arial" w:hAnsi="Arial" w:cs="Arial"/>
                          <w:b/>
                          <w:caps/>
                          <w:color w:val="002060"/>
                          <w:sz w:val="28"/>
                          <w:szCs w:val="32"/>
                        </w:rPr>
                        <w:t>4</w:t>
                      </w:r>
                    </w:sdtContent>
                  </w:sdt>
                  <w:r>
                    <w:rPr>
                      <w:rFonts w:ascii="Arial" w:hAnsi="Arial" w:cs="Arial"/>
                      <w:b/>
                      <w:caps/>
                      <w:color w:val="002060"/>
                      <w:sz w:val="28"/>
                      <w:szCs w:val="32"/>
                    </w:rPr>
                    <w:t>. Joniškio rajono savivaldybės atsinaujinančių išteklių energijos potencialas</w:t>
                  </w:r>
                </w:p>
                <w:p>
                  <w:pPr>
                    <w:rPr>
                      <w:sz w:val="10"/>
                      <w:szCs w:val="10"/>
                    </w:rPr>
                  </w:pPr>
                </w:p>
                <w:p>
                  <w:pPr>
                    <w:spacing w:line="259" w:lineRule="auto"/>
                    <w:ind w:firstLine="567"/>
                    <w:jc w:val="both"/>
                    <w:rPr>
                      <w:rFonts w:ascii="Arial" w:hAnsi="Arial" w:cs="Arial"/>
                      <w:sz w:val="22"/>
                    </w:rPr>
                  </w:pPr>
                  <w:r>
                    <w:rPr>
                      <w:rFonts w:ascii="Arial" w:hAnsi="Arial" w:cs="Arial"/>
                      <w:sz w:val="22"/>
                    </w:rPr>
                    <w:t xml:space="preserve">Atsinaujinančių išteklių energijos potencialas skirstomas į techninį ir ekonominį. Techninis AEI potencialas yra atsinaujinančių energijos išteklių dalis, kuri gali būti panaudota energijai gaminti dabartiniais plačiai naudojamais technologiniais sprendiniais bei įranga, ir kuri gali būti apskaičiuota. Techninį potencialą lemia technologijų išvystymo lygis, topografiniai, aplinkosauginiai, žemės panaudojimo ir kiti apribojimai. Ekonominis AEI potencialas yra techninio AEI potencialo dalis, kurio panaudojimas praktikoje yra ekonomiškai pagrįstas ir priklauso nuo technologijų bei iškastinio kuro kainų, naudojamų skatinimo sistemų ir kitų veiksnių. </w:t>
                  </w:r>
                </w:p>
                <w:p>
                  <w:pPr>
                    <w:rPr>
                      <w:sz w:val="14"/>
                      <w:szCs w:val="14"/>
                    </w:rPr>
                  </w:pPr>
                </w:p>
                <w:p>
                  <w:pPr>
                    <w:spacing w:line="259" w:lineRule="auto"/>
                    <w:ind w:firstLine="567"/>
                    <w:jc w:val="both"/>
                    <w:rPr>
                      <w:rFonts w:ascii="Arial" w:hAnsi="Arial" w:cs="Arial"/>
                      <w:sz w:val="22"/>
                    </w:rPr>
                  </w:pPr>
                  <w:r>
                    <w:rPr>
                      <w:rFonts w:ascii="Arial" w:hAnsi="Arial" w:cs="Arial"/>
                      <w:sz w:val="22"/>
                    </w:rPr>
                    <w:t>Vertinant AEI techninį potencialą Joniškio rajono savivaldybėje nagrinėjami atsinaujinantys kuro (medienos, šiaudų, biodujų, komunalinių atliekų) ir energijos (saulės, vėjo, geoterminės energijos, hidroenergijos bei hidroterminės energijos) ištekliai.</w:t>
                  </w:r>
                </w:p>
                <w:p>
                  <w:pPr>
                    <w:rPr>
                      <w:sz w:val="14"/>
                      <w:szCs w:val="14"/>
                    </w:rPr>
                  </w:pPr>
                </w:p>
                <w:sdt>
                  <w:sdtPr>
                    <w:alias w:val="4.1 pp."/>
                    <w:tag w:val="part_ce67b22af453479f807ec0e3cb2acec2"/>
                    <w:lock w:val="sdtLocked"/>
                    <w:richText/>
                  </w:sdtPr>
                  <w:sdtContent>
                    <w:p>
                      <w:pPr>
                        <w:keepNext/>
                        <w:keepLines/>
                        <w:spacing w:line="259" w:lineRule="auto"/>
                        <w:jc w:val="center"/>
                        <w:outlineLvl w:val="1"/>
                        <w:rPr>
                          <w:rFonts w:ascii="Arial" w:hAnsi="Arial" w:cs="Arial"/>
                          <w:b/>
                          <w:color w:val="002060"/>
                          <w:szCs w:val="26"/>
                        </w:rPr>
                      </w:pPr>
                      <w:sdt>
                        <w:sdtPr>
                          <w:alias w:val="Numeris"/>
                          <w:tag w:val="nr_ce67b22af453479f807ec0e3cb2acec2"/>
                          <w:lock w:val="sdtLocked"/>
                          <w:richText/>
                        </w:sdtPr>
                        <w:sdtContent>
                          <w:r>
                            <w:rPr>
                              <w:rFonts w:ascii="Arial" w:hAnsi="Arial" w:cs="Arial"/>
                              <w:b/>
                              <w:color w:val="002060"/>
                              <w:szCs w:val="26"/>
                            </w:rPr>
                            <w:t>4.1</w:t>
                          </w:r>
                        </w:sdtContent>
                      </w:sdt>
                      <w:r>
                        <w:rPr>
                          <w:rFonts w:ascii="Arial" w:hAnsi="Arial" w:cs="Arial"/>
                          <w:b/>
                          <w:color w:val="002060"/>
                          <w:szCs w:val="26"/>
                        </w:rPr>
                        <w:t>. Biomasės (medienos) kuro išteklių potencialas</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Remiantis </w:t>
                      </w:r>
                      <w:r>
                        <w:rPr>
                          <w:rFonts w:ascii="Arial" w:eastAsia="SegoeUI" w:hAnsi="Arial" w:cs="Arial"/>
                          <w:sz w:val="22"/>
                          <w:szCs w:val="23"/>
                        </w:rPr>
                        <w:t xml:space="preserve">LR žemės fondo 2021 m. sausio 1 d. </w:t>
                      </w:r>
                      <w:r>
                        <w:rPr>
                          <w:rFonts w:ascii="Arial" w:eastAsia="Calibri" w:hAnsi="Arial" w:cs="Arial"/>
                          <w:sz w:val="22"/>
                          <w:szCs w:val="23"/>
                        </w:rPr>
                        <w:t xml:space="preserve">duomenimis, 2021 m. pradžioje </w:t>
                      </w:r>
                      <w:r>
                        <w:rPr>
                          <w:rFonts w:ascii="Arial" w:hAnsi="Arial" w:cs="Arial"/>
                          <w:sz w:val="22"/>
                          <w:szCs w:val="22"/>
                        </w:rPr>
                        <w:t xml:space="preserve">Joniškio rajono </w:t>
                      </w:r>
                      <w:r>
                        <w:rPr>
                          <w:rFonts w:ascii="Arial" w:eastAsia="Calibri" w:hAnsi="Arial" w:cs="Arial"/>
                          <w:sz w:val="22"/>
                          <w:szCs w:val="23"/>
                        </w:rPr>
                        <w:t xml:space="preserve">savivaldybės teritorijoje miškai užėmė </w:t>
                      </w:r>
                      <w:r>
                        <w:rPr>
                          <w:rFonts w:ascii="Arial" w:hAnsi="Arial" w:cs="Arial"/>
                          <w:sz w:val="22"/>
                          <w:szCs w:val="22"/>
                        </w:rPr>
                        <w:t>22 252,0 ha, kas sudaro apie 19,32 proc.</w:t>
                      </w:r>
                      <w:r>
                        <w:rPr>
                          <w:rFonts w:ascii="Arial" w:eastAsia="Calibri" w:hAnsi="Arial" w:cs="Arial"/>
                          <w:sz w:val="22"/>
                          <w:szCs w:val="23"/>
                        </w:rPr>
                        <w:t>. visos savivaldybės teritorijos ploto.</w:t>
                      </w:r>
                    </w:p>
                    <w:p>
                      <w:pPr>
                        <w:rPr>
                          <w:sz w:val="14"/>
                          <w:szCs w:val="14"/>
                        </w:rPr>
                      </w:pPr>
                    </w:p>
                    <w:sdt>
                      <w:sdtPr>
                        <w:alias w:val="4.1.2 pp."/>
                        <w:tag w:val="part_fb8c9e273bd74f228ea65a5fefbe2c79"/>
                        <w:lock w:val="sdtLocked"/>
                        <w:richText/>
                      </w:sdtPr>
                      <w:sdtContent>
                        <w:p>
                          <w:pPr>
                            <w:spacing w:line="259" w:lineRule="auto"/>
                            <w:jc w:val="center"/>
                            <w:rPr>
                              <w:rFonts w:ascii="Arial" w:eastAsia="Calibri" w:hAnsi="Arial"/>
                              <w:b/>
                              <w:color w:val="002060"/>
                              <w:sz w:val="22"/>
                              <w:szCs w:val="32"/>
                            </w:rPr>
                          </w:pPr>
                          <w:sdt>
                            <w:sdtPr>
                              <w:alias w:val="Numeris"/>
                              <w:tag w:val="nr_fb8c9e273bd74f228ea65a5fefbe2c79"/>
                              <w:lock w:val="sdtLocked"/>
                              <w:richText/>
                            </w:sdtPr>
                            <w:sdtContent>
                              <w:r>
                                <w:rPr>
                                  <w:rFonts w:ascii="Arial" w:eastAsia="Calibri" w:hAnsi="Arial"/>
                                  <w:b/>
                                  <w:color w:val="002060"/>
                                  <w:sz w:val="22"/>
                                  <w:szCs w:val="32"/>
                                </w:rPr>
                                <w:t>4.1.2</w:t>
                              </w:r>
                            </w:sdtContent>
                          </w:sdt>
                          <w:r>
                            <w:rPr>
                              <w:rFonts w:ascii="Arial" w:eastAsia="Calibri" w:hAnsi="Arial"/>
                              <w:b/>
                              <w:color w:val="002060"/>
                              <w:sz w:val="22"/>
                              <w:szCs w:val="32"/>
                            </w:rPr>
                            <w:t>. lentelė. Joniškio rajono savivaldybės teritorijoje esančių miškų plotai pagal nuosavybės teisę</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7687"/>
                            <w:gridCol w:w="2508"/>
                          </w:tblGrid>
                          <w:tr>
                            <w:trPr>
                              <w:jc w:val="center"/>
                            </w:trPr>
                            <w:tc>
                              <w:tcPr>
                                <w:tcW w:w="3770" w:type="pct"/>
                              </w:tcPr>
                              <w:p>
                                <w:pPr>
                                  <w:jc w:val="center"/>
                                  <w:rPr>
                                    <w:rFonts w:ascii="Arial" w:hAnsi="Arial" w:cs="Arial"/>
                                    <w:sz w:val="20"/>
                                  </w:rPr>
                                </w:pPr>
                                <w:r>
                                  <w:rPr>
                                    <w:rFonts w:ascii="Arial" w:hAnsi="Arial" w:cs="Arial"/>
                                    <w:sz w:val="20"/>
                                  </w:rPr>
                                  <w:t>Nuosavybės forma</w:t>
                                </w:r>
                              </w:p>
                            </w:tc>
                            <w:tc>
                              <w:tcPr>
                                <w:tcW w:w="1230" w:type="pct"/>
                              </w:tcPr>
                              <w:p>
                                <w:pPr>
                                  <w:jc w:val="center"/>
                                  <w:rPr>
                                    <w:rFonts w:ascii="Arial" w:hAnsi="Arial" w:cs="Arial"/>
                                    <w:sz w:val="20"/>
                                  </w:rPr>
                                </w:pPr>
                                <w:r>
                                  <w:rPr>
                                    <w:rFonts w:ascii="Arial" w:hAnsi="Arial" w:cs="Arial"/>
                                    <w:sz w:val="20"/>
                                  </w:rPr>
                                  <w:t>Plotas, ha</w:t>
                                </w:r>
                              </w:p>
                            </w:tc>
                          </w:tr>
                          <w:tr>
                            <w:trPr>
                              <w:trHeight w:val="122"/>
                              <w:jc w:val="center"/>
                            </w:trPr>
                            <w:tc>
                              <w:tcPr>
                                <w:tcW w:w="3770" w:type="pct"/>
                              </w:tcPr>
                              <w:p>
                                <w:pPr>
                                  <w:jc w:val="both"/>
                                  <w:rPr>
                                    <w:rFonts w:ascii="Arial" w:hAnsi="Arial" w:cs="Arial"/>
                                    <w:sz w:val="20"/>
                                  </w:rPr>
                                </w:pPr>
                                <w:r>
                                  <w:rPr>
                                    <w:rFonts w:ascii="Arial" w:hAnsi="Arial" w:cs="Arial"/>
                                    <w:sz w:val="20"/>
                                  </w:rPr>
                                  <w:t>Valstybinės reikšmės miškai, valdomi urėdijos</w:t>
                                </w:r>
                              </w:p>
                            </w:tc>
                            <w:tc>
                              <w:tcPr>
                                <w:tcW w:w="1230" w:type="pct"/>
                              </w:tcPr>
                              <w:p>
                                <w:pPr>
                                  <w:jc w:val="center"/>
                                  <w:rPr>
                                    <w:rFonts w:ascii="Arial" w:hAnsi="Arial" w:cs="Arial"/>
                                    <w:sz w:val="20"/>
                                  </w:rPr>
                                </w:pPr>
                                <w:r>
                                  <w:rPr>
                                    <w:rFonts w:ascii="Arial" w:hAnsi="Arial" w:cs="Arial"/>
                                    <w:sz w:val="20"/>
                                  </w:rPr>
                                  <w:t>19 460,0</w:t>
                                </w:r>
                              </w:p>
                            </w:tc>
                          </w:tr>
                          <w:tr>
                            <w:trPr>
                              <w:trHeight w:val="58"/>
                              <w:jc w:val="center"/>
                            </w:trPr>
                            <w:tc>
                              <w:tcPr>
                                <w:tcW w:w="3770" w:type="pct"/>
                              </w:tcPr>
                              <w:p>
                                <w:pPr>
                                  <w:jc w:val="both"/>
                                  <w:rPr>
                                    <w:rFonts w:ascii="Arial" w:hAnsi="Arial" w:cs="Arial"/>
                                    <w:sz w:val="20"/>
                                  </w:rPr>
                                </w:pPr>
                                <w:r>
                                  <w:rPr>
                                    <w:rFonts w:ascii="Arial" w:hAnsi="Arial" w:cs="Arial"/>
                                    <w:sz w:val="20"/>
                                  </w:rPr>
                                  <w:t>Privatūs arba rezervuoti privatizavimui</w:t>
                                </w:r>
                              </w:p>
                            </w:tc>
                            <w:tc>
                              <w:tcPr>
                                <w:tcW w:w="1230" w:type="pct"/>
                              </w:tcPr>
                              <w:p>
                                <w:pPr>
                                  <w:jc w:val="center"/>
                                  <w:rPr>
                                    <w:rFonts w:ascii="Arial" w:hAnsi="Arial" w:cs="Arial"/>
                                    <w:sz w:val="20"/>
                                  </w:rPr>
                                </w:pPr>
                                <w:r>
                                  <w:rPr>
                                    <w:rFonts w:ascii="Arial" w:hAnsi="Arial" w:cs="Arial"/>
                                    <w:sz w:val="20"/>
                                  </w:rPr>
                                  <w:t>6 801,0</w:t>
                                </w:r>
                              </w:p>
                            </w:tc>
                          </w:tr>
                          <w:tr>
                            <w:trPr>
                              <w:jc w:val="center"/>
                            </w:trPr>
                            <w:tc>
                              <w:tcPr>
                                <w:tcW w:w="3770" w:type="pct"/>
                              </w:tcPr>
                              <w:p>
                                <w:pPr>
                                  <w:jc w:val="right"/>
                                  <w:rPr>
                                    <w:rFonts w:ascii="Arial" w:hAnsi="Arial" w:cs="Arial"/>
                                    <w:sz w:val="20"/>
                                  </w:rPr>
                                </w:pPr>
                                <w:r>
                                  <w:rPr>
                                    <w:rFonts w:ascii="Arial" w:hAnsi="Arial" w:cs="Arial"/>
                                    <w:sz w:val="20"/>
                                  </w:rPr>
                                  <w:t>Viso</w:t>
                                </w:r>
                              </w:p>
                            </w:tc>
                            <w:tc>
                              <w:tcPr>
                                <w:tcW w:w="1230" w:type="pct"/>
                              </w:tcPr>
                              <w:p>
                                <w:pPr>
                                  <w:jc w:val="center"/>
                                  <w:rPr>
                                    <w:rFonts w:ascii="Arial" w:hAnsi="Arial" w:cs="Arial"/>
                                    <w:b/>
                                    <w:bCs/>
                                    <w:sz w:val="20"/>
                                  </w:rPr>
                                </w:pPr>
                                <w:r>
                                  <w:rPr>
                                    <w:rFonts w:ascii="Arial" w:hAnsi="Arial" w:cs="Arial"/>
                                    <w:b/>
                                    <w:bCs/>
                                    <w:sz w:val="20"/>
                                  </w:rPr>
                                  <w:t>26 261,0</w:t>
                                </w:r>
                              </w:p>
                            </w:tc>
                          </w:tr>
                        </w:tbl>
                        <w:p>
                          <w:pPr>
                            <w:widowControl w:val="0"/>
                            <w:spacing w:line="259" w:lineRule="auto"/>
                            <w:jc w:val="center"/>
                            <w:rPr>
                              <w:rFonts w:ascii="Arial" w:eastAsia="Calibri" w:hAnsi="Arial" w:cs="Arial"/>
                              <w:sz w:val="20"/>
                              <w:szCs w:val="22"/>
                            </w:rPr>
                          </w:pPr>
                          <w:r>
                            <w:rPr>
                              <w:rFonts w:ascii="Arial" w:eastAsia="Calibri" w:hAnsi="Arial" w:cs="Arial"/>
                              <w:i/>
                              <w:iCs/>
                              <w:sz w:val="18"/>
                              <w:szCs w:val="18"/>
                            </w:rPr>
                            <w:t>Šaltinis: VĮ Valstybinių miškų urėdijos, Joniškio regioninio padalinio informacija</w:t>
                          </w:r>
                        </w:p>
                        <w:p>
                          <w:pPr>
                            <w:rPr>
                              <w:sz w:val="14"/>
                              <w:szCs w:val="14"/>
                            </w:rPr>
                          </w:pPr>
                        </w:p>
                        <w:p>
                          <w:pPr>
                            <w:spacing w:line="259" w:lineRule="auto"/>
                            <w:ind w:firstLine="567"/>
                            <w:jc w:val="both"/>
                            <w:rPr>
                              <w:rFonts w:ascii="Arial" w:hAnsi="Arial" w:cs="Arial"/>
                              <w:sz w:val="22"/>
                            </w:rPr>
                          </w:pPr>
                          <w:r>
                            <w:rPr>
                              <w:rFonts w:ascii="Arial" w:hAnsi="Arial" w:cs="Arial"/>
                              <w:sz w:val="22"/>
                            </w:rPr>
                            <w:t>Medienos kuro išteklių potencialas vertinamas pagal vykdomų kirtimų bei jų metu susidarančių medienos atliekų apimtis. VĮ Valstybinių miškų urėdijos, Joniškio regioninio padalinio duomenys apie miško kirtimus pateikti 4.1.3 lentelėje, o apie susidarančių malkų ir atliekų kiekius 2018–2021 metais – 4.1.4 lentelėje.</w:t>
                          </w:r>
                        </w:p>
                        <w:p>
                          <w:pPr>
                            <w:rPr>
                              <w:sz w:val="14"/>
                              <w:szCs w:val="14"/>
                            </w:rPr>
                          </w:pPr>
                        </w:p>
                      </w:sdtContent>
                    </w:sdt>
                    <w:sdt>
                      <w:sdtPr>
                        <w:alias w:val="4.1.3 pp."/>
                        <w:tag w:val="part_43b2bc1cecb44c2aab8888c4407f291f"/>
                        <w:lock w:val="sdtLocked"/>
                        <w:richText/>
                      </w:sdtPr>
                      <w:sdtContent>
                        <w:p>
                          <w:pPr>
                            <w:spacing w:line="259" w:lineRule="auto"/>
                            <w:jc w:val="center"/>
                            <w:rPr>
                              <w:rFonts w:ascii="Arial" w:eastAsia="Calibri" w:hAnsi="Arial"/>
                              <w:b/>
                              <w:color w:val="002060"/>
                              <w:sz w:val="20"/>
                              <w:szCs w:val="28"/>
                            </w:rPr>
                          </w:pPr>
                          <w:sdt>
                            <w:sdtPr>
                              <w:alias w:val="Numeris"/>
                              <w:tag w:val="nr_43b2bc1cecb44c2aab8888c4407f291f"/>
                              <w:lock w:val="sdtLocked"/>
                              <w:richText/>
                            </w:sdtPr>
                            <w:sdtContent>
                              <w:r>
                                <w:rPr>
                                  <w:rFonts w:ascii="Arial" w:eastAsia="Calibri" w:hAnsi="Arial"/>
                                  <w:b/>
                                  <w:color w:val="002060"/>
                                  <w:sz w:val="22"/>
                                  <w:szCs w:val="32"/>
                                </w:rPr>
                                <w:t>4.1.3</w:t>
                              </w:r>
                            </w:sdtContent>
                          </w:sdt>
                          <w:r>
                            <w:rPr>
                              <w:rFonts w:ascii="Arial" w:eastAsia="Calibri" w:hAnsi="Arial"/>
                              <w:b/>
                              <w:color w:val="002060"/>
                              <w:sz w:val="22"/>
                              <w:szCs w:val="32"/>
                            </w:rPr>
                            <w:t>. lentelė. Kirtimų apimtys Joniškio rajono savivaldybės valstybiniuose miškuose 2018-2021 m.</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846"/>
                            <w:gridCol w:w="2100"/>
                            <w:gridCol w:w="1652"/>
                            <w:gridCol w:w="1352"/>
                            <w:gridCol w:w="2245"/>
                          </w:tblGrid>
                          <w:tr>
                            <w:trPr>
                              <w:jc w:val="center"/>
                            </w:trPr>
                            <w:tc>
                              <w:tcPr>
                                <w:tcW w:w="1396" w:type="pct"/>
                                <w:vMerge w:val="restart"/>
                              </w:tcPr>
                              <w:p>
                                <w:pPr>
                                  <w:jc w:val="center"/>
                                  <w:rPr>
                                    <w:rFonts w:ascii="Arial" w:hAnsi="Arial" w:cs="Arial"/>
                                    <w:sz w:val="20"/>
                                  </w:rPr>
                                </w:pPr>
                                <w:r>
                                  <w:rPr>
                                    <w:rFonts w:ascii="Arial" w:hAnsi="Arial" w:cs="Arial"/>
                                    <w:sz w:val="20"/>
                                  </w:rPr>
                                  <w:t>Kirtimų rūšis</w:t>
                                </w:r>
                              </w:p>
                            </w:tc>
                            <w:tc>
                              <w:tcPr>
                                <w:tcW w:w="3604" w:type="pct"/>
                                <w:gridSpan w:val="4"/>
                              </w:tcPr>
                              <w:p>
                                <w:pPr>
                                  <w:jc w:val="center"/>
                                  <w:rPr>
                                    <w:rFonts w:ascii="Arial" w:hAnsi="Arial" w:cs="Arial"/>
                                    <w:sz w:val="20"/>
                                  </w:rPr>
                                </w:pPr>
                                <w:r>
                                  <w:rPr>
                                    <w:rFonts w:ascii="Arial" w:hAnsi="Arial" w:cs="Arial"/>
                                    <w:sz w:val="20"/>
                                  </w:rPr>
                                  <w:t>Kirtimų apimtys, tūkst. m</w:t>
                                </w:r>
                                <w:r>
                                  <w:rPr>
                                    <w:rFonts w:ascii="Arial" w:hAnsi="Arial" w:cs="Arial"/>
                                    <w:sz w:val="20"/>
                                    <w:vertAlign w:val="superscript"/>
                                  </w:rPr>
                                  <w:t>3</w:t>
                                </w:r>
                                <w:r>
                                  <w:rPr>
                                    <w:rFonts w:ascii="Arial" w:hAnsi="Arial" w:cs="Arial"/>
                                    <w:sz w:val="20"/>
                                  </w:rPr>
                                  <w:t>/metus</w:t>
                                </w:r>
                              </w:p>
                            </w:tc>
                          </w:tr>
                          <w:tr>
                            <w:trPr>
                              <w:jc w:val="center"/>
                            </w:trPr>
                            <w:tc>
                              <w:tcPr>
                                <w:tcW w:w="1396" w:type="pct"/>
                                <w:vMerge/>
                              </w:tcPr>
                              <w:p>
                                <w:pPr>
                                  <w:jc w:val="center"/>
                                  <w:rPr>
                                    <w:rFonts w:ascii="Arial" w:hAnsi="Arial" w:cs="Arial"/>
                                    <w:sz w:val="20"/>
                                  </w:rPr>
                                </w:pPr>
                              </w:p>
                            </w:tc>
                            <w:tc>
                              <w:tcPr>
                                <w:tcW w:w="1030" w:type="pct"/>
                              </w:tcPr>
                              <w:p>
                                <w:pPr>
                                  <w:jc w:val="center"/>
                                  <w:rPr>
                                    <w:rFonts w:ascii="Arial" w:hAnsi="Arial" w:cs="Arial"/>
                                    <w:b/>
                                    <w:bCs/>
                                    <w:sz w:val="20"/>
                                  </w:rPr>
                                </w:pPr>
                                <w:r>
                                  <w:rPr>
                                    <w:rFonts w:ascii="Arial" w:hAnsi="Arial" w:cs="Arial"/>
                                    <w:b/>
                                    <w:bCs/>
                                    <w:sz w:val="20"/>
                                  </w:rPr>
                                  <w:t>2018</w:t>
                                </w:r>
                              </w:p>
                            </w:tc>
                            <w:tc>
                              <w:tcPr>
                                <w:tcW w:w="810" w:type="pct"/>
                              </w:tcPr>
                              <w:p>
                                <w:pPr>
                                  <w:jc w:val="center"/>
                                  <w:rPr>
                                    <w:rFonts w:ascii="Arial" w:hAnsi="Arial" w:cs="Arial"/>
                                    <w:b/>
                                    <w:bCs/>
                                    <w:sz w:val="20"/>
                                  </w:rPr>
                                </w:pPr>
                                <w:r>
                                  <w:rPr>
                                    <w:rFonts w:ascii="Arial" w:hAnsi="Arial" w:cs="Arial"/>
                                    <w:b/>
                                    <w:bCs/>
                                    <w:sz w:val="20"/>
                                  </w:rPr>
                                  <w:t>2019</w:t>
                                </w:r>
                              </w:p>
                            </w:tc>
                            <w:tc>
                              <w:tcPr>
                                <w:tcW w:w="663" w:type="pct"/>
                              </w:tcPr>
                              <w:p>
                                <w:pPr>
                                  <w:jc w:val="center"/>
                                  <w:rPr>
                                    <w:rFonts w:ascii="Arial" w:hAnsi="Arial" w:cs="Arial"/>
                                    <w:b/>
                                    <w:bCs/>
                                    <w:sz w:val="20"/>
                                  </w:rPr>
                                </w:pPr>
                                <w:r>
                                  <w:rPr>
                                    <w:rFonts w:ascii="Arial" w:hAnsi="Arial" w:cs="Arial"/>
                                    <w:b/>
                                    <w:bCs/>
                                    <w:sz w:val="20"/>
                                  </w:rPr>
                                  <w:t>2020</w:t>
                                </w:r>
                              </w:p>
                            </w:tc>
                            <w:tc>
                              <w:tcPr>
                                <w:tcW w:w="1101" w:type="pct"/>
                              </w:tcPr>
                              <w:p>
                                <w:pPr>
                                  <w:jc w:val="center"/>
                                  <w:rPr>
                                    <w:rFonts w:ascii="Arial" w:hAnsi="Arial" w:cs="Arial"/>
                                    <w:b/>
                                    <w:bCs/>
                                    <w:sz w:val="20"/>
                                  </w:rPr>
                                </w:pPr>
                                <w:r>
                                  <w:rPr>
                                    <w:rFonts w:ascii="Arial" w:hAnsi="Arial" w:cs="Arial"/>
                                    <w:b/>
                                    <w:bCs/>
                                    <w:sz w:val="20"/>
                                  </w:rPr>
                                  <w:t>2021</w:t>
                                </w:r>
                              </w:p>
                            </w:tc>
                          </w:tr>
                          <w:tr>
                            <w:trPr>
                              <w:jc w:val="center"/>
                            </w:trPr>
                            <w:tc>
                              <w:tcPr>
                                <w:tcW w:w="1396" w:type="pct"/>
                              </w:tcPr>
                              <w:p>
                                <w:pPr>
                                  <w:jc w:val="center"/>
                                  <w:rPr>
                                    <w:rFonts w:ascii="Arial" w:hAnsi="Arial" w:cs="Arial"/>
                                    <w:sz w:val="20"/>
                                  </w:rPr>
                                </w:pPr>
                                <w:r>
                                  <w:rPr>
                                    <w:rFonts w:ascii="Arial" w:hAnsi="Arial" w:cs="Arial"/>
                                    <w:sz w:val="20"/>
                                  </w:rPr>
                                  <w:t>Pagrindiniai kirtimai</w:t>
                                </w:r>
                              </w:p>
                            </w:tc>
                            <w:tc>
                              <w:tcPr>
                                <w:tcW w:w="1030" w:type="pct"/>
                              </w:tcPr>
                              <w:p>
                                <w:pPr>
                                  <w:ind w:firstLine="57"/>
                                  <w:jc w:val="center"/>
                                  <w:rPr>
                                    <w:rFonts w:ascii="Arial" w:hAnsi="Arial" w:cs="Arial"/>
                                    <w:sz w:val="20"/>
                                  </w:rPr>
                                </w:pPr>
                                <w:r>
                                  <w:rPr>
                                    <w:rFonts w:ascii="Arial" w:hAnsi="Arial" w:cs="Arial"/>
                                    <w:sz w:val="20"/>
                                  </w:rPr>
                                  <w:t xml:space="preserve">48,5 </w:t>
                                </w:r>
                              </w:p>
                            </w:tc>
                            <w:tc>
                              <w:tcPr>
                                <w:tcW w:w="810" w:type="pct"/>
                              </w:tcPr>
                              <w:p>
                                <w:pPr>
                                  <w:ind w:firstLine="57"/>
                                  <w:jc w:val="center"/>
                                  <w:rPr>
                                    <w:rFonts w:ascii="Arial" w:hAnsi="Arial" w:cs="Arial"/>
                                    <w:sz w:val="20"/>
                                  </w:rPr>
                                </w:pPr>
                                <w:r>
                                  <w:rPr>
                                    <w:rFonts w:ascii="Arial" w:hAnsi="Arial" w:cs="Arial"/>
                                    <w:sz w:val="20"/>
                                  </w:rPr>
                                  <w:t xml:space="preserve">49,4 </w:t>
                                </w:r>
                              </w:p>
                            </w:tc>
                            <w:tc>
                              <w:tcPr>
                                <w:tcW w:w="663" w:type="pct"/>
                              </w:tcPr>
                              <w:p>
                                <w:pPr>
                                  <w:ind w:firstLine="57"/>
                                  <w:jc w:val="center"/>
                                  <w:rPr>
                                    <w:rFonts w:ascii="Arial" w:hAnsi="Arial" w:cs="Arial"/>
                                    <w:sz w:val="20"/>
                                  </w:rPr>
                                </w:pPr>
                                <w:r>
                                  <w:rPr>
                                    <w:rFonts w:ascii="Arial" w:hAnsi="Arial" w:cs="Arial"/>
                                    <w:sz w:val="20"/>
                                  </w:rPr>
                                  <w:t xml:space="preserve">49,1 </w:t>
                                </w:r>
                              </w:p>
                            </w:tc>
                            <w:tc>
                              <w:tcPr>
                                <w:tcW w:w="1101" w:type="pct"/>
                              </w:tcPr>
                              <w:p>
                                <w:pPr>
                                  <w:ind w:firstLine="57"/>
                                  <w:jc w:val="center"/>
                                  <w:rPr>
                                    <w:rFonts w:ascii="Arial" w:hAnsi="Arial" w:cs="Arial"/>
                                    <w:sz w:val="20"/>
                                  </w:rPr>
                                </w:pPr>
                                <w:r>
                                  <w:rPr>
                                    <w:rFonts w:ascii="Arial" w:hAnsi="Arial" w:cs="Arial"/>
                                    <w:sz w:val="20"/>
                                  </w:rPr>
                                  <w:t xml:space="preserve">48,7 </w:t>
                                </w:r>
                              </w:p>
                            </w:tc>
                          </w:tr>
                          <w:tr>
                            <w:trPr>
                              <w:jc w:val="center"/>
                            </w:trPr>
                            <w:tc>
                              <w:tcPr>
                                <w:tcW w:w="1396" w:type="pct"/>
                              </w:tcPr>
                              <w:p>
                                <w:pPr>
                                  <w:jc w:val="center"/>
                                  <w:rPr>
                                    <w:rFonts w:ascii="Arial" w:hAnsi="Arial" w:cs="Arial"/>
                                    <w:sz w:val="20"/>
                                  </w:rPr>
                                </w:pPr>
                                <w:r>
                                  <w:rPr>
                                    <w:rFonts w:ascii="Arial" w:hAnsi="Arial" w:cs="Arial"/>
                                    <w:sz w:val="20"/>
                                  </w:rPr>
                                  <w:t>Tarpiniai kirtimai</w:t>
                                </w:r>
                              </w:p>
                            </w:tc>
                            <w:tc>
                              <w:tcPr>
                                <w:tcW w:w="1030" w:type="pct"/>
                              </w:tcPr>
                              <w:p>
                                <w:pPr>
                                  <w:ind w:firstLine="57"/>
                                  <w:jc w:val="center"/>
                                  <w:rPr>
                                    <w:rFonts w:ascii="Arial" w:hAnsi="Arial" w:cs="Arial"/>
                                    <w:sz w:val="20"/>
                                  </w:rPr>
                                </w:pPr>
                                <w:r>
                                  <w:rPr>
                                    <w:rFonts w:ascii="Arial" w:hAnsi="Arial" w:cs="Arial"/>
                                    <w:sz w:val="20"/>
                                  </w:rPr>
                                  <w:t xml:space="preserve">12,4 </w:t>
                                </w:r>
                              </w:p>
                            </w:tc>
                            <w:tc>
                              <w:tcPr>
                                <w:tcW w:w="810" w:type="pct"/>
                              </w:tcPr>
                              <w:p>
                                <w:pPr>
                                  <w:ind w:firstLine="57"/>
                                  <w:jc w:val="center"/>
                                  <w:rPr>
                                    <w:rFonts w:ascii="Arial" w:hAnsi="Arial" w:cs="Arial"/>
                                    <w:sz w:val="20"/>
                                  </w:rPr>
                                </w:pPr>
                                <w:r>
                                  <w:rPr>
                                    <w:rFonts w:ascii="Arial" w:hAnsi="Arial" w:cs="Arial"/>
                                    <w:sz w:val="20"/>
                                  </w:rPr>
                                  <w:t xml:space="preserve">11,9 </w:t>
                                </w:r>
                              </w:p>
                            </w:tc>
                            <w:tc>
                              <w:tcPr>
                                <w:tcW w:w="663" w:type="pct"/>
                              </w:tcPr>
                              <w:p>
                                <w:pPr>
                                  <w:ind w:firstLine="57"/>
                                  <w:jc w:val="center"/>
                                  <w:rPr>
                                    <w:rFonts w:ascii="Arial" w:hAnsi="Arial" w:cs="Arial"/>
                                    <w:sz w:val="20"/>
                                  </w:rPr>
                                </w:pPr>
                                <w:r>
                                  <w:rPr>
                                    <w:rFonts w:ascii="Arial" w:hAnsi="Arial" w:cs="Arial"/>
                                    <w:sz w:val="20"/>
                                  </w:rPr>
                                  <w:t xml:space="preserve">20,0 </w:t>
                                </w:r>
                              </w:p>
                            </w:tc>
                            <w:tc>
                              <w:tcPr>
                                <w:tcW w:w="1101" w:type="pct"/>
                              </w:tcPr>
                              <w:p>
                                <w:pPr>
                                  <w:ind w:firstLine="57"/>
                                  <w:jc w:val="center"/>
                                  <w:rPr>
                                    <w:rFonts w:ascii="Arial" w:hAnsi="Arial" w:cs="Arial"/>
                                    <w:sz w:val="20"/>
                                  </w:rPr>
                                </w:pPr>
                                <w:r>
                                  <w:rPr>
                                    <w:rFonts w:ascii="Arial" w:hAnsi="Arial" w:cs="Arial"/>
                                    <w:sz w:val="20"/>
                                  </w:rPr>
                                  <w:t xml:space="preserve">16,5 </w:t>
                                </w:r>
                              </w:p>
                            </w:tc>
                          </w:tr>
                          <w:tr>
                            <w:trPr>
                              <w:jc w:val="center"/>
                            </w:trPr>
                            <w:tc>
                              <w:tcPr>
                                <w:tcW w:w="1396" w:type="pct"/>
                              </w:tcPr>
                              <w:p>
                                <w:pPr>
                                  <w:jc w:val="center"/>
                                  <w:rPr>
                                    <w:rFonts w:ascii="Arial" w:hAnsi="Arial" w:cs="Arial"/>
                                    <w:sz w:val="20"/>
                                  </w:rPr>
                                </w:pPr>
                                <w:r>
                                  <w:rPr>
                                    <w:rFonts w:ascii="Arial" w:hAnsi="Arial" w:cs="Arial"/>
                                    <w:sz w:val="20"/>
                                  </w:rPr>
                                  <w:t>Viso</w:t>
                                </w:r>
                              </w:p>
                            </w:tc>
                            <w:tc>
                              <w:tcPr>
                                <w:tcW w:w="1030" w:type="pct"/>
                              </w:tcPr>
                              <w:p>
                                <w:pPr>
                                  <w:ind w:firstLine="57"/>
                                  <w:jc w:val="center"/>
                                  <w:rPr>
                                    <w:rFonts w:ascii="Arial" w:hAnsi="Arial" w:cs="Arial"/>
                                    <w:b/>
                                    <w:bCs/>
                                    <w:sz w:val="20"/>
                                  </w:rPr>
                                </w:pPr>
                                <w:r>
                                  <w:rPr>
                                    <w:rFonts w:ascii="Arial" w:hAnsi="Arial" w:cs="Arial"/>
                                    <w:b/>
                                    <w:bCs/>
                                    <w:sz w:val="20"/>
                                  </w:rPr>
                                  <w:t xml:space="preserve">60,9 </w:t>
                                </w:r>
                              </w:p>
                            </w:tc>
                            <w:tc>
                              <w:tcPr>
                                <w:tcW w:w="810" w:type="pct"/>
                              </w:tcPr>
                              <w:p>
                                <w:pPr>
                                  <w:ind w:firstLine="57"/>
                                  <w:jc w:val="center"/>
                                  <w:rPr>
                                    <w:rFonts w:ascii="Arial" w:hAnsi="Arial" w:cs="Arial"/>
                                    <w:b/>
                                    <w:bCs/>
                                    <w:sz w:val="20"/>
                                  </w:rPr>
                                </w:pPr>
                                <w:r>
                                  <w:rPr>
                                    <w:rFonts w:ascii="Arial" w:hAnsi="Arial" w:cs="Arial"/>
                                    <w:b/>
                                    <w:bCs/>
                                    <w:sz w:val="20"/>
                                  </w:rPr>
                                  <w:t xml:space="preserve">61,3 </w:t>
                                </w:r>
                              </w:p>
                            </w:tc>
                            <w:tc>
                              <w:tcPr>
                                <w:tcW w:w="663" w:type="pct"/>
                              </w:tcPr>
                              <w:p>
                                <w:pPr>
                                  <w:ind w:firstLine="57"/>
                                  <w:jc w:val="center"/>
                                  <w:rPr>
                                    <w:rFonts w:ascii="Arial" w:hAnsi="Arial" w:cs="Arial"/>
                                    <w:b/>
                                    <w:bCs/>
                                    <w:sz w:val="20"/>
                                  </w:rPr>
                                </w:pPr>
                                <w:r>
                                  <w:rPr>
                                    <w:rFonts w:ascii="Arial" w:hAnsi="Arial" w:cs="Arial"/>
                                    <w:b/>
                                    <w:bCs/>
                                    <w:sz w:val="20"/>
                                  </w:rPr>
                                  <w:t xml:space="preserve">69,1 </w:t>
                                </w:r>
                              </w:p>
                            </w:tc>
                            <w:tc>
                              <w:tcPr>
                                <w:tcW w:w="1101" w:type="pct"/>
                              </w:tcPr>
                              <w:p>
                                <w:pPr>
                                  <w:ind w:firstLine="57"/>
                                  <w:jc w:val="center"/>
                                  <w:rPr>
                                    <w:rFonts w:ascii="Arial" w:hAnsi="Arial" w:cs="Arial"/>
                                    <w:b/>
                                    <w:bCs/>
                                    <w:sz w:val="20"/>
                                  </w:rPr>
                                </w:pPr>
                                <w:r>
                                  <w:rPr>
                                    <w:rFonts w:ascii="Arial" w:hAnsi="Arial" w:cs="Arial"/>
                                    <w:b/>
                                    <w:bCs/>
                                    <w:sz w:val="20"/>
                                  </w:rPr>
                                  <w:t xml:space="preserve">65,2 </w:t>
                                </w:r>
                              </w:p>
                            </w:tc>
                          </w:tr>
                        </w:tbl>
                        <w:p>
                          <w:pPr>
                            <w:spacing w:line="259" w:lineRule="auto"/>
                            <w:jc w:val="center"/>
                            <w:rPr>
                              <w:rFonts w:ascii="Arial" w:hAnsi="Arial" w:cs="Arial"/>
                              <w:i/>
                              <w:iCs/>
                              <w:sz w:val="18"/>
                              <w:szCs w:val="18"/>
                            </w:rPr>
                          </w:pPr>
                          <w:r>
                            <w:rPr>
                              <w:rFonts w:ascii="Arial" w:hAnsi="Arial" w:cs="Arial"/>
                              <w:i/>
                              <w:iCs/>
                              <w:sz w:val="18"/>
                              <w:szCs w:val="18"/>
                            </w:rPr>
                            <w:t xml:space="preserve">Šaltinis: VĮ Valstybinių miškų urėdijos, </w:t>
                          </w:r>
                          <w:r>
                            <w:rPr>
                              <w:rFonts w:ascii="Arial" w:eastAsia="Calibri" w:hAnsi="Arial" w:cs="Arial"/>
                              <w:i/>
                              <w:iCs/>
                              <w:sz w:val="18"/>
                              <w:szCs w:val="18"/>
                            </w:rPr>
                            <w:t xml:space="preserve">Joniškio regioninio </w:t>
                          </w:r>
                          <w:r>
                            <w:rPr>
                              <w:rFonts w:ascii="Arial" w:hAnsi="Arial" w:cs="Arial"/>
                              <w:i/>
                              <w:iCs/>
                              <w:sz w:val="18"/>
                              <w:szCs w:val="18"/>
                            </w:rPr>
                            <w:t>padalinio informacija</w:t>
                          </w:r>
                        </w:p>
                        <w:p>
                          <w:pPr>
                            <w:rPr>
                              <w:sz w:val="14"/>
                              <w:szCs w:val="14"/>
                            </w:rPr>
                          </w:pPr>
                        </w:p>
                        <w:p>
                          <w:pPr>
                            <w:spacing w:line="259" w:lineRule="auto"/>
                            <w:ind w:firstLine="567"/>
                            <w:jc w:val="both"/>
                            <w:rPr>
                              <w:rFonts w:ascii="Arial" w:hAnsi="Arial" w:cs="Arial"/>
                              <w:sz w:val="22"/>
                            </w:rPr>
                          </w:pPr>
                          <w:r>
                            <w:rPr>
                              <w:rFonts w:ascii="Arial" w:hAnsi="Arial" w:cs="Arial"/>
                              <w:sz w:val="22"/>
                            </w:rPr>
                            <w:t>Iš pateiktų duomenų matyti, jog VĮ Valstybinių miškų urėdijos, Joniškio regioninio padalinio administruojamuose miškuose Joniškio rajono savivaldybėje per metus vidutiniškai iškertama apie 64,1 tūkst. m</w:t>
                          </w:r>
                          <w:r>
                            <w:rPr>
                              <w:rFonts w:ascii="Arial" w:hAnsi="Arial" w:cs="Arial"/>
                              <w:sz w:val="22"/>
                              <w:vertAlign w:val="superscript"/>
                            </w:rPr>
                            <w:t>3</w:t>
                          </w:r>
                          <w:r>
                            <w:rPr>
                              <w:rFonts w:ascii="Arial" w:hAnsi="Arial" w:cs="Arial"/>
                              <w:sz w:val="22"/>
                            </w:rPr>
                            <w:t xml:space="preserve"> medienos. Dalis šios medienos yra parduodama kaip malkos, kita dalis kaip plokščių mediena, dar kita dalis technologinėms reikmėm. Biomasės potencialo dalis vertinama pagal paruošiamų malkų ir susidarančių medienos atliekų kiekį.</w:t>
                          </w:r>
                        </w:p>
                        <w:p>
                          <w:pPr>
                            <w:rPr>
                              <w:sz w:val="14"/>
                              <w:szCs w:val="14"/>
                            </w:rPr>
                          </w:pPr>
                        </w:p>
                      </w:sdtContent>
                    </w:sdt>
                    <w:sdt>
                      <w:sdtPr>
                        <w:alias w:val="4.1.4 pp."/>
                        <w:tag w:val="part_683f27e0572945949e1e0e85f949c16d"/>
                        <w:lock w:val="sdtLocked"/>
                        <w:richText/>
                      </w:sdtPr>
                      <w:sdtContent>
                        <w:p>
                          <w:pPr>
                            <w:spacing w:line="259" w:lineRule="auto"/>
                            <w:jc w:val="center"/>
                            <w:rPr>
                              <w:rFonts w:ascii="Arial" w:eastAsia="Calibri" w:hAnsi="Arial"/>
                              <w:b/>
                              <w:color w:val="002060"/>
                              <w:sz w:val="22"/>
                              <w:szCs w:val="32"/>
                            </w:rPr>
                          </w:pPr>
                          <w:sdt>
                            <w:sdtPr>
                              <w:alias w:val="Numeris"/>
                              <w:tag w:val="nr_683f27e0572945949e1e0e85f949c16d"/>
                              <w:lock w:val="sdtLocked"/>
                              <w:richText/>
                            </w:sdtPr>
                            <w:sdtContent>
                              <w:r>
                                <w:rPr>
                                  <w:rFonts w:ascii="Arial" w:eastAsia="Calibri" w:hAnsi="Arial"/>
                                  <w:b/>
                                  <w:color w:val="002060"/>
                                  <w:sz w:val="22"/>
                                  <w:szCs w:val="32"/>
                                </w:rPr>
                                <w:t>4.1.4</w:t>
                              </w:r>
                            </w:sdtContent>
                          </w:sdt>
                          <w:r>
                            <w:rPr>
                              <w:rFonts w:ascii="Arial" w:eastAsia="Calibri" w:hAnsi="Arial"/>
                              <w:b/>
                              <w:color w:val="002060"/>
                              <w:sz w:val="22"/>
                              <w:szCs w:val="32"/>
                            </w:rPr>
                            <w:t>. lentelė. Duomenys apie parduodamų malkų kiekius bei susidariusių kirtimo atliekų kiekius Joniškio rajono savivaldybės valstybiniuose miškuose 2018-2021 m.</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6089"/>
                            <w:gridCol w:w="1095"/>
                            <w:gridCol w:w="1005"/>
                            <w:gridCol w:w="1005"/>
                            <w:gridCol w:w="1001"/>
                          </w:tblGrid>
                          <w:tr>
                            <w:tc>
                              <w:tcPr>
                                <w:tcW w:w="2986" w:type="pct"/>
                              </w:tcPr>
                              <w:p>
                                <w:pPr>
                                  <w:rPr>
                                    <w:rFonts w:ascii="Arial" w:hAnsi="Arial" w:cs="Arial"/>
                                    <w:sz w:val="20"/>
                                  </w:rPr>
                                </w:pPr>
                              </w:p>
                            </w:tc>
                            <w:tc>
                              <w:tcPr>
                                <w:tcW w:w="537" w:type="pct"/>
                              </w:tcPr>
                              <w:p>
                                <w:pPr>
                                  <w:jc w:val="center"/>
                                  <w:rPr>
                                    <w:rFonts w:ascii="Arial" w:hAnsi="Arial" w:cs="Arial"/>
                                    <w:sz w:val="20"/>
                                  </w:rPr>
                                </w:pPr>
                                <w:r>
                                  <w:rPr>
                                    <w:rFonts w:ascii="Arial" w:hAnsi="Arial" w:cs="Arial"/>
                                    <w:sz w:val="20"/>
                                  </w:rPr>
                                  <w:t>2018</w:t>
                                </w:r>
                              </w:p>
                            </w:tc>
                            <w:tc>
                              <w:tcPr>
                                <w:tcW w:w="493" w:type="pct"/>
                              </w:tcPr>
                              <w:p>
                                <w:pPr>
                                  <w:jc w:val="center"/>
                                  <w:rPr>
                                    <w:rFonts w:ascii="Arial" w:hAnsi="Arial" w:cs="Arial"/>
                                    <w:sz w:val="20"/>
                                  </w:rPr>
                                </w:pPr>
                                <w:r>
                                  <w:rPr>
                                    <w:rFonts w:ascii="Arial" w:hAnsi="Arial" w:cs="Arial"/>
                                    <w:sz w:val="20"/>
                                  </w:rPr>
                                  <w:t>2019</w:t>
                                </w:r>
                              </w:p>
                            </w:tc>
                            <w:tc>
                              <w:tcPr>
                                <w:tcW w:w="493" w:type="pct"/>
                              </w:tcPr>
                              <w:p>
                                <w:pPr>
                                  <w:jc w:val="center"/>
                                  <w:rPr>
                                    <w:rFonts w:ascii="Arial" w:hAnsi="Arial" w:cs="Arial"/>
                                    <w:sz w:val="20"/>
                                  </w:rPr>
                                </w:pPr>
                                <w:r>
                                  <w:rPr>
                                    <w:rFonts w:ascii="Arial" w:hAnsi="Arial" w:cs="Arial"/>
                                    <w:sz w:val="20"/>
                                  </w:rPr>
                                  <w:t>2020</w:t>
                                </w:r>
                              </w:p>
                            </w:tc>
                            <w:tc>
                              <w:tcPr>
                                <w:tcW w:w="491" w:type="pct"/>
                              </w:tcPr>
                              <w:p>
                                <w:pPr>
                                  <w:jc w:val="center"/>
                                  <w:rPr>
                                    <w:rFonts w:ascii="Arial" w:hAnsi="Arial" w:cs="Arial"/>
                                    <w:sz w:val="20"/>
                                  </w:rPr>
                                </w:pPr>
                                <w:r>
                                  <w:rPr>
                                    <w:rFonts w:ascii="Arial" w:hAnsi="Arial" w:cs="Arial"/>
                                    <w:sz w:val="20"/>
                                  </w:rPr>
                                  <w:t>2021</w:t>
                                </w:r>
                              </w:p>
                            </w:tc>
                          </w:tr>
                          <w:tr>
                            <w:tc>
                              <w:tcPr>
                                <w:tcW w:w="2986" w:type="pct"/>
                              </w:tcPr>
                              <w:p>
                                <w:pPr>
                                  <w:rPr>
                                    <w:rFonts w:ascii="Arial" w:hAnsi="Arial" w:cs="Arial"/>
                                    <w:sz w:val="20"/>
                                    <w:vertAlign w:val="superscript"/>
                                  </w:rPr>
                                </w:pPr>
                                <w:r>
                                  <w:rPr>
                                    <w:rFonts w:ascii="Arial" w:hAnsi="Arial" w:cs="Arial"/>
                                    <w:sz w:val="20"/>
                                  </w:rPr>
                                  <w:t>Parduodamų malkų kiekiai, tūkst. m</w:t>
                                </w:r>
                                <w:r>
                                  <w:rPr>
                                    <w:rFonts w:ascii="Arial" w:hAnsi="Arial" w:cs="Arial"/>
                                    <w:sz w:val="20"/>
                                    <w:vertAlign w:val="superscript"/>
                                  </w:rPr>
                                  <w:t>3</w:t>
                                </w:r>
                              </w:p>
                            </w:tc>
                            <w:tc>
                              <w:tcPr>
                                <w:tcW w:w="537" w:type="pct"/>
                              </w:tcPr>
                              <w:p>
                                <w:pPr>
                                  <w:ind w:firstLine="57"/>
                                  <w:jc w:val="center"/>
                                  <w:rPr>
                                    <w:rFonts w:ascii="Arial" w:hAnsi="Arial" w:cs="Arial"/>
                                    <w:sz w:val="20"/>
                                  </w:rPr>
                                </w:pPr>
                                <w:r>
                                  <w:rPr>
                                    <w:rFonts w:ascii="Arial" w:hAnsi="Arial" w:cs="Arial"/>
                                    <w:sz w:val="20"/>
                                  </w:rPr>
                                  <w:t>30,2</w:t>
                                </w:r>
                              </w:p>
                            </w:tc>
                            <w:tc>
                              <w:tcPr>
                                <w:tcW w:w="493" w:type="pct"/>
                              </w:tcPr>
                              <w:p>
                                <w:pPr>
                                  <w:ind w:firstLine="57"/>
                                  <w:jc w:val="center"/>
                                  <w:rPr>
                                    <w:rFonts w:ascii="Arial" w:hAnsi="Arial" w:cs="Arial"/>
                                    <w:sz w:val="20"/>
                                  </w:rPr>
                                </w:pPr>
                                <w:r>
                                  <w:rPr>
                                    <w:rFonts w:ascii="Arial" w:hAnsi="Arial" w:cs="Arial"/>
                                    <w:sz w:val="20"/>
                                  </w:rPr>
                                  <w:t>51,8</w:t>
                                </w:r>
                              </w:p>
                            </w:tc>
                            <w:tc>
                              <w:tcPr>
                                <w:tcW w:w="493" w:type="pct"/>
                              </w:tcPr>
                              <w:p>
                                <w:pPr>
                                  <w:ind w:firstLine="57"/>
                                  <w:jc w:val="center"/>
                                  <w:rPr>
                                    <w:rFonts w:ascii="Arial" w:hAnsi="Arial" w:cs="Arial"/>
                                    <w:sz w:val="20"/>
                                  </w:rPr>
                                </w:pPr>
                                <w:r>
                                  <w:rPr>
                                    <w:rFonts w:ascii="Arial" w:hAnsi="Arial" w:cs="Arial"/>
                                    <w:sz w:val="20"/>
                                  </w:rPr>
                                  <w:t>41,9</w:t>
                                </w:r>
                              </w:p>
                            </w:tc>
                            <w:tc>
                              <w:tcPr>
                                <w:tcW w:w="491" w:type="pct"/>
                              </w:tcPr>
                              <w:p>
                                <w:pPr>
                                  <w:ind w:firstLine="57"/>
                                  <w:jc w:val="center"/>
                                  <w:rPr>
                                    <w:rFonts w:ascii="Arial" w:hAnsi="Arial" w:cs="Arial"/>
                                    <w:sz w:val="20"/>
                                  </w:rPr>
                                </w:pPr>
                                <w:r>
                                  <w:rPr>
                                    <w:rFonts w:ascii="Arial" w:hAnsi="Arial" w:cs="Arial"/>
                                    <w:sz w:val="20"/>
                                  </w:rPr>
                                  <w:t xml:space="preserve">30,4 </w:t>
                                </w:r>
                              </w:p>
                            </w:tc>
                          </w:tr>
                          <w:tr>
                            <w:tc>
                              <w:tcPr>
                                <w:tcW w:w="2986" w:type="pct"/>
                              </w:tcPr>
                              <w:p>
                                <w:pPr>
                                  <w:rPr>
                                    <w:rFonts w:ascii="Arial" w:hAnsi="Arial" w:cs="Arial"/>
                                    <w:sz w:val="20"/>
                                    <w:vertAlign w:val="superscript"/>
                                  </w:rPr>
                                </w:pPr>
                                <w:r>
                                  <w:rPr>
                                    <w:rFonts w:ascii="Arial" w:hAnsi="Arial" w:cs="Arial"/>
                                    <w:sz w:val="20"/>
                                  </w:rPr>
                                  <w:t>Susidarę medienos atliekų kiekiai, tūkst. m</w:t>
                                </w:r>
                                <w:r>
                                  <w:rPr>
                                    <w:rFonts w:ascii="Arial" w:hAnsi="Arial" w:cs="Arial"/>
                                    <w:sz w:val="20"/>
                                    <w:vertAlign w:val="superscript"/>
                                  </w:rPr>
                                  <w:t>3</w:t>
                                </w:r>
                              </w:p>
                            </w:tc>
                            <w:tc>
                              <w:tcPr>
                                <w:tcW w:w="537" w:type="pct"/>
                              </w:tcPr>
                              <w:p>
                                <w:pPr>
                                  <w:ind w:firstLine="57"/>
                                  <w:jc w:val="center"/>
                                  <w:rPr>
                                    <w:rFonts w:ascii="Arial" w:hAnsi="Arial" w:cs="Arial"/>
                                    <w:sz w:val="20"/>
                                  </w:rPr>
                                </w:pPr>
                                <w:r>
                                  <w:rPr>
                                    <w:rFonts w:ascii="Arial" w:hAnsi="Arial" w:cs="Arial"/>
                                    <w:sz w:val="20"/>
                                  </w:rPr>
                                  <w:t xml:space="preserve">6,1 </w:t>
                                </w:r>
                              </w:p>
                            </w:tc>
                            <w:tc>
                              <w:tcPr>
                                <w:tcW w:w="493" w:type="pct"/>
                              </w:tcPr>
                              <w:p>
                                <w:pPr>
                                  <w:ind w:firstLine="57"/>
                                  <w:jc w:val="center"/>
                                  <w:rPr>
                                    <w:rFonts w:ascii="Arial" w:hAnsi="Arial" w:cs="Arial"/>
                                    <w:sz w:val="20"/>
                                  </w:rPr>
                                </w:pPr>
                                <w:r>
                                  <w:rPr>
                                    <w:rFonts w:ascii="Arial" w:hAnsi="Arial" w:cs="Arial"/>
                                    <w:sz w:val="20"/>
                                  </w:rPr>
                                  <w:t xml:space="preserve">8,3 </w:t>
                                </w:r>
                              </w:p>
                            </w:tc>
                            <w:tc>
                              <w:tcPr>
                                <w:tcW w:w="493" w:type="pct"/>
                              </w:tcPr>
                              <w:p>
                                <w:pPr>
                                  <w:ind w:firstLine="57"/>
                                  <w:jc w:val="center"/>
                                  <w:rPr>
                                    <w:rFonts w:ascii="Arial" w:hAnsi="Arial" w:cs="Arial"/>
                                    <w:sz w:val="20"/>
                                  </w:rPr>
                                </w:pPr>
                                <w:r>
                                  <w:rPr>
                                    <w:rFonts w:ascii="Arial" w:hAnsi="Arial" w:cs="Arial"/>
                                    <w:sz w:val="20"/>
                                  </w:rPr>
                                  <w:t xml:space="preserve">5,7 </w:t>
                                </w:r>
                              </w:p>
                            </w:tc>
                            <w:tc>
                              <w:tcPr>
                                <w:tcW w:w="491" w:type="pct"/>
                              </w:tcPr>
                              <w:p>
                                <w:pPr>
                                  <w:ind w:firstLine="57"/>
                                  <w:jc w:val="center"/>
                                  <w:rPr>
                                    <w:rFonts w:ascii="Arial" w:hAnsi="Arial" w:cs="Arial"/>
                                    <w:sz w:val="20"/>
                                  </w:rPr>
                                </w:pPr>
                                <w:r>
                                  <w:rPr>
                                    <w:rFonts w:ascii="Arial" w:hAnsi="Arial" w:cs="Arial"/>
                                    <w:sz w:val="20"/>
                                  </w:rPr>
                                  <w:t>4,64</w:t>
                                </w:r>
                              </w:p>
                            </w:tc>
                          </w:tr>
                        </w:tbl>
                        <w:p>
                          <w:pPr>
                            <w:spacing w:line="259" w:lineRule="auto"/>
                            <w:jc w:val="center"/>
                            <w:rPr>
                              <w:rFonts w:ascii="Arial" w:hAnsi="Arial" w:cs="Arial"/>
                              <w:i/>
                              <w:iCs/>
                              <w:sz w:val="18"/>
                              <w:szCs w:val="18"/>
                            </w:rPr>
                          </w:pPr>
                          <w:r>
                            <w:rPr>
                              <w:rFonts w:ascii="Arial" w:hAnsi="Arial" w:cs="Arial"/>
                              <w:i/>
                              <w:iCs/>
                              <w:sz w:val="18"/>
                              <w:szCs w:val="18"/>
                            </w:rPr>
                            <w:t xml:space="preserve">Šaltinis: VĮ Valstybinių miškų urėdijos, </w:t>
                          </w:r>
                          <w:r>
                            <w:rPr>
                              <w:rFonts w:ascii="Arial" w:eastAsia="Calibri" w:hAnsi="Arial" w:cs="Arial"/>
                              <w:i/>
                              <w:iCs/>
                              <w:sz w:val="18"/>
                              <w:szCs w:val="18"/>
                            </w:rPr>
                            <w:t xml:space="preserve">Joniškio </w:t>
                          </w:r>
                          <w:r>
                            <w:rPr>
                              <w:rFonts w:ascii="Arial" w:hAnsi="Arial" w:cs="Arial"/>
                              <w:i/>
                              <w:iCs/>
                              <w:sz w:val="18"/>
                              <w:szCs w:val="18"/>
                            </w:rPr>
                            <w:t>regioninio padalinio informacija</w:t>
                          </w:r>
                        </w:p>
                        <w:p>
                          <w:pPr>
                            <w:rPr>
                              <w:sz w:val="14"/>
                              <w:szCs w:val="14"/>
                            </w:rPr>
                          </w:pPr>
                        </w:p>
                        <w:p>
                          <w:pPr>
                            <w:spacing w:line="259" w:lineRule="auto"/>
                            <w:ind w:firstLine="567"/>
                            <w:jc w:val="both"/>
                            <w:rPr>
                              <w:rFonts w:ascii="Arial" w:hAnsi="Arial" w:cs="Arial"/>
                              <w:sz w:val="22"/>
                            </w:rPr>
                          </w:pPr>
                          <w:r>
                            <w:rPr>
                              <w:rFonts w:ascii="Arial" w:hAnsi="Arial" w:cs="Arial"/>
                              <w:sz w:val="22"/>
                            </w:rPr>
                            <w:t>2021 m. buvo parduota 30,4 tūkst. m</w:t>
                          </w:r>
                          <w:r>
                            <w:rPr>
                              <w:rFonts w:ascii="Arial" w:hAnsi="Arial" w:cs="Arial"/>
                              <w:sz w:val="22"/>
                              <w:vertAlign w:val="superscript"/>
                            </w:rPr>
                            <w:t>3</w:t>
                          </w:r>
                          <w:r>
                            <w:rPr>
                              <w:rFonts w:ascii="Arial" w:hAnsi="Arial" w:cs="Arial"/>
                              <w:sz w:val="22"/>
                            </w:rPr>
                            <w:t xml:space="preserve"> malkų. Skaičiuojant biomasės kuro išteklių potencialą, nežinant kirtimų planų, naudojamas paskutiniųjų 4 metų vidurkis. Remiantis VĮ Valstybinių miškų urėdijos, Joniškio regioninio padalinio duomenimis, Joniškio rajono savivaldybėje potencialus bendras malkų metinis vidutinis kiekis per 4 metus lygus apie 44,7 tūkst. m</w:t>
                          </w:r>
                          <w:r>
                            <w:rPr>
                              <w:rFonts w:ascii="Arial" w:hAnsi="Arial" w:cs="Arial"/>
                              <w:sz w:val="22"/>
                              <w:vertAlign w:val="superscript"/>
                            </w:rPr>
                            <w:t>3</w:t>
                          </w:r>
                          <w:r>
                            <w:rPr>
                              <w:rFonts w:ascii="Arial" w:hAnsi="Arial" w:cs="Arial"/>
                              <w:sz w:val="22"/>
                            </w:rPr>
                            <w:t>. Perskaičiavus į energetinius vienetus</w:t>
                          </w:r>
                          <w:r>
                            <w:rPr>
                              <w:rFonts w:ascii="Arial" w:hAnsi="Arial" w:cs="Arial"/>
                              <w:sz w:val="22"/>
                              <w:vertAlign w:val="superscript"/>
                            </w:rPr>
                            <w:footnoteReference w:id="18"/>
                          </w:r>
                          <w:r>
                            <w:rPr>
                              <w:rFonts w:ascii="Arial" w:hAnsi="Arial" w:cs="Arial"/>
                              <w:sz w:val="22"/>
                            </w:rPr>
                            <w:t xml:space="preserve">, tai sudaro </w:t>
                          </w:r>
                          <w:r>
                            <w:rPr>
                              <w:rFonts w:ascii="Arial" w:hAnsi="Arial" w:cs="Arial"/>
                              <w:b/>
                              <w:bCs/>
                              <w:sz w:val="22"/>
                            </w:rPr>
                            <w:t>8 656, 7 tne</w:t>
                          </w:r>
                          <w:r>
                            <w:rPr>
                              <w:rFonts w:ascii="Arial" w:hAnsi="Arial" w:cs="Arial"/>
                              <w:sz w:val="22"/>
                            </w:rPr>
                            <w:t xml:space="preserve"> per metus. </w:t>
                          </w:r>
                        </w:p>
                        <w:p>
                          <w:pPr>
                            <w:rPr>
                              <w:sz w:val="14"/>
                              <w:szCs w:val="14"/>
                            </w:rPr>
                          </w:pPr>
                        </w:p>
                        <w:p>
                          <w:pPr>
                            <w:spacing w:line="259" w:lineRule="auto"/>
                            <w:ind w:firstLine="567"/>
                            <w:jc w:val="both"/>
                            <w:rPr>
                              <w:rFonts w:ascii="Arial" w:hAnsi="Arial" w:cs="Arial"/>
                              <w:sz w:val="22"/>
                            </w:rPr>
                          </w:pPr>
                          <w:r>
                            <w:rPr>
                              <w:rFonts w:ascii="Arial" w:hAnsi="Arial" w:cs="Arial"/>
                              <w:sz w:val="22"/>
                            </w:rPr>
                            <w:t>Oficialių duomenų apie kirtimus privačių savininkų miškuose nėra, todėl norint įvertinti visą medienos kuro potencialą daroma prielaida, kad privačiuose savivaldybės miškuose vykdomų kirtimų santykinis mastas lygus faktiniam santykiniam kirtimų mastui valstybiniuose miškuose 2021 m., t. y. apie 229,0 m</w:t>
                          </w:r>
                          <w:r>
                            <w:rPr>
                              <w:rFonts w:ascii="Arial" w:hAnsi="Arial" w:cs="Arial"/>
                              <w:sz w:val="22"/>
                              <w:vertAlign w:val="superscript"/>
                            </w:rPr>
                            <w:t>3</w:t>
                          </w:r>
                          <w:r>
                            <w:rPr>
                              <w:rFonts w:ascii="Arial" w:hAnsi="Arial" w:cs="Arial"/>
                              <w:sz w:val="22"/>
                            </w:rPr>
                            <w:t>/ha. Tokiu būdu įvertinama, kad per metus privačiuose miškuose iškertama 22 786,5 m</w:t>
                          </w:r>
                          <w:r>
                            <w:rPr>
                              <w:rFonts w:ascii="Arial" w:hAnsi="Arial" w:cs="Arial"/>
                              <w:sz w:val="22"/>
                              <w:vertAlign w:val="superscript"/>
                            </w:rPr>
                            <w:t>3</w:t>
                          </w:r>
                          <w:r>
                            <w:rPr>
                              <w:rFonts w:ascii="Arial" w:hAnsi="Arial" w:cs="Arial"/>
                              <w:sz w:val="22"/>
                            </w:rPr>
                            <w:t xml:space="preserve"> medienos, iš kurių 10 619,8 m</w:t>
                          </w:r>
                          <w:r>
                            <w:rPr>
                              <w:rFonts w:ascii="Arial" w:hAnsi="Arial" w:cs="Arial"/>
                              <w:sz w:val="22"/>
                              <w:vertAlign w:val="superscript"/>
                            </w:rPr>
                            <w:t xml:space="preserve">3 </w:t>
                          </w:r>
                          <w:r>
                            <w:rPr>
                              <w:rFonts w:ascii="Arial" w:hAnsi="Arial" w:cs="Arial"/>
                              <w:sz w:val="22"/>
                            </w:rPr>
                            <w:t xml:space="preserve">(46,6 proc. ) sudaro malkos. Perskaičiavus į energetinę vertę, medienos kuro ištekliai privačiuose miškuose sudaro </w:t>
                          </w:r>
                          <w:r>
                            <w:rPr>
                              <w:rFonts w:ascii="Arial" w:hAnsi="Arial" w:cs="Arial"/>
                              <w:b/>
                              <w:bCs/>
                              <w:sz w:val="22"/>
                            </w:rPr>
                            <w:t>2 370,3 tne</w:t>
                          </w:r>
                          <w:r>
                            <w:rPr>
                              <w:rFonts w:ascii="Arial" w:hAnsi="Arial" w:cs="Arial"/>
                              <w:sz w:val="22"/>
                            </w:rPr>
                            <w:t xml:space="preserve">. </w:t>
                          </w:r>
                          <w:r>
                            <w:rPr>
                              <w:rFonts w:ascii="Arial" w:eastAsia="Calibri" w:hAnsi="Arial" w:cs="Arial"/>
                              <w:sz w:val="22"/>
                              <w:szCs w:val="23"/>
                            </w:rPr>
                            <w:t xml:space="preserve">Bendras medienos kuro išteklių potencialas Joniškio rajono savivaldybėje lygus </w:t>
                          </w:r>
                          <w:r>
                            <w:rPr>
                              <w:rFonts w:ascii="Arial" w:eastAsia="Calibri" w:hAnsi="Arial" w:cs="Arial"/>
                              <w:b/>
                              <w:bCs/>
                              <w:sz w:val="22"/>
                              <w:szCs w:val="23"/>
                            </w:rPr>
                            <w:t>11 027,0 tne</w:t>
                          </w:r>
                          <w:r>
                            <w:rPr>
                              <w:rFonts w:ascii="Arial" w:eastAsia="Calibri" w:hAnsi="Arial" w:cs="Arial"/>
                              <w:sz w:val="22"/>
                              <w:szCs w:val="23"/>
                            </w:rPr>
                            <w:t>.</w:t>
                          </w:r>
                        </w:p>
                        <w:p>
                          <w:pPr>
                            <w:rPr>
                              <w:sz w:val="14"/>
                              <w:szCs w:val="14"/>
                            </w:rPr>
                          </w:pPr>
                        </w:p>
                      </w:sdtContent>
                    </w:sdt>
                  </w:sdtContent>
                </w:sdt>
                <w:sdt>
                  <w:sdtPr>
                    <w:alias w:val="4.2 pp."/>
                    <w:tag w:val="part_746ff70fc6314e2c8b0d4ba4a35b9ee4"/>
                    <w:lock w:val="sdtLocked"/>
                    <w:richText/>
                  </w:sdtPr>
                  <w:sdtContent>
                    <w:p>
                      <w:pPr>
                        <w:keepNext/>
                        <w:keepLines/>
                        <w:spacing w:line="259" w:lineRule="auto"/>
                        <w:jc w:val="center"/>
                        <w:outlineLvl w:val="1"/>
                        <w:rPr>
                          <w:rFonts w:ascii="Arial" w:hAnsi="Arial" w:cs="Arial"/>
                          <w:b/>
                          <w:color w:val="002060"/>
                          <w:szCs w:val="26"/>
                        </w:rPr>
                      </w:pPr>
                      <w:sdt>
                        <w:sdtPr>
                          <w:alias w:val="Numeris"/>
                          <w:tag w:val="nr_746ff70fc6314e2c8b0d4ba4a35b9ee4"/>
                          <w:lock w:val="sdtLocked"/>
                          <w:richText/>
                        </w:sdtPr>
                        <w:sdtContent>
                          <w:r>
                            <w:rPr>
                              <w:rFonts w:ascii="Arial" w:hAnsi="Arial" w:cs="Arial"/>
                              <w:b/>
                              <w:color w:val="002060"/>
                              <w:szCs w:val="26"/>
                            </w:rPr>
                            <w:t>4.2</w:t>
                          </w:r>
                        </w:sdtContent>
                      </w:sdt>
                      <w:r>
                        <w:rPr>
                          <w:rFonts w:ascii="Arial" w:hAnsi="Arial" w:cs="Arial"/>
                          <w:b/>
                          <w:color w:val="002060"/>
                          <w:szCs w:val="26"/>
                        </w:rPr>
                        <w:t>. Energetinių plantacijų kuras</w:t>
                      </w:r>
                    </w:p>
                    <w:p>
                      <w:pPr>
                        <w:rPr>
                          <w:sz w:val="14"/>
                          <w:szCs w:val="14"/>
                        </w:rPr>
                      </w:pPr>
                    </w:p>
                    <w:p>
                      <w:pPr>
                        <w:spacing w:line="259" w:lineRule="auto"/>
                        <w:ind w:firstLine="567"/>
                        <w:jc w:val="both"/>
                        <w:rPr>
                          <w:rFonts w:ascii="Arial" w:hAnsi="Arial" w:cs="Arial"/>
                          <w:sz w:val="22"/>
                        </w:rPr>
                      </w:pPr>
                      <w:r>
                        <w:rPr>
                          <w:rFonts w:ascii="Arial" w:hAnsi="Arial" w:cs="Arial"/>
                          <w:sz w:val="22"/>
                        </w:rPr>
                        <w:t>Energetinių plantacijų kuro ištekliai įvertinami atsižvelgiant į bendrą greitai augančių medžių rūšims auginti tinkamos žemės plotą savivaldybėje, šių augalų derlių ir biomasės šilumingumą. Lietuvos Respublikos žemės fondo 2021 m. sausio 1 d. duomenimis, Joniškio rajono savivaldybėje yra 1 922,4 ha nenaudojamos, pažeistos žemės ir medžių bei krūmų želdinių. Kadangi iš vieno hektaro galima gauti iki 126 GJ (3 tne</w:t>
                      </w:r>
                      <w:r>
                        <w:rPr>
                          <w:rFonts w:ascii="Arial" w:hAnsi="Arial" w:cs="Arial"/>
                          <w:sz w:val="22"/>
                          <w:vertAlign w:val="superscript"/>
                        </w:rPr>
                        <w:footnoteReference w:id="19"/>
                      </w:r>
                      <w:r>
                        <w:rPr>
                          <w:rFonts w:ascii="Arial" w:hAnsi="Arial" w:cs="Arial"/>
                          <w:sz w:val="22"/>
                        </w:rPr>
                        <w:t xml:space="preserve">) energijos, skaičiuojama, kad energetinių plantacijų medienos kuro techninis potencialas </w:t>
                      </w:r>
                      <w:r>
                        <w:rPr>
                          <w:rFonts w:ascii="Arial" w:eastAsia="Calibri" w:hAnsi="Arial" w:cs="Arial"/>
                          <w:sz w:val="22"/>
                          <w:szCs w:val="23"/>
                        </w:rPr>
                        <w:t xml:space="preserve">Joniškio rajono </w:t>
                      </w:r>
                      <w:r>
                        <w:rPr>
                          <w:rFonts w:ascii="Arial" w:hAnsi="Arial" w:cs="Arial"/>
                          <w:sz w:val="22"/>
                        </w:rPr>
                        <w:t xml:space="preserve">savivaldybėje siekia apie </w:t>
                      </w:r>
                      <w:r>
                        <w:rPr>
                          <w:rFonts w:ascii="Arial" w:hAnsi="Arial" w:cs="Arial"/>
                          <w:b/>
                          <w:bCs/>
                          <w:sz w:val="22"/>
                        </w:rPr>
                        <w:t>5 767,3 tne</w:t>
                      </w:r>
                      <w:r>
                        <w:rPr>
                          <w:rFonts w:ascii="Arial" w:hAnsi="Arial" w:cs="Arial"/>
                          <w:sz w:val="22"/>
                        </w:rPr>
                        <w:t>.</w:t>
                      </w:r>
                    </w:p>
                    <w:p>
                      <w:pPr>
                        <w:rPr>
                          <w:sz w:val="14"/>
                          <w:szCs w:val="14"/>
                        </w:rPr>
                      </w:pPr>
                    </w:p>
                  </w:sdtContent>
                </w:sdt>
                <w:sdt>
                  <w:sdtPr>
                    <w:alias w:val="4.3 pp."/>
                    <w:tag w:val="part_7fefc8a0237b4ec8951e2e2ee141ee54"/>
                    <w:lock w:val="sdtLocked"/>
                    <w:richText/>
                  </w:sdtPr>
                  <w:sdtContent>
                    <w:p>
                      <w:pPr>
                        <w:keepNext/>
                        <w:keepLines/>
                        <w:spacing w:line="259" w:lineRule="auto"/>
                        <w:jc w:val="center"/>
                        <w:outlineLvl w:val="1"/>
                        <w:rPr>
                          <w:rFonts w:ascii="Arial" w:hAnsi="Arial" w:cs="Arial"/>
                          <w:b/>
                          <w:color w:val="002060"/>
                          <w:szCs w:val="26"/>
                        </w:rPr>
                      </w:pPr>
                      <w:sdt>
                        <w:sdtPr>
                          <w:alias w:val="Numeris"/>
                          <w:tag w:val="nr_7fefc8a0237b4ec8951e2e2ee141ee54"/>
                          <w:lock w:val="sdtLocked"/>
                          <w:richText/>
                        </w:sdtPr>
                        <w:sdtContent>
                          <w:r>
                            <w:rPr>
                              <w:rFonts w:ascii="Arial" w:hAnsi="Arial" w:cs="Arial"/>
                              <w:b/>
                              <w:color w:val="002060"/>
                              <w:szCs w:val="26"/>
                            </w:rPr>
                            <w:t>4.3</w:t>
                          </w:r>
                        </w:sdtContent>
                      </w:sdt>
                      <w:r>
                        <w:rPr>
                          <w:rFonts w:ascii="Arial" w:hAnsi="Arial" w:cs="Arial"/>
                          <w:b/>
                          <w:color w:val="002060"/>
                          <w:szCs w:val="26"/>
                        </w:rPr>
                        <w:t>. Šiaudų kuro ištekliai</w:t>
                      </w:r>
                    </w:p>
                    <w:p>
                      <w:pPr>
                        <w:rPr>
                          <w:sz w:val="14"/>
                          <w:szCs w:val="14"/>
                        </w:rPr>
                      </w:pPr>
                    </w:p>
                    <w:p>
                      <w:pPr>
                        <w:spacing w:line="259" w:lineRule="auto"/>
                        <w:ind w:firstLine="567"/>
                        <w:jc w:val="both"/>
                        <w:rPr>
                          <w:rFonts w:ascii="Arial" w:hAnsi="Arial" w:cs="Arial"/>
                          <w:sz w:val="22"/>
                        </w:rPr>
                      </w:pPr>
                      <w:r>
                        <w:rPr>
                          <w:rFonts w:ascii="Arial" w:hAnsi="Arial" w:cs="Arial"/>
                          <w:sz w:val="22"/>
                        </w:rPr>
                        <w:t>Šiaudai – žemės ūkio produkcijos atliekos, sudarančios didžiausią augalinės kilmės atliekų potencialą. Jie gali būti deginami kaip supresuoti rulonai, briketai ar granulės. Vertinant šiaudų gamybos potencialą reikalingi statistiniai duomenys apie grūdinių augalų pasėlių plotus ir grūdų derlingumą.</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Šiaudų kiekis tiesiogiai priklauso nuo grūdinių kultūrų derliaus, kuris kiekvienais metais yra skirtingas, todėl šiaudų potencialas vertinamas pagal trijų paskutinių metų statistinių duomenų vidurkį. </w:t>
                      </w:r>
                    </w:p>
                    <w:p>
                      <w:pPr>
                        <w:rPr>
                          <w:sz w:val="14"/>
                          <w:szCs w:val="14"/>
                        </w:rPr>
                      </w:pPr>
                    </w:p>
                    <w:sdt>
                      <w:sdtPr>
                        <w:alias w:val="4.3.1 pp."/>
                        <w:tag w:val="part_4cca80b784204594a895d164d5f67134"/>
                        <w:lock w:val="sdtLocked"/>
                        <w:richText/>
                      </w:sdtPr>
                      <w:sdtContent>
                        <w:p>
                          <w:pPr>
                            <w:spacing w:line="259" w:lineRule="auto"/>
                            <w:jc w:val="center"/>
                            <w:rPr>
                              <w:rFonts w:ascii="Arial" w:eastAsia="Calibri" w:hAnsi="Arial"/>
                              <w:b/>
                              <w:color w:val="002060"/>
                              <w:sz w:val="22"/>
                              <w:szCs w:val="32"/>
                            </w:rPr>
                          </w:pPr>
                          <w:sdt>
                            <w:sdtPr>
                              <w:alias w:val="Numeris"/>
                              <w:tag w:val="nr_4cca80b784204594a895d164d5f67134"/>
                              <w:lock w:val="sdtLocked"/>
                              <w:richText/>
                            </w:sdtPr>
                            <w:sdtContent>
                              <w:r>
                                <w:rPr>
                                  <w:rFonts w:ascii="Arial" w:eastAsia="Calibri" w:hAnsi="Arial"/>
                                  <w:b/>
                                  <w:color w:val="002060"/>
                                  <w:sz w:val="22"/>
                                  <w:szCs w:val="32"/>
                                </w:rPr>
                                <w:t>4.3.1</w:t>
                              </w:r>
                            </w:sdtContent>
                          </w:sdt>
                          <w:r>
                            <w:rPr>
                              <w:rFonts w:ascii="Arial" w:eastAsia="Calibri" w:hAnsi="Arial"/>
                              <w:b/>
                              <w:color w:val="002060"/>
                              <w:sz w:val="22"/>
                              <w:szCs w:val="32"/>
                            </w:rPr>
                            <w:t>. lentelė. Grūdinių kultūrų derliaus kitimas Joniškio rajono savivaldybėje 2019-2021 metais (tonomis)</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1546"/>
                            <w:gridCol w:w="1915"/>
                            <w:gridCol w:w="1627"/>
                            <w:gridCol w:w="1627"/>
                            <w:gridCol w:w="1627"/>
                            <w:gridCol w:w="1853"/>
                          </w:tblGrid>
                          <w:tr>
                            <w:tc>
                              <w:tcPr>
                                <w:tcW w:w="758" w:type="pct"/>
                              </w:tcPr>
                              <w:p>
                                <w:pPr>
                                  <w:rPr>
                                    <w:rFonts w:ascii="Arial" w:hAnsi="Arial" w:cs="Arial"/>
                                    <w:sz w:val="22"/>
                                    <w:szCs w:val="22"/>
                                  </w:rPr>
                                </w:pPr>
                              </w:p>
                            </w:tc>
                            <w:tc>
                              <w:tcPr>
                                <w:tcW w:w="939" w:type="pct"/>
                              </w:tcPr>
                              <w:p>
                                <w:pPr>
                                  <w:jc w:val="center"/>
                                  <w:rPr>
                                    <w:rFonts w:ascii="Arial" w:hAnsi="Arial" w:cs="Arial"/>
                                    <w:sz w:val="20"/>
                                  </w:rPr>
                                </w:pPr>
                                <w:r>
                                  <w:rPr>
                                    <w:rFonts w:ascii="Arial" w:hAnsi="Arial" w:cs="Arial"/>
                                    <w:sz w:val="20"/>
                                  </w:rPr>
                                  <w:t>Santykis</w:t>
                                </w:r>
                              </w:p>
                            </w:tc>
                            <w:tc>
                              <w:tcPr>
                                <w:tcW w:w="798" w:type="pct"/>
                              </w:tcPr>
                              <w:p>
                                <w:pPr>
                                  <w:jc w:val="center"/>
                                  <w:rPr>
                                    <w:rFonts w:ascii="Arial" w:hAnsi="Arial" w:cs="Arial"/>
                                    <w:sz w:val="20"/>
                                  </w:rPr>
                                </w:pPr>
                                <w:r>
                                  <w:rPr>
                                    <w:rFonts w:ascii="Arial" w:hAnsi="Arial" w:cs="Arial"/>
                                    <w:sz w:val="20"/>
                                  </w:rPr>
                                  <w:t>2019</w:t>
                                </w:r>
                              </w:p>
                            </w:tc>
                            <w:tc>
                              <w:tcPr>
                                <w:tcW w:w="798" w:type="pct"/>
                              </w:tcPr>
                              <w:p>
                                <w:pPr>
                                  <w:jc w:val="center"/>
                                  <w:rPr>
                                    <w:rFonts w:ascii="Arial" w:hAnsi="Arial" w:cs="Arial"/>
                                    <w:sz w:val="20"/>
                                  </w:rPr>
                                </w:pPr>
                                <w:r>
                                  <w:rPr>
                                    <w:rFonts w:ascii="Arial" w:hAnsi="Arial" w:cs="Arial"/>
                                    <w:sz w:val="20"/>
                                  </w:rPr>
                                  <w:t>2020</w:t>
                                </w:r>
                              </w:p>
                            </w:tc>
                            <w:tc>
                              <w:tcPr>
                                <w:tcW w:w="798" w:type="pct"/>
                              </w:tcPr>
                              <w:p>
                                <w:pPr>
                                  <w:jc w:val="center"/>
                                  <w:rPr>
                                    <w:rFonts w:ascii="Arial" w:hAnsi="Arial" w:cs="Arial"/>
                                    <w:sz w:val="20"/>
                                  </w:rPr>
                                </w:pPr>
                                <w:r>
                                  <w:rPr>
                                    <w:rFonts w:ascii="Arial" w:hAnsi="Arial" w:cs="Arial"/>
                                    <w:sz w:val="20"/>
                                  </w:rPr>
                                  <w:t>2021</w:t>
                                </w:r>
                              </w:p>
                            </w:tc>
                            <w:tc>
                              <w:tcPr>
                                <w:tcW w:w="909" w:type="pct"/>
                              </w:tcPr>
                              <w:p>
                                <w:pPr>
                                  <w:jc w:val="center"/>
                                  <w:rPr>
                                    <w:rFonts w:ascii="Arial" w:hAnsi="Arial" w:cs="Arial"/>
                                    <w:sz w:val="20"/>
                                  </w:rPr>
                                </w:pPr>
                                <w:r>
                                  <w:rPr>
                                    <w:rFonts w:ascii="Arial" w:hAnsi="Arial" w:cs="Arial"/>
                                    <w:sz w:val="20"/>
                                  </w:rPr>
                                  <w:t>Vidurkis</w:t>
                                </w:r>
                              </w:p>
                            </w:tc>
                          </w:tr>
                          <w:tr>
                            <w:tc>
                              <w:tcPr>
                                <w:tcW w:w="758" w:type="pct"/>
                              </w:tcPr>
                              <w:p>
                                <w:pPr>
                                  <w:rPr>
                                    <w:rFonts w:ascii="Arial" w:hAnsi="Arial" w:cs="Arial"/>
                                    <w:sz w:val="20"/>
                                    <w:vertAlign w:val="superscript"/>
                                  </w:rPr>
                                </w:pPr>
                                <w:r>
                                  <w:rPr>
                                    <w:rFonts w:ascii="Arial" w:hAnsi="Arial" w:cs="Arial"/>
                                    <w:sz w:val="20"/>
                                  </w:rPr>
                                  <w:t>Javai</w:t>
                                </w:r>
                              </w:p>
                            </w:tc>
                            <w:tc>
                              <w:tcPr>
                                <w:tcW w:w="939" w:type="pct"/>
                              </w:tcPr>
                              <w:p>
                                <w:pPr>
                                  <w:jc w:val="center"/>
                                  <w:rPr>
                                    <w:rFonts w:ascii="Arial" w:hAnsi="Arial" w:cs="Arial"/>
                                    <w:sz w:val="20"/>
                                  </w:rPr>
                                </w:pPr>
                                <w:r>
                                  <w:rPr>
                                    <w:rFonts w:ascii="Arial" w:hAnsi="Arial" w:cs="Arial"/>
                                    <w:sz w:val="20"/>
                                  </w:rPr>
                                  <w:t>01:01</w:t>
                                </w:r>
                              </w:p>
                            </w:tc>
                            <w:tc>
                              <w:tcPr>
                                <w:tcW w:w="798" w:type="pct"/>
                              </w:tcPr>
                              <w:p>
                                <w:pPr>
                                  <w:ind w:firstLine="57"/>
                                  <w:jc w:val="center"/>
                                  <w:rPr>
                                    <w:rFonts w:ascii="Arial" w:hAnsi="Arial" w:cs="Arial"/>
                                    <w:sz w:val="20"/>
                                  </w:rPr>
                                </w:pPr>
                                <w:r>
                                  <w:rPr>
                                    <w:rFonts w:ascii="Arial" w:hAnsi="Arial" w:cs="Arial"/>
                                    <w:sz w:val="20"/>
                                  </w:rPr>
                                  <w:t xml:space="preserve">256 885 </w:t>
                                </w:r>
                              </w:p>
                            </w:tc>
                            <w:tc>
                              <w:tcPr>
                                <w:tcW w:w="798" w:type="pct"/>
                              </w:tcPr>
                              <w:p>
                                <w:pPr>
                                  <w:ind w:firstLine="57"/>
                                  <w:jc w:val="center"/>
                                  <w:rPr>
                                    <w:rFonts w:ascii="Arial" w:hAnsi="Arial" w:cs="Arial"/>
                                    <w:sz w:val="20"/>
                                  </w:rPr>
                                </w:pPr>
                                <w:r>
                                  <w:rPr>
                                    <w:rFonts w:ascii="Arial" w:hAnsi="Arial" w:cs="Arial"/>
                                    <w:sz w:val="20"/>
                                  </w:rPr>
                                  <w:t xml:space="preserve">333 078 </w:t>
                                </w:r>
                              </w:p>
                            </w:tc>
                            <w:tc>
                              <w:tcPr>
                                <w:tcW w:w="798" w:type="pct"/>
                              </w:tcPr>
                              <w:p>
                                <w:pPr>
                                  <w:ind w:firstLine="57"/>
                                  <w:jc w:val="center"/>
                                  <w:rPr>
                                    <w:rFonts w:ascii="Arial" w:hAnsi="Arial" w:cs="Arial"/>
                                    <w:sz w:val="20"/>
                                  </w:rPr>
                                </w:pPr>
                                <w:r>
                                  <w:rPr>
                                    <w:rFonts w:ascii="Arial" w:hAnsi="Arial" w:cs="Arial"/>
                                    <w:sz w:val="20"/>
                                  </w:rPr>
                                  <w:t xml:space="preserve">289 955 </w:t>
                                </w:r>
                              </w:p>
                            </w:tc>
                            <w:tc>
                              <w:tcPr>
                                <w:tcW w:w="909" w:type="pct"/>
                              </w:tcPr>
                              <w:p>
                                <w:pPr>
                                  <w:ind w:firstLine="57"/>
                                  <w:jc w:val="center"/>
                                  <w:rPr>
                                    <w:rFonts w:ascii="Arial" w:hAnsi="Arial" w:cs="Arial"/>
                                    <w:sz w:val="20"/>
                                  </w:rPr>
                                </w:pPr>
                                <w:r>
                                  <w:rPr>
                                    <w:rFonts w:ascii="Arial" w:hAnsi="Arial" w:cs="Arial"/>
                                    <w:sz w:val="20"/>
                                  </w:rPr>
                                  <w:t xml:space="preserve">293 306 </w:t>
                                </w:r>
                              </w:p>
                            </w:tc>
                          </w:tr>
                          <w:tr>
                            <w:tc>
                              <w:tcPr>
                                <w:tcW w:w="758" w:type="pct"/>
                              </w:tcPr>
                              <w:p>
                                <w:pPr>
                                  <w:rPr>
                                    <w:rFonts w:ascii="Arial" w:hAnsi="Arial" w:cs="Arial"/>
                                    <w:sz w:val="20"/>
                                    <w:vertAlign w:val="superscript"/>
                                  </w:rPr>
                                </w:pPr>
                                <w:r>
                                  <w:rPr>
                                    <w:rFonts w:ascii="Arial" w:hAnsi="Arial" w:cs="Arial"/>
                                    <w:sz w:val="20"/>
                                  </w:rPr>
                                  <w:t>Rapsai</w:t>
                                </w:r>
                              </w:p>
                            </w:tc>
                            <w:tc>
                              <w:tcPr>
                                <w:tcW w:w="939" w:type="pct"/>
                              </w:tcPr>
                              <w:p>
                                <w:pPr>
                                  <w:jc w:val="center"/>
                                  <w:rPr>
                                    <w:rFonts w:ascii="Arial" w:hAnsi="Arial" w:cs="Arial"/>
                                    <w:sz w:val="20"/>
                                  </w:rPr>
                                </w:pPr>
                                <w:r>
                                  <w:rPr>
                                    <w:rFonts w:ascii="Arial" w:hAnsi="Arial" w:cs="Arial"/>
                                    <w:sz w:val="20"/>
                                  </w:rPr>
                                  <w:t>2,25:1</w:t>
                                </w:r>
                              </w:p>
                            </w:tc>
                            <w:tc>
                              <w:tcPr>
                                <w:tcW w:w="798" w:type="pct"/>
                              </w:tcPr>
                              <w:p>
                                <w:pPr>
                                  <w:ind w:firstLine="57"/>
                                  <w:jc w:val="center"/>
                                  <w:rPr>
                                    <w:rFonts w:ascii="Arial" w:hAnsi="Arial" w:cs="Arial"/>
                                    <w:sz w:val="20"/>
                                  </w:rPr>
                                </w:pPr>
                                <w:r>
                                  <w:rPr>
                                    <w:rFonts w:ascii="Arial" w:hAnsi="Arial" w:cs="Arial"/>
                                    <w:sz w:val="20"/>
                                  </w:rPr>
                                  <w:t xml:space="preserve">50 424 </w:t>
                                </w:r>
                              </w:p>
                            </w:tc>
                            <w:tc>
                              <w:tcPr>
                                <w:tcW w:w="798" w:type="pct"/>
                              </w:tcPr>
                              <w:p>
                                <w:pPr>
                                  <w:ind w:firstLine="57"/>
                                  <w:jc w:val="center"/>
                                  <w:rPr>
                                    <w:rFonts w:ascii="Arial" w:hAnsi="Arial" w:cs="Arial"/>
                                    <w:sz w:val="20"/>
                                  </w:rPr>
                                </w:pPr>
                                <w:r>
                                  <w:rPr>
                                    <w:rFonts w:ascii="Arial" w:hAnsi="Arial" w:cs="Arial"/>
                                    <w:sz w:val="20"/>
                                  </w:rPr>
                                  <w:t xml:space="preserve">76 776 </w:t>
                                </w:r>
                              </w:p>
                            </w:tc>
                            <w:tc>
                              <w:tcPr>
                                <w:tcW w:w="798" w:type="pct"/>
                              </w:tcPr>
                              <w:p>
                                <w:pPr>
                                  <w:ind w:firstLine="57"/>
                                  <w:jc w:val="center"/>
                                  <w:rPr>
                                    <w:rFonts w:ascii="Arial" w:hAnsi="Arial" w:cs="Arial"/>
                                    <w:sz w:val="20"/>
                                  </w:rPr>
                                </w:pPr>
                                <w:r>
                                  <w:rPr>
                                    <w:rFonts w:ascii="Arial" w:hAnsi="Arial" w:cs="Arial"/>
                                    <w:sz w:val="20"/>
                                  </w:rPr>
                                  <w:t xml:space="preserve">59 768 </w:t>
                                </w:r>
                              </w:p>
                            </w:tc>
                            <w:tc>
                              <w:tcPr>
                                <w:tcW w:w="909" w:type="pct"/>
                              </w:tcPr>
                              <w:p>
                                <w:pPr>
                                  <w:ind w:firstLine="57"/>
                                  <w:jc w:val="center"/>
                                  <w:rPr>
                                    <w:rFonts w:ascii="Arial" w:hAnsi="Arial" w:cs="Arial"/>
                                    <w:sz w:val="20"/>
                                  </w:rPr>
                                </w:pPr>
                                <w:r>
                                  <w:rPr>
                                    <w:rFonts w:ascii="Arial" w:hAnsi="Arial" w:cs="Arial"/>
                                    <w:sz w:val="20"/>
                                  </w:rPr>
                                  <w:t xml:space="preserve">62 323 </w:t>
                                </w:r>
                              </w:p>
                            </w:tc>
                          </w:tr>
                          <w:tr>
                            <w:tc>
                              <w:tcPr>
                                <w:tcW w:w="758" w:type="pct"/>
                              </w:tcPr>
                              <w:p>
                                <w:pPr>
                                  <w:rPr>
                                    <w:rFonts w:ascii="Arial" w:hAnsi="Arial" w:cs="Arial"/>
                                    <w:sz w:val="20"/>
                                  </w:rPr>
                                </w:pPr>
                              </w:p>
                            </w:tc>
                            <w:tc>
                              <w:tcPr>
                                <w:tcW w:w="939" w:type="pct"/>
                              </w:tcPr>
                              <w:p>
                                <w:pPr>
                                  <w:jc w:val="center"/>
                                  <w:rPr>
                                    <w:rFonts w:ascii="Arial" w:hAnsi="Arial" w:cs="Arial"/>
                                    <w:sz w:val="20"/>
                                  </w:rPr>
                                </w:pPr>
                              </w:p>
                            </w:tc>
                            <w:tc>
                              <w:tcPr>
                                <w:tcW w:w="798" w:type="pct"/>
                              </w:tcPr>
                              <w:p>
                                <w:pPr>
                                  <w:jc w:val="center"/>
                                  <w:rPr>
                                    <w:rFonts w:ascii="Arial" w:hAnsi="Arial" w:cs="Arial"/>
                                    <w:sz w:val="20"/>
                                  </w:rPr>
                                </w:pPr>
                              </w:p>
                            </w:tc>
                            <w:tc>
                              <w:tcPr>
                                <w:tcW w:w="798" w:type="pct"/>
                              </w:tcPr>
                              <w:p>
                                <w:pPr>
                                  <w:jc w:val="center"/>
                                  <w:rPr>
                                    <w:rFonts w:ascii="Arial" w:hAnsi="Arial" w:cs="Arial"/>
                                    <w:sz w:val="20"/>
                                  </w:rPr>
                                </w:pPr>
                              </w:p>
                            </w:tc>
                            <w:tc>
                              <w:tcPr>
                                <w:tcW w:w="798" w:type="pct"/>
                              </w:tcPr>
                              <w:p>
                                <w:pPr>
                                  <w:jc w:val="center"/>
                                  <w:rPr>
                                    <w:rFonts w:ascii="Arial" w:hAnsi="Arial" w:cs="Arial"/>
                                    <w:sz w:val="20"/>
                                  </w:rPr>
                                </w:pPr>
                                <w:r>
                                  <w:rPr>
                                    <w:rFonts w:ascii="Arial" w:hAnsi="Arial" w:cs="Arial"/>
                                    <w:b/>
                                    <w:bCs/>
                                    <w:color w:val="000000"/>
                                    <w:sz w:val="20"/>
                                  </w:rPr>
                                  <w:t>Iš viso</w:t>
                                </w:r>
                              </w:p>
                            </w:tc>
                            <w:tc>
                              <w:tcPr>
                                <w:tcW w:w="909" w:type="pct"/>
                              </w:tcPr>
                              <w:p>
                                <w:pPr>
                                  <w:jc w:val="center"/>
                                  <w:rPr>
                                    <w:rFonts w:ascii="Arial" w:hAnsi="Arial" w:cs="Arial"/>
                                    <w:b/>
                                    <w:bCs/>
                                    <w:color w:val="000000"/>
                                    <w:sz w:val="20"/>
                                  </w:rPr>
                                </w:pPr>
                                <w:r>
                                  <w:rPr>
                                    <w:rFonts w:ascii="Arial" w:hAnsi="Arial" w:cs="Arial"/>
                                    <w:b/>
                                    <w:bCs/>
                                    <w:color w:val="000000"/>
                                    <w:sz w:val="20"/>
                                  </w:rPr>
                                  <w:t>355 629</w:t>
                                </w:r>
                              </w:p>
                            </w:tc>
                          </w:tr>
                        </w:tbl>
                        <w:p>
                          <w:pPr>
                            <w:rPr>
                              <w:sz w:val="10"/>
                              <w:szCs w:val="10"/>
                            </w:rPr>
                          </w:pPr>
                        </w:p>
                        <w:p>
                          <w:pPr>
                            <w:jc w:val="center"/>
                            <w:rPr>
                              <w:rFonts w:ascii="Arial" w:hAnsi="Arial" w:cs="Arial"/>
                              <w:i/>
                              <w:iCs/>
                              <w:sz w:val="20"/>
                            </w:rPr>
                          </w:pPr>
                          <w:r>
                            <w:rPr>
                              <w:rFonts w:ascii="Arial" w:hAnsi="Arial" w:cs="Arial"/>
                              <w:i/>
                              <w:iCs/>
                              <w:sz w:val="20"/>
                            </w:rPr>
                            <w:t>Šaltinis: Lietuvos statistikos departamentas</w:t>
                          </w:r>
                        </w:p>
                        <w:p>
                          <w:pPr>
                            <w:rPr>
                              <w:sz w:val="10"/>
                              <w:szCs w:val="10"/>
                            </w:rPr>
                          </w:pPr>
                        </w:p>
                        <w:p>
                          <w:pPr>
                            <w:spacing w:line="276" w:lineRule="auto"/>
                            <w:ind w:firstLine="567"/>
                            <w:jc w:val="both"/>
                            <w:rPr>
                              <w:rFonts w:ascii="Arial" w:hAnsi="Arial" w:cs="Arial"/>
                              <w:b/>
                              <w:bCs/>
                              <w:color w:val="333333"/>
                              <w:sz w:val="22"/>
                            </w:rPr>
                          </w:pPr>
                          <w:r>
                            <w:rPr>
                              <w:rFonts w:ascii="Arial" w:hAnsi="Arial" w:cs="Arial"/>
                              <w:sz w:val="22"/>
                            </w:rPr>
                            <w:t xml:space="preserve">Apskaičiuota, kad Joniškio rajono savivaldybėje per metus vidutiniškai susidaro 355 629 tonų šiaudų. Skaičiuojant šiaudų potencialą svarbu įvertinti, kad ne visą šiaudų derlių galima skirti kurui, nes šiaudai reikalingi gyvulių kraikui ir pašarams, dalis šiaudų sunaudojama daržininkystėje, grybams auginti ir kitiems tikslams. Be to, ne visi šiaudai surenkami, tad susidaro natūralūs šiaudų surinkimo nuostoliai. Atsižvelgiant į nustatytus normatyvus nustatoma, </w:t>
                          </w:r>
                          <w:r>
                            <w:rPr>
                              <w:rFonts w:ascii="Arial" w:hAnsi="Arial" w:cs="Arial"/>
                              <w:color w:val="000000"/>
                              <w:sz w:val="22"/>
                            </w:rPr>
                            <w:t>jog apie 20 % šiaudų lieka laukuose, dar tiek pat panaudojama pašarams ir kraikui, tik apie 60 % susidarančių šiaudų potencialo gali būti panaudojama energijai gaminti</w:t>
                          </w:r>
                          <w:r>
                            <w:rPr>
                              <w:rFonts w:ascii="Arial" w:hAnsi="Arial" w:cs="Arial"/>
                              <w:b/>
                              <w:bCs/>
                              <w:color w:val="000000"/>
                              <w:sz w:val="22"/>
                              <w:vertAlign w:val="superscript"/>
                            </w:rPr>
                            <w:footnoteReference w:id="20"/>
                          </w:r>
                          <w:r>
                            <w:rPr>
                              <w:rFonts w:ascii="Arial" w:hAnsi="Arial" w:cs="Arial"/>
                              <w:color w:val="000000"/>
                              <w:sz w:val="22"/>
                            </w:rPr>
                            <w:t xml:space="preserve">. </w:t>
                          </w:r>
                          <w:r>
                            <w:rPr>
                              <w:rFonts w:ascii="Arial" w:hAnsi="Arial" w:cs="Arial"/>
                              <w:color w:val="333333"/>
                              <w:sz w:val="22"/>
                            </w:rPr>
                            <w:t xml:space="preserve">Vadovaujantis šiuo įvertinimu ir naudojant šiaudų žemesniosios degimo šilumos vertę 17,2 MJ/kg (4,8 MWh/t) apskaičiuojama, kad metinis šiaudų potencialas energijai gaminti lygus 213 377 tonų arba  1 024 210,6 MWh (</w:t>
                          </w:r>
                          <w:r>
                            <w:rPr>
                              <w:rFonts w:ascii="Arial" w:hAnsi="Arial" w:cs="Arial"/>
                              <w:b/>
                              <w:bCs/>
                              <w:color w:val="333333"/>
                              <w:sz w:val="22"/>
                            </w:rPr>
                            <w:t>88 082,1 tne</w:t>
                          </w:r>
                          <w:r>
                            <w:rPr>
                              <w:rFonts w:ascii="Arial" w:hAnsi="Arial" w:cs="Arial"/>
                              <w:color w:val="333333"/>
                              <w:sz w:val="22"/>
                            </w:rPr>
                            <w:t>).</w:t>
                          </w:r>
                        </w:p>
                        <w:p>
                          <w:pPr>
                            <w:rPr>
                              <w:sz w:val="10"/>
                              <w:szCs w:val="10"/>
                            </w:rPr>
                          </w:pPr>
                        </w:p>
                        <w:p>
                          <w:pPr>
                            <w:spacing w:line="276" w:lineRule="auto"/>
                            <w:ind w:firstLine="567"/>
                            <w:jc w:val="both"/>
                            <w:rPr>
                              <w:rFonts w:ascii="Arial" w:hAnsi="Arial" w:cs="Arial"/>
                              <w:color w:val="333333"/>
                              <w:sz w:val="22"/>
                            </w:rPr>
                          </w:pPr>
                          <w:r>
                            <w:rPr>
                              <w:rFonts w:ascii="Arial" w:hAnsi="Arial" w:cs="Arial"/>
                              <w:sz w:val="22"/>
                            </w:rPr>
                            <w:t>Ekonomiškumo požiūriu šiaudų panaudojimo kurui galimybės yra ribotos dėl palyginti didelės pagamintos energijos kainos. Tai gali būti dėl šių priežasčių:</w:t>
                          </w:r>
                        </w:p>
                        <w:p>
                          <w:pPr>
                            <w:rPr>
                              <w:sz w:val="10"/>
                              <w:szCs w:val="10"/>
                            </w:rPr>
                          </w:pP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reikalingos didelės investicijos į specialiai šiaudais kūrenamus pramoninius katilus,</w:t>
                          </w: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kurie gali būti įrengiami miestuose ar gyvenvietėse, kur yra centralizuoto šildymo sistema;</w:t>
                          </w: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smulkiuose ūkiuose nėra lėšų šiaudų surinkimo technikai įsigyti;</w:t>
                          </w: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šiaudų kuro transportavimo atstumas yra ribotas dėl didelių transportavimo kaštų;</w:t>
                          </w: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privačių namų šildymui galima naudoti šiaudų granules, tačiau išauga kuro kaina bei reikalingi specialūs katilai tokioms granulėms deginti (papildoma investicija);</w:t>
                          </w:r>
                        </w:p>
                        <w:p>
                          <w:pPr>
                            <w:spacing w:line="276" w:lineRule="auto"/>
                            <w:ind w:left="567" w:hanging="567"/>
                            <w:jc w:val="both"/>
                            <w:rPr>
                              <w:rFonts w:ascii="Arial" w:hAnsi="Arial" w:cs="Arial"/>
                              <w:sz w:val="22"/>
                            </w:rPr>
                          </w:pPr>
                          <w:r>
                            <w:rPr>
                              <w:rFonts w:ascii="Symbol" w:hAnsi="Symbol" w:cs="Arial"/>
                              <w:sz w:val="22"/>
                            </w:rPr>
                            <w:t></w:t>
                            <w:tab/>
                          </w:r>
                          <w:r>
                            <w:rPr>
                              <w:rFonts w:ascii="Arial" w:hAnsi="Arial" w:cs="Arial"/>
                              <w:sz w:val="22"/>
                            </w:rPr>
                            <w:t>kurui skirtiems šiaudams laikyti reikia palyginamai didelio saugyklos ploto, saugykla turi tenkinti specifinius priešgaisrinės saugos reikalavimus.</w:t>
                          </w:r>
                        </w:p>
                        <w:p>
                          <w:pPr>
                            <w:rPr>
                              <w:sz w:val="10"/>
                              <w:szCs w:val="10"/>
                            </w:rPr>
                          </w:pPr>
                        </w:p>
                      </w:sdtContent>
                    </w:sdt>
                  </w:sdtContent>
                </w:sdt>
                <w:sdt>
                  <w:sdtPr>
                    <w:alias w:val="4.4 pp."/>
                    <w:tag w:val="part_8e6079ca1ba14e75992a8d254e79d64f"/>
                    <w:lock w:val="sdtLocked"/>
                    <w:richText/>
                  </w:sdtPr>
                  <w:sdtContent>
                    <w:p>
                      <w:pPr>
                        <w:keepNext/>
                        <w:keepLines/>
                        <w:spacing w:line="259" w:lineRule="auto"/>
                        <w:jc w:val="center"/>
                        <w:outlineLvl w:val="1"/>
                        <w:rPr>
                          <w:rFonts w:ascii="Arial" w:hAnsi="Arial" w:cs="Arial"/>
                          <w:b/>
                          <w:color w:val="002060"/>
                          <w:szCs w:val="26"/>
                        </w:rPr>
                      </w:pPr>
                      <w:sdt>
                        <w:sdtPr>
                          <w:alias w:val="Numeris"/>
                          <w:tag w:val="nr_8e6079ca1ba14e75992a8d254e79d64f"/>
                          <w:lock w:val="sdtLocked"/>
                          <w:richText/>
                        </w:sdtPr>
                        <w:sdtContent>
                          <w:r>
                            <w:rPr>
                              <w:rFonts w:ascii="Arial" w:hAnsi="Arial" w:cs="Arial"/>
                              <w:b/>
                              <w:color w:val="002060"/>
                              <w:szCs w:val="26"/>
                            </w:rPr>
                            <w:t>4.4</w:t>
                          </w:r>
                        </w:sdtContent>
                      </w:sdt>
                      <w:r>
                        <w:rPr>
                          <w:rFonts w:ascii="Arial" w:hAnsi="Arial" w:cs="Arial"/>
                          <w:b/>
                          <w:color w:val="002060"/>
                          <w:szCs w:val="26"/>
                        </w:rPr>
                        <w:t>. BIODUJŲ GAMYBOS IR IŠGAVIMO POTENCIALAS</w:t>
                      </w:r>
                    </w:p>
                    <w:p>
                      <w:pPr>
                        <w:rPr>
                          <w:sz w:val="14"/>
                          <w:szCs w:val="14"/>
                        </w:rPr>
                      </w:pPr>
                    </w:p>
                    <w:p>
                      <w:pPr>
                        <w:spacing w:line="259" w:lineRule="auto"/>
                        <w:ind w:firstLine="567"/>
                        <w:jc w:val="both"/>
                        <w:rPr>
                          <w:rFonts w:ascii="Arial" w:hAnsi="Arial" w:cs="Arial"/>
                          <w:sz w:val="22"/>
                        </w:rPr>
                      </w:pPr>
                      <w:r>
                        <w:rPr>
                          <w:rFonts w:ascii="Arial" w:hAnsi="Arial" w:cs="Arial"/>
                          <w:sz w:val="22"/>
                        </w:rPr>
                        <w:t>Biodujų gamybai gali būti naudojamos bet kokios kilmės organinės medžiagos (žemės ūkyje susidarančios augalinės, gyvulinės atliekos, maisto pramonės ir komunalinės atliekos, nuotekos, nuotekų dumblas ir kt.). Įvairių organinių medžiagų energinė vertė skirtinga (4.4.1. lentelė), todėl vienos medžiagos sunkiai skaidomos ir iš jų gaunama mažiau biodujų, kitos – lengviau ir iš jų gaunamas didesnis biodujų kiekis su didesne metano koncentracija.</w:t>
                      </w:r>
                    </w:p>
                    <w:p>
                      <w:pPr>
                        <w:rPr>
                          <w:sz w:val="14"/>
                          <w:szCs w:val="14"/>
                        </w:rPr>
                      </w:pPr>
                    </w:p>
                    <w:sdt>
                      <w:sdtPr>
                        <w:alias w:val="4.4.1 pp."/>
                        <w:tag w:val="part_c4f7e8c76fb044baab6d58d4c8209875"/>
                        <w:lock w:val="sdtLocked"/>
                        <w:richText/>
                      </w:sdtPr>
                      <w:sdtContent>
                        <w:p>
                          <w:pPr>
                            <w:spacing w:line="259" w:lineRule="auto"/>
                            <w:jc w:val="center"/>
                            <w:rPr>
                              <w:rFonts w:ascii="Arial" w:eastAsia="Calibri" w:hAnsi="Arial"/>
                              <w:b/>
                              <w:color w:val="002060"/>
                              <w:sz w:val="22"/>
                              <w:szCs w:val="32"/>
                            </w:rPr>
                          </w:pPr>
                          <w:sdt>
                            <w:sdtPr>
                              <w:alias w:val="Numeris"/>
                              <w:tag w:val="nr_c4f7e8c76fb044baab6d58d4c8209875"/>
                              <w:lock w:val="sdtLocked"/>
                              <w:richText/>
                            </w:sdtPr>
                            <w:sdtContent>
                              <w:r>
                                <w:rPr>
                                  <w:rFonts w:ascii="Arial" w:eastAsia="Calibri" w:hAnsi="Arial"/>
                                  <w:b/>
                                  <w:color w:val="002060"/>
                                  <w:sz w:val="22"/>
                                  <w:szCs w:val="32"/>
                                </w:rPr>
                                <w:t>4.4.1</w:t>
                              </w:r>
                            </w:sdtContent>
                          </w:sdt>
                          <w:r>
                            <w:rPr>
                              <w:rFonts w:ascii="Arial" w:eastAsia="Calibri" w:hAnsi="Arial"/>
                              <w:b/>
                              <w:color w:val="002060"/>
                              <w:sz w:val="22"/>
                              <w:szCs w:val="32"/>
                            </w:rPr>
                            <w:t xml:space="preserve">. lentelė. Skirtingos kilmės biodujų charakteristikos </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3423"/>
                            <w:gridCol w:w="2595"/>
                            <w:gridCol w:w="1605"/>
                            <w:gridCol w:w="1772"/>
                          </w:tblGrid>
                          <w:tr>
                            <w:trPr>
                              <w:jc w:val="center"/>
                            </w:trPr>
                            <w:tc>
                              <w:tcPr>
                                <w:tcW w:w="0" w:type="auto"/>
                              </w:tcPr>
                              <w:p>
                                <w:pPr>
                                  <w:jc w:val="center"/>
                                  <w:rPr>
                                    <w:rFonts w:ascii="Arial" w:hAnsi="Arial" w:cs="Arial"/>
                                    <w:color w:val="000000"/>
                                    <w:sz w:val="20"/>
                                  </w:rPr>
                                </w:pPr>
                              </w:p>
                            </w:tc>
                            <w:tc>
                              <w:tcPr>
                                <w:tcW w:w="0" w:type="auto"/>
                              </w:tcPr>
                              <w:p>
                                <w:pPr>
                                  <w:jc w:val="center"/>
                                  <w:rPr>
                                    <w:rFonts w:ascii="Arial" w:hAnsi="Arial" w:cs="Arial"/>
                                    <w:color w:val="000000"/>
                                    <w:sz w:val="20"/>
                                  </w:rPr>
                                </w:pPr>
                                <w:r>
                                  <w:rPr>
                                    <w:rFonts w:ascii="Arial" w:hAnsi="Arial" w:cs="Arial"/>
                                    <w:sz w:val="20"/>
                                  </w:rPr>
                                  <w:t>Žemės ūkio atliekų dujos</w:t>
                                </w:r>
                              </w:p>
                            </w:tc>
                            <w:tc>
                              <w:tcPr>
                                <w:tcW w:w="0" w:type="auto"/>
                              </w:tcPr>
                              <w:p>
                                <w:pPr>
                                  <w:jc w:val="center"/>
                                  <w:rPr>
                                    <w:rFonts w:ascii="Arial" w:hAnsi="Arial" w:cs="Arial"/>
                                    <w:color w:val="000000"/>
                                    <w:sz w:val="20"/>
                                  </w:rPr>
                                </w:pPr>
                                <w:r>
                                  <w:rPr>
                                    <w:rFonts w:ascii="Arial" w:hAnsi="Arial" w:cs="Arial"/>
                                    <w:sz w:val="20"/>
                                  </w:rPr>
                                  <w:t>Nuotekų dujos</w:t>
                                </w:r>
                              </w:p>
                            </w:tc>
                            <w:tc>
                              <w:tcPr>
                                <w:tcW w:w="0" w:type="auto"/>
                              </w:tcPr>
                              <w:p>
                                <w:pPr>
                                  <w:jc w:val="center"/>
                                  <w:rPr>
                                    <w:rFonts w:ascii="Arial" w:hAnsi="Arial" w:cs="Arial"/>
                                    <w:color w:val="000000"/>
                                    <w:sz w:val="20"/>
                                  </w:rPr>
                                </w:pPr>
                                <w:r>
                                  <w:rPr>
                                    <w:rFonts w:ascii="Arial" w:hAnsi="Arial" w:cs="Arial"/>
                                    <w:sz w:val="20"/>
                                  </w:rPr>
                                  <w:t>Sąvartynų dujos</w:t>
                                </w:r>
                              </w:p>
                            </w:tc>
                          </w:tr>
                          <w:tr>
                            <w:trPr>
                              <w:jc w:val="center"/>
                            </w:trPr>
                            <w:tc>
                              <w:tcPr>
                                <w:tcW w:w="0" w:type="auto"/>
                              </w:tcPr>
                              <w:p>
                                <w:pPr>
                                  <w:jc w:val="center"/>
                                  <w:rPr>
                                    <w:rFonts w:ascii="Arial" w:hAnsi="Arial" w:cs="Arial"/>
                                    <w:color w:val="000000"/>
                                    <w:sz w:val="20"/>
                                  </w:rPr>
                                </w:pPr>
                                <w:r>
                                  <w:rPr>
                                    <w:rFonts w:ascii="Arial" w:hAnsi="Arial" w:cs="Arial"/>
                                    <w:sz w:val="20"/>
                                  </w:rPr>
                                  <w:t>Metanas (CH</w:t>
                                </w:r>
                                <w:r>
                                  <w:rPr>
                                    <w:rFonts w:ascii="Arial" w:hAnsi="Arial" w:cs="Arial"/>
                                    <w:sz w:val="20"/>
                                    <w:vertAlign w:val="subscript"/>
                                  </w:rPr>
                                  <w:t>4</w:t>
                                </w:r>
                                <w:r>
                                  <w:rPr>
                                    <w:rFonts w:ascii="Arial" w:hAnsi="Arial" w:cs="Arial"/>
                                    <w:sz w:val="20"/>
                                  </w:rPr>
                                  <w:t>) %</w:t>
                                </w:r>
                              </w:p>
                            </w:tc>
                            <w:tc>
                              <w:tcPr>
                                <w:tcW w:w="0" w:type="auto"/>
                              </w:tcPr>
                              <w:p>
                                <w:pPr>
                                  <w:jc w:val="center"/>
                                  <w:rPr>
                                    <w:rFonts w:ascii="Arial" w:hAnsi="Arial" w:cs="Arial"/>
                                    <w:color w:val="000000"/>
                                    <w:sz w:val="20"/>
                                  </w:rPr>
                                </w:pPr>
                                <w:r>
                                  <w:rPr>
                                    <w:rFonts w:ascii="Arial" w:hAnsi="Arial" w:cs="Arial"/>
                                    <w:color w:val="000000"/>
                                    <w:sz w:val="20"/>
                                  </w:rPr>
                                  <w:t>45-75</w:t>
                                </w:r>
                              </w:p>
                            </w:tc>
                            <w:tc>
                              <w:tcPr>
                                <w:tcW w:w="0" w:type="auto"/>
                              </w:tcPr>
                              <w:p>
                                <w:pPr>
                                  <w:jc w:val="center"/>
                                  <w:rPr>
                                    <w:rFonts w:ascii="Arial" w:hAnsi="Arial" w:cs="Arial"/>
                                    <w:color w:val="000000"/>
                                    <w:sz w:val="20"/>
                                  </w:rPr>
                                </w:pPr>
                                <w:r>
                                  <w:rPr>
                                    <w:rFonts w:ascii="Arial" w:hAnsi="Arial" w:cs="Arial"/>
                                    <w:color w:val="000000"/>
                                    <w:sz w:val="20"/>
                                  </w:rPr>
                                  <w:t>65-75</w:t>
                                </w:r>
                              </w:p>
                            </w:tc>
                            <w:tc>
                              <w:tcPr>
                                <w:tcW w:w="0" w:type="auto"/>
                              </w:tcPr>
                              <w:p>
                                <w:pPr>
                                  <w:jc w:val="center"/>
                                  <w:rPr>
                                    <w:rFonts w:ascii="Arial" w:hAnsi="Arial" w:cs="Arial"/>
                                    <w:color w:val="000000"/>
                                    <w:sz w:val="20"/>
                                  </w:rPr>
                                </w:pPr>
                                <w:r>
                                  <w:rPr>
                                    <w:rFonts w:ascii="Arial" w:hAnsi="Arial" w:cs="Arial"/>
                                    <w:color w:val="000000"/>
                                    <w:sz w:val="20"/>
                                  </w:rPr>
                                  <w:t>45-55</w:t>
                                </w:r>
                              </w:p>
                            </w:tc>
                          </w:tr>
                          <w:tr>
                            <w:trPr>
                              <w:jc w:val="center"/>
                            </w:trPr>
                            <w:tc>
                              <w:tcPr>
                                <w:tcW w:w="0" w:type="auto"/>
                              </w:tcPr>
                              <w:p>
                                <w:pPr>
                                  <w:jc w:val="center"/>
                                  <w:rPr>
                                    <w:rFonts w:ascii="Arial" w:hAnsi="Arial" w:cs="Arial"/>
                                    <w:color w:val="000000"/>
                                    <w:sz w:val="20"/>
                                  </w:rPr>
                                </w:pPr>
                                <w:r>
                                  <w:rPr>
                                    <w:rFonts w:ascii="Arial" w:hAnsi="Arial" w:cs="Arial"/>
                                    <w:sz w:val="20"/>
                                  </w:rPr>
                                  <w:t>Anglies dvideginis (CO</w:t>
                                </w:r>
                                <w:r>
                                  <w:rPr>
                                    <w:rFonts w:ascii="Arial" w:hAnsi="Arial" w:cs="Arial"/>
                                    <w:sz w:val="20"/>
                                    <w:vertAlign w:val="subscript"/>
                                  </w:rPr>
                                  <w:t>2</w:t>
                                </w:r>
                                <w:r>
                                  <w:rPr>
                                    <w:rFonts w:ascii="Arial" w:hAnsi="Arial" w:cs="Arial"/>
                                    <w:sz w:val="20"/>
                                  </w:rPr>
                                  <w:t>) %</w:t>
                                </w:r>
                              </w:p>
                            </w:tc>
                            <w:tc>
                              <w:tcPr>
                                <w:tcW w:w="0" w:type="auto"/>
                              </w:tcPr>
                              <w:p>
                                <w:pPr>
                                  <w:jc w:val="center"/>
                                  <w:rPr>
                                    <w:rFonts w:ascii="Arial" w:hAnsi="Arial" w:cs="Arial"/>
                                    <w:color w:val="000000"/>
                                    <w:sz w:val="20"/>
                                  </w:rPr>
                                </w:pPr>
                                <w:r>
                                  <w:rPr>
                                    <w:rFonts w:ascii="Arial" w:hAnsi="Arial" w:cs="Arial"/>
                                    <w:color w:val="000000"/>
                                    <w:sz w:val="20"/>
                                  </w:rPr>
                                  <w:t>25-55</w:t>
                                </w:r>
                              </w:p>
                            </w:tc>
                            <w:tc>
                              <w:tcPr>
                                <w:tcW w:w="0" w:type="auto"/>
                              </w:tcPr>
                              <w:p>
                                <w:pPr>
                                  <w:jc w:val="center"/>
                                  <w:rPr>
                                    <w:rFonts w:ascii="Arial" w:hAnsi="Arial" w:cs="Arial"/>
                                    <w:color w:val="000000"/>
                                    <w:sz w:val="20"/>
                                  </w:rPr>
                                </w:pPr>
                                <w:r>
                                  <w:rPr>
                                    <w:rFonts w:ascii="Arial" w:hAnsi="Arial" w:cs="Arial"/>
                                    <w:color w:val="000000"/>
                                    <w:sz w:val="20"/>
                                  </w:rPr>
                                  <w:t>20-35</w:t>
                                </w:r>
                              </w:p>
                            </w:tc>
                            <w:tc>
                              <w:tcPr>
                                <w:tcW w:w="0" w:type="auto"/>
                              </w:tcPr>
                              <w:p>
                                <w:pPr>
                                  <w:jc w:val="center"/>
                                  <w:rPr>
                                    <w:rFonts w:ascii="Arial" w:hAnsi="Arial" w:cs="Arial"/>
                                    <w:color w:val="000000"/>
                                    <w:sz w:val="20"/>
                                  </w:rPr>
                                </w:pPr>
                                <w:r>
                                  <w:rPr>
                                    <w:rFonts w:ascii="Arial" w:hAnsi="Arial" w:cs="Arial"/>
                                    <w:color w:val="000000"/>
                                    <w:sz w:val="20"/>
                                  </w:rPr>
                                  <w:t>25-30</w:t>
                                </w:r>
                              </w:p>
                            </w:tc>
                          </w:tr>
                          <w:tr>
                            <w:trPr>
                              <w:jc w:val="center"/>
                            </w:trPr>
                            <w:tc>
                              <w:tcPr>
                                <w:tcW w:w="0" w:type="auto"/>
                              </w:tcPr>
                              <w:p>
                                <w:pPr>
                                  <w:jc w:val="center"/>
                                  <w:rPr>
                                    <w:rFonts w:ascii="Arial" w:hAnsi="Arial" w:cs="Arial"/>
                                    <w:color w:val="000000"/>
                                    <w:sz w:val="20"/>
                                  </w:rPr>
                                </w:pPr>
                                <w:r>
                                  <w:rPr>
                                    <w:rFonts w:ascii="Arial" w:hAnsi="Arial" w:cs="Arial"/>
                                    <w:sz w:val="20"/>
                                  </w:rPr>
                                  <w:t>Vandenilis (H</w:t>
                                </w:r>
                                <w:r>
                                  <w:rPr>
                                    <w:rFonts w:ascii="Arial" w:hAnsi="Arial" w:cs="Arial"/>
                                    <w:sz w:val="20"/>
                                    <w:vertAlign w:val="subscript"/>
                                  </w:rPr>
                                  <w:t>2</w:t>
                                </w:r>
                                <w:r>
                                  <w:rPr>
                                    <w:rFonts w:ascii="Arial" w:hAnsi="Arial" w:cs="Arial"/>
                                    <w:sz w:val="20"/>
                                  </w:rPr>
                                  <w:t>) %</w:t>
                                </w:r>
                              </w:p>
                            </w:tc>
                            <w:tc>
                              <w:tcPr>
                                <w:tcW w:w="0" w:type="auto"/>
                              </w:tcPr>
                              <w:p>
                                <w:pPr>
                                  <w:jc w:val="center"/>
                                  <w:rPr>
                                    <w:rFonts w:ascii="Arial" w:hAnsi="Arial" w:cs="Arial"/>
                                    <w:color w:val="000000"/>
                                    <w:sz w:val="20"/>
                                  </w:rPr>
                                </w:pPr>
                                <w:r>
                                  <w:rPr>
                                    <w:rFonts w:ascii="Arial" w:hAnsi="Arial" w:cs="Arial"/>
                                    <w:color w:val="000000"/>
                                    <w:sz w:val="20"/>
                                  </w:rPr>
                                  <w:t>0,5</w:t>
                                </w:r>
                              </w:p>
                            </w:tc>
                            <w:tc>
                              <w:tcPr>
                                <w:tcW w:w="0" w:type="auto"/>
                              </w:tcPr>
                              <w:p>
                                <w:pPr>
                                  <w:jc w:val="center"/>
                                  <w:rPr>
                                    <w:rFonts w:ascii="Arial" w:hAnsi="Arial" w:cs="Arial"/>
                                    <w:color w:val="000000"/>
                                    <w:sz w:val="20"/>
                                  </w:rPr>
                                </w:pPr>
                                <w:r>
                                  <w:rPr>
                                    <w:rFonts w:ascii="Arial" w:hAnsi="Arial" w:cs="Arial"/>
                                    <w:color w:val="000000"/>
                                    <w:sz w:val="20"/>
                                  </w:rPr>
                                  <w:t>0,0</w:t>
                                </w:r>
                              </w:p>
                            </w:tc>
                            <w:tc>
                              <w:tcPr>
                                <w:tcW w:w="0" w:type="auto"/>
                              </w:tcPr>
                              <w:p>
                                <w:pPr>
                                  <w:jc w:val="center"/>
                                  <w:rPr>
                                    <w:rFonts w:ascii="Arial" w:hAnsi="Arial" w:cs="Arial"/>
                                    <w:color w:val="000000"/>
                                    <w:sz w:val="20"/>
                                  </w:rPr>
                                </w:pPr>
                                <w:r>
                                  <w:rPr>
                                    <w:rFonts w:ascii="Arial" w:hAnsi="Arial" w:cs="Arial"/>
                                    <w:color w:val="000000"/>
                                    <w:sz w:val="20"/>
                                  </w:rPr>
                                  <w:t>Pėdsakai</w:t>
                                </w:r>
                              </w:p>
                            </w:tc>
                          </w:tr>
                          <w:tr>
                            <w:trPr>
                              <w:jc w:val="center"/>
                            </w:trPr>
                            <w:tc>
                              <w:tcPr>
                                <w:tcW w:w="0" w:type="auto"/>
                              </w:tcPr>
                              <w:p>
                                <w:pPr>
                                  <w:jc w:val="center"/>
                                  <w:rPr>
                                    <w:rFonts w:ascii="Arial" w:hAnsi="Arial" w:cs="Arial"/>
                                    <w:color w:val="000000"/>
                                    <w:sz w:val="20"/>
                                    <w:vertAlign w:val="superscript"/>
                                  </w:rPr>
                                </w:pPr>
                                <w:r>
                                  <w:rPr>
                                    <w:rFonts w:ascii="Arial" w:hAnsi="Arial" w:cs="Arial"/>
                                    <w:sz w:val="20"/>
                                  </w:rPr>
                                  <w:t>Vandenilio sulfidas (H</w:t>
                                </w:r>
                                <w:r>
                                  <w:rPr>
                                    <w:rFonts w:ascii="Arial" w:hAnsi="Arial" w:cs="Arial"/>
                                    <w:sz w:val="20"/>
                                    <w:vertAlign w:val="subscript"/>
                                  </w:rPr>
                                  <w:t>2</w:t>
                                </w:r>
                                <w:r>
                                  <w:rPr>
                                    <w:rFonts w:ascii="Arial" w:hAnsi="Arial" w:cs="Arial"/>
                                    <w:sz w:val="20"/>
                                  </w:rPr>
                                  <w:t>S) mg/Nm</w:t>
                                </w:r>
                                <w:r>
                                  <w:rPr>
                                    <w:rFonts w:ascii="Arial" w:hAnsi="Arial" w:cs="Arial"/>
                                    <w:sz w:val="20"/>
                                    <w:vertAlign w:val="superscript"/>
                                  </w:rPr>
                                  <w:t>3</w:t>
                                </w:r>
                              </w:p>
                            </w:tc>
                            <w:tc>
                              <w:tcPr>
                                <w:tcW w:w="0" w:type="auto"/>
                              </w:tcPr>
                              <w:p>
                                <w:pPr>
                                  <w:jc w:val="center"/>
                                  <w:rPr>
                                    <w:rFonts w:ascii="Arial" w:hAnsi="Arial" w:cs="Arial"/>
                                    <w:color w:val="000000"/>
                                    <w:sz w:val="20"/>
                                  </w:rPr>
                                </w:pPr>
                                <w:r>
                                  <w:rPr>
                                    <w:rFonts w:ascii="Arial" w:hAnsi="Arial" w:cs="Arial"/>
                                    <w:color w:val="000000"/>
                                    <w:sz w:val="20"/>
                                  </w:rPr>
                                  <w:t>10-30 000</w:t>
                                </w:r>
                              </w:p>
                            </w:tc>
                            <w:tc>
                              <w:tcPr>
                                <w:tcW w:w="0" w:type="auto"/>
                              </w:tcPr>
                              <w:p>
                                <w:pPr>
                                  <w:jc w:val="center"/>
                                  <w:rPr>
                                    <w:rFonts w:ascii="Arial" w:hAnsi="Arial" w:cs="Arial"/>
                                    <w:color w:val="000000"/>
                                    <w:sz w:val="20"/>
                                  </w:rPr>
                                </w:pPr>
                                <w:r>
                                  <w:rPr>
                                    <w:rFonts w:ascii="Arial" w:hAnsi="Arial" w:cs="Arial"/>
                                    <w:color w:val="000000"/>
                                    <w:sz w:val="20"/>
                                  </w:rPr>
                                  <w:t>&lt;8000</w:t>
                                </w:r>
                              </w:p>
                            </w:tc>
                            <w:tc>
                              <w:tcPr>
                                <w:tcW w:w="0" w:type="auto"/>
                              </w:tcPr>
                              <w:p>
                                <w:pPr>
                                  <w:jc w:val="center"/>
                                  <w:rPr>
                                    <w:rFonts w:ascii="Arial" w:hAnsi="Arial" w:cs="Arial"/>
                                    <w:color w:val="000000"/>
                                    <w:sz w:val="20"/>
                                  </w:rPr>
                                </w:pPr>
                                <w:r>
                                  <w:rPr>
                                    <w:rFonts w:ascii="Arial" w:hAnsi="Arial" w:cs="Arial"/>
                                    <w:color w:val="000000"/>
                                    <w:sz w:val="20"/>
                                  </w:rPr>
                                  <w:t>&lt;8000</w:t>
                                </w:r>
                              </w:p>
                            </w:tc>
                          </w:tr>
                          <w:tr>
                            <w:trPr>
                              <w:jc w:val="center"/>
                            </w:trPr>
                            <w:tc>
                              <w:tcPr>
                                <w:tcW w:w="0" w:type="auto"/>
                              </w:tcPr>
                              <w:p>
                                <w:pPr>
                                  <w:jc w:val="center"/>
                                  <w:rPr>
                                    <w:rFonts w:ascii="Arial" w:hAnsi="Arial" w:cs="Arial"/>
                                    <w:color w:val="000000"/>
                                    <w:sz w:val="20"/>
                                  </w:rPr>
                                </w:pPr>
                                <w:r>
                                  <w:rPr>
                                    <w:rFonts w:ascii="Arial" w:hAnsi="Arial" w:cs="Arial"/>
                                    <w:sz w:val="20"/>
                                  </w:rPr>
                                  <w:t>Azotas (N</w:t>
                                </w:r>
                                <w:r>
                                  <w:rPr>
                                    <w:rFonts w:ascii="Arial" w:hAnsi="Arial" w:cs="Arial"/>
                                    <w:sz w:val="20"/>
                                    <w:vertAlign w:val="subscript"/>
                                  </w:rPr>
                                  <w:t>2</w:t>
                                </w:r>
                                <w:r>
                                  <w:rPr>
                                    <w:rFonts w:ascii="Arial" w:hAnsi="Arial" w:cs="Arial"/>
                                    <w:sz w:val="20"/>
                                  </w:rPr>
                                  <w:t>)</w:t>
                                </w:r>
                              </w:p>
                            </w:tc>
                            <w:tc>
                              <w:tcPr>
                                <w:tcW w:w="0" w:type="auto"/>
                              </w:tcPr>
                              <w:p>
                                <w:pPr>
                                  <w:jc w:val="center"/>
                                  <w:rPr>
                                    <w:rFonts w:ascii="Arial" w:hAnsi="Arial" w:cs="Arial"/>
                                    <w:color w:val="000000"/>
                                    <w:sz w:val="20"/>
                                  </w:rPr>
                                </w:pPr>
                                <w:r>
                                  <w:rPr>
                                    <w:rFonts w:ascii="Arial" w:hAnsi="Arial" w:cs="Arial"/>
                                    <w:color w:val="000000"/>
                                    <w:sz w:val="20"/>
                                  </w:rPr>
                                  <w:t>0,01-5,00</w:t>
                                </w:r>
                              </w:p>
                            </w:tc>
                            <w:tc>
                              <w:tcPr>
                                <w:tcW w:w="0" w:type="auto"/>
                              </w:tcPr>
                              <w:p>
                                <w:pPr>
                                  <w:jc w:val="center"/>
                                  <w:rPr>
                                    <w:rFonts w:ascii="Arial" w:hAnsi="Arial" w:cs="Arial"/>
                                    <w:color w:val="000000"/>
                                    <w:sz w:val="20"/>
                                  </w:rPr>
                                </w:pPr>
                                <w:r>
                                  <w:rPr>
                                    <w:rFonts w:ascii="Arial" w:hAnsi="Arial" w:cs="Arial"/>
                                    <w:color w:val="000000"/>
                                    <w:sz w:val="20"/>
                                  </w:rPr>
                                  <w:t>3,4</w:t>
                                </w:r>
                              </w:p>
                            </w:tc>
                            <w:tc>
                              <w:tcPr>
                                <w:tcW w:w="0" w:type="auto"/>
                              </w:tcPr>
                              <w:p>
                                <w:pPr>
                                  <w:jc w:val="center"/>
                                  <w:rPr>
                                    <w:rFonts w:ascii="Arial" w:hAnsi="Arial" w:cs="Arial"/>
                                    <w:color w:val="000000"/>
                                    <w:sz w:val="20"/>
                                  </w:rPr>
                                </w:pPr>
                                <w:r>
                                  <w:rPr>
                                    <w:rFonts w:ascii="Arial" w:hAnsi="Arial" w:cs="Arial"/>
                                    <w:color w:val="000000"/>
                                    <w:sz w:val="20"/>
                                  </w:rPr>
                                  <w:t>10-25</w:t>
                                </w:r>
                              </w:p>
                            </w:tc>
                          </w:tr>
                          <w:tr>
                            <w:trPr>
                              <w:jc w:val="center"/>
                            </w:trPr>
                            <w:tc>
                              <w:tcPr>
                                <w:tcW w:w="0" w:type="auto"/>
                              </w:tcPr>
                              <w:p>
                                <w:pPr>
                                  <w:jc w:val="center"/>
                                  <w:rPr>
                                    <w:rFonts w:ascii="Arial" w:hAnsi="Arial" w:cs="Arial"/>
                                    <w:color w:val="000000"/>
                                    <w:sz w:val="20"/>
                                    <w:vertAlign w:val="superscript"/>
                                  </w:rPr>
                                </w:pPr>
                                <w:r>
                                  <w:rPr>
                                    <w:rFonts w:ascii="Arial" w:hAnsi="Arial" w:cs="Arial"/>
                                    <w:sz w:val="20"/>
                                  </w:rPr>
                                  <w:t>Žemesnioji degimo šiluma kWh/Nm</w:t>
                                </w:r>
                                <w:r>
                                  <w:rPr>
                                    <w:rFonts w:ascii="Arial" w:hAnsi="Arial" w:cs="Arial"/>
                                    <w:sz w:val="20"/>
                                    <w:vertAlign w:val="superscript"/>
                                  </w:rPr>
                                  <w:t>3</w:t>
                                </w:r>
                              </w:p>
                            </w:tc>
                            <w:tc>
                              <w:tcPr>
                                <w:tcW w:w="0" w:type="auto"/>
                              </w:tcPr>
                              <w:p>
                                <w:pPr>
                                  <w:jc w:val="center"/>
                                  <w:rPr>
                                    <w:rFonts w:ascii="Arial" w:hAnsi="Arial" w:cs="Arial"/>
                                    <w:color w:val="000000"/>
                                    <w:sz w:val="20"/>
                                  </w:rPr>
                                </w:pPr>
                                <w:r>
                                  <w:rPr>
                                    <w:rFonts w:ascii="Arial" w:hAnsi="Arial" w:cs="Arial"/>
                                    <w:color w:val="000000"/>
                                    <w:sz w:val="20"/>
                                  </w:rPr>
                                  <w:t>5,0-7,5</w:t>
                                </w:r>
                              </w:p>
                            </w:tc>
                            <w:tc>
                              <w:tcPr>
                                <w:tcW w:w="0" w:type="auto"/>
                              </w:tcPr>
                              <w:p>
                                <w:pPr>
                                  <w:jc w:val="center"/>
                                  <w:rPr>
                                    <w:rFonts w:ascii="Arial" w:hAnsi="Arial" w:cs="Arial"/>
                                    <w:color w:val="000000"/>
                                    <w:sz w:val="20"/>
                                  </w:rPr>
                                </w:pPr>
                                <w:r>
                                  <w:rPr>
                                    <w:rFonts w:ascii="Arial" w:hAnsi="Arial" w:cs="Arial"/>
                                    <w:color w:val="000000"/>
                                    <w:sz w:val="20"/>
                                  </w:rPr>
                                  <w:t>6,0-7,5</w:t>
                                </w:r>
                              </w:p>
                            </w:tc>
                            <w:tc>
                              <w:tcPr>
                                <w:tcW w:w="0" w:type="auto"/>
                              </w:tcPr>
                              <w:p>
                                <w:pPr>
                                  <w:jc w:val="center"/>
                                  <w:rPr>
                                    <w:rFonts w:ascii="Arial" w:hAnsi="Arial" w:cs="Arial"/>
                                    <w:color w:val="000000"/>
                                    <w:sz w:val="20"/>
                                  </w:rPr>
                                </w:pPr>
                                <w:r>
                                  <w:rPr>
                                    <w:rFonts w:ascii="Arial" w:hAnsi="Arial" w:cs="Arial"/>
                                    <w:color w:val="000000"/>
                                    <w:sz w:val="20"/>
                                  </w:rPr>
                                  <w:t>4,5-5,5</w:t>
                                </w:r>
                              </w:p>
                            </w:tc>
                          </w:tr>
                          <w:tr>
                            <w:trPr>
                              <w:jc w:val="center"/>
                            </w:trPr>
                            <w:tc>
                              <w:tcPr>
                                <w:tcW w:w="0" w:type="auto"/>
                              </w:tcPr>
                              <w:p>
                                <w:pPr>
                                  <w:jc w:val="center"/>
                                  <w:rPr>
                                    <w:rFonts w:ascii="Arial" w:hAnsi="Arial" w:cs="Arial"/>
                                    <w:color w:val="000000"/>
                                    <w:sz w:val="20"/>
                                    <w:vertAlign w:val="superscript"/>
                                  </w:rPr>
                                </w:pPr>
                                <w:r>
                                  <w:rPr>
                                    <w:rFonts w:ascii="Arial" w:hAnsi="Arial" w:cs="Arial"/>
                                    <w:sz w:val="20"/>
                                  </w:rPr>
                                  <w:t>Žemesnioji degimo šiluma kWh/Nm</w:t>
                                </w:r>
                                <w:r>
                                  <w:rPr>
                                    <w:rFonts w:ascii="Arial" w:hAnsi="Arial" w:cs="Arial"/>
                                    <w:sz w:val="20"/>
                                    <w:vertAlign w:val="superscript"/>
                                  </w:rPr>
                                  <w:t>3</w:t>
                                </w:r>
                              </w:p>
                            </w:tc>
                            <w:tc>
                              <w:tcPr>
                                <w:tcW w:w="0" w:type="auto"/>
                              </w:tcPr>
                              <w:p>
                                <w:pPr>
                                  <w:jc w:val="center"/>
                                  <w:rPr>
                                    <w:rFonts w:ascii="Arial" w:hAnsi="Arial" w:cs="Arial"/>
                                    <w:color w:val="000000"/>
                                    <w:sz w:val="20"/>
                                  </w:rPr>
                                </w:pPr>
                                <w:r>
                                  <w:rPr>
                                    <w:rFonts w:ascii="Arial" w:hAnsi="Arial" w:cs="Arial"/>
                                    <w:color w:val="000000"/>
                                    <w:sz w:val="20"/>
                                  </w:rPr>
                                  <w:t>5,5-8,2</w:t>
                                </w:r>
                              </w:p>
                            </w:tc>
                            <w:tc>
                              <w:tcPr>
                                <w:tcW w:w="0" w:type="auto"/>
                              </w:tcPr>
                              <w:p>
                                <w:pPr>
                                  <w:jc w:val="center"/>
                                  <w:rPr>
                                    <w:rFonts w:ascii="Arial" w:hAnsi="Arial" w:cs="Arial"/>
                                    <w:color w:val="000000"/>
                                    <w:sz w:val="20"/>
                                  </w:rPr>
                                </w:pPr>
                                <w:r>
                                  <w:rPr>
                                    <w:rFonts w:ascii="Arial" w:hAnsi="Arial" w:cs="Arial"/>
                                    <w:color w:val="000000"/>
                                    <w:sz w:val="20"/>
                                  </w:rPr>
                                  <w:t>6,6-8,2</w:t>
                                </w:r>
                              </w:p>
                            </w:tc>
                            <w:tc>
                              <w:tcPr>
                                <w:tcW w:w="0" w:type="auto"/>
                              </w:tcPr>
                              <w:p>
                                <w:pPr>
                                  <w:jc w:val="center"/>
                                  <w:rPr>
                                    <w:rFonts w:ascii="Arial" w:hAnsi="Arial" w:cs="Arial"/>
                                    <w:color w:val="000000"/>
                                    <w:sz w:val="20"/>
                                  </w:rPr>
                                </w:pPr>
                                <w:r>
                                  <w:rPr>
                                    <w:rFonts w:ascii="Arial" w:hAnsi="Arial" w:cs="Arial"/>
                                    <w:color w:val="000000"/>
                                    <w:sz w:val="20"/>
                                  </w:rPr>
                                  <w:t>5,0-6,1</w:t>
                                </w:r>
                              </w:p>
                            </w:tc>
                          </w:tr>
                        </w:tbl>
                        <w:p>
                          <w:pPr>
                            <w:spacing w:line="259" w:lineRule="auto"/>
                            <w:jc w:val="center"/>
                            <w:rPr>
                              <w:rFonts w:ascii="Arial" w:hAnsi="Arial" w:cs="Arial"/>
                              <w:i/>
                              <w:iCs/>
                              <w:sz w:val="18"/>
                              <w:szCs w:val="18"/>
                            </w:rPr>
                          </w:pPr>
                          <w:r>
                            <w:rPr>
                              <w:rFonts w:ascii="Arial" w:hAnsi="Arial" w:cs="Arial"/>
                              <w:i/>
                              <w:iCs/>
                              <w:sz w:val="18"/>
                              <w:szCs w:val="18"/>
                            </w:rPr>
                            <w:t>Šaltinis: Dieter Deublein, Angelika Steinhauser. Biogas from Waste and Renewable Resources. WILEYVCH Verlag GmbH &amp; Co. KGaA, 2008</w:t>
                          </w:r>
                        </w:p>
                        <w:p>
                          <w:pPr>
                            <w:rPr>
                              <w:sz w:val="14"/>
                              <w:szCs w:val="14"/>
                            </w:rPr>
                          </w:pPr>
                        </w:p>
                        <w:p>
                          <w:pPr>
                            <w:spacing w:line="259" w:lineRule="auto"/>
                            <w:ind w:firstLine="567"/>
                            <w:jc w:val="both"/>
                            <w:rPr>
                              <w:rFonts w:ascii="Arial" w:hAnsi="Arial" w:cs="Arial"/>
                              <w:sz w:val="22"/>
                            </w:rPr>
                          </w:pPr>
                          <w:r>
                            <w:rPr>
                              <w:rFonts w:ascii="Arial" w:hAnsi="Arial" w:cs="Arial"/>
                              <w:sz w:val="22"/>
                            </w:rPr>
                            <w:t>Pagrindinis biodujų gamybos žaliavų šaltinis yra žemės ūkio veiklos. Žemės ūkyje susidarančios atliekos skirstomos į dvi grupes: augalininkystės ir gyvulininkystės atliekas. Šių grupių atliekų potencialas skaičiuojamas atskirai.</w:t>
                          </w:r>
                        </w:p>
                        <w:p>
                          <w:pPr>
                            <w:rPr>
                              <w:sz w:val="14"/>
                              <w:szCs w:val="14"/>
                            </w:rPr>
                          </w:pPr>
                        </w:p>
                      </w:sdtContent>
                    </w:sdt>
                    <w:sdt>
                      <w:sdtPr>
                        <w:alias w:val="4.4.1 pp."/>
                        <w:tag w:val="part_b52fdd11d6ee401a80c67d8c153fb685"/>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b52fdd11d6ee401a80c67d8c153fb685"/>
                              <w:lock w:val="sdtLocked"/>
                              <w:richText/>
                            </w:sdtPr>
                            <w:sdtContent>
                              <w:r>
                                <w:rPr>
                                  <w:rFonts w:ascii="Arial" w:hAnsi="Arial" w:cs="Arial"/>
                                  <w:b/>
                                  <w:color w:val="002060"/>
                                  <w:sz w:val="22"/>
                                  <w:szCs w:val="24"/>
                                </w:rPr>
                                <w:t>4.4.1</w:t>
                              </w:r>
                            </w:sdtContent>
                          </w:sdt>
                          <w:r>
                            <w:rPr>
                              <w:rFonts w:ascii="Arial" w:hAnsi="Arial" w:cs="Arial"/>
                              <w:b/>
                              <w:color w:val="002060"/>
                              <w:sz w:val="22"/>
                              <w:szCs w:val="24"/>
                            </w:rPr>
                            <w:t>. Biodujų potencialas iš žemės ūkio ir maisto pramonės atliekų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Pagrindinis biodujų gamybos žaliavų šaltinis Lietuvos žemės ūkyje yra gyvulių mėšlas. Biodujų gamybos iš mėšlo potencialas proporcingas gyvulių ir paukščių skaičiui. Geriausias perspektyvas statyti biodujų jėgaines turi stambūs ūkiai, kuriuose auginama bent keli tūkstančiai kiaulių, keli šimtai galvijų ar keliasdešimt tūkstančių paukščių, naudojantys bekraikes gyvulių ir paukščių laikymo technologijas bei turintys didelius šiluminės energijos poreikius.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Lietuvos statistikos departamento duomenimis, 2022 m. pradžioje </w:t>
                          </w:r>
                          <w:r>
                            <w:rPr>
                              <w:rFonts w:ascii="Arial" w:eastAsia="Calibri" w:hAnsi="Arial" w:cs="Arial"/>
                              <w:sz w:val="22"/>
                              <w:szCs w:val="23"/>
                            </w:rPr>
                            <w:t xml:space="preserve">Joniškio rajono </w:t>
                          </w:r>
                          <w:r>
                            <w:rPr>
                              <w:rFonts w:ascii="Arial" w:hAnsi="Arial" w:cs="Arial"/>
                              <w:sz w:val="22"/>
                            </w:rPr>
                            <w:t>savivaldybėje buvo auginami 9 287 galvijai, 29 463 kiaulės ir 155 613 paukščiai. Žinant gyvulių ir paukščių mėšlo išeigą (galvijas – apie 1 200 kg, kiaulė – 180 kg ir paukštis – 3 kg per metus), apskaičiuojamas per metus susidarančio mėšlo kiekis: galvijų – 11 144 t, kiaulių – 5 303 t ir paukščių – 467 t. Biodujų išeiga atitinkamai lygi: iš galvijų mėšlo – 45 m</w:t>
                          </w:r>
                          <w:r>
                            <w:rPr>
                              <w:rFonts w:ascii="Arial" w:hAnsi="Arial" w:cs="Arial"/>
                              <w:sz w:val="22"/>
                              <w:vertAlign w:val="superscript"/>
                            </w:rPr>
                            <w:t>3</w:t>
                          </w:r>
                          <w:r>
                            <w:rPr>
                              <w:rFonts w:ascii="Arial" w:hAnsi="Arial" w:cs="Arial"/>
                              <w:sz w:val="22"/>
                            </w:rPr>
                            <w:t xml:space="preserve"> iš tonos, kiaulių mėšlo – 60 m</w:t>
                          </w:r>
                          <w:r>
                            <w:rPr>
                              <w:rFonts w:ascii="Arial" w:hAnsi="Arial" w:cs="Arial"/>
                              <w:sz w:val="22"/>
                              <w:vertAlign w:val="superscript"/>
                            </w:rPr>
                            <w:t xml:space="preserve">3 </w:t>
                          </w:r>
                          <w:r>
                            <w:rPr>
                              <w:rFonts w:ascii="Arial" w:hAnsi="Arial" w:cs="Arial"/>
                              <w:sz w:val="22"/>
                            </w:rPr>
                            <w:t>iš tonos ir paukščių mėšlo – 80 m</w:t>
                          </w:r>
                          <w:r>
                            <w:rPr>
                              <w:rFonts w:ascii="Arial" w:hAnsi="Arial" w:cs="Arial"/>
                              <w:sz w:val="22"/>
                              <w:vertAlign w:val="superscript"/>
                            </w:rPr>
                            <w:t xml:space="preserve">3 </w:t>
                          </w:r>
                          <w:r>
                            <w:rPr>
                              <w:rFonts w:ascii="Arial" w:hAnsi="Arial" w:cs="Arial"/>
                              <w:sz w:val="22"/>
                            </w:rPr>
                            <w:t>iš tonos. Bendras biodujų iš gyvulių ir paukščių mėšlo potencialas Joniškio rajono savivaldybėje lygus 857 045,5 m</w:t>
                          </w:r>
                          <w:r>
                            <w:rPr>
                              <w:rFonts w:ascii="Arial" w:hAnsi="Arial" w:cs="Arial"/>
                              <w:sz w:val="22"/>
                              <w:vertAlign w:val="superscript"/>
                            </w:rPr>
                            <w:t>3</w:t>
                          </w:r>
                          <w:r>
                            <w:rPr>
                              <w:rFonts w:ascii="Arial" w:hAnsi="Arial" w:cs="Arial"/>
                              <w:sz w:val="22"/>
                            </w:rPr>
                            <w:t xml:space="preserve">. Perskaičiavus į energinę vertę tai atitinka </w:t>
                          </w:r>
                          <w:r>
                            <w:rPr>
                              <w:rFonts w:ascii="Arial" w:hAnsi="Arial" w:cs="Arial"/>
                              <w:b/>
                              <w:bCs/>
                              <w:sz w:val="22"/>
                            </w:rPr>
                            <w:t>411,4 tne.</w:t>
                          </w:r>
                        </w:p>
                        <w:p>
                          <w:pPr>
                            <w:rPr>
                              <w:sz w:val="14"/>
                              <w:szCs w:val="14"/>
                            </w:rPr>
                          </w:pPr>
                        </w:p>
                        <w:p>
                          <w:pPr>
                            <w:spacing w:line="259" w:lineRule="auto"/>
                            <w:ind w:firstLine="567"/>
                            <w:jc w:val="both"/>
                            <w:rPr>
                              <w:rFonts w:ascii="Arial" w:hAnsi="Arial" w:cs="Arial"/>
                              <w:sz w:val="22"/>
                            </w:rPr>
                          </w:pPr>
                          <w:r>
                            <w:rPr>
                              <w:rFonts w:ascii="Arial" w:hAnsi="Arial" w:cs="Arial"/>
                              <w:sz w:val="22"/>
                            </w:rPr>
                            <w:t>Biodujų gamyba ir naudojimas siejami su dideliais gyvulininkystės ar paukštininkystės kompleksais, todėl taip įvertintas techninis potencialas išreiškia tik iš savivaldybės teritorijoje daugelyje ūkių susidarančio mėšlo galimą išgauti biodujų ir energijos kiekį. Mažame ūkyje, turinčiame tik keletą galvijų, kiaulių ar paukščių, susidaro nedidelis mėšlo kiekis, todėl biodujų gamybai statyti mažas biodujų jėgaines neapsimoka. Nepaisant to, techniniu požiūriu net ir iš dalies nedaug gyvulių auginantys ūkiai gali statyti biodujų jėgaines, kuriose kaip žaliava būtų naudojami gyvulių mėšlo ir energetinių augalų mišiniai. Skaičiuojant rekomenduojama įtraukti kukurūzų masę, nes ji pasižymi didžiausia biodujų išeiga (202 m</w:t>
                          </w:r>
                          <w:r>
                            <w:rPr>
                              <w:rFonts w:ascii="Arial" w:hAnsi="Arial" w:cs="Arial"/>
                              <w:sz w:val="22"/>
                              <w:vertAlign w:val="superscript"/>
                            </w:rPr>
                            <w:t>3</w:t>
                          </w:r>
                          <w:r>
                            <w:rPr>
                              <w:rFonts w:ascii="Arial" w:hAnsi="Arial" w:cs="Arial"/>
                              <w:sz w:val="22"/>
                            </w:rPr>
                            <w:t xml:space="preserve"> iš tonos</w:t>
                          </w:r>
                          <w:r>
                            <w:rPr>
                              <w:rFonts w:ascii="Arial" w:hAnsi="Arial" w:cs="Arial"/>
                              <w:sz w:val="22"/>
                              <w:vertAlign w:val="superscript"/>
                            </w:rPr>
                            <w:footnoteReference w:id="21"/>
                          </w:r>
                          <w:r>
                            <w:rPr>
                              <w:rFonts w:ascii="Arial" w:hAnsi="Arial" w:cs="Arial"/>
                              <w:sz w:val="22"/>
                            </w:rPr>
                            <w:t>). Papildomas biodujų gavybos iš kukurūzų masės potencialas apskaičiuojamas darant prielaidą, kad kukurūzai būtų auginami nenaudojamoje žemėje, siekiant išvengti konkurencijos su maistui skirtomis žemės ūkio kultūromis. Nenaudojamos žemės plotas Joniškio rajono savivaldybėje sudaro 578,7 ha. Tokiame plote tikėtinas kukurūzų derlius – 14 467 t (25 t/ha</w:t>
                          </w:r>
                          <w:r>
                            <w:rPr>
                              <w:rFonts w:ascii="Arial" w:hAnsi="Arial" w:cs="Arial"/>
                              <w:sz w:val="22"/>
                              <w:vertAlign w:val="superscript"/>
                            </w:rPr>
                            <w:footnoteReference w:id="22"/>
                          </w:r>
                          <w:r>
                            <w:rPr>
                              <w:rFonts w:ascii="Arial" w:hAnsi="Arial" w:cs="Arial"/>
                              <w:sz w:val="22"/>
                            </w:rPr>
                            <w:t>), atitinkamai biodujų kiekis – 2 922 334 m</w:t>
                          </w:r>
                          <w:r>
                            <w:rPr>
                              <w:rFonts w:ascii="Arial" w:hAnsi="Arial" w:cs="Arial"/>
                              <w:sz w:val="22"/>
                              <w:vertAlign w:val="superscript"/>
                            </w:rPr>
                            <w:t>3</w:t>
                          </w:r>
                          <w:r>
                            <w:rPr>
                              <w:rFonts w:ascii="Arial" w:hAnsi="Arial" w:cs="Arial"/>
                              <w:sz w:val="22"/>
                            </w:rPr>
                            <w:t xml:space="preserve">. Perskaičiavus į energetinę vertę tai atitinka </w:t>
                          </w:r>
                          <w:r>
                            <w:rPr>
                              <w:rFonts w:ascii="Arial" w:hAnsi="Arial" w:cs="Arial"/>
                              <w:b/>
                              <w:bCs/>
                              <w:sz w:val="22"/>
                            </w:rPr>
                            <w:t>1 402,7 tne</w:t>
                          </w:r>
                          <w:r>
                            <w:rPr>
                              <w:rFonts w:ascii="Arial" w:hAnsi="Arial" w:cs="Arial"/>
                              <w:sz w:val="22"/>
                            </w:rPr>
                            <w:t xml:space="preserve"> ir lemia bendrą techninį biodujų potencialą savivaldybėje – </w:t>
                          </w:r>
                          <w:r>
                            <w:rPr>
                              <w:rFonts w:ascii="Arial" w:hAnsi="Arial" w:cs="Arial"/>
                              <w:b/>
                              <w:bCs/>
                              <w:sz w:val="22"/>
                            </w:rPr>
                            <w:t>1 814,1 tne</w:t>
                          </w:r>
                          <w:r>
                            <w:rPr>
                              <w:rFonts w:ascii="Arial" w:hAnsi="Arial" w:cs="Arial"/>
                              <w:sz w:val="22"/>
                            </w:rPr>
                            <w:t>.</w:t>
                          </w:r>
                        </w:p>
                        <w:p>
                          <w:pPr>
                            <w:rPr>
                              <w:sz w:val="14"/>
                              <w:szCs w:val="14"/>
                            </w:rPr>
                          </w:pPr>
                        </w:p>
                      </w:sdtContent>
                    </w:sdt>
                    <w:sdt>
                      <w:sdtPr>
                        <w:alias w:val="4.4.2 pp."/>
                        <w:tag w:val="part_91b325e33af54d5b86de9194629244f3"/>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91b325e33af54d5b86de9194629244f3"/>
                              <w:lock w:val="sdtLocked"/>
                              <w:richText/>
                            </w:sdtPr>
                            <w:sdtContent>
                              <w:r>
                                <w:rPr>
                                  <w:rFonts w:ascii="Arial" w:hAnsi="Arial" w:cs="Arial"/>
                                  <w:b/>
                                  <w:color w:val="002060"/>
                                  <w:sz w:val="22"/>
                                  <w:szCs w:val="24"/>
                                </w:rPr>
                                <w:t>4.4.2</w:t>
                              </w:r>
                            </w:sdtContent>
                          </w:sdt>
                          <w:r>
                            <w:rPr>
                              <w:rFonts w:ascii="Arial" w:hAnsi="Arial" w:cs="Arial"/>
                              <w:b/>
                              <w:color w:val="002060"/>
                              <w:sz w:val="22"/>
                              <w:szCs w:val="24"/>
                            </w:rPr>
                            <w:t>. Sąvartynų biodujų potencialas</w:t>
                          </w:r>
                        </w:p>
                        <w:p>
                          <w:pPr>
                            <w:rPr>
                              <w:sz w:val="14"/>
                              <w:szCs w:val="14"/>
                            </w:rPr>
                          </w:pPr>
                        </w:p>
                        <w:p>
                          <w:pPr>
                            <w:spacing w:line="259" w:lineRule="auto"/>
                            <w:ind w:firstLine="567"/>
                            <w:jc w:val="both"/>
                            <w:rPr>
                              <w:rFonts w:ascii="Arial" w:hAnsi="Arial" w:cs="Arial"/>
                              <w:sz w:val="22"/>
                              <w:shd w:val="clear" w:color="auto" w:fill="FFFFFF"/>
                              <w:lang w:eastAsia="en-GB"/>
                            </w:rPr>
                          </w:pPr>
                          <w:r>
                            <w:rPr>
                              <w:rFonts w:ascii="Arial" w:hAnsi="Arial" w:cs="Arial"/>
                              <w:sz w:val="22"/>
                            </w:rPr>
                            <w:t xml:space="preserve">Joniškio </w:t>
                          </w:r>
                          <w:r>
                            <w:rPr>
                              <w:rFonts w:ascii="Arial" w:hAnsi="Arial" w:cs="Arial"/>
                              <w:sz w:val="22"/>
                              <w:shd w:val="clear" w:color="auto" w:fill="FFFFFF"/>
                              <w:lang w:eastAsia="en-GB"/>
                            </w:rPr>
                            <w:t>savivaldybėje šiukšlių išvežimu rūpinasi įmonės VšĮ „Šiaulių regiono atliekų tvarkymo centras“ (toliau tekste – Šiaulių regiono ATC). Joniškio rajone yra įrengtos 24 pusiau požeminės aikštelės bei 148 pusiau požeminiai konteineriai. Pagal 2021 m. veiklos ataskaitą, Joniškio rajono savivaldybėje buvo surinkta 1 493,6 t biologiškai skaidžių atliekų, iš kurių galima pagaminti 15 473,3 m</w:t>
                          </w:r>
                          <w:r>
                            <w:rPr>
                              <w:rFonts w:ascii="Arial" w:hAnsi="Arial" w:cs="Arial"/>
                              <w:sz w:val="22"/>
                              <w:shd w:val="clear" w:color="auto" w:fill="FFFFFF"/>
                              <w:vertAlign w:val="superscript"/>
                              <w:lang w:eastAsia="en-GB"/>
                            </w:rPr>
                            <w:t>3</w:t>
                          </w:r>
                          <w:r>
                            <w:rPr>
                              <w:rFonts w:ascii="Arial" w:hAnsi="Arial" w:cs="Arial"/>
                              <w:sz w:val="22"/>
                              <w:shd w:val="clear" w:color="auto" w:fill="FFFFFF"/>
                              <w:lang w:eastAsia="en-GB"/>
                            </w:rPr>
                            <w:t xml:space="preserve"> dujų (60,7 MWh energijos). Todėl vertinama, kad Joniškio rajono savivaldybės techninis biodujų potencialas yra </w:t>
                          </w:r>
                          <w:r>
                            <w:rPr>
                              <w:rFonts w:ascii="Arial" w:hAnsi="Arial" w:cs="Arial"/>
                              <w:b/>
                              <w:bCs/>
                              <w:sz w:val="22"/>
                              <w:shd w:val="clear" w:color="auto" w:fill="FFFFFF"/>
                              <w:lang w:eastAsia="en-GB"/>
                            </w:rPr>
                            <w:t>5,1 tne</w:t>
                          </w:r>
                          <w:r>
                            <w:rPr>
                              <w:rFonts w:ascii="Arial" w:hAnsi="Arial" w:cs="Arial"/>
                              <w:sz w:val="22"/>
                              <w:shd w:val="clear" w:color="auto" w:fill="FFFFFF"/>
                              <w:lang w:eastAsia="en-GB"/>
                            </w:rPr>
                            <w:t>.</w:t>
                          </w:r>
                        </w:p>
                        <w:p>
                          <w:pPr>
                            <w:rPr>
                              <w:sz w:val="14"/>
                              <w:szCs w:val="14"/>
                            </w:rPr>
                          </w:pPr>
                        </w:p>
                      </w:sdtContent>
                    </w:sdt>
                    <w:sdt>
                      <w:sdtPr>
                        <w:alias w:val="4.4.3 pp."/>
                        <w:tag w:val="part_b9329e3cda2d4fa087ed6587a0dfbce9"/>
                        <w:lock w:val="sdtLocked"/>
                        <w:richText/>
                      </w:sdtPr>
                      <w:sdtContent>
                        <w:p>
                          <w:pPr>
                            <w:keepNext/>
                            <w:keepLines/>
                            <w:spacing w:line="259" w:lineRule="auto"/>
                            <w:jc w:val="center"/>
                            <w:outlineLvl w:val="2"/>
                            <w:rPr>
                              <w:rFonts w:ascii="Arial" w:hAnsi="Arial" w:cs="Arial"/>
                              <w:b/>
                              <w:color w:val="002060"/>
                              <w:sz w:val="22"/>
                              <w:szCs w:val="24"/>
                              <w:lang w:eastAsia="en-GB"/>
                            </w:rPr>
                          </w:pPr>
                          <w:sdt>
                            <w:sdtPr>
                              <w:alias w:val="Numeris"/>
                              <w:tag w:val="nr_b9329e3cda2d4fa087ed6587a0dfbce9"/>
                              <w:lock w:val="sdtLocked"/>
                              <w:richText/>
                            </w:sdtPr>
                            <w:sdtContent>
                              <w:r>
                                <w:rPr>
                                  <w:rFonts w:ascii="Arial" w:hAnsi="Arial" w:cs="Arial"/>
                                  <w:b/>
                                  <w:color w:val="002060"/>
                                  <w:sz w:val="22"/>
                                  <w:szCs w:val="24"/>
                                  <w:shd w:val="clear" w:color="auto" w:fill="FFFFFF"/>
                                  <w:lang w:eastAsia="en-GB"/>
                                </w:rPr>
                                <w:t>4.4.3</w:t>
                              </w:r>
                            </w:sdtContent>
                          </w:sdt>
                          <w:r>
                            <w:rPr>
                              <w:rFonts w:ascii="Arial" w:hAnsi="Arial" w:cs="Arial"/>
                              <w:b/>
                              <w:color w:val="002060"/>
                              <w:sz w:val="22"/>
                              <w:szCs w:val="24"/>
                              <w:shd w:val="clear" w:color="auto" w:fill="FFFFFF"/>
                              <w:lang w:eastAsia="en-GB"/>
                            </w:rPr>
                            <w:t>. Biodujų iš nuotekų dumblo potencialas</w:t>
                          </w:r>
                        </w:p>
                        <w:p>
                          <w:pPr>
                            <w:rPr>
                              <w:sz w:val="14"/>
                              <w:szCs w:val="14"/>
                            </w:rPr>
                          </w:pPr>
                        </w:p>
                        <w:p>
                          <w:pPr>
                            <w:spacing w:line="259" w:lineRule="auto"/>
                            <w:ind w:firstLine="567"/>
                            <w:jc w:val="both"/>
                            <w:rPr>
                              <w:rFonts w:ascii="Arial" w:hAnsi="Arial" w:cs="Arial"/>
                              <w:sz w:val="22"/>
                            </w:rPr>
                          </w:pPr>
                          <w:r>
                            <w:rPr>
                              <w:rFonts w:ascii="Arial" w:hAnsi="Arial" w:cs="Arial"/>
                              <w:sz w:val="22"/>
                            </w:rPr>
                            <w:t>Lietuvos miestuose, miesteliuose ir kaimuose per metus yra išleidžiama apie 200 mln. m</w:t>
                          </w:r>
                          <w:r>
                            <w:rPr>
                              <w:rFonts w:ascii="Arial" w:hAnsi="Arial" w:cs="Arial"/>
                              <w:sz w:val="22"/>
                              <w:vertAlign w:val="superscript"/>
                            </w:rPr>
                            <w:t>3</w:t>
                          </w:r>
                          <w:r>
                            <w:rPr>
                              <w:rFonts w:ascii="Arial" w:hAnsi="Arial" w:cs="Arial"/>
                              <w:sz w:val="22"/>
                            </w:rPr>
                            <w:t xml:space="preserve"> buitinių nuotekų. Iš dalies biologinio ir mechaninio valymo įrenginiuose išvaloma apie 47 proc. nuotekų, iš dalies mechaniniu būdu išvaloma tik 15 proc., papildomai šalinant azotą ir fosforą išvaloma dar 38 proc. nuotekų. Apie 1 proc. nuotekų išleidžiama nevalytų</w:t>
                          </w:r>
                          <w:r>
                            <w:rPr>
                              <w:rFonts w:ascii="Arial" w:hAnsi="Arial" w:cs="Arial"/>
                              <w:sz w:val="22"/>
                              <w:vertAlign w:val="superscript"/>
                            </w:rPr>
                            <w:footnoteReference w:id="23"/>
                          </w:r>
                          <w:r>
                            <w:rPr>
                              <w:rFonts w:ascii="Arial" w:hAnsi="Arial" w:cs="Arial"/>
                              <w:sz w:val="22"/>
                            </w:rPr>
                            <w:t>. Daugelio miestų ir miestelių nuotekų valymas jau atitinka ES reikalavimus. Bendras dumblo apdorojimo tikslas yra gauti tokį produktą, kuris būtų utilizuojamas, saugomas bei tvarkomas pačiu ekonomiškiausiu būdu. Dumblo apdorojimo cikle dažnai naudojamas stabilizacijos etapas, leidžiantis pašalinanti nemalonius kvapus bei taip pat susijęs ir su tolimesniu tvarkymu. Kai dumblas stabilizuojamas biologiniais metodais, sumažėja ir dumblo kietosios medžiagos kiekis.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Dumblo charakteristikos bei dumblo kiekis priklauso nuo į nuotekų valyklą atitekančių nuotekų sudėties, nuotekų valyklų technologinės schemos bei naudojamų valymo metodų. </w:t>
                          </w:r>
                          <w:r>
                            <w:rPr>
                              <w:rFonts w:ascii="Arial" w:eastAsia="Calibri" w:hAnsi="Arial" w:cs="Arial"/>
                              <w:sz w:val="22"/>
                              <w:szCs w:val="23"/>
                            </w:rPr>
                            <w:t xml:space="preserve">Joniškio rajono </w:t>
                          </w:r>
                          <w:r>
                            <w:rPr>
                              <w:rFonts w:ascii="Arial" w:hAnsi="Arial" w:cs="Arial"/>
                              <w:sz w:val="22"/>
                            </w:rPr>
                            <w:t>savivaldybėje centralizuotą vandens tiekimą, nuotekų surinkimą ir valymą atlieka UAB „Joniškio vandenys“.</w:t>
                          </w:r>
                        </w:p>
                        <w:p>
                          <w:pPr>
                            <w:rPr>
                              <w:sz w:val="14"/>
                              <w:szCs w:val="14"/>
                            </w:rPr>
                          </w:pPr>
                        </w:p>
                        <w:sdt>
                          <w:sdtPr>
                            <w:alias w:val="4.4.3.1 pp."/>
                            <w:tag w:val="part_b43d95af443846d6a0661c93d8039e17"/>
                            <w:lock w:val="sdtLocked"/>
                            <w:richText/>
                          </w:sdtPr>
                          <w:sdtContent>
                            <w:p>
                              <w:pPr>
                                <w:spacing w:line="259" w:lineRule="auto"/>
                                <w:jc w:val="center"/>
                                <w:rPr>
                                  <w:rFonts w:ascii="Arial" w:eastAsia="Calibri" w:hAnsi="Arial"/>
                                  <w:b/>
                                  <w:color w:val="002060"/>
                                  <w:sz w:val="22"/>
                                  <w:szCs w:val="32"/>
                                </w:rPr>
                              </w:pPr>
                              <w:sdt>
                                <w:sdtPr>
                                  <w:alias w:val="Numeris"/>
                                  <w:tag w:val="nr_b43d95af443846d6a0661c93d8039e17"/>
                                  <w:lock w:val="sdtLocked"/>
                                  <w:richText/>
                                </w:sdtPr>
                                <w:sdtContent>
                                  <w:r>
                                    <w:rPr>
                                      <w:rFonts w:ascii="Arial" w:eastAsia="Calibri" w:hAnsi="Arial"/>
                                      <w:b/>
                                      <w:color w:val="002060"/>
                                      <w:sz w:val="22"/>
                                      <w:szCs w:val="32"/>
                                    </w:rPr>
                                    <w:t>4.4.3.1</w:t>
                                  </w:r>
                                </w:sdtContent>
                              </w:sdt>
                              <w:r>
                                <w:rPr>
                                  <w:rFonts w:ascii="Arial" w:eastAsia="Calibri" w:hAnsi="Arial"/>
                                  <w:b/>
                                  <w:color w:val="002060"/>
                                  <w:sz w:val="22"/>
                                  <w:szCs w:val="32"/>
                                </w:rPr>
                                <w:t xml:space="preserve">. lentelė. </w:t>
                              </w:r>
                              <w:r>
                                <w:rPr>
                                  <w:rFonts w:ascii="Arial" w:eastAsia="Calibri" w:hAnsi="Arial"/>
                                  <w:b/>
                                  <w:color w:val="002060"/>
                                  <w:sz w:val="22"/>
                                  <w:szCs w:val="32"/>
                                  <w:shd w:val="clear" w:color="auto" w:fill="FFFFFF"/>
                                  <w:lang w:eastAsia="en-GB"/>
                                </w:rPr>
                                <w:t>Joniškio rajono</w:t>
                              </w:r>
                              <w:r>
                                <w:rPr>
                                  <w:rFonts w:ascii="Arial" w:eastAsia="Calibri" w:hAnsi="Arial"/>
                                  <w:b/>
                                  <w:color w:val="002060"/>
                                  <w:sz w:val="22"/>
                                  <w:szCs w:val="32"/>
                                </w:rPr>
                                <w:t xml:space="preserve"> savivaldybėje susidariusių nuotekų kiekiai 2019-2021 metais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4106"/>
                                <w:gridCol w:w="1569"/>
                                <w:gridCol w:w="1701"/>
                                <w:gridCol w:w="1701"/>
                              </w:tblGrid>
                              <w:tr>
                                <w:trPr>
                                  <w:jc w:val="center"/>
                                </w:trPr>
                                <w:tc>
                                  <w:tcPr>
                                    <w:tcW w:w="4106" w:type="dxa"/>
                                  </w:tcPr>
                                  <w:p>
                                    <w:pPr>
                                      <w:rPr>
                                        <w:rFonts w:ascii="Arial" w:hAnsi="Arial" w:cs="Arial"/>
                                        <w:sz w:val="20"/>
                                      </w:rPr>
                                    </w:pPr>
                                  </w:p>
                                </w:tc>
                                <w:tc>
                                  <w:tcPr>
                                    <w:tcW w:w="1569" w:type="dxa"/>
                                  </w:tcPr>
                                  <w:p>
                                    <w:pPr>
                                      <w:jc w:val="center"/>
                                      <w:rPr>
                                        <w:rFonts w:ascii="Arial" w:hAnsi="Arial" w:cs="Arial"/>
                                        <w:sz w:val="20"/>
                                      </w:rPr>
                                    </w:pPr>
                                    <w:r>
                                      <w:rPr>
                                        <w:rFonts w:ascii="Arial" w:hAnsi="Arial" w:cs="Arial"/>
                                        <w:sz w:val="20"/>
                                      </w:rPr>
                                      <w:t>2019</w:t>
                                    </w:r>
                                  </w:p>
                                </w:tc>
                                <w:tc>
                                  <w:tcPr>
                                    <w:tcW w:w="1701" w:type="dxa"/>
                                  </w:tcPr>
                                  <w:p>
                                    <w:pPr>
                                      <w:jc w:val="center"/>
                                      <w:rPr>
                                        <w:rFonts w:ascii="Arial" w:hAnsi="Arial" w:cs="Arial"/>
                                        <w:sz w:val="20"/>
                                      </w:rPr>
                                    </w:pPr>
                                    <w:r>
                                      <w:rPr>
                                        <w:rFonts w:ascii="Arial" w:hAnsi="Arial" w:cs="Arial"/>
                                        <w:sz w:val="20"/>
                                      </w:rPr>
                                      <w:t>2020</w:t>
                                    </w:r>
                                  </w:p>
                                </w:tc>
                                <w:tc>
                                  <w:tcPr>
                                    <w:tcW w:w="1701" w:type="dxa"/>
                                  </w:tcPr>
                                  <w:p>
                                    <w:pPr>
                                      <w:jc w:val="center"/>
                                      <w:rPr>
                                        <w:rFonts w:ascii="Arial" w:hAnsi="Arial" w:cs="Arial"/>
                                        <w:sz w:val="20"/>
                                      </w:rPr>
                                    </w:pPr>
                                    <w:r>
                                      <w:rPr>
                                        <w:rFonts w:ascii="Arial" w:hAnsi="Arial" w:cs="Arial"/>
                                        <w:sz w:val="20"/>
                                      </w:rPr>
                                      <w:t>2021</w:t>
                                    </w:r>
                                  </w:p>
                                </w:tc>
                              </w:tr>
                              <w:tr>
                                <w:trPr>
                                  <w:jc w:val="center"/>
                                </w:trPr>
                                <w:tc>
                                  <w:tcPr>
                                    <w:tcW w:w="4106" w:type="dxa"/>
                                  </w:tcPr>
                                  <w:p>
                                    <w:pPr>
                                      <w:rPr>
                                        <w:rFonts w:ascii="Arial" w:hAnsi="Arial" w:cs="Arial"/>
                                        <w:sz w:val="20"/>
                                        <w:vertAlign w:val="superscript"/>
                                      </w:rPr>
                                    </w:pPr>
                                    <w:r>
                                      <w:rPr>
                                        <w:rFonts w:ascii="Arial" w:hAnsi="Arial" w:cs="Arial"/>
                                        <w:sz w:val="20"/>
                                      </w:rPr>
                                      <w:t>Susidariusių nuotekų kiekiai, m</w:t>
                                    </w:r>
                                    <w:r>
                                      <w:rPr>
                                        <w:rFonts w:ascii="Arial" w:hAnsi="Arial" w:cs="Arial"/>
                                        <w:sz w:val="20"/>
                                        <w:vertAlign w:val="superscript"/>
                                      </w:rPr>
                                      <w:t>3</w:t>
                                    </w:r>
                                  </w:p>
                                </w:tc>
                                <w:tc>
                                  <w:tcPr>
                                    <w:tcW w:w="1569" w:type="dxa"/>
                                  </w:tcPr>
                                  <w:p>
                                    <w:pPr>
                                      <w:ind w:firstLine="57"/>
                                      <w:jc w:val="center"/>
                                      <w:rPr>
                                        <w:rFonts w:ascii="Arial" w:hAnsi="Arial" w:cs="Arial"/>
                                        <w:sz w:val="20"/>
                                      </w:rPr>
                                    </w:pPr>
                                    <w:r>
                                      <w:rPr>
                                        <w:rFonts w:ascii="Arial" w:hAnsi="Arial" w:cs="Arial"/>
                                        <w:sz w:val="20"/>
                                      </w:rPr>
                                      <w:t xml:space="preserve">15 710 </w:t>
                                    </w:r>
                                  </w:p>
                                </w:tc>
                                <w:tc>
                                  <w:tcPr>
                                    <w:tcW w:w="1701" w:type="dxa"/>
                                  </w:tcPr>
                                  <w:p>
                                    <w:pPr>
                                      <w:ind w:firstLine="57"/>
                                      <w:jc w:val="center"/>
                                      <w:rPr>
                                        <w:rFonts w:ascii="Arial" w:hAnsi="Arial" w:cs="Arial"/>
                                        <w:sz w:val="20"/>
                                      </w:rPr>
                                    </w:pPr>
                                    <w:r>
                                      <w:rPr>
                                        <w:rFonts w:ascii="Arial" w:hAnsi="Arial" w:cs="Arial"/>
                                        <w:sz w:val="20"/>
                                      </w:rPr>
                                      <w:t xml:space="preserve">30 881 </w:t>
                                    </w:r>
                                  </w:p>
                                </w:tc>
                                <w:tc>
                                  <w:tcPr>
                                    <w:tcW w:w="1701" w:type="dxa"/>
                                  </w:tcPr>
                                  <w:p>
                                    <w:pPr>
                                      <w:ind w:firstLine="57"/>
                                      <w:jc w:val="center"/>
                                      <w:rPr>
                                        <w:rFonts w:ascii="Arial" w:hAnsi="Arial" w:cs="Arial"/>
                                        <w:sz w:val="20"/>
                                      </w:rPr>
                                    </w:pPr>
                                    <w:r>
                                      <w:rPr>
                                        <w:rFonts w:ascii="Arial" w:hAnsi="Arial" w:cs="Arial"/>
                                        <w:sz w:val="20"/>
                                      </w:rPr>
                                      <w:t xml:space="preserve">19 589 </w:t>
                                    </w:r>
                                  </w:p>
                                </w:tc>
                              </w:tr>
                              <w:tr>
                                <w:trPr>
                                  <w:jc w:val="center"/>
                                </w:trPr>
                                <w:tc>
                                  <w:tcPr>
                                    <w:tcW w:w="4106" w:type="dxa"/>
                                  </w:tcPr>
                                  <w:p>
                                    <w:pPr>
                                      <w:rPr>
                                        <w:rFonts w:ascii="Arial" w:hAnsi="Arial" w:cs="Arial"/>
                                        <w:sz w:val="20"/>
                                      </w:rPr>
                                    </w:pPr>
                                    <w:r>
                                      <w:rPr>
                                        <w:rFonts w:ascii="Arial" w:hAnsi="Arial" w:cs="Arial"/>
                                        <w:sz w:val="20"/>
                                      </w:rPr>
                                      <w:t>Susidariusio dumblo kiekiai, t</w:t>
                                    </w:r>
                                  </w:p>
                                </w:tc>
                                <w:tc>
                                  <w:tcPr>
                                    <w:tcW w:w="1569" w:type="dxa"/>
                                  </w:tcPr>
                                  <w:p>
                                    <w:pPr>
                                      <w:ind w:firstLine="57"/>
                                      <w:jc w:val="center"/>
                                      <w:rPr>
                                        <w:rFonts w:ascii="Arial" w:hAnsi="Arial" w:cs="Arial"/>
                                        <w:color w:val="000000"/>
                                        <w:sz w:val="20"/>
                                      </w:rPr>
                                    </w:pPr>
                                    <w:r>
                                      <w:rPr>
                                        <w:rFonts w:ascii="Arial" w:hAnsi="Arial" w:cs="Arial"/>
                                        <w:sz w:val="20"/>
                                      </w:rPr>
                                      <w:t xml:space="preserve">905 </w:t>
                                    </w:r>
                                  </w:p>
                                </w:tc>
                                <w:tc>
                                  <w:tcPr>
                                    <w:tcW w:w="1701" w:type="dxa"/>
                                  </w:tcPr>
                                  <w:p>
                                    <w:pPr>
                                      <w:ind w:firstLine="57"/>
                                      <w:jc w:val="center"/>
                                      <w:rPr>
                                        <w:rFonts w:ascii="Arial" w:hAnsi="Arial" w:cs="Arial"/>
                                        <w:color w:val="000000"/>
                                        <w:sz w:val="20"/>
                                      </w:rPr>
                                    </w:pPr>
                                    <w:r>
                                      <w:rPr>
                                        <w:rFonts w:ascii="Arial" w:hAnsi="Arial" w:cs="Arial"/>
                                        <w:sz w:val="20"/>
                                      </w:rPr>
                                      <w:t xml:space="preserve">1 743 </w:t>
                                    </w:r>
                                  </w:p>
                                </w:tc>
                                <w:tc>
                                  <w:tcPr>
                                    <w:tcW w:w="1701" w:type="dxa"/>
                                  </w:tcPr>
                                  <w:p>
                                    <w:pPr>
                                      <w:ind w:firstLine="57"/>
                                      <w:jc w:val="center"/>
                                      <w:rPr>
                                        <w:rFonts w:ascii="Arial" w:hAnsi="Arial" w:cs="Arial"/>
                                        <w:color w:val="000000"/>
                                        <w:sz w:val="20"/>
                                      </w:rPr>
                                    </w:pPr>
                                    <w:r>
                                      <w:rPr>
                                        <w:rFonts w:ascii="Arial" w:hAnsi="Arial" w:cs="Arial"/>
                                        <w:sz w:val="20"/>
                                      </w:rPr>
                                      <w:t xml:space="preserve">1 133 </w:t>
                                    </w:r>
                                  </w:p>
                                </w:tc>
                              </w:tr>
                            </w:tbl>
                            <w:p>
                              <w:pPr>
                                <w:spacing w:line="259" w:lineRule="auto"/>
                                <w:jc w:val="center"/>
                                <w:rPr>
                                  <w:rFonts w:ascii="Arial" w:hAnsi="Arial" w:cs="Arial"/>
                                  <w:i/>
                                  <w:iCs/>
                                  <w:sz w:val="18"/>
                                  <w:szCs w:val="18"/>
                                </w:rPr>
                              </w:pPr>
                              <w:r>
                                <w:rPr>
                                  <w:rFonts w:ascii="Arial" w:hAnsi="Arial" w:cs="Arial"/>
                                  <w:i/>
                                  <w:iCs/>
                                  <w:sz w:val="18"/>
                                  <w:szCs w:val="18"/>
                                </w:rPr>
                                <w:t>Šaltinis: UAB “</w:t>
                              </w:r>
                              <w:r>
                                <w:rPr>
                                  <w:rFonts w:ascii="Arial" w:hAnsi="Arial" w:cs="Arial"/>
                                  <w:sz w:val="22"/>
                                  <w:szCs w:val="22"/>
                                </w:rPr>
                                <w:t xml:space="preserve"> </w:t>
                              </w:r>
                              <w:r>
                                <w:rPr>
                                  <w:rFonts w:ascii="Arial" w:hAnsi="Arial" w:cs="Arial"/>
                                  <w:i/>
                                  <w:iCs/>
                                  <w:sz w:val="18"/>
                                  <w:szCs w:val="18"/>
                                </w:rPr>
                                <w:t>Joniškio vandenys” duomenys</w:t>
                              </w:r>
                            </w:p>
                            <w:p>
                              <w:pPr>
                                <w:rPr>
                                  <w:sz w:val="14"/>
                                  <w:szCs w:val="14"/>
                                </w:rPr>
                              </w:pPr>
                            </w:p>
                            <w:p>
                              <w:pPr>
                                <w:spacing w:line="259" w:lineRule="auto"/>
                                <w:ind w:firstLine="567"/>
                                <w:jc w:val="both"/>
                                <w:rPr>
                                  <w:rFonts w:ascii="Arial" w:hAnsi="Arial" w:cs="Arial"/>
                                  <w:color w:val="FF0000"/>
                                  <w:sz w:val="22"/>
                                </w:rPr>
                              </w:pPr>
                              <w:r>
                                <w:rPr>
                                  <w:rFonts w:ascii="Arial" w:hAnsi="Arial" w:cs="Arial"/>
                                  <w:sz w:val="22"/>
                                </w:rPr>
                                <w:t xml:space="preserve">Nustatyta, jog vidutiniškai per metus </w:t>
                              </w:r>
                              <w:r>
                                <w:rPr>
                                  <w:rFonts w:ascii="Arial" w:hAnsi="Arial" w:cs="Arial"/>
                                  <w:sz w:val="22"/>
                                  <w:shd w:val="clear" w:color="auto" w:fill="FFFFFF"/>
                                  <w:lang w:eastAsia="en-GB"/>
                                </w:rPr>
                                <w:t>Joniškio rajono</w:t>
                              </w:r>
                              <w:r>
                                <w:rPr>
                                  <w:rFonts w:ascii="Arial" w:hAnsi="Arial" w:cs="Arial"/>
                                  <w:sz w:val="22"/>
                                </w:rPr>
                                <w:t xml:space="preserve"> savivaldybėje susidaro 22 060 m</w:t>
                              </w:r>
                              <w:r>
                                <w:rPr>
                                  <w:rFonts w:ascii="Arial" w:hAnsi="Arial" w:cs="Arial"/>
                                  <w:sz w:val="22"/>
                                  <w:vertAlign w:val="superscript"/>
                                </w:rPr>
                                <w:t>3</w:t>
                              </w:r>
                              <w:r>
                                <w:rPr>
                                  <w:rFonts w:ascii="Arial" w:hAnsi="Arial" w:cs="Arial"/>
                                  <w:sz w:val="22"/>
                                </w:rPr>
                                <w:t xml:space="preserve"> nuotekų. Vidutiniškai per paskutiniuosius metus iš šių nuotekų susidarydavo apie 1 260 t nusausinto dumblo. Remiantis įmonės UAB „Joniškio vandenys“ duomenimis, iš 10 t dumblo galima pagaminti 8 tūkst. m</w:t>
                              </w:r>
                              <w:r>
                                <w:rPr>
                                  <w:rFonts w:ascii="Arial" w:hAnsi="Arial" w:cs="Arial"/>
                                  <w:sz w:val="22"/>
                                  <w:vertAlign w:val="superscript"/>
                                </w:rPr>
                                <w:t>3</w:t>
                              </w:r>
                              <w:r>
                                <w:rPr>
                                  <w:rFonts w:ascii="Arial" w:hAnsi="Arial" w:cs="Arial"/>
                                  <w:sz w:val="22"/>
                                </w:rPr>
                                <w:t xml:space="preserve"> biodujų, todėl Joniškio rajono savivaldybėje iš susidariusio dumblo galima būtų išgauti apie 1 008,3 m</w:t>
                              </w:r>
                              <w:r>
                                <w:rPr>
                                  <w:rFonts w:ascii="Arial" w:hAnsi="Arial" w:cs="Arial"/>
                                  <w:sz w:val="22"/>
                                  <w:vertAlign w:val="superscript"/>
                                </w:rPr>
                                <w:t>3</w:t>
                              </w:r>
                              <w:r>
                                <w:rPr>
                                  <w:rFonts w:ascii="Arial" w:hAnsi="Arial" w:cs="Arial"/>
                                  <w:sz w:val="22"/>
                                </w:rPr>
                                <w:t xml:space="preserve"> biodujų, kas lemia </w:t>
                              </w:r>
                              <w:r>
                                <w:rPr>
                                  <w:rFonts w:ascii="Arial" w:hAnsi="Arial" w:cs="Arial"/>
                                  <w:b/>
                                  <w:bCs/>
                                  <w:sz w:val="22"/>
                                </w:rPr>
                                <w:t>484,0 tne</w:t>
                              </w:r>
                              <w:r>
                                <w:rPr>
                                  <w:rFonts w:ascii="Arial" w:hAnsi="Arial" w:cs="Arial"/>
                                  <w:sz w:val="22"/>
                                </w:rPr>
                                <w:t xml:space="preserve"> biodujų potencialą. </w:t>
                              </w:r>
                            </w:p>
                            <w:p>
                              <w:pPr>
                                <w:rPr>
                                  <w:sz w:val="14"/>
                                  <w:szCs w:val="14"/>
                                </w:rPr>
                              </w:pPr>
                            </w:p>
                          </w:sdtContent>
                        </w:sdt>
                      </w:sdtContent>
                    </w:sdt>
                  </w:sdtContent>
                </w:sdt>
                <w:sdt>
                  <w:sdtPr>
                    <w:alias w:val="4.5 pp."/>
                    <w:tag w:val="part_34ec84c8a49c459187335e422cdf393d"/>
                    <w:lock w:val="sdtLocked"/>
                    <w:richText/>
                  </w:sdtPr>
                  <w:sdtContent>
                    <w:p>
                      <w:pPr>
                        <w:keepNext/>
                        <w:keepLines/>
                        <w:spacing w:line="259" w:lineRule="auto"/>
                        <w:jc w:val="center"/>
                        <w:outlineLvl w:val="1"/>
                        <w:rPr>
                          <w:rFonts w:ascii="Arial" w:hAnsi="Arial" w:cs="Arial"/>
                          <w:b/>
                          <w:color w:val="002060"/>
                          <w:szCs w:val="26"/>
                        </w:rPr>
                      </w:pPr>
                      <w:sdt>
                        <w:sdtPr>
                          <w:alias w:val="Numeris"/>
                          <w:tag w:val="nr_34ec84c8a49c459187335e422cdf393d"/>
                          <w:lock w:val="sdtLocked"/>
                          <w:richText/>
                        </w:sdtPr>
                        <w:sdtContent>
                          <w:r>
                            <w:rPr>
                              <w:rFonts w:ascii="Arial" w:hAnsi="Arial" w:cs="Arial"/>
                              <w:b/>
                              <w:color w:val="002060"/>
                              <w:szCs w:val="26"/>
                            </w:rPr>
                            <w:t>4.5</w:t>
                          </w:r>
                        </w:sdtContent>
                      </w:sdt>
                      <w:r>
                        <w:rPr>
                          <w:rFonts w:ascii="Arial" w:hAnsi="Arial" w:cs="Arial"/>
                          <w:b/>
                          <w:color w:val="002060"/>
                          <w:szCs w:val="26"/>
                        </w:rPr>
                        <w:t>. Komunalinių atliekų potencialas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Energetiniu požiūriu reikšminga tik ta komunalinių atliekų dalis, kuri gali būti panaudota energijai gaminti deginant atskirai ar maišant su biokuru. Remiantis LR Aplinkos apsaugos agentūros duomenimis</w:t>
                      </w:r>
                      <w:r>
                        <w:rPr>
                          <w:rFonts w:ascii="Arial" w:hAnsi="Arial" w:cs="Arial"/>
                          <w:sz w:val="22"/>
                          <w:szCs w:val="22"/>
                          <w:vertAlign w:val="superscript"/>
                        </w:rPr>
                        <w:footnoteReference w:id="24"/>
                      </w:r>
                      <w:r>
                        <w:rPr>
                          <w:rFonts w:ascii="Arial" w:hAnsi="Arial" w:cs="Arial"/>
                          <w:sz w:val="22"/>
                          <w:szCs w:val="22"/>
                        </w:rPr>
                        <w:t xml:space="preserve">, 2020 m. </w:t>
                      </w:r>
                      <w:r>
                        <w:rPr>
                          <w:rFonts w:ascii="Arial" w:hAnsi="Arial" w:cs="Arial"/>
                          <w:sz w:val="22"/>
                        </w:rPr>
                        <w:t xml:space="preserve">Joniškio rajono </w:t>
                      </w:r>
                      <w:r>
                        <w:rPr>
                          <w:rFonts w:ascii="Arial" w:hAnsi="Arial" w:cs="Arial"/>
                          <w:sz w:val="22"/>
                          <w:szCs w:val="22"/>
                        </w:rPr>
                        <w:t xml:space="preserve">savivaldybėje surinkta </w:t>
                      </w:r>
                      <w:r>
                        <w:rPr>
                          <w:rFonts w:ascii="Arial" w:hAnsi="Arial" w:cs="Arial"/>
                          <w:sz w:val="22"/>
                        </w:rPr>
                        <w:t xml:space="preserve">7 368,8 </w:t>
                      </w:r>
                      <w:r>
                        <w:rPr>
                          <w:rFonts w:ascii="Arial" w:hAnsi="Arial" w:cs="Arial"/>
                          <w:sz w:val="22"/>
                          <w:szCs w:val="22"/>
                        </w:rPr>
                        <w:t xml:space="preserve">t komunalinių atliekų, iš jų </w:t>
                      </w:r>
                      <w:r>
                        <w:rPr>
                          <w:rFonts w:ascii="Arial" w:hAnsi="Arial" w:cs="Arial"/>
                          <w:sz w:val="22"/>
                        </w:rPr>
                        <w:t xml:space="preserve">4 640,3 </w:t>
                      </w:r>
                      <w:r>
                        <w:rPr>
                          <w:rFonts w:ascii="Arial" w:hAnsi="Arial" w:cs="Arial"/>
                          <w:sz w:val="22"/>
                          <w:szCs w:val="22"/>
                        </w:rPr>
                        <w:t xml:space="preserve">t (arba </w:t>
                      </w:r>
                      <w:r>
                        <w:rPr>
                          <w:rFonts w:ascii="Arial" w:hAnsi="Arial" w:cs="Arial"/>
                          <w:sz w:val="22"/>
                        </w:rPr>
                        <w:t xml:space="preserve">63,0 </w:t>
                      </w:r>
                      <w:r>
                        <w:rPr>
                          <w:rFonts w:ascii="Arial" w:hAnsi="Arial" w:cs="Arial"/>
                          <w:sz w:val="22"/>
                          <w:szCs w:val="22"/>
                        </w:rPr>
                        <w:t xml:space="preserve">proc.) </w:t>
                      </w:r>
                      <w:r>
                        <w:rPr>
                          <w:rFonts w:ascii="Arial" w:hAnsi="Arial" w:cs="Arial"/>
                          <w:sz w:val="22"/>
                        </w:rPr>
                        <w:t xml:space="preserve">buvo </w:t>
                      </w:r>
                      <w:r>
                        <w:rPr>
                          <w:rFonts w:ascii="Arial" w:hAnsi="Arial" w:cs="Arial"/>
                          <w:sz w:val="22"/>
                          <w:szCs w:val="22"/>
                        </w:rPr>
                        <w:t>perdirbta/panaudota pakartotinai, o 1 323,4 t (arba 18,0 proc.) buvo sudeginta. Šalinamų atliekų buvo 1 405,0 t (arba 19,1 proc.) nuo visų atliekų. Darant prielaidą, kad apie 50 proc. pašalinamų atliekų galima būtų deginti ir perskaičiavus į energijos vienetus (šilumingumas 8 MJ/k</w:t>
                      </w:r>
                      <w:r>
                        <w:rPr>
                          <w:rFonts w:ascii="Arial" w:hAnsi="Arial" w:cs="Arial"/>
                          <w:sz w:val="22"/>
                        </w:rPr>
                        <w:t>g</w:t>
                      </w:r>
                      <w:r>
                        <w:rPr>
                          <w:rFonts w:ascii="Arial" w:hAnsi="Arial" w:cs="Arial"/>
                          <w:sz w:val="22"/>
                          <w:vertAlign w:val="superscript"/>
                        </w:rPr>
                        <w:footnoteReference w:id="25"/>
                      </w:r>
                      <w:r>
                        <w:rPr>
                          <w:rFonts w:ascii="Arial" w:hAnsi="Arial" w:cs="Arial"/>
                          <w:sz w:val="14"/>
                          <w:szCs w:val="14"/>
                        </w:rPr>
                        <w:t xml:space="preserve"> </w:t>
                      </w:r>
                      <w:r>
                        <w:rPr>
                          <w:rFonts w:ascii="Arial" w:hAnsi="Arial" w:cs="Arial"/>
                          <w:sz w:val="22"/>
                          <w:szCs w:val="22"/>
                        </w:rPr>
                        <w:t xml:space="preserve">arba 2,2 MWh/t), gauname, kad komunalinių atliekų techninis potencialas </w:t>
                      </w:r>
                      <w:r>
                        <w:rPr>
                          <w:rFonts w:ascii="Arial" w:hAnsi="Arial" w:cs="Arial"/>
                          <w:sz w:val="22"/>
                        </w:rPr>
                        <w:t xml:space="preserve">Joniškio rajono </w:t>
                      </w:r>
                      <w:r>
                        <w:rPr>
                          <w:rFonts w:ascii="Arial" w:hAnsi="Arial" w:cs="Arial"/>
                          <w:sz w:val="22"/>
                          <w:szCs w:val="22"/>
                        </w:rPr>
                        <w:t xml:space="preserve">savivaldybėje yra apie </w:t>
                      </w:r>
                      <w:r>
                        <w:rPr>
                          <w:rFonts w:ascii="Arial" w:hAnsi="Arial" w:cs="Arial"/>
                          <w:sz w:val="22"/>
                        </w:rPr>
                        <w:t xml:space="preserve">1 573,6 </w:t>
                      </w:r>
                      <w:r>
                        <w:rPr>
                          <w:rFonts w:ascii="Arial" w:hAnsi="Arial" w:cs="Arial"/>
                          <w:sz w:val="22"/>
                          <w:szCs w:val="22"/>
                        </w:rPr>
                        <w:t>MWh (</w:t>
                      </w:r>
                      <w:r>
                        <w:rPr>
                          <w:rFonts w:ascii="Arial" w:hAnsi="Arial" w:cs="Arial"/>
                          <w:b/>
                          <w:bCs/>
                          <w:sz w:val="22"/>
                        </w:rPr>
                        <w:t xml:space="preserve">135,3 </w:t>
                      </w:r>
                      <w:r>
                        <w:rPr>
                          <w:rFonts w:ascii="Arial" w:hAnsi="Arial" w:cs="Arial"/>
                          <w:b/>
                          <w:bCs/>
                          <w:sz w:val="22"/>
                          <w:szCs w:val="22"/>
                        </w:rPr>
                        <w:t>tne</w:t>
                      </w:r>
                      <w:r>
                        <w:rPr>
                          <w:rFonts w:ascii="Arial" w:hAnsi="Arial" w:cs="Arial"/>
                          <w:sz w:val="22"/>
                          <w:szCs w:val="22"/>
                        </w:rPr>
                        <w:t xml:space="preserve">). </w:t>
                      </w:r>
                    </w:p>
                    <w:p>
                      <w:pPr>
                        <w:rPr>
                          <w:sz w:val="14"/>
                          <w:szCs w:val="14"/>
                        </w:rPr>
                      </w:pPr>
                    </w:p>
                  </w:sdtContent>
                </w:sdt>
                <w:sdt>
                  <w:sdtPr>
                    <w:alias w:val="4.6 pp."/>
                    <w:tag w:val="part_474b61cf35d648a0b44fb57803d830b0"/>
                    <w:lock w:val="sdtLocked"/>
                    <w:richText/>
                  </w:sdtPr>
                  <w:sdtContent>
                    <w:p>
                      <w:pPr>
                        <w:keepNext/>
                        <w:keepLines/>
                        <w:spacing w:line="259" w:lineRule="auto"/>
                        <w:jc w:val="center"/>
                        <w:outlineLvl w:val="1"/>
                        <w:rPr>
                          <w:rFonts w:ascii="Arial" w:hAnsi="Arial" w:cs="Arial"/>
                          <w:b/>
                          <w:color w:val="002060"/>
                          <w:szCs w:val="26"/>
                        </w:rPr>
                      </w:pPr>
                      <w:sdt>
                        <w:sdtPr>
                          <w:alias w:val="Numeris"/>
                          <w:tag w:val="nr_474b61cf35d648a0b44fb57803d830b0"/>
                          <w:lock w:val="sdtLocked"/>
                          <w:richText/>
                        </w:sdtPr>
                        <w:sdtContent>
                          <w:r>
                            <w:rPr>
                              <w:rFonts w:ascii="Arial" w:hAnsi="Arial" w:cs="Arial"/>
                              <w:b/>
                              <w:color w:val="002060"/>
                              <w:szCs w:val="26"/>
                            </w:rPr>
                            <w:t>4.6</w:t>
                          </w:r>
                        </w:sdtContent>
                      </w:sdt>
                      <w:r>
                        <w:rPr>
                          <w:rFonts w:ascii="Arial" w:hAnsi="Arial" w:cs="Arial"/>
                          <w:b/>
                          <w:color w:val="002060"/>
                          <w:szCs w:val="26"/>
                        </w:rPr>
                        <w:t>. Vėjo energijos išteklių panaudojimo potencialas</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Remiantis Lietuvos vidutinio metinio vėjo greičio 10 m aukštyje pasiskirstymo žemėlapyje pateiktais duomenimis (žr. 4.6.1. pav.), </w:t>
                      </w:r>
                      <w:r>
                        <w:rPr>
                          <w:rFonts w:ascii="Arial" w:hAnsi="Arial" w:cs="Arial"/>
                          <w:sz w:val="22"/>
                          <w:szCs w:val="22"/>
                        </w:rPr>
                        <w:t>Joniškio rajono</w:t>
                      </w:r>
                      <w:r>
                        <w:rPr>
                          <w:rFonts w:ascii="Arial" w:eastAsia="Calibri" w:hAnsi="Arial" w:cs="Arial"/>
                          <w:sz w:val="22"/>
                          <w:szCs w:val="23"/>
                        </w:rPr>
                        <w:t xml:space="preserve"> savivaldybės teritorijoje vėjingumas yra žemas – vidutinis, metinis vėjo greitis siekia apie 4,0–4,5 m/s, todėl </w:t>
                      </w:r>
                      <w:r>
                        <w:rPr>
                          <w:rFonts w:ascii="Arial" w:hAnsi="Arial" w:cs="Arial"/>
                          <w:sz w:val="22"/>
                          <w:szCs w:val="22"/>
                        </w:rPr>
                        <w:t>Joniškio rajono</w:t>
                      </w:r>
                      <w:r>
                        <w:rPr>
                          <w:rFonts w:ascii="Arial" w:eastAsia="Calibri" w:hAnsi="Arial" w:cs="Arial"/>
                          <w:sz w:val="22"/>
                          <w:szCs w:val="23"/>
                        </w:rPr>
                        <w:t xml:space="preserve"> savivaldybės geografinė padėtis nėra palanki vėjo jėgainių statybai.</w:t>
                      </w:r>
                    </w:p>
                    <w:p>
                      <w:pPr>
                        <w:rPr>
                          <w:sz w:val="14"/>
                          <w:szCs w:val="14"/>
                        </w:rPr>
                      </w:pPr>
                    </w:p>
                    <w:p>
                      <w:pPr>
                        <w:spacing w:line="259" w:lineRule="auto"/>
                        <w:jc w:val="center"/>
                        <w:rPr>
                          <w:rFonts w:ascii="Arial" w:eastAsia="SegoeUI" w:hAnsi="Arial" w:cs="Arial"/>
                          <w:sz w:val="18"/>
                          <w:szCs w:val="18"/>
                        </w:rPr>
                      </w:pPr>
                      <w:r>
                        <w:rPr>
                          <w:rFonts w:ascii="Arial" w:hAnsi="Arial" w:cs="Arial"/>
                          <w:sz w:val="22"/>
                          <w:szCs w:val="22"/>
                          <w:lang w:val="en-US"/>
                        </w:rPr>
                        <w:drawing>
                          <wp:inline distT="0" distB="0" distL="0" distR="0" wp14:anchorId="1CB80569" wp14:editId="5AB4596C">
                            <wp:extent cx="4533900" cy="4184249"/>
                            <wp:effectExtent l="76200" t="38100" r="76200" b="121285"/>
                            <wp:docPr id="46" name="Paveikslėlis 46"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aveikslėlis 46" descr="Paveikslėlis, kuriame yra žemėlapis  Automatiškai sugeneruotas aprašymas"/>
                                    <pic:cNvPicPr/>
                                  </pic:nvPicPr>
                                  <pic:blipFill>
                                    <a:blip r:embed="rId21"/>
                                    <a:stretch>
                                      <a:fillRect/>
                                    </a:stretch>
                                  </pic:blipFill>
                                  <pic:spPr>
                                    <a:xfrm>
                                      <a:off x="0" y="0"/>
                                      <a:ext cx="4557601" cy="4206122"/>
                                    </a:xfrm>
                                    <a:prstGeom prst="rect">
                                      <a:avLst/>
                                    </a:prstGeom>
                                    <a:ln w="3175" cap="sq">
                                      <a:solidFill>
                                        <a:schemeClr val="tx1">
                                          <a:lumMod val="50000"/>
                                          <a:lumOff val="50000"/>
                                        </a:schemeClr>
                                      </a:solidFill>
                                      <a:prstDash val="solid"/>
                                      <a:miter lim="800000"/>
                                    </a:ln>
                                    <a:effectLst>
                                      <a:outerShdw blurRad="50800" dist="38100" dir="5400000" algn="t" rotWithShape="0">
                                        <a:prstClr val="black">
                                          <a:alpha val="40000"/>
                                        </a:prstClr>
                                      </a:outerShdw>
                                    </a:effectLst>
                                  </pic:spPr>
                                </pic:pic>
                              </a:graphicData>
                            </a:graphic>
                          </wp:inline>
                        </w:drawing>
                      </w:r>
                      <w:r>
                        <w:rPr>
                          <w:rFonts w:ascii="Arial" w:eastAsia="SegoeUI" w:hAnsi="Arial" w:cs="Arial"/>
                          <w:sz w:val="18"/>
                          <w:szCs w:val="18"/>
                        </w:rPr>
                        <w:t xml:space="preserve"> </w:t>
                      </w:r>
                    </w:p>
                    <w:p>
                      <w:pPr>
                        <w:rPr>
                          <w:sz w:val="14"/>
                          <w:szCs w:val="14"/>
                        </w:rPr>
                      </w:pPr>
                    </w:p>
                    <w:sdt>
                      <w:sdtPr>
                        <w:alias w:val="4.6.1 pp."/>
                        <w:tag w:val="part_aa48bc1b87924bfdb0243143e2aff13b"/>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aa48bc1b87924bfdb0243143e2aff13b"/>
                              <w:lock w:val="sdtLocked"/>
                              <w:richText/>
                            </w:sdtPr>
                            <w:sdtContent>
                              <w:r>
                                <w:rPr>
                                  <w:rFonts w:ascii="Arial" w:eastAsia="SegoeUI" w:hAnsi="Arial" w:cs="Arial"/>
                                  <w:b/>
                                  <w:color w:val="002060"/>
                                  <w:sz w:val="22"/>
                                  <w:szCs w:val="22"/>
                                </w:rPr>
                                <w:t>4.6.1</w:t>
                              </w:r>
                            </w:sdtContent>
                          </w:sdt>
                          <w:r>
                            <w:rPr>
                              <w:rFonts w:ascii="Arial" w:eastAsia="SegoeUI" w:hAnsi="Arial" w:cs="Arial"/>
                              <w:b/>
                              <w:color w:val="002060"/>
                              <w:sz w:val="22"/>
                              <w:szCs w:val="22"/>
                            </w:rPr>
                            <w:t>. pav</w:t>
                          </w:r>
                          <w:r>
                            <w:rPr>
                              <w:rFonts w:ascii="Arial" w:eastAsia="Calibri" w:hAnsi="Arial" w:cs="Arial"/>
                              <w:b/>
                              <w:color w:val="002060"/>
                              <w:sz w:val="22"/>
                              <w:szCs w:val="22"/>
                            </w:rPr>
                            <w:t>. Vidutinio metinio vėjo greičio pasiskirstymo Lietuvoje žemėlapis</w:t>
                          </w:r>
                        </w:p>
                        <w:p>
                          <w:pPr>
                            <w:rPr>
                              <w:sz w:val="10"/>
                              <w:szCs w:val="10"/>
                            </w:rPr>
                          </w:pPr>
                        </w:p>
                        <w:p>
                          <w:pPr>
                            <w:jc w:val="center"/>
                            <w:rPr>
                              <w:rFonts w:ascii="Arial" w:hAnsi="Arial" w:cs="Arial"/>
                              <w:b/>
                              <w:bCs/>
                              <w:i/>
                              <w:iCs/>
                              <w:sz w:val="18"/>
                              <w:szCs w:val="18"/>
                            </w:rPr>
                          </w:pPr>
                          <w:r>
                            <w:rPr>
                              <w:rFonts w:ascii="Arial" w:hAnsi="Arial" w:cs="Arial"/>
                              <w:i/>
                              <w:iCs/>
                              <w:sz w:val="18"/>
                              <w:szCs w:val="18"/>
                            </w:rPr>
                            <w:t>Šaltinis: Aplinkos apsaugos agentūra</w:t>
                          </w:r>
                        </w:p>
                        <w:p>
                          <w:pPr>
                            <w:rPr>
                              <w:sz w:val="10"/>
                              <w:szCs w:val="10"/>
                            </w:rPr>
                          </w:pPr>
                        </w:p>
                        <w:p>
                          <w:pPr>
                            <w:spacing w:line="259" w:lineRule="auto"/>
                            <w:ind w:firstLine="567"/>
                            <w:jc w:val="both"/>
                            <w:rPr>
                              <w:rFonts w:ascii="Arial" w:hAnsi="Arial" w:cs="Arial"/>
                              <w:sz w:val="22"/>
                            </w:rPr>
                          </w:pPr>
                          <w:r>
                            <w:rPr>
                              <w:rFonts w:ascii="Arial" w:hAnsi="Arial" w:cs="Arial"/>
                              <w:sz w:val="22"/>
                            </w:rPr>
                            <w:t>Vėjo atlase skirtingomis spalvomis atvaizduotas vidutinių metinių greičių pasiskirstymas Lietuvos teritorijoje 50-100 metrų aukštyje prie paviršiaus šiurkštumo klasės 2. Tačiau dėl ribotų vėjo atlaso rengimui skirtų lėšų, meteorologiniai duomenys buvo surinkti iš meteorologinių tarnybų. Dėl riboto aukščio (10 m), pasenusių technologijų bei meteorologinių tarnybų apsaugos zonų reikalavimų nesilaikymo vėjo atlasas nėra tikslus ir menkai atitinka tikrovę, o duomenų paklaida gali siekti dešimtis procentų.</w:t>
                          </w:r>
                        </w:p>
                        <w:p>
                          <w:pPr>
                            <w:rPr>
                              <w:sz w:val="14"/>
                              <w:szCs w:val="14"/>
                            </w:rPr>
                          </w:pPr>
                        </w:p>
                        <w:p>
                          <w:pPr>
                            <w:spacing w:line="259" w:lineRule="auto"/>
                            <w:ind w:firstLine="567"/>
                            <w:jc w:val="both"/>
                            <w:rPr>
                              <w:rFonts w:ascii="Arial" w:hAnsi="Arial" w:cs="Arial"/>
                              <w:sz w:val="22"/>
                            </w:rPr>
                          </w:pPr>
                          <w:r>
                            <w:rPr>
                              <w:rFonts w:ascii="Arial" w:hAnsi="Arial" w:cs="Arial"/>
                              <w:sz w:val="22"/>
                            </w:rPr>
                            <w:t>Labai svarbu nustatyti, koks yra vidutinis metinis vėjo greitis pasirinktoje vietovėje. Tai lemia vėjo elektrinės pagaminamos energijos kiekį ir gaunamas pajamas.</w:t>
                          </w:r>
                        </w:p>
                        <w:p>
                          <w:pPr>
                            <w:rPr>
                              <w:sz w:val="14"/>
                              <w:szCs w:val="14"/>
                            </w:rPr>
                          </w:pPr>
                        </w:p>
                        <w:p>
                          <w:pPr>
                            <w:spacing w:line="259" w:lineRule="auto"/>
                            <w:ind w:firstLine="567"/>
                            <w:jc w:val="both"/>
                            <w:rPr>
                              <w:rFonts w:ascii="Arial" w:hAnsi="Arial" w:cs="Arial"/>
                              <w:sz w:val="22"/>
                            </w:rPr>
                          </w:pPr>
                          <w:r>
                            <w:rPr>
                              <w:rFonts w:ascii="Arial" w:hAnsi="Arial" w:cs="Arial"/>
                              <w:sz w:val="22"/>
                            </w:rPr>
                            <w:t>Vėjo energijos techninis potencialas apskaičiuojamas darant prielaidą, kad laisvuose žemės sklypuose vėjo elektrinės (toliau – VE) išdėstomos 574 m (vėjo jėgainės vėjaračio 7 skersmenų) atstumu viena nuo kitos. Skaičiavimuose naudojamos Lietuvoje šiuo metu populiariausių vėjo elektrinių – Enercon E82 – techniniai duomenys (vėjaračio skersmuo 82 m, instaliuota galia 2 MW).</w:t>
                          </w:r>
                        </w:p>
                        <w:p>
                          <w:pPr>
                            <w:rPr>
                              <w:sz w:val="14"/>
                              <w:szCs w:val="14"/>
                            </w:rPr>
                          </w:pPr>
                        </w:p>
                        <w:p>
                          <w:pPr>
                            <w:spacing w:line="259" w:lineRule="auto"/>
                            <w:ind w:firstLine="567"/>
                            <w:jc w:val="both"/>
                            <w:rPr>
                              <w:rFonts w:ascii="Arial" w:hAnsi="Arial" w:cs="Arial"/>
                              <w:sz w:val="22"/>
                            </w:rPr>
                          </w:pPr>
                          <w:r>
                            <w:rPr>
                              <w:rFonts w:ascii="Arial" w:hAnsi="Arial" w:cs="Arial"/>
                              <w:sz w:val="22"/>
                            </w:rPr>
                            <w:t>Siekiant mažesnių energijos nuostolių dėl VE tarpusavio sąveikos, rekomenduojama jas išdėstyti 7 vėjaračio skersmenų atstumu viena nuo kitos vyraujančių vėjų kryptimi ir 4 vėjaračio skersmenų atstumu statmena kryptimi. Tokiu būdu kiekviena VE užimtų apie 0,2 km</w:t>
                          </w:r>
                          <w:r>
                            <w:rPr>
                              <w:rFonts w:ascii="Arial" w:hAnsi="Arial" w:cs="Arial"/>
                              <w:sz w:val="22"/>
                              <w:vertAlign w:val="superscript"/>
                            </w:rPr>
                            <w:t>2</w:t>
                          </w:r>
                          <w:r>
                            <w:rPr>
                              <w:rFonts w:ascii="Arial" w:hAnsi="Arial" w:cs="Arial"/>
                              <w:sz w:val="22"/>
                            </w:rPr>
                            <w:t xml:space="preserve"> plotą. Vėjo elektrinės gali būti statomos tik atvirose vietovėse ir ten kur leidžia teisinis reguliavimas, todėl ne visa savivaldybės teritorija yra tinkama vėjo energetikos plėtrai.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Planuojant vėjo elektrinių parkus reikia įvertinti Lietuvos Respublikos Lietuvos kariuomenės vado 2016 m. vasario d. įsakymą Nr. V-217 „Dėl Lietuvos Respublikos teritorijos, kurioje gali būti ribojami vėjų elektrinių (aukštų statinių) projektavimo ir statybos darbai, žemėlapio patvirtinimo“, kitus šią sritį reglamentuojančiais teisės aktus. Lietuvos Respublikos Lietuvos kariuomenės vadui pakeitus (sumažinus ar padidinus) žemėlapyje nustatytus apribojimus, šie apribojimai visoje savivaldybės teritorijoje aukštybinių pastatų ir vėjo jėgainių statybai ir rekonstrukcijai taikomi nekeičiant bendrojo plano sprendinių. </w:t>
                          </w:r>
                        </w:p>
                        <w:p>
                          <w:pPr>
                            <w:rPr>
                              <w:sz w:val="14"/>
                              <w:szCs w:val="14"/>
                            </w:rPr>
                          </w:pPr>
                        </w:p>
                        <w:p>
                          <w:pPr>
                            <w:spacing w:line="259" w:lineRule="auto"/>
                            <w:ind w:firstLine="567"/>
                            <w:jc w:val="center"/>
                            <w:rPr>
                              <w:rFonts w:ascii="Arial" w:hAnsi="Arial" w:cs="Arial"/>
                              <w:sz w:val="22"/>
                            </w:rPr>
                          </w:pPr>
                          <w:r>
                            <w:rPr>
                              <w:rFonts w:ascii="Arial" w:hAnsi="Arial" w:cs="Arial"/>
                              <w:sz w:val="22"/>
                              <w:lang w:val="en-US"/>
                            </w:rPr>
                            <w:drawing>
                              <wp:inline distT="0" distB="0" distL="0" distR="0" wp14:anchorId="53D75AA0" wp14:editId="07BC9687">
                                <wp:extent cx="3200962" cy="3000205"/>
                                <wp:effectExtent l="0" t="0" r="0" b="0"/>
                                <wp:docPr id="3" name="Picture 1" descr="Map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  Description automatically generated"/>
                                        <pic:cNvPicPr/>
                                      </pic:nvPicPr>
                                      <pic:blipFill>
                                        <a:blip r:embed="rId22"/>
                                        <a:stretch>
                                          <a:fillRect/>
                                        </a:stretch>
                                      </pic:blipFill>
                                      <pic:spPr>
                                        <a:xfrm>
                                          <a:off x="0" y="0"/>
                                          <a:ext cx="3209257" cy="3007980"/>
                                        </a:xfrm>
                                        <a:prstGeom prst="rect">
                                          <a:avLst/>
                                        </a:prstGeom>
                                      </pic:spPr>
                                    </pic:pic>
                                  </a:graphicData>
                                </a:graphic>
                              </wp:inline>
                            </w:drawing>
                          </w:r>
                        </w:p>
                        <w:p>
                          <w:pPr>
                            <w:rPr>
                              <w:sz w:val="14"/>
                              <w:szCs w:val="14"/>
                            </w:rPr>
                          </w:pPr>
                        </w:p>
                        <w:p>
                          <w:pPr>
                            <w:spacing w:line="259" w:lineRule="auto"/>
                            <w:jc w:val="center"/>
                            <w:rPr>
                              <w:rFonts w:ascii="Arial" w:hAnsi="Arial" w:cs="Arial"/>
                              <w:sz w:val="22"/>
                            </w:rPr>
                          </w:pPr>
                          <w:r>
                            <w:rPr>
                              <w:rFonts w:ascii="Arial" w:hAnsi="Arial" w:cs="Arial"/>
                              <w:sz w:val="22"/>
                              <w:lang w:val="en-US"/>
                            </w:rPr>
                            <w:drawing>
                              <wp:inline distT="0" distB="0" distL="0" distR="0" wp14:anchorId="68E769D2" wp14:editId="56699AE8">
                                <wp:extent cx="5311140" cy="1850702"/>
                                <wp:effectExtent l="0" t="0" r="3810" b="0"/>
                                <wp:docPr id="27" name="Picture 27" descr="Graphical user interface, text, application, email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text, application, email  Description automatically generated"/>
                                        <pic:cNvPicPr/>
                                      </pic:nvPicPr>
                                      <pic:blipFill>
                                        <a:blip r:embed="rId23"/>
                                        <a:stretch>
                                          <a:fillRect/>
                                        </a:stretch>
                                      </pic:blipFill>
                                      <pic:spPr>
                                        <a:xfrm>
                                          <a:off x="0" y="0"/>
                                          <a:ext cx="5319151" cy="1853493"/>
                                        </a:xfrm>
                                        <a:prstGeom prst="rect">
                                          <a:avLst/>
                                        </a:prstGeom>
                                      </pic:spPr>
                                    </pic:pic>
                                  </a:graphicData>
                                </a:graphic>
                              </wp:inline>
                            </w:drawing>
                          </w:r>
                        </w:p>
                        <w:p>
                          <w:pPr>
                            <w:rPr>
                              <w:sz w:val="14"/>
                              <w:szCs w:val="14"/>
                            </w:rPr>
                          </w:pPr>
                        </w:p>
                      </w:sdtContent>
                    </w:sdt>
                    <w:sdt>
                      <w:sdtPr>
                        <w:alias w:val="4.6.2 pp."/>
                        <w:tag w:val="part_d746007abda4462cb07a94b85dae1ec0"/>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d746007abda4462cb07a94b85dae1ec0"/>
                              <w:lock w:val="sdtLocked"/>
                              <w:richText/>
                            </w:sdtPr>
                            <w:sdtContent>
                              <w:r>
                                <w:rPr>
                                  <w:rFonts w:ascii="Arial" w:eastAsia="SegoeUI" w:hAnsi="Arial" w:cs="Arial"/>
                                  <w:b/>
                                  <w:color w:val="002060"/>
                                  <w:sz w:val="22"/>
                                  <w:szCs w:val="22"/>
                                </w:rPr>
                                <w:t>4.6.2</w:t>
                              </w:r>
                            </w:sdtContent>
                          </w:sdt>
                          <w:r>
                            <w:rPr>
                              <w:rFonts w:ascii="Arial" w:eastAsia="SegoeUI" w:hAnsi="Arial" w:cs="Arial"/>
                              <w:b/>
                              <w:color w:val="002060"/>
                              <w:sz w:val="22"/>
                              <w:szCs w:val="22"/>
                            </w:rPr>
                            <w:t>. pav</w:t>
                          </w:r>
                          <w:r>
                            <w:rPr>
                              <w:rFonts w:ascii="Arial" w:eastAsia="Calibri" w:hAnsi="Arial" w:cs="Arial"/>
                              <w:b/>
                              <w:color w:val="002060"/>
                              <w:sz w:val="22"/>
                              <w:szCs w:val="22"/>
                            </w:rPr>
                            <w:t>. Teritorijos, kurioje gali būti ribojami vėjų elektrinių (aukštų statinių) projektavimo ir statybos darbai, žemėlapis</w:t>
                          </w:r>
                        </w:p>
                        <w:p>
                          <w:pPr>
                            <w:rPr>
                              <w:sz w:val="10"/>
                              <w:szCs w:val="10"/>
                            </w:rPr>
                          </w:pPr>
                        </w:p>
                        <w:p>
                          <w:pPr>
                            <w:jc w:val="center"/>
                            <w:rPr>
                              <w:rFonts w:ascii="Arial" w:hAnsi="Arial" w:cs="Arial"/>
                              <w:b/>
                              <w:bCs/>
                              <w:i/>
                              <w:iCs/>
                              <w:sz w:val="18"/>
                              <w:szCs w:val="18"/>
                            </w:rPr>
                          </w:pPr>
                          <w:r>
                            <w:rPr>
                              <w:rFonts w:ascii="Arial" w:hAnsi="Arial" w:cs="Arial"/>
                              <w:i/>
                              <w:iCs/>
                              <w:sz w:val="18"/>
                              <w:szCs w:val="18"/>
                            </w:rPr>
                            <w:t>Šaltinis: LR energetikos ministerija</w:t>
                          </w:r>
                        </w:p>
                        <w:p>
                          <w:pPr>
                            <w:rPr>
                              <w:sz w:val="10"/>
                              <w:szCs w:val="10"/>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Vėjo elektrinės gali būti statomos tik atvirose vietovėse, todėl skaičiavimuose iš savivaldybės ploto atimamos sodų, miškų, kelių, vandenų ir užstatytos teritorijos bei medžių ir krūmų želdinių ir pelkių plotai. Daroma prielaida, kad vėjo elektrinės galėtų būti statomos pažeistose ir nenaudojamose žemėse. Pagal LR žemės fondo 2021 m. sausio 1 d. duomenis tokios VE statybai tinkamos teritorijos </w:t>
                          </w:r>
                          <w:r>
                            <w:rPr>
                              <w:rFonts w:ascii="Arial" w:hAnsi="Arial" w:cs="Arial"/>
                              <w:sz w:val="22"/>
                            </w:rPr>
                            <w:t xml:space="preserve">Joniškio rajono </w:t>
                          </w:r>
                          <w:r>
                            <w:rPr>
                              <w:rFonts w:ascii="Arial" w:eastAsia="Calibri" w:hAnsi="Arial" w:cs="Arial"/>
                              <w:sz w:val="22"/>
                              <w:szCs w:val="23"/>
                            </w:rPr>
                            <w:t>savivaldybėje sudaro apie 927,0 ha. Padalinus šį plotą iš vienos VE užimamo ploto (0,2 km</w:t>
                          </w:r>
                          <w:r>
                            <w:rPr>
                              <w:rFonts w:ascii="Arial" w:eastAsia="Calibri" w:hAnsi="Arial" w:cs="Arial"/>
                              <w:sz w:val="22"/>
                              <w:szCs w:val="23"/>
                              <w:vertAlign w:val="superscript"/>
                            </w:rPr>
                            <w:t>2</w:t>
                          </w:r>
                          <w:r>
                            <w:rPr>
                              <w:rFonts w:ascii="Arial" w:eastAsia="Calibri" w:hAnsi="Arial" w:cs="Arial"/>
                              <w:sz w:val="22"/>
                              <w:szCs w:val="23"/>
                            </w:rPr>
                            <w:t>) gaunama, jog rajone galima būtų pastatyti apie 49 vėjo elektrines, kurių kiekvienos įrengtoji galia – 2 MW. Tuomet bendra įrengtoji visų VE galia sudarytų apie 98 MW.</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Daugumos sausumoje šiuo metu veikiančių vėjo jėgainių galia yra 2 MW, tokios elektrinės kasmet gali pagaminti apie 5 000 MWh elektros energijos. Tiek visiškai pakanka patenkinti apie tūkstantį vidutinių individualių namų ir apie tris tūkstančius vidutinių butų ūkių metinius elektros poreikius. Jeigu </w:t>
                          </w:r>
                          <w:r>
                            <w:rPr>
                              <w:rFonts w:ascii="Arial" w:hAnsi="Arial" w:cs="Arial"/>
                              <w:sz w:val="22"/>
                            </w:rPr>
                            <w:t>Joniškio rajono savivaldybėje</w:t>
                          </w:r>
                          <w:r>
                            <w:rPr>
                              <w:rFonts w:ascii="Arial" w:eastAsia="Calibri" w:hAnsi="Arial" w:cs="Arial"/>
                              <w:sz w:val="22"/>
                              <w:szCs w:val="23"/>
                            </w:rPr>
                            <w:t xml:space="preserve"> būtų pastatytos 49 vėjo elektrinė ir galėtų veikti be apribojimų, jos per metus potencialiai galėtų pagaminti apie </w:t>
                          </w:r>
                          <w:r>
                            <w:rPr>
                              <w:rFonts w:ascii="Arial" w:eastAsia="Calibri" w:hAnsi="Arial" w:cs="Arial"/>
                              <w:b/>
                              <w:bCs/>
                              <w:sz w:val="22"/>
                              <w:szCs w:val="23"/>
                            </w:rPr>
                            <w:t xml:space="preserve">243 945 MWh </w:t>
                          </w:r>
                          <w:r>
                            <w:rPr>
                              <w:rFonts w:ascii="Arial" w:eastAsia="Calibri" w:hAnsi="Arial" w:cs="Arial"/>
                              <w:sz w:val="22"/>
                              <w:szCs w:val="23"/>
                            </w:rPr>
                            <w:t>elektros energijos</w:t>
                          </w:r>
                          <w:r>
                            <w:rPr>
                              <w:rFonts w:ascii="Arial" w:eastAsia="Calibri" w:hAnsi="Arial" w:cs="Arial"/>
                              <w:b/>
                              <w:bCs/>
                              <w:sz w:val="22"/>
                              <w:szCs w:val="23"/>
                            </w:rPr>
                            <w:t xml:space="preserve"> (20 979,3 tne).</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Šiuo metu galiojančiame LR atsinaujinančių išteklių energetikos įstatyme buvo iškeltas uždavinys iki 2020 m. įrengti ir prijungti prie elektros tinklo 500 MW vėjo jėgainių. 2020 m. pabaigoje Lietuvoje buvo veikiančių vėjo elektrinių, kurių galia siekė 540 MW. Jos per 2020 m. pagamino 1544 GWh.</w:t>
                          </w:r>
                        </w:p>
                        <w:p>
                          <w:pPr>
                            <w:rPr>
                              <w:sz w:val="14"/>
                              <w:szCs w:val="14"/>
                            </w:rPr>
                          </w:pPr>
                        </w:p>
                        <w:p>
                          <w:pPr>
                            <w:spacing w:line="259" w:lineRule="auto"/>
                            <w:ind w:firstLine="567"/>
                            <w:jc w:val="both"/>
                            <w:rPr>
                              <w:rFonts w:ascii="Arial" w:eastAsia="SegoeUI" w:hAnsi="Arial" w:cs="Arial"/>
                              <w:sz w:val="22"/>
                              <w:szCs w:val="23"/>
                            </w:rPr>
                          </w:pPr>
                          <w:r>
                            <w:rPr>
                              <w:rFonts w:ascii="Arial" w:eastAsia="SegoeUI" w:hAnsi="Arial" w:cs="Arial"/>
                              <w:sz w:val="22"/>
                              <w:szCs w:val="23"/>
                            </w:rPr>
                            <w:t xml:space="preserve">Jeigu vertinti investicijų atsiperkamumą, tai kuo galingesnė vėjo jėgainė, tuo mažesnė instaliuotos galios vieneto kaina. Pavyzdžiui, 250 kW galios vėjo jėgainės statyba kainuotų apie 363 tūkst. Eurų (1 kW kaina – 1 450 Eurų), 50 kW galios – apie 116 tūkst. Eurų (1 kW kaina – apie 2 320 Eurų). </w:t>
                          </w:r>
                        </w:p>
                        <w:p>
                          <w:pPr>
                            <w:rPr>
                              <w:sz w:val="14"/>
                              <w:szCs w:val="14"/>
                            </w:rPr>
                          </w:pPr>
                        </w:p>
                        <w:p>
                          <w:pPr>
                            <w:spacing w:line="259" w:lineRule="auto"/>
                            <w:ind w:firstLine="567"/>
                            <w:jc w:val="both"/>
                            <w:rPr>
                              <w:rFonts w:ascii="Arial" w:eastAsia="SegoeUI" w:hAnsi="Arial" w:cs="Arial"/>
                              <w:sz w:val="22"/>
                              <w:szCs w:val="23"/>
                            </w:rPr>
                          </w:pPr>
                          <w:r>
                            <w:rPr>
                              <w:rFonts w:ascii="Arial" w:eastAsia="SegoeUI" w:hAnsi="Arial" w:cs="Arial"/>
                              <w:sz w:val="22"/>
                              <w:szCs w:val="23"/>
                            </w:rPr>
                            <w:t xml:space="preserve">Atsižvelgiant į </w:t>
                          </w:r>
                          <w:r>
                            <w:rPr>
                              <w:rFonts w:ascii="Arial" w:hAnsi="Arial" w:cs="Arial"/>
                              <w:sz w:val="22"/>
                            </w:rPr>
                            <w:t>Joniškio rajono savivaldybės</w:t>
                          </w:r>
                          <w:r>
                            <w:rPr>
                              <w:rFonts w:ascii="Arial" w:eastAsia="SegoeUI" w:hAnsi="Arial" w:cs="Arial"/>
                              <w:sz w:val="22"/>
                              <w:szCs w:val="23"/>
                            </w:rPr>
                            <w:t xml:space="preserve"> geografinę padėtį (mažas vėjo greitis) bei į nedidelius laisvus žemės plotus, panaudoti vėjo energijos potencialą </w:t>
                          </w:r>
                          <w:r>
                            <w:rPr>
                              <w:rFonts w:ascii="Arial" w:hAnsi="Arial" w:cs="Arial"/>
                              <w:sz w:val="22"/>
                            </w:rPr>
                            <w:t>Joniškio rajono savivaldybėje</w:t>
                          </w:r>
                          <w:r>
                            <w:rPr>
                              <w:rFonts w:ascii="Arial" w:eastAsia="SegoeUI" w:hAnsi="Arial" w:cs="Arial"/>
                              <w:sz w:val="22"/>
                              <w:szCs w:val="23"/>
                            </w:rPr>
                            <w:t xml:space="preserve"> nėra ekonomiškai veiksminga.</w:t>
                          </w:r>
                        </w:p>
                        <w:p>
                          <w:pPr>
                            <w:rPr>
                              <w:sz w:val="14"/>
                              <w:szCs w:val="14"/>
                            </w:rPr>
                          </w:pPr>
                        </w:p>
                      </w:sdtContent>
                    </w:sdt>
                  </w:sdtContent>
                </w:sdt>
                <w:sdt>
                  <w:sdtPr>
                    <w:alias w:val="4.7 pp."/>
                    <w:tag w:val="part_7b74469d9a394106b0e05fa673cdd953"/>
                    <w:lock w:val="sdtLocked"/>
                    <w:richText/>
                  </w:sdtPr>
                  <w:sdtContent>
                    <w:p>
                      <w:pPr>
                        <w:keepNext/>
                        <w:keepLines/>
                        <w:spacing w:line="259" w:lineRule="auto"/>
                        <w:jc w:val="center"/>
                        <w:outlineLvl w:val="1"/>
                        <w:rPr>
                          <w:rFonts w:ascii="Arial" w:hAnsi="Arial" w:cs="Arial"/>
                          <w:b/>
                          <w:color w:val="002060"/>
                          <w:szCs w:val="26"/>
                        </w:rPr>
                      </w:pPr>
                      <w:sdt>
                        <w:sdtPr>
                          <w:alias w:val="Numeris"/>
                          <w:tag w:val="nr_7b74469d9a394106b0e05fa673cdd953"/>
                          <w:lock w:val="sdtLocked"/>
                          <w:richText/>
                        </w:sdtPr>
                        <w:sdtContent>
                          <w:r>
                            <w:rPr>
                              <w:rFonts w:ascii="Arial" w:eastAsia="SegoeUI" w:hAnsi="Arial" w:cs="Arial"/>
                              <w:b/>
                              <w:color w:val="002060"/>
                              <w:szCs w:val="26"/>
                            </w:rPr>
                            <w:t>4.7</w:t>
                          </w:r>
                        </w:sdtContent>
                      </w:sdt>
                      <w:r>
                        <w:rPr>
                          <w:rFonts w:ascii="Arial" w:eastAsia="SegoeUI" w:hAnsi="Arial" w:cs="Arial"/>
                          <w:b/>
                          <w:color w:val="002060"/>
                          <w:szCs w:val="26"/>
                        </w:rPr>
                        <w:t xml:space="preserve">. </w:t>
                      </w:r>
                      <w:r>
                        <w:rPr>
                          <w:rFonts w:ascii="Arial" w:hAnsi="Arial" w:cs="Arial"/>
                          <w:b/>
                          <w:color w:val="002060"/>
                          <w:szCs w:val="26"/>
                        </w:rPr>
                        <w:t>Saulės energijos išteklių panaudojimo potencialas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Saulės energija panaudojama įrengiant saulės šviesos elektrines arba saulės kolektorius, todėl elektros ir šilumos energijos gamybos iš saulės energijos potencialas skaičiuojamas atskirai. Skirtinguose Lietuvos regionuose skiriasi vidutinė metinė saulės spinduliavimo trukmė (žr. 4.7.1. pav.). </w:t>
                      </w:r>
                    </w:p>
                    <w:p>
                      <w:pPr>
                        <w:rPr>
                          <w:sz w:val="14"/>
                          <w:szCs w:val="14"/>
                        </w:rPr>
                      </w:pPr>
                    </w:p>
                    <w:p>
                      <w:pPr>
                        <w:spacing w:line="259" w:lineRule="auto"/>
                        <w:jc w:val="center"/>
                        <w:rPr>
                          <w:rFonts w:ascii="Arial" w:eastAsia="SegoeUI" w:hAnsi="Arial" w:cs="Arial"/>
                          <w:sz w:val="22"/>
                          <w:szCs w:val="22"/>
                        </w:rPr>
                      </w:pPr>
                      <w:r>
                        <w:rPr>
                          <w:rFonts w:ascii="Arial" w:hAnsi="Arial" w:cs="Arial"/>
                          <w:sz w:val="22"/>
                          <w:szCs w:val="22"/>
                          <w:lang w:val="en-US"/>
                        </w:rPr>
                        <w:drawing>
                          <wp:inline distT="0" distB="0" distL="0" distR="0" wp14:anchorId="1CFB0E3D" wp14:editId="26535C66">
                            <wp:extent cx="4301490" cy="3274832"/>
                            <wp:effectExtent l="76200" t="38100" r="80010" b="116205"/>
                            <wp:docPr id="22" name="Paveikslėlis 22"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aveikslėlis 22" descr="Paveikslėlis, kuriame yra žemėlapis  Automatiškai sugeneruotas aprašymas"/>
                                    <pic:cNvPicPr/>
                                  </pic:nvPicPr>
                                  <pic:blipFill rotWithShape="1">
                                    <a:blip r:embed="rId24"/>
                                    <a:srcRect l="2302" t="1423" r="969"/>
                                    <a:stretch/>
                                  </pic:blipFill>
                                  <pic:spPr bwMode="auto">
                                    <a:xfrm>
                                      <a:off x="0" y="0"/>
                                      <a:ext cx="4301490" cy="3274832"/>
                                    </a:xfrm>
                                    <a:prstGeom prst="rect">
                                      <a:avLst/>
                                    </a:prstGeom>
                                    <a:ln w="3175" cap="sq">
                                      <a:solidFill>
                                        <a:schemeClr val="tx1">
                                          <a:lumMod val="50000"/>
                                          <a:lumOff val="50000"/>
                                        </a:schemeClr>
                                      </a:solidFill>
                                      <a:prstDash val="solid"/>
                                      <a:miter lim="800000"/>
                                    </a:ln>
                                    <a:effectLst>
                                      <a:outerShdw blurRad="50800" dist="38100" dir="5400000" algn="t" rotWithShape="0">
                                        <a:prstClr val="black">
                                          <a:alpha val="40000"/>
                                        </a:prstClr>
                                      </a:outerShdw>
                                    </a:effectLst>
                                    <a:extLst>
                                      <a:ext uri="{53640926-AAD7-44D8-BBD7-CCE9431645EC}">
                                        <a14:shadowObscured xmlns:a14="http://schemas.microsoft.com/office/drawing/2010/main"/>
                                      </a:ext>
                                    </a:extLst>
                                  </pic:spPr>
                                </pic:pic>
                              </a:graphicData>
                            </a:graphic>
                          </wp:inline>
                        </w:drawing>
                      </w:r>
                    </w:p>
                    <w:p>
                      <w:pPr>
                        <w:rPr>
                          <w:sz w:val="14"/>
                          <w:szCs w:val="14"/>
                        </w:rPr>
                      </w:pPr>
                    </w:p>
                    <w:sdt>
                      <w:sdtPr>
                        <w:alias w:val="4.7.1 pp."/>
                        <w:tag w:val="part_152fe47af60a4f36869a5a236c083e12"/>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152fe47af60a4f36869a5a236c083e12"/>
                              <w:lock w:val="sdtLocked"/>
                              <w:richText/>
                            </w:sdtPr>
                            <w:sdtContent>
                              <w:r>
                                <w:rPr>
                                  <w:rFonts w:ascii="Arial" w:eastAsia="Calibri" w:hAnsi="Arial" w:cs="Arial"/>
                                  <w:b/>
                                  <w:color w:val="002060"/>
                                  <w:sz w:val="22"/>
                                  <w:szCs w:val="22"/>
                                </w:rPr>
                                <w:t>4.7.1</w:t>
                              </w:r>
                            </w:sdtContent>
                          </w:sdt>
                          <w:r>
                            <w:rPr>
                              <w:rFonts w:ascii="Arial" w:eastAsia="Calibri" w:hAnsi="Arial" w:cs="Arial"/>
                              <w:b/>
                              <w:color w:val="002060"/>
                              <w:sz w:val="22"/>
                              <w:szCs w:val="22"/>
                            </w:rPr>
                            <w:t>. pav. Vidutinė metinė saulės spinduliavimo trukmė skirtinguose Lietuvos regionuose</w:t>
                          </w:r>
                        </w:p>
                        <w:p>
                          <w:pPr>
                            <w:rPr>
                              <w:sz w:val="10"/>
                              <w:szCs w:val="10"/>
                            </w:rPr>
                          </w:pPr>
                        </w:p>
                        <w:p>
                          <w:pPr>
                            <w:jc w:val="center"/>
                            <w:rPr>
                              <w:rFonts w:ascii="Arial" w:hAnsi="Arial" w:cs="Arial"/>
                              <w:b/>
                              <w:bCs/>
                              <w:i/>
                              <w:iCs/>
                              <w:sz w:val="18"/>
                              <w:szCs w:val="18"/>
                            </w:rPr>
                          </w:pPr>
                          <w:r>
                            <w:rPr>
                              <w:rFonts w:ascii="Arial" w:hAnsi="Arial" w:cs="Arial"/>
                              <w:i/>
                              <w:iCs/>
                              <w:sz w:val="18"/>
                              <w:szCs w:val="18"/>
                            </w:rPr>
                            <w:t>Šaltinis: Lietuvos hidrometeorologijos tarnyba</w:t>
                          </w:r>
                        </w:p>
                        <w:p>
                          <w:pPr>
                            <w:rPr>
                              <w:sz w:val="10"/>
                              <w:szCs w:val="10"/>
                            </w:rPr>
                          </w:pPr>
                        </w:p>
                        <w:p>
                          <w:pPr>
                            <w:spacing w:line="259" w:lineRule="auto"/>
                            <w:ind w:firstLine="567"/>
                            <w:jc w:val="both"/>
                            <w:rPr>
                              <w:rFonts w:ascii="Arial" w:hAnsi="Arial" w:cs="Arial"/>
                              <w:sz w:val="22"/>
                            </w:rPr>
                          </w:pPr>
                          <w:r>
                            <w:rPr>
                              <w:rFonts w:ascii="Arial" w:hAnsi="Arial" w:cs="Arial"/>
                              <w:sz w:val="22"/>
                            </w:rPr>
                            <w:t xml:space="preserve">Ilgiausiai saulės spinduliuoja į Vakarinę Lietuvos sritį. Nuo Vidurio Lietuvos į vakarų pusę, visa Lietuvos teritorija gauna vis didesnę saulės spinduliuotės porciją, t. y. šioje srityje saulės spindėjimo trukmė yra nuo 1 850 iki 1 950 val. per metus. Mažiausias saulės potencialas yra Rytų Lietuvoje, čia vidutinė metinė saulės spindėjimo trukmė siekia iki 1 700 val. Joniškio rajono savivaldybė patenka į 1 800 – 1 850 val. saulės spindėjimo zoną.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Saulės šviesos elektrinių techninis potencialas įvertinamas apskaičiuojant laisvą žemės ar stogų, tinkamų saulės šviesos elektrinėms įrengti, plotą, tame plote telpančių fotomodulių bendrą galią ir fotomodulių galios išnaudojimo koeficientą </w:t>
                          </w:r>
                          <w:r>
                            <w:rPr>
                              <w:rFonts w:ascii="Arial" w:hAnsi="Arial" w:cs="Arial"/>
                              <w:i/>
                              <w:iCs/>
                              <w:sz w:val="22"/>
                            </w:rPr>
                            <w:t>(angl. Capacity factor).</w:t>
                          </w:r>
                          <w:r>
                            <w:rPr>
                              <w:rFonts w:ascii="Arial" w:hAnsi="Arial" w:cs="Arial"/>
                              <w:sz w:val="22"/>
                            </w:rPr>
                            <w:t xml:space="preserve"> Tokiu būdu skaičiuojant potencialą įvertinamas optimalus fotomodulių išdėstymas vengiant tarpusavio šešėliavimo bei realūs saulės elektrinėse patiriami energijos nuostoliai.</w:t>
                          </w:r>
                        </w:p>
                        <w:p>
                          <w:pPr>
                            <w:rPr>
                              <w:sz w:val="14"/>
                              <w:szCs w:val="14"/>
                            </w:rPr>
                          </w:pPr>
                        </w:p>
                        <w:p>
                          <w:pPr>
                            <w:spacing w:line="259" w:lineRule="auto"/>
                            <w:ind w:firstLine="567"/>
                            <w:jc w:val="both"/>
                            <w:rPr>
                              <w:rFonts w:ascii="Arial" w:hAnsi="Arial" w:cs="Arial"/>
                              <w:sz w:val="22"/>
                            </w:rPr>
                          </w:pPr>
                          <w:r>
                            <w:rPr>
                              <w:rFonts w:ascii="Arial" w:hAnsi="Arial" w:cs="Arial"/>
                              <w:sz w:val="22"/>
                            </w:rPr>
                            <w:t>Saulės kolektoriais pagaminamos šilumos potencialas apskaičiuojamas vidutinį saulės spinduliuotės intensyvumą dauginant iš kolektorių ploto ir energijos konversijos efektyvumo rodiklio (saulės kolektoriams jis lygus 0,4550). Saulės spinduliuotės intensyvumas į optimaliu kampu (35º) pakreiptą plokštumą Lietuvoje apytiksliai lygus 1 047 kWh/m</w:t>
                          </w:r>
                          <w:r>
                            <w:rPr>
                              <w:rFonts w:ascii="Arial" w:hAnsi="Arial" w:cs="Arial"/>
                              <w:sz w:val="22"/>
                              <w:vertAlign w:val="superscript"/>
                            </w:rPr>
                            <w:t>2</w:t>
                          </w:r>
                          <w:r>
                            <w:rPr>
                              <w:rFonts w:ascii="Arial" w:hAnsi="Arial" w:cs="Arial"/>
                              <w:sz w:val="22"/>
                            </w:rPr>
                            <w:t xml:space="preserve"> per metus.</w:t>
                          </w:r>
                        </w:p>
                        <w:p>
                          <w:pPr>
                            <w:rPr>
                              <w:sz w:val="14"/>
                              <w:szCs w:val="14"/>
                            </w:rPr>
                          </w:pPr>
                        </w:p>
                        <w:p>
                          <w:pPr>
                            <w:spacing w:line="259" w:lineRule="auto"/>
                            <w:ind w:firstLine="567"/>
                            <w:jc w:val="both"/>
                            <w:rPr>
                              <w:rFonts w:ascii="Arial" w:hAnsi="Arial" w:cs="Arial"/>
                              <w:sz w:val="22"/>
                            </w:rPr>
                          </w:pPr>
                          <w:r>
                            <w:rPr>
                              <w:rFonts w:ascii="Arial" w:hAnsi="Arial" w:cs="Arial"/>
                              <w:sz w:val="22"/>
                            </w:rPr>
                            <w:t>Maksimalus stogų, tinkamų saulės šviesos elektrinėms įrengti, plotas apskaičiuojamas pagal Nekilnojamojo turto registro duomenis. Informacija apie pastatų stogų plotus nekaupiama, todėl laikoma, kad stogo plotas apytiksliai lygus pastato užimamam žemės plotui.</w:t>
                          </w:r>
                        </w:p>
                        <w:p>
                          <w:pPr>
                            <w:rPr>
                              <w:sz w:val="14"/>
                              <w:szCs w:val="14"/>
                            </w:rPr>
                          </w:pPr>
                        </w:p>
                      </w:sdtContent>
                    </w:sdt>
                    <w:sdt>
                      <w:sdtPr>
                        <w:alias w:val="4.7.1 pp."/>
                        <w:tag w:val="part_66302420376546c19640e0c16b8edefd"/>
                        <w:lock w:val="sdtLocked"/>
                        <w:richText/>
                      </w:sdtPr>
                      <w:sdtContent>
                        <w:p>
                          <w:pPr>
                            <w:spacing w:line="259" w:lineRule="auto"/>
                            <w:jc w:val="center"/>
                            <w:rPr>
                              <w:rFonts w:ascii="Arial" w:eastAsia="Calibri" w:hAnsi="Arial"/>
                              <w:b/>
                              <w:color w:val="002060"/>
                              <w:sz w:val="22"/>
                              <w:szCs w:val="32"/>
                            </w:rPr>
                          </w:pPr>
                          <w:sdt>
                            <w:sdtPr>
                              <w:alias w:val="Numeris"/>
                              <w:tag w:val="nr_66302420376546c19640e0c16b8edefd"/>
                              <w:lock w:val="sdtLocked"/>
                              <w:richText/>
                            </w:sdtPr>
                            <w:sdtContent>
                              <w:r>
                                <w:rPr>
                                  <w:rFonts w:ascii="Arial" w:eastAsia="Calibri" w:hAnsi="Arial"/>
                                  <w:b/>
                                  <w:color w:val="002060"/>
                                  <w:sz w:val="22"/>
                                  <w:szCs w:val="32"/>
                                </w:rPr>
                                <w:t>4.7.1</w:t>
                              </w:r>
                            </w:sdtContent>
                          </w:sdt>
                          <w:r>
                            <w:rPr>
                              <w:rFonts w:ascii="Arial" w:eastAsia="Calibri" w:hAnsi="Arial"/>
                              <w:b/>
                              <w:color w:val="002060"/>
                              <w:sz w:val="22"/>
                              <w:szCs w:val="32"/>
                            </w:rPr>
                            <w:t>. lentelė. Pastatų (be pagalbinio ūkio paskirties) užimami žemės plotai Joniškio rajono savivaldybėje</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4309"/>
                            <w:gridCol w:w="1429"/>
                            <w:gridCol w:w="1152"/>
                            <w:gridCol w:w="1586"/>
                            <w:gridCol w:w="1719"/>
                          </w:tblGrid>
                          <w:tr>
                            <w:tc>
                              <w:tcPr>
                                <w:tcW w:w="2113"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Pastatų paskirtis</w:t>
                                </w:r>
                              </w:p>
                            </w:tc>
                            <w:tc>
                              <w:tcPr>
                                <w:tcW w:w="701"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highlight w:val="yellow"/>
                                  </w:rPr>
                                </w:pPr>
                                <w:r>
                                  <w:rPr>
                                    <w:rFonts w:ascii="Arial" w:hAnsi="Arial" w:cs="Arial"/>
                                    <w:sz w:val="20"/>
                                  </w:rPr>
                                  <w:t>Pastatais užimtas žemės plotas m</w:t>
                                </w:r>
                                <w:r>
                                  <w:rPr>
                                    <w:rFonts w:ascii="Arial" w:hAnsi="Arial" w:cs="Arial"/>
                                    <w:sz w:val="20"/>
                                    <w:vertAlign w:val="superscript"/>
                                  </w:rPr>
                                  <w:t>2</w:t>
                                </w:r>
                              </w:p>
                            </w:tc>
                            <w:tc>
                              <w:tcPr>
                                <w:tcW w:w="565"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Pastatų skaičius</w:t>
                                </w:r>
                              </w:p>
                            </w:tc>
                            <w:tc>
                              <w:tcPr>
                                <w:tcW w:w="778"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Pastatų, kurių savininkas savivaldybė, skaičius</w:t>
                                </w:r>
                              </w:p>
                            </w:tc>
                            <w:tc>
                              <w:tcPr>
                                <w:tcW w:w="843"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vertAlign w:val="superscript"/>
                                  </w:rPr>
                                </w:pPr>
                                <w:r>
                                  <w:rPr>
                                    <w:rFonts w:ascii="Arial" w:hAnsi="Arial" w:cs="Arial"/>
                                    <w:sz w:val="20"/>
                                  </w:rPr>
                                  <w:t>Savivaldybės nuosavybė, žemės plotas, m</w:t>
                                </w:r>
                                <w:r>
                                  <w:rPr>
                                    <w:rFonts w:ascii="Arial" w:hAnsi="Arial" w:cs="Arial"/>
                                    <w:sz w:val="20"/>
                                    <w:vertAlign w:val="superscript"/>
                                  </w:rPr>
                                  <w:t>2</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1-2 butų gyvenamieji namai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735 476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7 309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37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3 863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Daugiabučiai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105 797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375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8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4 889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Namai įvairioms soc. grupėms</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11 225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21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4 075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Administracinės paskirties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43 024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121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21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13 264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Viešbučių, prekybos, paslaugų, maitinimo ir poilsio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51 665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167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10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3 258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Gamybos, pramonės ir sandėliavimo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491 199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1 686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30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2 507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Kultūros, mokslo, sporto paskirties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68 908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97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66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66 369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Gydymo paskirties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13 514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24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11 302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Žemės ūkio paskirties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367 246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332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12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rPr>
                                    <w:rFonts w:ascii="Arial" w:hAnsi="Arial" w:cs="Arial"/>
                                    <w:sz w:val="20"/>
                                  </w:rPr>
                                </w:pPr>
                                <w:r>
                                  <w:rPr>
                                    <w:rFonts w:ascii="Arial" w:hAnsi="Arial" w:cs="Arial"/>
                                    <w:sz w:val="20"/>
                                  </w:rPr>
                                  <w:t>Specialios, religinės ir kitos paskirties pastatai</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28 035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205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16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2 374 </w:t>
                                </w:r>
                              </w:p>
                            </w:tc>
                          </w:tr>
                          <w:tr>
                            <w:trPr>
                              <w:trHeight w:val="20"/>
                            </w:trPr>
                            <w:tc>
                              <w:tcPr>
                                <w:tcW w:w="2113" w:type="pct"/>
                              </w:tcPr>
                              <w:p>
                                <w:pPr>
                                  <w:pBdr>
                                    <w:top w:val="none" w:sz="4" w:space="0" w:color="auto"/>
                                    <w:left w:val="none" w:sz="4" w:space="0" w:color="auto"/>
                                    <w:bottom w:val="none" w:sz="4" w:space="0" w:color="auto"/>
                                    <w:right w:val="none" w:sz="4" w:space="0" w:color="auto"/>
                                    <w:between w:val="none" w:sz="4" w:space="0" w:color="auto"/>
                                  </w:pBdr>
                                  <w:jc w:val="right"/>
                                  <w:rPr>
                                    <w:rFonts w:ascii="Arial" w:hAnsi="Arial" w:cs="Arial"/>
                                    <w:b/>
                                    <w:bCs/>
                                    <w:sz w:val="20"/>
                                  </w:rPr>
                                </w:pPr>
                                <w:r>
                                  <w:rPr>
                                    <w:rFonts w:ascii="Arial" w:hAnsi="Arial" w:cs="Arial"/>
                                    <w:b/>
                                    <w:bCs/>
                                    <w:sz w:val="20"/>
                                  </w:rPr>
                                  <w:t>Iš viso</w:t>
                                </w:r>
                              </w:p>
                            </w:tc>
                            <w:tc>
                              <w:tcPr>
                                <w:tcW w:w="701"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1 916 089 </w:t>
                                </w:r>
                              </w:p>
                            </w:tc>
                            <w:tc>
                              <w:tcPr>
                                <w:tcW w:w="56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10 337 </w:t>
                                </w:r>
                              </w:p>
                            </w:tc>
                            <w:tc>
                              <w:tcPr>
                                <w:tcW w:w="778"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202 </w:t>
                                </w:r>
                              </w:p>
                            </w:tc>
                            <w:tc>
                              <w:tcPr>
                                <w:tcW w:w="843"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111 913 </w:t>
                                </w:r>
                              </w:p>
                            </w:tc>
                          </w:tr>
                        </w:tbl>
                        <w:p>
                          <w:pPr>
                            <w:spacing w:line="259" w:lineRule="auto"/>
                            <w:ind w:firstLine="53"/>
                            <w:jc w:val="center"/>
                            <w:rPr>
                              <w:rFonts w:ascii="Arial" w:eastAsia="SegoeUI" w:hAnsi="Arial" w:cs="Arial"/>
                              <w:i/>
                              <w:iCs/>
                              <w:sz w:val="18"/>
                              <w:szCs w:val="18"/>
                            </w:rPr>
                          </w:pPr>
                          <w:r>
                            <w:rPr>
                              <w:rFonts w:ascii="Arial" w:eastAsia="SegoeUI" w:hAnsi="Arial" w:cs="Arial"/>
                              <w:i/>
                              <w:iCs/>
                              <w:sz w:val="18"/>
                              <w:szCs w:val="18"/>
                            </w:rPr>
                            <w:t>Šaltinis: Nacionalinė žemės tarnyba, 2018-01-01 duomenys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Kadangi duomenys apie stogų formą nekaupiami, daroma prielaida, kad visi stogai yra plokšti, išskyrus 1-2 butų namų, kurie dažniausiai yra šlaitiniai. Daroma prielaida, jog 1-2 butų namų stogų šlaito kampas optimalus (35°), o saulės kolektoriams montuoti bus panaudotas vienas iš šlaitų (labiausiai orientuotas į Pietų pusę). </w:t>
                          </w:r>
                        </w:p>
                        <w:p>
                          <w:pPr>
                            <w:rPr>
                              <w:sz w:val="14"/>
                              <w:szCs w:val="14"/>
                            </w:rPr>
                          </w:pPr>
                        </w:p>
                        <w:p>
                          <w:pPr>
                            <w:spacing w:line="259" w:lineRule="auto"/>
                            <w:ind w:firstLine="567"/>
                            <w:jc w:val="both"/>
                            <w:rPr>
                              <w:rFonts w:ascii="Arial" w:hAnsi="Arial" w:cs="Arial"/>
                              <w:sz w:val="22"/>
                            </w:rPr>
                          </w:pPr>
                          <w:r>
                            <w:rPr>
                              <w:rFonts w:ascii="Arial" w:hAnsi="Arial" w:cs="Arial"/>
                              <w:sz w:val="22"/>
                            </w:rPr>
                            <w:t>Tokiu atveju, stogo plotas sudaro 126 proc. plokščiojo stogo (pusė stogo sudarys 63 proc.). Kadangi ne visas šlaitinio stogo paviršius gali būti padengtas fotomoduliais, gautas plotas dar dauginamas iš 0,8 ir prilyginamas fotomodulių plotui. Lietuvoje parduodamų fotomodulių įrengtoji (pikinė) galia siekia 240-280 W, todėl skaičiavimams naudojama vidutinė reikšmė – 260 W. Pagal fotomodulio matmenis apskaičiuotas 1 kW galios fotomodulių bendras plotas – 6,2 m</w:t>
                          </w:r>
                          <w:r>
                            <w:rPr>
                              <w:rFonts w:ascii="Arial" w:hAnsi="Arial" w:cs="Arial"/>
                              <w:sz w:val="22"/>
                              <w:vertAlign w:val="superscript"/>
                            </w:rPr>
                            <w:t>2</w:t>
                          </w:r>
                          <w:r>
                            <w:rPr>
                              <w:rFonts w:ascii="Arial" w:hAnsi="Arial" w:cs="Arial"/>
                              <w:sz w:val="22"/>
                            </w:rPr>
                            <w:t>.</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Vertinant fotomodulių įrengimo ant plokščiųjų stogų galimybes naudojami tokie parametrai: fotomodulio tipiniai matmenys 1x1,6 m, tarpas tarp fotomodulių eilių (nuo vienos eilės galo iki kitos eilės pradžios) – 4 m, fotomodulių pasvirimo kampas 35º. Pagal šiuos parametrus apskaičiuota, kad fotomoduliais uždengiama apie 25 proc. stogo ploto, ir vienas kW įrengtosios galios telpa į 20,4 m</w:t>
                          </w:r>
                          <w:r>
                            <w:rPr>
                              <w:rFonts w:ascii="Arial" w:eastAsia="Calibri" w:hAnsi="Arial" w:cs="Arial"/>
                              <w:sz w:val="22"/>
                              <w:szCs w:val="23"/>
                              <w:vertAlign w:val="superscript"/>
                            </w:rPr>
                            <w:t>2</w:t>
                          </w:r>
                          <w:r>
                            <w:rPr>
                              <w:rFonts w:ascii="Arial" w:eastAsia="Calibri" w:hAnsi="Arial" w:cs="Arial"/>
                              <w:sz w:val="22"/>
                              <w:szCs w:val="23"/>
                            </w:rPr>
                            <w:t xml:space="preserve"> stogo ploto (kai vieno fotomodulio galia 260 W). Skaičiavimų rezultatai pateikiami sekančioje lentelėje (žr. 4.7.2. lentelę). </w:t>
                          </w:r>
                        </w:p>
                        <w:p>
                          <w:pPr>
                            <w:rPr>
                              <w:sz w:val="14"/>
                              <w:szCs w:val="14"/>
                            </w:rPr>
                          </w:pPr>
                        </w:p>
                      </w:sdtContent>
                    </w:sdt>
                    <w:sdt>
                      <w:sdtPr>
                        <w:alias w:val="4.7.2 pp."/>
                        <w:tag w:val="part_d7a2520b2aea4e1795f2b27dce264bc2"/>
                        <w:lock w:val="sdtLocked"/>
                        <w:richText/>
                      </w:sdtPr>
                      <w:sdtContent>
                        <w:p>
                          <w:pPr>
                            <w:spacing w:line="259" w:lineRule="auto"/>
                            <w:jc w:val="center"/>
                            <w:rPr>
                              <w:rFonts w:ascii="Arial" w:eastAsia="Calibri" w:hAnsi="Arial"/>
                              <w:b/>
                              <w:color w:val="002060"/>
                              <w:sz w:val="22"/>
                              <w:szCs w:val="32"/>
                            </w:rPr>
                          </w:pPr>
                          <w:sdt>
                            <w:sdtPr>
                              <w:alias w:val="Numeris"/>
                              <w:tag w:val="nr_d7a2520b2aea4e1795f2b27dce264bc2"/>
                              <w:lock w:val="sdtLocked"/>
                              <w:richText/>
                            </w:sdtPr>
                            <w:sdtContent>
                              <w:r>
                                <w:rPr>
                                  <w:rFonts w:ascii="Arial" w:eastAsia="Calibri" w:hAnsi="Arial"/>
                                  <w:b/>
                                  <w:color w:val="002060"/>
                                  <w:sz w:val="22"/>
                                  <w:szCs w:val="32"/>
                                </w:rPr>
                                <w:t>4.7.2</w:t>
                              </w:r>
                            </w:sdtContent>
                          </w:sdt>
                          <w:r>
                            <w:rPr>
                              <w:rFonts w:ascii="Arial" w:eastAsia="Calibri" w:hAnsi="Arial"/>
                              <w:b/>
                              <w:color w:val="002060"/>
                              <w:sz w:val="22"/>
                              <w:szCs w:val="32"/>
                            </w:rPr>
                            <w:t>. lentelė. Pastatų stogų plotas, tinkamas saulės kolektoriams ar fotomoduliams įrengti</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4303"/>
                            <w:gridCol w:w="1319"/>
                            <w:gridCol w:w="1376"/>
                            <w:gridCol w:w="1676"/>
                            <w:gridCol w:w="1521"/>
                          </w:tblGrid>
                          <w:tr>
                            <w:trPr>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Pastatų paskirtis</w:t>
                                </w:r>
                              </w:p>
                            </w:tc>
                            <w:tc>
                              <w:tcPr>
                                <w:tcW w:w="647"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highlight w:val="yellow"/>
                                  </w:rPr>
                                </w:pPr>
                                <w:r>
                                  <w:rPr>
                                    <w:rFonts w:ascii="Arial" w:hAnsi="Arial" w:cs="Arial"/>
                                    <w:sz w:val="20"/>
                                  </w:rPr>
                                  <w:t>Galimas įrengti plotas m</w:t>
                                </w:r>
                                <w:r>
                                  <w:rPr>
                                    <w:rFonts w:ascii="Arial" w:hAnsi="Arial" w:cs="Arial"/>
                                    <w:sz w:val="20"/>
                                    <w:vertAlign w:val="superscript"/>
                                  </w:rPr>
                                  <w:t>2</w:t>
                                </w:r>
                              </w:p>
                            </w:tc>
                            <w:tc>
                              <w:tcPr>
                                <w:tcW w:w="675"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kW</w:t>
                                </w:r>
                              </w:p>
                            </w:tc>
                            <w:tc>
                              <w:tcPr>
                                <w:tcW w:w="822"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Savivaldybės nuosavybė, galimas įrengti plotas, m</w:t>
                                </w:r>
                                <w:r>
                                  <w:rPr>
                                    <w:rFonts w:ascii="Arial" w:hAnsi="Arial" w:cs="Arial"/>
                                    <w:sz w:val="20"/>
                                    <w:vertAlign w:val="superscript"/>
                                  </w:rPr>
                                  <w:t>2</w:t>
                                </w:r>
                              </w:p>
                            </w:tc>
                            <w:tc>
                              <w:tcPr>
                                <w:tcW w:w="746"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kW</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1-2 butų gyvenamieji namai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370 680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60 273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1 947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317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Daugiabučiai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105 797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5 186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4 889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240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Namai įvairioms soc. grupėms</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11 225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550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4 075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200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Administracinės paskirties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43 024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2 109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13 264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650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Viešbučių, prekybos, paslaugų, maitinimo ir poilsio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51 665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2 533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3 258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160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Gamybos, pramonės ir sandėliavimo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491 199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24 078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2 507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123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Kultūros, mokslo, sporto paskirties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68 908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3 378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66 369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3 253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Gydymo paskirties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13 514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662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11 302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554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Žemės ūkio paskirties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367 246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18 002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12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both"/>
                                  <w:rPr>
                                    <w:rFonts w:ascii="Arial" w:hAnsi="Arial" w:cs="Arial"/>
                                    <w:sz w:val="20"/>
                                  </w:rPr>
                                </w:pPr>
                                <w:r>
                                  <w:rPr>
                                    <w:rFonts w:ascii="Arial" w:hAnsi="Arial" w:cs="Arial"/>
                                    <w:sz w:val="20"/>
                                  </w:rPr>
                                  <w:t>Specialios, religinės ir kitos paskirties pastatai</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28 035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1 374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2 374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sz w:val="20"/>
                                  </w:rPr>
                                </w:pPr>
                                <w:r>
                                  <w:rPr>
                                    <w:rFonts w:ascii="Arial" w:hAnsi="Arial" w:cs="Arial"/>
                                    <w:sz w:val="20"/>
                                  </w:rPr>
                                  <w:t xml:space="preserve">116 </w:t>
                                </w:r>
                              </w:p>
                            </w:tc>
                          </w:tr>
                          <w:tr>
                            <w:trPr>
                              <w:trHeight w:val="20"/>
                              <w:jc w:val="center"/>
                            </w:trPr>
                            <w:tc>
                              <w:tcPr>
                                <w:tcW w:w="2110" w:type="pct"/>
                              </w:tcPr>
                              <w:p>
                                <w:pPr>
                                  <w:pBdr>
                                    <w:top w:val="none" w:sz="4" w:space="0" w:color="auto"/>
                                    <w:left w:val="none" w:sz="4" w:space="0" w:color="auto"/>
                                    <w:bottom w:val="none" w:sz="4" w:space="0" w:color="auto"/>
                                    <w:right w:val="none" w:sz="4" w:space="0" w:color="auto"/>
                                    <w:between w:val="none" w:sz="4" w:space="0" w:color="auto"/>
                                  </w:pBdr>
                                  <w:jc w:val="right"/>
                                  <w:rPr>
                                    <w:rFonts w:ascii="Arial" w:hAnsi="Arial" w:cs="Arial"/>
                                    <w:b/>
                                    <w:bCs/>
                                    <w:sz w:val="20"/>
                                  </w:rPr>
                                </w:pPr>
                                <w:r>
                                  <w:rPr>
                                    <w:rFonts w:ascii="Arial" w:hAnsi="Arial" w:cs="Arial"/>
                                    <w:b/>
                                    <w:bCs/>
                                    <w:sz w:val="20"/>
                                  </w:rPr>
                                  <w:t>Iš viso</w:t>
                                </w:r>
                              </w:p>
                            </w:tc>
                            <w:tc>
                              <w:tcPr>
                                <w:tcW w:w="647"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1 551 293 </w:t>
                                </w:r>
                              </w:p>
                            </w:tc>
                            <w:tc>
                              <w:tcPr>
                                <w:tcW w:w="675"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118 146 </w:t>
                                </w:r>
                              </w:p>
                            </w:tc>
                            <w:tc>
                              <w:tcPr>
                                <w:tcW w:w="822"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109 997 </w:t>
                                </w:r>
                              </w:p>
                            </w:tc>
                            <w:tc>
                              <w:tcPr>
                                <w:tcW w:w="746" w:type="pct"/>
                              </w:tcPr>
                              <w:p>
                                <w:pPr>
                                  <w:pBdr>
                                    <w:top w:val="none" w:sz="4" w:space="0" w:color="auto"/>
                                    <w:left w:val="none" w:sz="4" w:space="0" w:color="auto"/>
                                    <w:bottom w:val="none" w:sz="4" w:space="0" w:color="auto"/>
                                    <w:right w:val="none" w:sz="4" w:space="0" w:color="auto"/>
                                    <w:between w:val="none" w:sz="4" w:space="0" w:color="auto"/>
                                  </w:pBdr>
                                  <w:ind w:firstLine="57"/>
                                  <w:jc w:val="center"/>
                                  <w:rPr>
                                    <w:rFonts w:ascii="Arial" w:hAnsi="Arial" w:cs="Arial"/>
                                    <w:b/>
                                    <w:bCs/>
                                    <w:sz w:val="20"/>
                                  </w:rPr>
                                </w:pPr>
                                <w:r>
                                  <w:rPr>
                                    <w:rFonts w:ascii="Arial" w:hAnsi="Arial" w:cs="Arial"/>
                                    <w:sz w:val="20"/>
                                  </w:rPr>
                                  <w:t xml:space="preserve">5 613 </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Įvertinus šias sąlygas gaunama, kad bendras plokščių stogų plotas sudaro 1 180 613 m</w:t>
                          </w:r>
                          <w:r>
                            <w:rPr>
                              <w:rFonts w:ascii="Arial" w:hAnsi="Arial" w:cs="Arial"/>
                              <w:sz w:val="22"/>
                              <w:vertAlign w:val="superscript"/>
                            </w:rPr>
                            <w:t>2</w:t>
                          </w:r>
                          <w:r>
                            <w:rPr>
                              <w:rFonts w:ascii="Arial" w:hAnsi="Arial" w:cs="Arial"/>
                              <w:sz w:val="22"/>
                            </w:rPr>
                            <w:t xml:space="preserve">, ir tokiame plote galima įrengti 57 873 kW bendros galios fotomodulių. Bendras fotomoduliams tinkamų šlaitinių stogų plotas sudaro  370 680 m</w:t>
                          </w:r>
                          <w:r>
                            <w:rPr>
                              <w:rFonts w:ascii="Arial" w:hAnsi="Arial" w:cs="Arial"/>
                              <w:sz w:val="22"/>
                              <w:vertAlign w:val="superscript"/>
                            </w:rPr>
                            <w:t>2</w:t>
                          </w:r>
                          <w:r>
                            <w:rPr>
                              <w:rFonts w:ascii="Arial" w:hAnsi="Arial" w:cs="Arial"/>
                              <w:sz w:val="22"/>
                            </w:rPr>
                            <w:t xml:space="preserve">, ir ant jų galima įrengti apie  60 273 kW bendros galios fotomodulių. Taigi, bendra galimų įrengti fotomodulių galia sudaro 118 146 kW. Ant savivaldybei priklausančių pastatų stogų galima įrengti apie 5 613 kW galios fotomodulius.</w:t>
                          </w:r>
                        </w:p>
                        <w:p>
                          <w:pPr>
                            <w:rPr>
                              <w:sz w:val="14"/>
                              <w:szCs w:val="14"/>
                            </w:rPr>
                          </w:pPr>
                        </w:p>
                        <w:p>
                          <w:pPr>
                            <w:spacing w:line="259" w:lineRule="auto"/>
                            <w:ind w:firstLine="567"/>
                            <w:jc w:val="both"/>
                            <w:rPr>
                              <w:rFonts w:ascii="Arial" w:hAnsi="Arial" w:cs="Arial"/>
                              <w:b/>
                              <w:bCs/>
                              <w:sz w:val="22"/>
                            </w:rPr>
                          </w:pPr>
                          <w:r>
                            <w:rPr>
                              <w:rFonts w:ascii="Arial" w:hAnsi="Arial" w:cs="Arial"/>
                              <w:sz w:val="22"/>
                            </w:rPr>
                            <w:t xml:space="preserve">1 kW galingumo saulės fotovoltinė elektrinė gamina 935 kWh per metus, tad apskaičiuojama, kad elektros energijos gamybos saulės šviesos elektrinėse metinis potencialas – </w:t>
                          </w:r>
                          <w:r>
                            <w:rPr>
                              <w:rFonts w:ascii="Arial" w:hAnsi="Arial" w:cs="Arial"/>
                              <w:b/>
                              <w:bCs/>
                              <w:sz w:val="22"/>
                            </w:rPr>
                            <w:t>110 467 MWh (9 500,2 tne)</w:t>
                          </w:r>
                          <w:r>
                            <w:rPr>
                              <w:rFonts w:ascii="Arial" w:hAnsi="Arial" w:cs="Arial"/>
                              <w:sz w:val="22"/>
                            </w:rPr>
                            <w:t xml:space="preserve">, ant savivaldybės pastatų – </w:t>
                          </w:r>
                          <w:r>
                            <w:rPr>
                              <w:rFonts w:ascii="Arial" w:hAnsi="Arial" w:cs="Arial"/>
                              <w:b/>
                              <w:bCs/>
                              <w:sz w:val="22"/>
                            </w:rPr>
                            <w:t>5 248 MWh (451,4 tne).</w:t>
                          </w:r>
                        </w:p>
                        <w:p>
                          <w:pPr>
                            <w:rPr>
                              <w:sz w:val="14"/>
                              <w:szCs w:val="14"/>
                            </w:rPr>
                          </w:pPr>
                        </w:p>
                        <w:p>
                          <w:pPr>
                            <w:spacing w:line="259" w:lineRule="auto"/>
                            <w:ind w:firstLine="567"/>
                            <w:jc w:val="both"/>
                            <w:rPr>
                              <w:rFonts w:ascii="Arial" w:hAnsi="Arial" w:cs="Arial"/>
                              <w:b/>
                              <w:bCs/>
                              <w:sz w:val="22"/>
                            </w:rPr>
                          </w:pPr>
                          <w:r>
                            <w:rPr>
                              <w:rFonts w:ascii="Arial" w:hAnsi="Arial" w:cs="Arial"/>
                              <w:sz w:val="22"/>
                            </w:rPr>
                            <w:t>Saulės kolektorių pagaminamos šilumos energijos potencialui skaičiuoti naudojamas tas pats įvertintas pastatų stogų plotas, tik naudojami kiti parametrai plokščiam stogui: kolektoriaus matmenys – 2x1,2 m, pasvirimo kampas 35º, tarpas tarp kolektorių eilių – 4,5 m ir santykinis kolektorių plotas stogo ploto vienetui lygus 0,326. Įvertinus šias sąlygas gaunama, kad ant plokščių stogų Joniškio rajono savivaldybėje galima įrengti apie 384 880 m</w:t>
                          </w:r>
                          <w:r>
                            <w:rPr>
                              <w:rFonts w:ascii="Arial" w:hAnsi="Arial" w:cs="Arial"/>
                              <w:sz w:val="22"/>
                              <w:vertAlign w:val="superscript"/>
                            </w:rPr>
                            <w:t>2</w:t>
                          </w:r>
                          <w:r>
                            <w:rPr>
                              <w:rFonts w:ascii="Arial" w:hAnsi="Arial" w:cs="Arial"/>
                              <w:sz w:val="22"/>
                            </w:rPr>
                            <w:t>, o ant šlaitinių stogų – apie 120 842 m</w:t>
                          </w:r>
                          <w:r>
                            <w:rPr>
                              <w:rFonts w:ascii="Arial" w:hAnsi="Arial" w:cs="Arial"/>
                              <w:sz w:val="22"/>
                              <w:vertAlign w:val="superscript"/>
                            </w:rPr>
                            <w:t>2</w:t>
                          </w:r>
                          <w:r>
                            <w:rPr>
                              <w:rFonts w:ascii="Arial" w:hAnsi="Arial" w:cs="Arial"/>
                              <w:sz w:val="22"/>
                            </w:rPr>
                            <w:t xml:space="preserve"> ploto saulės kolektorius, iš viso apie 505 721 m</w:t>
                          </w:r>
                          <w:r>
                            <w:rPr>
                              <w:rFonts w:ascii="Arial" w:hAnsi="Arial" w:cs="Arial"/>
                              <w:sz w:val="22"/>
                              <w:vertAlign w:val="superscript"/>
                            </w:rPr>
                            <w:t>2</w:t>
                          </w:r>
                          <w:r>
                            <w:rPr>
                              <w:rFonts w:ascii="Arial" w:hAnsi="Arial" w:cs="Arial"/>
                              <w:sz w:val="22"/>
                            </w:rPr>
                            <w:t>. Šį plotą padauginus iš saulės spinduliuotės intensyvumo (1 047 kWh/ m</w:t>
                          </w:r>
                          <w:r>
                            <w:rPr>
                              <w:rFonts w:ascii="Arial" w:hAnsi="Arial" w:cs="Arial"/>
                              <w:sz w:val="22"/>
                              <w:vertAlign w:val="superscript"/>
                            </w:rPr>
                            <w:t>2</w:t>
                          </w:r>
                          <w:r>
                            <w:rPr>
                              <w:rFonts w:ascii="Arial" w:hAnsi="Arial" w:cs="Arial"/>
                              <w:sz w:val="22"/>
                            </w:rPr>
                            <w:t>) ir energijos konversijos efektyvumo rodiklio (0,45), gaunamas saulės šilumos energijos techninis potencialas</w:t>
                          </w:r>
                          <w:r>
                            <w:rPr>
                              <w:rFonts w:ascii="Arial" w:hAnsi="Arial" w:cs="Arial"/>
                              <w:b/>
                              <w:bCs/>
                              <w:sz w:val="22"/>
                            </w:rPr>
                            <w:t xml:space="preserve"> </w:t>
                          </w:r>
                          <w:r>
                            <w:rPr>
                              <w:rFonts w:ascii="Arial" w:eastAsia="Calibri" w:hAnsi="Arial" w:cs="Arial"/>
                              <w:sz w:val="22"/>
                              <w:szCs w:val="23"/>
                            </w:rPr>
                            <w:t xml:space="preserve">Joniškio rajono </w:t>
                          </w:r>
                          <w:r>
                            <w:rPr>
                              <w:rFonts w:ascii="Arial" w:hAnsi="Arial" w:cs="Arial"/>
                              <w:sz w:val="22"/>
                            </w:rPr>
                            <w:t xml:space="preserve">savivaldybėje – </w:t>
                          </w:r>
                          <w:r>
                            <w:rPr>
                              <w:rFonts w:ascii="Arial" w:hAnsi="Arial" w:cs="Arial"/>
                              <w:b/>
                              <w:bCs/>
                              <w:sz w:val="22"/>
                            </w:rPr>
                            <w:t>238 271 MWh (20 491 tne).</w:t>
                          </w:r>
                        </w:p>
                        <w:p>
                          <w:pPr>
                            <w:rPr>
                              <w:sz w:val="14"/>
                              <w:szCs w:val="14"/>
                            </w:rPr>
                          </w:pPr>
                        </w:p>
                        <w:p>
                          <w:pPr>
                            <w:spacing w:line="259" w:lineRule="auto"/>
                            <w:ind w:firstLine="567"/>
                            <w:jc w:val="both"/>
                            <w:rPr>
                              <w:rFonts w:ascii="Arial" w:hAnsi="Arial" w:cs="Arial"/>
                              <w:sz w:val="22"/>
                            </w:rPr>
                          </w:pPr>
                          <w:r>
                            <w:rPr>
                              <w:rFonts w:ascii="Arial" w:hAnsi="Arial" w:cs="Arial"/>
                              <w:sz w:val="22"/>
                            </w:rPr>
                            <w:t>Buitiniai saulės kolektoriai montuojami tik ant pastatų, nes jų pagamintas karštas vanduo turi būti nuolat vartojamas arba akumuliuojamas specialiose talpose. Tačiau saulės kolektoriai didesniu masteliu gali būti panaudojami CŠT (centralizuotas šilumos tiekimas) sistemose. Saulės kolektoriai CŠT sistemose plačiai naudojami Danijoje: saulės kolektorių laukai (10-35 tūkst. m</w:t>
                          </w:r>
                          <w:r>
                            <w:rPr>
                              <w:rFonts w:ascii="Arial" w:hAnsi="Arial" w:cs="Arial"/>
                              <w:sz w:val="22"/>
                              <w:vertAlign w:val="superscript"/>
                            </w:rPr>
                            <w:t>2</w:t>
                          </w:r>
                          <w:r>
                            <w:rPr>
                              <w:rFonts w:ascii="Arial" w:hAnsi="Arial" w:cs="Arial"/>
                              <w:sz w:val="22"/>
                            </w:rPr>
                            <w:t>), sumontuoti atviruose plotuose ant žemės šalia CŠT infrastruktūros, tiekia šilumos energiją į specialias talpyklas (0,1-0,3 m</w:t>
                          </w:r>
                          <w:r>
                            <w:rPr>
                              <w:rFonts w:ascii="Arial" w:hAnsi="Arial" w:cs="Arial"/>
                              <w:sz w:val="22"/>
                              <w:vertAlign w:val="superscript"/>
                            </w:rPr>
                            <w:t>3</w:t>
                          </w:r>
                          <w:r>
                            <w:rPr>
                              <w:rFonts w:ascii="Arial" w:hAnsi="Arial" w:cs="Arial"/>
                              <w:sz w:val="22"/>
                            </w:rPr>
                            <w:t xml:space="preserve"> talpos tūrio saulės kolektoriaus kvadratiniam metrui) ir padengia apie 10-25 proc. metinio šilumos poreikio CŠT tinkle </w:t>
                          </w:r>
                          <w:r>
                            <w:rPr>
                              <w:rFonts w:ascii="Arial" w:hAnsi="Arial" w:cs="Arial"/>
                              <w:i/>
                              <w:iCs/>
                              <w:sz w:val="22"/>
                            </w:rPr>
                            <w:t>(apie AIE potencialą CŠT plačiau 4.11. skyriuje).</w:t>
                          </w:r>
                          <w:r>
                            <w:rPr>
                              <w:rFonts w:ascii="Arial" w:hAnsi="Arial" w:cs="Arial"/>
                              <w:sz w:val="22"/>
                            </w:rPr>
                            <w:t xml:space="preserve"> Kadangi saulės spinduliuotės intensyvumas Danijoje ir Lietuvoje labai panašus, daroma prielaida, kad saulės kolektorių sistemų efektyvumas toks pats (0,45). Tokiu būdu gaunama, kad vienas m</w:t>
                          </w:r>
                          <w:r>
                            <w:rPr>
                              <w:rFonts w:ascii="Arial" w:hAnsi="Arial" w:cs="Arial"/>
                              <w:sz w:val="22"/>
                              <w:vertAlign w:val="superscript"/>
                            </w:rPr>
                            <w:t>2</w:t>
                          </w:r>
                          <w:r>
                            <w:rPr>
                              <w:rFonts w:ascii="Arial" w:hAnsi="Arial" w:cs="Arial"/>
                              <w:sz w:val="22"/>
                            </w:rPr>
                            <w:t xml:space="preserve"> saulės kolektoriaus pagamina apie 470 kWh šilumos energijos per metus. Potencialas vertinamas pagal saulės kolektoriais norimą gaminti CŠT tiekiamos šilumos energijos dalį. Laikoma, kad žemės ploto šalia CŠT tiekimo linijų pakanka saulės kolektoriams įrengti, ir saulės kolektorių sistema efektyviai veiktų gamindama apie 20 proc. </w:t>
                          </w:r>
                          <w:r>
                            <w:rPr>
                              <w:rFonts w:ascii="Arial" w:eastAsia="Calibri" w:hAnsi="Arial" w:cs="Arial"/>
                              <w:sz w:val="22"/>
                              <w:szCs w:val="23"/>
                            </w:rPr>
                            <w:t xml:space="preserve">Joniškio rajono </w:t>
                          </w:r>
                          <w:r>
                            <w:rPr>
                              <w:rFonts w:ascii="Arial" w:hAnsi="Arial" w:cs="Arial"/>
                              <w:sz w:val="22"/>
                            </w:rPr>
                            <w:t xml:space="preserve">savivaldybės CŠT realizuotos šilumos energijos (2021 m. duomenimis apie 22 670 MWh), t. y. apie </w:t>
                          </w:r>
                          <w:r>
                            <w:rPr>
                              <w:rFonts w:ascii="Arial" w:hAnsi="Arial" w:cs="Arial"/>
                              <w:b/>
                              <w:bCs/>
                              <w:sz w:val="22"/>
                            </w:rPr>
                            <w:t>4 534,0 MWh (389,9 tne).</w:t>
                          </w:r>
                          <w:r>
                            <w:rPr>
                              <w:rFonts w:ascii="Arial" w:hAnsi="Arial" w:cs="Arial"/>
                              <w:sz w:val="22"/>
                            </w:rPr>
                            <w:t xml:space="preserve"> Šis kiekis laikomas techniniu šilumos energijos gamybos saulės kolektoriais CŠT tinkle potencialu. </w:t>
                          </w:r>
                        </w:p>
                        <w:p>
                          <w:pPr>
                            <w:rPr>
                              <w:sz w:val="14"/>
                              <w:szCs w:val="14"/>
                            </w:rPr>
                          </w:pPr>
                        </w:p>
                        <w:p>
                          <w:pPr>
                            <w:spacing w:line="259" w:lineRule="auto"/>
                            <w:ind w:firstLine="567"/>
                            <w:jc w:val="both"/>
                            <w:rPr>
                              <w:rFonts w:ascii="Arial" w:eastAsia="SegoeUI" w:hAnsi="Arial" w:cs="Arial"/>
                              <w:sz w:val="22"/>
                            </w:rPr>
                          </w:pPr>
                          <w:r>
                            <w:rPr>
                              <w:rFonts w:ascii="Arial" w:eastAsia="SegoeUI" w:hAnsi="Arial" w:cs="Arial"/>
                              <w:sz w:val="22"/>
                            </w:rPr>
                            <w:t>Dėl dabartinės CŠT ir karšto vandens kainodaros, kai mokama tik už sunaudotą šilumos energiją (kWh), gali susidaryti situacija, kai daliai pastatų įsirengus saulės kolektorius karšto vandens gamybai, tačiau išlaikant CŠT sistemas, kaip alternatyvų šilumos šaltinį, likusiems vartotojams smarkiai pakils kaina, nes teks apmokėti CŠT įmonės pastoviuosius kaštus, bei vamzdynų išlaikymo sąnaudas. Todėl svarbu, kad saulės kolektorių įsidiegimas karšto vandens gamybai būtų skatinamas tik tuose pastatuose, kurie nėra prijungti prie CŠT sistemos.</w:t>
                          </w:r>
                        </w:p>
                        <w:p>
                          <w:pPr>
                            <w:rPr>
                              <w:sz w:val="14"/>
                              <w:szCs w:val="14"/>
                            </w:rPr>
                          </w:pPr>
                        </w:p>
                      </w:sdtContent>
                    </w:sdt>
                  </w:sdtContent>
                </w:sdt>
                <w:sdt>
                  <w:sdtPr>
                    <w:alias w:val="4.8 pp."/>
                    <w:tag w:val="part_9b67fc3a8a0243eaa92df8afbec51bf9"/>
                    <w:lock w:val="sdtLocked"/>
                    <w:richText/>
                  </w:sdtPr>
                  <w:sdtContent>
                    <w:p>
                      <w:pPr>
                        <w:keepNext/>
                        <w:keepLines/>
                        <w:spacing w:line="259" w:lineRule="auto"/>
                        <w:jc w:val="center"/>
                        <w:outlineLvl w:val="1"/>
                        <w:rPr>
                          <w:rFonts w:ascii="Arial" w:hAnsi="Arial" w:cs="Arial"/>
                          <w:b/>
                          <w:color w:val="002060"/>
                          <w:szCs w:val="26"/>
                        </w:rPr>
                      </w:pPr>
                      <w:sdt>
                        <w:sdtPr>
                          <w:alias w:val="Numeris"/>
                          <w:tag w:val="nr_9b67fc3a8a0243eaa92df8afbec51bf9"/>
                          <w:lock w:val="sdtLocked"/>
                          <w:richText/>
                        </w:sdtPr>
                        <w:sdtContent>
                          <w:r>
                            <w:rPr>
                              <w:rFonts w:ascii="Arial" w:hAnsi="Arial" w:cs="Arial"/>
                              <w:b/>
                              <w:color w:val="002060"/>
                              <w:szCs w:val="26"/>
                            </w:rPr>
                            <w:t>4.8</w:t>
                          </w:r>
                        </w:sdtContent>
                      </w:sdt>
                      <w:r>
                        <w:rPr>
                          <w:rFonts w:ascii="Arial" w:hAnsi="Arial" w:cs="Arial"/>
                          <w:b/>
                          <w:color w:val="002060"/>
                          <w:szCs w:val="26"/>
                        </w:rPr>
                        <w:t>. Geoterminės ir aeroterminės energijos potencialas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Lietuvoje, kaip rodo tyrimai, giluminei geotermijai didžiausias potencialas yra vakarinėje ir šiaurinėje šalies dalyse. Tik vienas Kambro vandeningas sluoksnis paplitęs beveik visoje Lietuvos teritorijoje. Temperatūros matavimai atlikti 158 gręžiniuose visoje Lietuvos teritorijoje. Kambro vandeningo sluoksnio temperatūra kinta nuo 14 °C rytinėje Lietuvos dalyje iki 96 °C Vakarų Lietuvoje (žr. 4.8.1. pav.). </w:t>
                      </w:r>
                    </w:p>
                    <w:p>
                      <w:pPr>
                        <w:rPr>
                          <w:sz w:val="14"/>
                          <w:szCs w:val="14"/>
                        </w:rPr>
                      </w:pPr>
                    </w:p>
                    <w:p>
                      <w:pPr>
                        <w:spacing w:line="259" w:lineRule="auto"/>
                        <w:jc w:val="center"/>
                        <w:rPr>
                          <w:rFonts w:ascii="Arial" w:eastAsia="SegoeUI" w:hAnsi="Arial" w:cs="Arial"/>
                          <w:sz w:val="22"/>
                          <w:szCs w:val="22"/>
                        </w:rPr>
                      </w:pPr>
                      <w:r>
                        <w:rPr>
                          <w:rFonts w:ascii="Arial" w:hAnsi="Arial" w:cs="Arial"/>
                          <w:sz w:val="22"/>
                          <w:szCs w:val="22"/>
                          <w:lang w:val="en-US"/>
                        </w:rPr>
                        <w:drawing>
                          <wp:inline distT="0" distB="0" distL="0" distR="0" wp14:anchorId="3E6F20FF" wp14:editId="4851AF80">
                            <wp:extent cx="4968240" cy="3398168"/>
                            <wp:effectExtent l="76200" t="38100" r="80010" b="107315"/>
                            <wp:docPr id="20" name="Paveikslėlis 20"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aveikslėlis 20" descr="Paveikslėlis, kuriame yra žemėlapis  Automatiškai sugeneruotas aprašymas"/>
                                    <pic:cNvPicPr/>
                                  </pic:nvPicPr>
                                  <pic:blipFill>
                                    <a:blip r:embed="rId25"/>
                                    <a:stretch>
                                      <a:fillRect/>
                                    </a:stretch>
                                  </pic:blipFill>
                                  <pic:spPr>
                                    <a:xfrm>
                                      <a:off x="0" y="0"/>
                                      <a:ext cx="5023263" cy="3435803"/>
                                    </a:xfrm>
                                    <a:prstGeom prst="rect">
                                      <a:avLst/>
                                    </a:prstGeom>
                                    <a:ln w="3175" cap="sq">
                                      <a:solidFill>
                                        <a:schemeClr val="tx1">
                                          <a:lumMod val="50000"/>
                                          <a:lumOff val="50000"/>
                                        </a:schemeClr>
                                      </a:solidFill>
                                      <a:prstDash val="solid"/>
                                      <a:miter lim="800000"/>
                                    </a:ln>
                                    <a:effectLst>
                                      <a:outerShdw blurRad="50800" dist="38100" dir="5400000" algn="t" rotWithShape="0">
                                        <a:prstClr val="black">
                                          <a:alpha val="40000"/>
                                        </a:prstClr>
                                      </a:outerShdw>
                                    </a:effectLst>
                                  </pic:spPr>
                                </pic:pic>
                              </a:graphicData>
                            </a:graphic>
                          </wp:inline>
                        </w:drawing>
                      </w:r>
                    </w:p>
                    <w:p>
                      <w:pPr>
                        <w:rPr>
                          <w:sz w:val="14"/>
                          <w:szCs w:val="14"/>
                        </w:rPr>
                      </w:pPr>
                    </w:p>
                    <w:sdt>
                      <w:sdtPr>
                        <w:alias w:val="4.8.1 pp."/>
                        <w:tag w:val="part_879158914a3e455db29224fde61a717b"/>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879158914a3e455db29224fde61a717b"/>
                              <w:lock w:val="sdtLocked"/>
                              <w:richText/>
                            </w:sdtPr>
                            <w:sdtContent>
                              <w:r>
                                <w:rPr>
                                  <w:rFonts w:ascii="Arial" w:eastAsia="Calibri" w:hAnsi="Arial" w:cs="Arial"/>
                                  <w:b/>
                                  <w:color w:val="002060"/>
                                  <w:sz w:val="22"/>
                                  <w:szCs w:val="22"/>
                                </w:rPr>
                                <w:t>4.8.1</w:t>
                              </w:r>
                            </w:sdtContent>
                          </w:sdt>
                          <w:r>
                            <w:rPr>
                              <w:rFonts w:ascii="Arial" w:eastAsia="Calibri" w:hAnsi="Arial" w:cs="Arial"/>
                              <w:b/>
                              <w:color w:val="002060"/>
                              <w:sz w:val="22"/>
                              <w:szCs w:val="22"/>
                            </w:rPr>
                            <w:t>. pav. Kambro vandeningo sluoksnio kraigo temperatūrų žemėlapis</w:t>
                          </w:r>
                        </w:p>
                        <w:p>
                          <w:pPr>
                            <w:rPr>
                              <w:sz w:val="10"/>
                              <w:szCs w:val="10"/>
                            </w:rPr>
                          </w:pPr>
                        </w:p>
                        <w:p>
                          <w:pPr>
                            <w:spacing w:line="259" w:lineRule="auto"/>
                            <w:jc w:val="center"/>
                            <w:rPr>
                              <w:rFonts w:ascii="Arial" w:hAnsi="Arial" w:cs="Arial"/>
                              <w:bCs/>
                              <w:i/>
                              <w:iCs/>
                              <w:sz w:val="18"/>
                              <w:szCs w:val="18"/>
                            </w:rPr>
                          </w:pPr>
                          <w:r>
                            <w:rPr>
                              <w:rFonts w:ascii="Arial" w:hAnsi="Arial" w:cs="Arial"/>
                              <w:bCs/>
                              <w:i/>
                              <w:iCs/>
                              <w:sz w:val="18"/>
                              <w:szCs w:val="18"/>
                            </w:rPr>
                            <w:t>Šaltinis: Lietuvos geotermijos asociacija</w:t>
                          </w:r>
                        </w:p>
                        <w:p>
                          <w:pPr>
                            <w:rPr>
                              <w:sz w:val="14"/>
                              <w:szCs w:val="14"/>
                            </w:rPr>
                          </w:pPr>
                        </w:p>
                        <w:p>
                          <w:pPr>
                            <w:spacing w:line="259" w:lineRule="auto"/>
                            <w:ind w:firstLine="567"/>
                            <w:jc w:val="both"/>
                            <w:rPr>
                              <w:rFonts w:ascii="Arial" w:hAnsi="Arial" w:cs="Arial"/>
                              <w:sz w:val="22"/>
                            </w:rPr>
                          </w:pPr>
                          <w:r>
                            <w:rPr>
                              <w:rFonts w:ascii="Arial" w:hAnsi="Arial" w:cs="Arial"/>
                              <w:sz w:val="22"/>
                            </w:rPr>
                            <w:t>Vakarų Lietuvoje gręžiniais buvo nustatyti ženkliai aukštesni geoterminio lauko rodikliai – 80-100 W/m</w:t>
                          </w:r>
                          <w:r>
                            <w:rPr>
                              <w:rFonts w:ascii="Arial" w:hAnsi="Arial" w:cs="Arial"/>
                              <w:sz w:val="22"/>
                              <w:vertAlign w:val="superscript"/>
                            </w:rPr>
                            <w:t>2</w:t>
                          </w:r>
                          <w:r>
                            <w:rPr>
                              <w:rFonts w:ascii="Arial" w:hAnsi="Arial" w:cs="Arial"/>
                              <w:sz w:val="22"/>
                            </w:rPr>
                            <w:t>. Pagrindinės giliosios geoterminės energijos panaudojimo perspektyvos siejamos su šilumos panaudojimu centralizuotam šilumos tiekimui miestuose. Šiam tikslui tinkamais laikomi vandeningieji sluoksniai, kurių temperatūra siekia daugiau nei 35ºC. Joniškio rajono savivaldybė patenka į zoną, kurioje Žemės gelmių temperatūra siekia apie 45ºC (4.8.1. pav.), todėl savivaldybės teritorija giliosios geoterminės energijos naudojimo požiūriu yra perspektyvi. Geoterminės CŠT sistemos dažniausiai įrengiamos regionuose, kurie turi didelį geoterminės energijos potencialą ir aukštos temperatūros energijos šaltinius. Norint efektyviai naudoti giluminę geoterminę energiją CŠT sistemose, būtinas didelis geoterminis potencialas ir didelis šilumos poreikis. Giliųjų geoterminių išteklių temperatūrų diapazonas</w:t>
                          </w:r>
                          <w:r>
                            <w:rPr>
                              <w:rFonts w:ascii="Arial" w:hAnsi="Arial" w:cs="Arial"/>
                              <w:b/>
                              <w:bCs/>
                              <w:sz w:val="22"/>
                            </w:rPr>
                            <w:t xml:space="preserve"> </w:t>
                          </w:r>
                          <w:r>
                            <w:rPr>
                              <w:rFonts w:ascii="Arial" w:hAnsi="Arial" w:cs="Arial"/>
                              <w:sz w:val="22"/>
                            </w:rPr>
                            <w:t>yra labai platus. Aukštos entalpijos sistemos gali pasiekti didesnę nei 180 °C temperatūrą ir todėl galima aprūpinti net 2 kartos šilumos tinklus iš tokių šaltinių arba bent jau naudoti juos didinant grįžimo temperatūrą.</w:t>
                          </w:r>
                          <w:r>
                            <w:rPr>
                              <w:rFonts w:ascii="Arial" w:hAnsi="Arial" w:cs="Arial"/>
                              <w:sz w:val="22"/>
                              <w:vertAlign w:val="superscript"/>
                            </w:rPr>
                            <w:footnoteReference w:id="26"/>
                          </w:r>
                          <w:r>
                            <w:rPr>
                              <w:rFonts w:ascii="Arial" w:hAnsi="Arial" w:cs="Arial"/>
                              <w:sz w:val="22"/>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Lengviausiai Lietuvoje įsisavinami arti Žemės paviršiaus esantys, vadinamieji seklieji geoterminiai ištekliai, kurie vartotojui tiekiami šilumos siurbliais. Šilumos siurblių panaudojami šilumos ištekliai glūdi iki 100 m gylyje, ir jų potencialas didžiulis. Šilumai iš Žemės paviršinių sluoksnių ar grunto paimti naudojami gręžiniai (vertikalūs kolektoriai) arba horizontalūs vamzdynai–šilumos kolektoriai. Pasirinkimas, kurią technologiją naudoti, priklauso nuo geologinės aplinkos ir turimo žemės ploto. Šilumos siurbliai tiekia šilumą patalpų šildymo ir karšto vandens ruošimo sistemoms.</w:t>
                          </w:r>
                        </w:p>
                        <w:p>
                          <w:pPr>
                            <w:rPr>
                              <w:sz w:val="14"/>
                              <w:szCs w:val="14"/>
                            </w:rPr>
                          </w:pPr>
                        </w:p>
                        <w:p>
                          <w:pPr>
                            <w:spacing w:line="259" w:lineRule="auto"/>
                            <w:ind w:firstLine="567"/>
                            <w:jc w:val="both"/>
                            <w:rPr>
                              <w:rFonts w:ascii="Arial" w:hAnsi="Arial" w:cs="Arial"/>
                              <w:sz w:val="22"/>
                            </w:rPr>
                          </w:pPr>
                          <w:r>
                            <w:rPr>
                              <w:rFonts w:ascii="Arial" w:hAnsi="Arial" w:cs="Arial"/>
                              <w:sz w:val="22"/>
                            </w:rPr>
                            <w:t>Grunto šiluminės energijos potencialą nusako energijos emisija žemės ploto (W/m</w:t>
                          </w:r>
                          <w:r>
                            <w:rPr>
                              <w:rFonts w:ascii="Arial" w:hAnsi="Arial" w:cs="Arial"/>
                              <w:sz w:val="22"/>
                              <w:vertAlign w:val="superscript"/>
                            </w:rPr>
                            <w:t>2</w:t>
                          </w:r>
                          <w:r>
                            <w:rPr>
                              <w:rFonts w:ascii="Arial" w:hAnsi="Arial" w:cs="Arial"/>
                              <w:sz w:val="22"/>
                            </w:rPr>
                            <w:t>) ar kolektoriaus ilgio (W/m) vienetui. Šilumos kiekis nėra pastovus, jis kinta priklausomai nuo metų laiko, tačiau yra įvertintos vidutinės energijos emisijos vertės įvairiems grunto tipams.</w:t>
                          </w:r>
                        </w:p>
                        <w:p>
                          <w:pPr>
                            <w:rPr>
                              <w:sz w:val="14"/>
                              <w:szCs w:val="14"/>
                            </w:rPr>
                          </w:pPr>
                        </w:p>
                        <w:p>
                          <w:pPr>
                            <w:spacing w:line="259" w:lineRule="auto"/>
                            <w:ind w:firstLine="567"/>
                            <w:jc w:val="both"/>
                            <w:rPr>
                              <w:rFonts w:ascii="Arial" w:hAnsi="Arial" w:cs="Arial"/>
                              <w:sz w:val="22"/>
                            </w:rPr>
                          </w:pPr>
                          <w:r>
                            <w:rPr>
                              <w:rFonts w:ascii="Arial" w:hAnsi="Arial" w:cs="Arial"/>
                              <w:sz w:val="22"/>
                            </w:rPr>
                            <w:t>Remiantis GeoDH žemėlapiu</w:t>
                          </w:r>
                          <w:r>
                            <w:rPr>
                              <w:rFonts w:ascii="Arial" w:hAnsi="Arial" w:cs="Arial"/>
                              <w:sz w:val="22"/>
                              <w:vertAlign w:val="superscript"/>
                            </w:rPr>
                            <w:footnoteReference w:id="27"/>
                          </w:r>
                          <w:r>
                            <w:rPr>
                              <w:rFonts w:ascii="Arial" w:hAnsi="Arial" w:cs="Arial"/>
                              <w:sz w:val="22"/>
                            </w:rPr>
                            <w:t xml:space="preserve">, kuriame pateikiami regionai, kuriuose geoterminis CŠT sistemų potencialas yra didžiausias – Lietuva į šiuos regionus nepatenka. Taigi, geoterminė energija yra teoriškai egzistuojanti galimybė ir galimas išnaudoti potencialas </w:t>
                          </w:r>
                          <w:r>
                            <w:rPr>
                              <w:rFonts w:ascii="Arial" w:eastAsia="Calibri" w:hAnsi="Arial" w:cs="Arial"/>
                              <w:sz w:val="22"/>
                              <w:szCs w:val="23"/>
                            </w:rPr>
                            <w:t xml:space="preserve">Joniškio rajono </w:t>
                          </w:r>
                          <w:r>
                            <w:rPr>
                              <w:rFonts w:ascii="Arial" w:hAnsi="Arial" w:cs="Arial"/>
                              <w:sz w:val="22"/>
                            </w:rPr>
                            <w:t xml:space="preserve">savivaldybėje. Tačiau praktiškai Lietuvos, tame tarpe ir Joniškio rajono savivaldybės geoterminės energijos potencialas nėra pakankamas, todėl tai nėra optimaliausia galimybė, kurią būtų galima panaudoti Joniškio rajono savivaldybės CŠT modernizavimui.  </w:t>
                          </w:r>
                        </w:p>
                        <w:p>
                          <w:pPr>
                            <w:rPr>
                              <w:sz w:val="14"/>
                              <w:szCs w:val="14"/>
                            </w:rPr>
                          </w:pPr>
                        </w:p>
                        <w:p>
                          <w:pPr>
                            <w:spacing w:line="259" w:lineRule="auto"/>
                            <w:ind w:firstLine="567"/>
                            <w:jc w:val="both"/>
                            <w:rPr>
                              <w:rFonts w:ascii="Arial" w:hAnsi="Arial" w:cs="Arial"/>
                              <w:sz w:val="22"/>
                            </w:rPr>
                          </w:pPr>
                          <w:r>
                            <w:rPr>
                              <w:rFonts w:ascii="Arial" w:hAnsi="Arial" w:cs="Arial"/>
                              <w:sz w:val="22"/>
                            </w:rPr>
                            <w:t>Šiai dienai Lietuvoje, nors šalis ir yra nedidelio tektoninio aktyvumo zonoje, kol kas naudojami žemos temperatūros geoterminiai ištekliai. Norint juos panaudoti centriniam šildymui, šilumnešį reikėtų papildomai šildyti, t. y. naudoti (integruoti) kitus energijos šaltinius. Taigi, bendrai geoterminis potencialas galėtų būti panaudotas CŠT sistemai diegti, tačiau plačiau nėra nagrinėjamas dėl didelių investicinių kaštų ir nesėkmingo vienintelės Lietuvoje veikusios UAB „Geoterma“ pavyzdžio.</w:t>
                          </w:r>
                        </w:p>
                        <w:p>
                          <w:pPr>
                            <w:rPr>
                              <w:sz w:val="14"/>
                              <w:szCs w:val="14"/>
                            </w:rPr>
                          </w:pPr>
                        </w:p>
                      </w:sdtContent>
                    </w:sdt>
                    <w:sdt>
                      <w:sdtPr>
                        <w:alias w:val="4.8.1 pp."/>
                        <w:tag w:val="part_f8abc3c8a1d34a8b81719f8f88c5c145"/>
                        <w:lock w:val="sdtLocked"/>
                        <w:richText/>
                      </w:sdtPr>
                      <w:sdtContent>
                        <w:p>
                          <w:pPr>
                            <w:spacing w:line="259" w:lineRule="auto"/>
                            <w:jc w:val="center"/>
                            <w:rPr>
                              <w:rFonts w:ascii="Arial" w:eastAsia="Calibri" w:hAnsi="Arial"/>
                              <w:b/>
                              <w:color w:val="002060"/>
                              <w:sz w:val="22"/>
                              <w:szCs w:val="32"/>
                            </w:rPr>
                          </w:pPr>
                          <w:sdt>
                            <w:sdtPr>
                              <w:alias w:val="Numeris"/>
                              <w:tag w:val="nr_f8abc3c8a1d34a8b81719f8f88c5c145"/>
                              <w:lock w:val="sdtLocked"/>
                              <w:richText/>
                            </w:sdtPr>
                            <w:sdtContent>
                              <w:r>
                                <w:rPr>
                                  <w:rFonts w:ascii="Arial" w:eastAsia="Calibri" w:hAnsi="Arial"/>
                                  <w:b/>
                                  <w:color w:val="002060"/>
                                  <w:sz w:val="22"/>
                                  <w:szCs w:val="32"/>
                                </w:rPr>
                                <w:t>4.8.1</w:t>
                              </w:r>
                            </w:sdtContent>
                          </w:sdt>
                          <w:r>
                            <w:rPr>
                              <w:rFonts w:ascii="Arial" w:eastAsia="Calibri" w:hAnsi="Arial"/>
                              <w:b/>
                              <w:color w:val="002060"/>
                              <w:sz w:val="22"/>
                              <w:szCs w:val="32"/>
                            </w:rPr>
                            <w:t>. lentelė. Grunto šilumos energijos emisija naudojant horizontalių kolektorių sistemą</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3952"/>
                            <w:gridCol w:w="2561"/>
                            <w:gridCol w:w="3682"/>
                          </w:tblGrid>
                          <w:tr>
                            <w:tc>
                              <w:tcPr>
                                <w:tcW w:w="1938" w:type="pct"/>
                              </w:tcPr>
                              <w:p>
                                <w:pPr>
                                  <w:jc w:val="center"/>
                                  <w:rPr>
                                    <w:rFonts w:ascii="Arial" w:hAnsi="Arial" w:cs="Arial"/>
                                    <w:sz w:val="20"/>
                                    <w:szCs w:val="14"/>
                                  </w:rPr>
                                </w:pPr>
                                <w:r>
                                  <w:rPr>
                                    <w:rFonts w:ascii="Arial" w:hAnsi="Arial" w:cs="Arial"/>
                                    <w:sz w:val="20"/>
                                    <w:szCs w:val="14"/>
                                  </w:rPr>
                                  <w:t>Grunto tipas</w:t>
                                </w:r>
                              </w:p>
                            </w:tc>
                            <w:tc>
                              <w:tcPr>
                                <w:tcW w:w="1256" w:type="pct"/>
                              </w:tcPr>
                              <w:p>
                                <w:pPr>
                                  <w:jc w:val="center"/>
                                  <w:rPr>
                                    <w:rFonts w:ascii="Arial" w:hAnsi="Arial" w:cs="Arial"/>
                                    <w:sz w:val="20"/>
                                    <w:szCs w:val="14"/>
                                    <w:highlight w:val="yellow"/>
                                  </w:rPr>
                                </w:pPr>
                                <w:r>
                                  <w:rPr>
                                    <w:rFonts w:ascii="Arial" w:hAnsi="Arial" w:cs="Arial"/>
                                    <w:sz w:val="20"/>
                                    <w:szCs w:val="14"/>
                                  </w:rPr>
                                  <w:t>Šilumos energijos emisija W/m</w:t>
                                </w:r>
                                <w:r>
                                  <w:rPr>
                                    <w:rFonts w:ascii="Arial" w:hAnsi="Arial" w:cs="Arial"/>
                                    <w:sz w:val="20"/>
                                    <w:szCs w:val="14"/>
                                    <w:vertAlign w:val="superscript"/>
                                  </w:rPr>
                                  <w:t>2</w:t>
                                </w:r>
                              </w:p>
                            </w:tc>
                            <w:tc>
                              <w:tcPr>
                                <w:tcW w:w="1806" w:type="pct"/>
                              </w:tcPr>
                              <w:p>
                                <w:pPr>
                                  <w:jc w:val="center"/>
                                  <w:rPr>
                                    <w:rFonts w:ascii="Arial" w:hAnsi="Arial" w:cs="Arial"/>
                                    <w:sz w:val="20"/>
                                    <w:szCs w:val="14"/>
                                  </w:rPr>
                                </w:pPr>
                                <w:r>
                                  <w:rPr>
                                    <w:rFonts w:ascii="Arial" w:hAnsi="Arial" w:cs="Arial"/>
                                    <w:sz w:val="20"/>
                                    <w:szCs w:val="14"/>
                                  </w:rPr>
                                  <w:t>Reikalingas plotas 1 kW šiluminės energijos išgauti m</w:t>
                                </w:r>
                                <w:r>
                                  <w:rPr>
                                    <w:rFonts w:ascii="Arial" w:hAnsi="Arial" w:cs="Arial"/>
                                    <w:sz w:val="20"/>
                                    <w:szCs w:val="14"/>
                                    <w:vertAlign w:val="superscript"/>
                                  </w:rPr>
                                  <w:t>2</w:t>
                                </w:r>
                              </w:p>
                            </w:tc>
                          </w:tr>
                          <w:tr>
                            <w:trPr>
                              <w:trHeight w:val="20"/>
                            </w:trPr>
                            <w:tc>
                              <w:tcPr>
                                <w:tcW w:w="1938" w:type="pct"/>
                              </w:tcPr>
                              <w:p>
                                <w:pPr>
                                  <w:jc w:val="both"/>
                                  <w:rPr>
                                    <w:rFonts w:ascii="Arial" w:hAnsi="Arial" w:cs="Arial"/>
                                    <w:sz w:val="20"/>
                                  </w:rPr>
                                </w:pPr>
                                <w:r>
                                  <w:rPr>
                                    <w:rFonts w:ascii="Arial" w:hAnsi="Arial" w:cs="Arial"/>
                                    <w:sz w:val="20"/>
                                  </w:rPr>
                                  <w:t>Sausas, nebirus</w:t>
                                </w:r>
                              </w:p>
                            </w:tc>
                            <w:tc>
                              <w:tcPr>
                                <w:tcW w:w="1256" w:type="pct"/>
                              </w:tcPr>
                              <w:p>
                                <w:pPr>
                                  <w:jc w:val="center"/>
                                  <w:rPr>
                                    <w:rFonts w:ascii="Arial" w:hAnsi="Arial" w:cs="Arial"/>
                                    <w:sz w:val="20"/>
                                  </w:rPr>
                                </w:pPr>
                                <w:r>
                                  <w:rPr>
                                    <w:rFonts w:ascii="Arial" w:hAnsi="Arial" w:cs="Arial"/>
                                    <w:sz w:val="20"/>
                                  </w:rPr>
                                  <w:t>10</w:t>
                                </w:r>
                              </w:p>
                            </w:tc>
                            <w:tc>
                              <w:tcPr>
                                <w:tcW w:w="1806" w:type="pct"/>
                              </w:tcPr>
                              <w:p>
                                <w:pPr>
                                  <w:jc w:val="center"/>
                                  <w:rPr>
                                    <w:rFonts w:ascii="Arial" w:hAnsi="Arial" w:cs="Arial"/>
                                    <w:sz w:val="20"/>
                                  </w:rPr>
                                </w:pPr>
                                <w:r>
                                  <w:rPr>
                                    <w:rFonts w:ascii="Arial" w:hAnsi="Arial" w:cs="Arial"/>
                                    <w:sz w:val="20"/>
                                  </w:rPr>
                                  <w:t>70</w:t>
                                </w:r>
                              </w:p>
                            </w:tc>
                          </w:tr>
                          <w:tr>
                            <w:trPr>
                              <w:trHeight w:val="20"/>
                            </w:trPr>
                            <w:tc>
                              <w:tcPr>
                                <w:tcW w:w="1938" w:type="pct"/>
                              </w:tcPr>
                              <w:p>
                                <w:pPr>
                                  <w:jc w:val="both"/>
                                  <w:rPr>
                                    <w:rFonts w:ascii="Arial" w:hAnsi="Arial" w:cs="Arial"/>
                                    <w:sz w:val="20"/>
                                  </w:rPr>
                                </w:pPr>
                                <w:r>
                                  <w:rPr>
                                    <w:rFonts w:ascii="Arial" w:hAnsi="Arial" w:cs="Arial"/>
                                    <w:sz w:val="20"/>
                                  </w:rPr>
                                  <w:t>Drėgnas, vientisas</w:t>
                                </w:r>
                              </w:p>
                            </w:tc>
                            <w:tc>
                              <w:tcPr>
                                <w:tcW w:w="1256" w:type="pct"/>
                              </w:tcPr>
                              <w:p>
                                <w:pPr>
                                  <w:jc w:val="center"/>
                                  <w:rPr>
                                    <w:rFonts w:ascii="Arial" w:hAnsi="Arial" w:cs="Arial"/>
                                    <w:sz w:val="20"/>
                                  </w:rPr>
                                </w:pPr>
                                <w:r>
                                  <w:rPr>
                                    <w:rFonts w:ascii="Arial" w:hAnsi="Arial" w:cs="Arial"/>
                                    <w:sz w:val="20"/>
                                  </w:rPr>
                                  <w:t>20-30</w:t>
                                </w:r>
                              </w:p>
                            </w:tc>
                            <w:tc>
                              <w:tcPr>
                                <w:tcW w:w="1806" w:type="pct"/>
                              </w:tcPr>
                              <w:p>
                                <w:pPr>
                                  <w:jc w:val="center"/>
                                  <w:rPr>
                                    <w:rFonts w:ascii="Arial" w:hAnsi="Arial" w:cs="Arial"/>
                                    <w:sz w:val="20"/>
                                  </w:rPr>
                                </w:pPr>
                                <w:r>
                                  <w:rPr>
                                    <w:rFonts w:ascii="Arial" w:hAnsi="Arial" w:cs="Arial"/>
                                    <w:sz w:val="20"/>
                                  </w:rPr>
                                  <w:t>40-26</w:t>
                                </w:r>
                              </w:p>
                            </w:tc>
                          </w:tr>
                          <w:tr>
                            <w:trPr>
                              <w:trHeight w:val="20"/>
                            </w:trPr>
                            <w:tc>
                              <w:tcPr>
                                <w:tcW w:w="1938" w:type="pct"/>
                              </w:tcPr>
                              <w:p>
                                <w:pPr>
                                  <w:jc w:val="both"/>
                                  <w:rPr>
                                    <w:rFonts w:ascii="Arial" w:hAnsi="Arial" w:cs="Arial"/>
                                    <w:sz w:val="20"/>
                                  </w:rPr>
                                </w:pPr>
                                <w:r>
                                  <w:rPr>
                                    <w:rFonts w:ascii="Arial" w:hAnsi="Arial" w:cs="Arial"/>
                                    <w:sz w:val="20"/>
                                  </w:rPr>
                                  <w:t>Šlapias, vientisas</w:t>
                                </w:r>
                              </w:p>
                            </w:tc>
                            <w:tc>
                              <w:tcPr>
                                <w:tcW w:w="1256" w:type="pct"/>
                              </w:tcPr>
                              <w:p>
                                <w:pPr>
                                  <w:jc w:val="center"/>
                                  <w:rPr>
                                    <w:rFonts w:ascii="Arial" w:hAnsi="Arial" w:cs="Arial"/>
                                    <w:sz w:val="20"/>
                                  </w:rPr>
                                </w:pPr>
                                <w:r>
                                  <w:rPr>
                                    <w:rFonts w:ascii="Arial" w:hAnsi="Arial" w:cs="Arial"/>
                                    <w:sz w:val="20"/>
                                  </w:rPr>
                                  <w:t>30-35</w:t>
                                </w:r>
                              </w:p>
                            </w:tc>
                            <w:tc>
                              <w:tcPr>
                                <w:tcW w:w="1806" w:type="pct"/>
                              </w:tcPr>
                              <w:p>
                                <w:pPr>
                                  <w:jc w:val="center"/>
                                  <w:rPr>
                                    <w:rFonts w:ascii="Arial" w:hAnsi="Arial" w:cs="Arial"/>
                                    <w:sz w:val="20"/>
                                  </w:rPr>
                                </w:pPr>
                                <w:r>
                                  <w:rPr>
                                    <w:rFonts w:ascii="Arial" w:hAnsi="Arial" w:cs="Arial"/>
                                    <w:sz w:val="20"/>
                                  </w:rPr>
                                  <w:t>20</w:t>
                                </w:r>
                              </w:p>
                            </w:tc>
                          </w:tr>
                        </w:tbl>
                        <w:p>
                          <w:pPr>
                            <w:spacing w:line="259" w:lineRule="auto"/>
                            <w:jc w:val="center"/>
                            <w:rPr>
                              <w:rFonts w:ascii="Arial" w:eastAsia="SegoeUI" w:hAnsi="Arial" w:cs="Arial"/>
                              <w:i/>
                              <w:iCs/>
                              <w:sz w:val="20"/>
                            </w:rPr>
                          </w:pPr>
                          <w:r>
                            <w:rPr>
                              <w:rFonts w:ascii="Arial" w:eastAsia="SegoeUI" w:hAnsi="Arial" w:cs="Arial"/>
                              <w:i/>
                              <w:iCs/>
                              <w:sz w:val="20"/>
                            </w:rPr>
                            <w:t>Šaltinis: Šuksteris V. Studijos ataskaita „Požeminės šiluminės energijos panaudojimo pastatų šildymui ir vėsinimui šalyje galimybių įvertinimas ir rekomendacijų dėl šios energijos panaudojimo minėtiems tikslams parengimas“. 2007, AF-Terma, Kaunas, 108 p.</w:t>
                          </w:r>
                        </w:p>
                        <w:p>
                          <w:pPr>
                            <w:rPr>
                              <w:sz w:val="14"/>
                              <w:szCs w:val="14"/>
                            </w:rPr>
                          </w:pPr>
                        </w:p>
                      </w:sdtContent>
                    </w:sdt>
                    <w:sdt>
                      <w:sdtPr>
                        <w:alias w:val="4.8.2 pp."/>
                        <w:tag w:val="part_feed7e41254b44a68b68035150946a75"/>
                        <w:lock w:val="sdtLocked"/>
                        <w:richText/>
                      </w:sdtPr>
                      <w:sdtContent>
                        <w:p>
                          <w:pPr>
                            <w:spacing w:line="259" w:lineRule="auto"/>
                            <w:jc w:val="center"/>
                            <w:rPr>
                              <w:rFonts w:ascii="Arial" w:eastAsia="Calibri" w:hAnsi="Arial"/>
                              <w:b/>
                              <w:color w:val="002060"/>
                              <w:sz w:val="22"/>
                              <w:szCs w:val="32"/>
                            </w:rPr>
                          </w:pPr>
                          <w:sdt>
                            <w:sdtPr>
                              <w:alias w:val="Numeris"/>
                              <w:tag w:val="nr_feed7e41254b44a68b68035150946a75"/>
                              <w:lock w:val="sdtLocked"/>
                              <w:richText/>
                            </w:sdtPr>
                            <w:sdtContent>
                              <w:r>
                                <w:rPr>
                                  <w:rFonts w:ascii="Arial" w:eastAsia="Calibri" w:hAnsi="Arial"/>
                                  <w:b/>
                                  <w:color w:val="002060"/>
                                  <w:sz w:val="22"/>
                                  <w:szCs w:val="32"/>
                                </w:rPr>
                                <w:t>4.8.2</w:t>
                              </w:r>
                            </w:sdtContent>
                          </w:sdt>
                          <w:r>
                            <w:rPr>
                              <w:rFonts w:ascii="Arial" w:eastAsia="Calibri" w:hAnsi="Arial"/>
                              <w:b/>
                              <w:color w:val="002060"/>
                              <w:sz w:val="22"/>
                              <w:szCs w:val="32"/>
                            </w:rPr>
                            <w:t>. lentelė. Grunto šilumos energijos emisija naudojant vertikalių kolektorių sistemą</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6233"/>
                            <w:gridCol w:w="1670"/>
                            <w:gridCol w:w="2292"/>
                          </w:tblGrid>
                          <w:tr>
                            <w:tc>
                              <w:tcPr>
                                <w:tcW w:w="3057" w:type="pct"/>
                              </w:tcPr>
                              <w:p>
                                <w:pPr>
                                  <w:jc w:val="center"/>
                                  <w:rPr>
                                    <w:rFonts w:ascii="Arial" w:hAnsi="Arial" w:cs="Arial"/>
                                    <w:sz w:val="20"/>
                                  </w:rPr>
                                </w:pPr>
                                <w:r>
                                  <w:rPr>
                                    <w:rFonts w:ascii="Arial" w:hAnsi="Arial" w:cs="Arial"/>
                                    <w:sz w:val="20"/>
                                  </w:rPr>
                                  <w:t>Grunto tipas</w:t>
                                </w:r>
                              </w:p>
                            </w:tc>
                            <w:tc>
                              <w:tcPr>
                                <w:tcW w:w="819" w:type="pct"/>
                              </w:tcPr>
                              <w:p>
                                <w:pPr>
                                  <w:jc w:val="center"/>
                                  <w:rPr>
                                    <w:rFonts w:ascii="Arial" w:hAnsi="Arial" w:cs="Arial"/>
                                    <w:sz w:val="20"/>
                                    <w:highlight w:val="yellow"/>
                                  </w:rPr>
                                </w:pPr>
                                <w:r>
                                  <w:rPr>
                                    <w:rFonts w:ascii="Arial" w:hAnsi="Arial" w:cs="Arial"/>
                                    <w:sz w:val="20"/>
                                  </w:rPr>
                                  <w:t>Šilumos energijos emisija W/m</w:t>
                                </w:r>
                                <w:r>
                                  <w:rPr>
                                    <w:rFonts w:ascii="Arial" w:hAnsi="Arial" w:cs="Arial"/>
                                    <w:sz w:val="20"/>
                                    <w:vertAlign w:val="superscript"/>
                                  </w:rPr>
                                  <w:t>2</w:t>
                                </w:r>
                              </w:p>
                            </w:tc>
                            <w:tc>
                              <w:tcPr>
                                <w:tcW w:w="1124" w:type="pct"/>
                              </w:tcPr>
                              <w:p>
                                <w:pPr>
                                  <w:jc w:val="center"/>
                                  <w:rPr>
                                    <w:rFonts w:ascii="Arial" w:hAnsi="Arial" w:cs="Arial"/>
                                    <w:sz w:val="20"/>
                                  </w:rPr>
                                </w:pPr>
                                <w:r>
                                  <w:rPr>
                                    <w:rFonts w:ascii="Arial" w:hAnsi="Arial" w:cs="Arial"/>
                                    <w:sz w:val="20"/>
                                  </w:rPr>
                                  <w:t>Reikalingas plotas 1 kW šiluminės energijos išgauti m</w:t>
                                </w:r>
                                <w:r>
                                  <w:rPr>
                                    <w:rFonts w:ascii="Arial" w:hAnsi="Arial" w:cs="Arial"/>
                                    <w:sz w:val="20"/>
                                    <w:vertAlign w:val="superscript"/>
                                  </w:rPr>
                                  <w:t>2</w:t>
                                </w:r>
                              </w:p>
                            </w:tc>
                          </w:tr>
                          <w:tr>
                            <w:trPr>
                              <w:trHeight w:val="20"/>
                            </w:trPr>
                            <w:tc>
                              <w:tcPr>
                                <w:tcW w:w="3057" w:type="pct"/>
                              </w:tcPr>
                              <w:p>
                                <w:pPr>
                                  <w:jc w:val="both"/>
                                  <w:rPr>
                                    <w:rFonts w:ascii="Arial" w:hAnsi="Arial" w:cs="Arial"/>
                                    <w:sz w:val="20"/>
                                  </w:rPr>
                                </w:pPr>
                                <w:r>
                                  <w:rPr>
                                    <w:rFonts w:ascii="Arial" w:hAnsi="Arial" w:cs="Arial"/>
                                    <w:sz w:val="20"/>
                                  </w:rPr>
                                  <w:t>Sausas, nebirus</w:t>
                                </w:r>
                              </w:p>
                            </w:tc>
                            <w:tc>
                              <w:tcPr>
                                <w:tcW w:w="819" w:type="pct"/>
                              </w:tcPr>
                              <w:p>
                                <w:pPr>
                                  <w:jc w:val="center"/>
                                  <w:rPr>
                                    <w:rFonts w:ascii="Arial" w:hAnsi="Arial" w:cs="Arial"/>
                                    <w:sz w:val="20"/>
                                  </w:rPr>
                                </w:pPr>
                                <w:r>
                                  <w:rPr>
                                    <w:rFonts w:ascii="Arial" w:hAnsi="Arial" w:cs="Arial"/>
                                    <w:sz w:val="20"/>
                                  </w:rPr>
                                  <w:t>30</w:t>
                                </w:r>
                              </w:p>
                            </w:tc>
                            <w:tc>
                              <w:tcPr>
                                <w:tcW w:w="1124" w:type="pct"/>
                              </w:tcPr>
                              <w:p>
                                <w:pPr>
                                  <w:jc w:val="center"/>
                                  <w:rPr>
                                    <w:rFonts w:ascii="Arial" w:hAnsi="Arial" w:cs="Arial"/>
                                    <w:sz w:val="20"/>
                                  </w:rPr>
                                </w:pPr>
                                <w:r>
                                  <w:rPr>
                                    <w:rFonts w:ascii="Arial" w:hAnsi="Arial" w:cs="Arial"/>
                                    <w:sz w:val="20"/>
                                  </w:rPr>
                                  <w:t>25</w:t>
                                </w:r>
                              </w:p>
                            </w:tc>
                          </w:tr>
                          <w:tr>
                            <w:trPr>
                              <w:trHeight w:val="20"/>
                            </w:trPr>
                            <w:tc>
                              <w:tcPr>
                                <w:tcW w:w="3057" w:type="pct"/>
                              </w:tcPr>
                              <w:p>
                                <w:pPr>
                                  <w:jc w:val="both"/>
                                  <w:rPr>
                                    <w:rFonts w:ascii="Arial" w:hAnsi="Arial" w:cs="Arial"/>
                                    <w:sz w:val="20"/>
                                  </w:rPr>
                                </w:pPr>
                                <w:r>
                                  <w:rPr>
                                    <w:rFonts w:ascii="Arial" w:hAnsi="Arial" w:cs="Arial"/>
                                    <w:sz w:val="20"/>
                                  </w:rPr>
                                  <w:t>Drėgnas, vientisas</w:t>
                                </w:r>
                              </w:p>
                            </w:tc>
                            <w:tc>
                              <w:tcPr>
                                <w:tcW w:w="819" w:type="pct"/>
                              </w:tcPr>
                              <w:p>
                                <w:pPr>
                                  <w:jc w:val="center"/>
                                  <w:rPr>
                                    <w:rFonts w:ascii="Arial" w:hAnsi="Arial" w:cs="Arial"/>
                                    <w:sz w:val="20"/>
                                  </w:rPr>
                                </w:pPr>
                                <w:r>
                                  <w:rPr>
                                    <w:rFonts w:ascii="Arial" w:hAnsi="Arial" w:cs="Arial"/>
                                    <w:sz w:val="20"/>
                                  </w:rPr>
                                  <w:t>60</w:t>
                                </w:r>
                              </w:p>
                            </w:tc>
                            <w:tc>
                              <w:tcPr>
                                <w:tcW w:w="1124" w:type="pct"/>
                              </w:tcPr>
                              <w:p>
                                <w:pPr>
                                  <w:jc w:val="center"/>
                                  <w:rPr>
                                    <w:rFonts w:ascii="Arial" w:hAnsi="Arial" w:cs="Arial"/>
                                    <w:sz w:val="20"/>
                                  </w:rPr>
                                </w:pPr>
                                <w:r>
                                  <w:rPr>
                                    <w:rFonts w:ascii="Arial" w:hAnsi="Arial" w:cs="Arial"/>
                                    <w:sz w:val="20"/>
                                  </w:rPr>
                                  <w:t>13</w:t>
                                </w:r>
                              </w:p>
                            </w:tc>
                          </w:tr>
                          <w:tr>
                            <w:trPr>
                              <w:trHeight w:val="20"/>
                            </w:trPr>
                            <w:tc>
                              <w:tcPr>
                                <w:tcW w:w="3057" w:type="pct"/>
                              </w:tcPr>
                              <w:p>
                                <w:pPr>
                                  <w:jc w:val="both"/>
                                  <w:rPr>
                                    <w:rFonts w:ascii="Arial" w:hAnsi="Arial" w:cs="Arial"/>
                                    <w:sz w:val="20"/>
                                  </w:rPr>
                                </w:pPr>
                                <w:r>
                                  <w:rPr>
                                    <w:rFonts w:ascii="Arial" w:hAnsi="Arial" w:cs="Arial"/>
                                    <w:sz w:val="20"/>
                                  </w:rPr>
                                  <w:t>Šlapias, vientisas</w:t>
                                </w:r>
                              </w:p>
                            </w:tc>
                            <w:tc>
                              <w:tcPr>
                                <w:tcW w:w="819" w:type="pct"/>
                              </w:tcPr>
                              <w:p>
                                <w:pPr>
                                  <w:jc w:val="center"/>
                                  <w:rPr>
                                    <w:rFonts w:ascii="Arial" w:hAnsi="Arial" w:cs="Arial"/>
                                    <w:sz w:val="20"/>
                                  </w:rPr>
                                </w:pPr>
                                <w:r>
                                  <w:rPr>
                                    <w:rFonts w:ascii="Arial" w:hAnsi="Arial" w:cs="Arial"/>
                                    <w:sz w:val="20"/>
                                  </w:rPr>
                                  <w:t>80</w:t>
                                </w:r>
                              </w:p>
                            </w:tc>
                            <w:tc>
                              <w:tcPr>
                                <w:tcW w:w="1124" w:type="pct"/>
                              </w:tcPr>
                              <w:p>
                                <w:pPr>
                                  <w:jc w:val="center"/>
                                  <w:rPr>
                                    <w:rFonts w:ascii="Arial" w:hAnsi="Arial" w:cs="Arial"/>
                                    <w:sz w:val="20"/>
                                  </w:rPr>
                                </w:pPr>
                                <w:r>
                                  <w:rPr>
                                    <w:rFonts w:ascii="Arial" w:hAnsi="Arial" w:cs="Arial"/>
                                    <w:sz w:val="20"/>
                                  </w:rPr>
                                  <w:t>10</w:t>
                                </w:r>
                              </w:p>
                            </w:tc>
                          </w:tr>
                        </w:tbl>
                        <w:p>
                          <w:pPr>
                            <w:spacing w:line="259" w:lineRule="auto"/>
                            <w:jc w:val="center"/>
                            <w:rPr>
                              <w:rFonts w:ascii="Arial" w:eastAsia="SegoeUI" w:hAnsi="Arial" w:cs="Arial"/>
                              <w:i/>
                              <w:iCs/>
                              <w:sz w:val="20"/>
                            </w:rPr>
                          </w:pPr>
                          <w:r>
                            <w:rPr>
                              <w:rFonts w:ascii="Arial" w:eastAsia="SegoeUI" w:hAnsi="Arial" w:cs="Arial"/>
                              <w:i/>
                              <w:iCs/>
                              <w:sz w:val="20"/>
                            </w:rPr>
                            <w:t>Šaltinis: Šuksteris V. Studijos ataskaita „Požeminės šiluminės energijos panaudojimo pastatų šildymui ir vėsinimui šalyje galimybių įvertinimas ir rekomendacijų dėl šios energijos panaudojimo minėtiems tikslams parengimas“. 2007, AF-Terma, Kaunas, 108 p.</w:t>
                          </w:r>
                        </w:p>
                        <w:p>
                          <w:pPr>
                            <w:rPr>
                              <w:sz w:val="14"/>
                              <w:szCs w:val="14"/>
                            </w:rPr>
                          </w:pPr>
                        </w:p>
                        <w:p>
                          <w:pPr>
                            <w:spacing w:line="259" w:lineRule="auto"/>
                            <w:ind w:firstLine="567"/>
                            <w:jc w:val="both"/>
                            <w:rPr>
                              <w:rFonts w:ascii="Arial" w:hAnsi="Arial" w:cs="Arial"/>
                              <w:b/>
                              <w:bCs/>
                              <w:sz w:val="22"/>
                            </w:rPr>
                          </w:pPr>
                          <w:r>
                            <w:rPr>
                              <w:rFonts w:ascii="Arial" w:hAnsi="Arial" w:cs="Arial"/>
                              <w:sz w:val="22"/>
                            </w:rPr>
                            <w:t xml:space="preserve">Šios energijos emisijos vertės apskaičiuotos trims sąlyginiams grunto tipams. Nesant informacijos apie grunto tipų pasiskirstymą </w:t>
                          </w:r>
                          <w:r>
                            <w:rPr>
                              <w:rFonts w:ascii="Arial" w:eastAsia="Calibri" w:hAnsi="Arial" w:cs="Arial"/>
                              <w:sz w:val="22"/>
                              <w:szCs w:val="23"/>
                            </w:rPr>
                            <w:t xml:space="preserve">Joniškio rajono </w:t>
                          </w:r>
                          <w:r>
                            <w:rPr>
                              <w:rFonts w:ascii="Arial" w:hAnsi="Arial" w:cs="Arial"/>
                              <w:sz w:val="22"/>
                            </w:rPr>
                            <w:t>savivaldybėje daroma prielaida, kad horizontalių kolektorių įrengimo atveju 1 kW šiluminės energijos išgauti reikalingas apie 35 m</w:t>
                          </w:r>
                          <w:r>
                            <w:rPr>
                              <w:rFonts w:ascii="Arial" w:hAnsi="Arial" w:cs="Arial"/>
                              <w:sz w:val="22"/>
                              <w:vertAlign w:val="superscript"/>
                            </w:rPr>
                            <w:t>2</w:t>
                          </w:r>
                          <w:r>
                            <w:rPr>
                              <w:rFonts w:ascii="Arial" w:hAnsi="Arial" w:cs="Arial"/>
                              <w:sz w:val="22"/>
                            </w:rPr>
                            <w:t xml:space="preserve"> plotas. Šilumos siurbliai įrengiami kuo arčiau vartotojų, todėl potencialas skaičiuojamas tik užstatytai Joniškio rajono savivaldybės teritorijai (kuri pagal LR žemės fondo 2018 m. sausio 1 d. duomenis yra 3 142,73 ha), atėmus pastatų užimamą plotą. Nekilnojamojo turto registro 2018 m. sausio 1 d. duomenimis, pastatų užimamas plotas </w:t>
                          </w:r>
                          <w:r>
                            <w:rPr>
                              <w:rFonts w:ascii="Arial" w:eastAsia="Calibri" w:hAnsi="Arial" w:cs="Arial"/>
                              <w:sz w:val="22"/>
                              <w:szCs w:val="23"/>
                            </w:rPr>
                            <w:t xml:space="preserve">Joniškio rajono </w:t>
                          </w:r>
                          <w:r>
                            <w:rPr>
                              <w:rFonts w:ascii="Arial" w:hAnsi="Arial" w:cs="Arial"/>
                              <w:sz w:val="22"/>
                            </w:rPr>
                            <w:t xml:space="preserve">savivaldybėje sudaro apie 297,27 ha. Taigi, teritorijos plotas kuriame galima įrengti horizontalius šilumos kolektorius yra apie 2 845,46 ha. Atsižvelgiant į tai grunto šiluminės galios techninis potencialas </w:t>
                          </w:r>
                          <w:r>
                            <w:rPr>
                              <w:rFonts w:ascii="Arial" w:eastAsia="Calibri" w:hAnsi="Arial" w:cs="Arial"/>
                              <w:sz w:val="22"/>
                              <w:szCs w:val="23"/>
                            </w:rPr>
                            <w:t xml:space="preserve">Joniškio rajono </w:t>
                          </w:r>
                          <w:r>
                            <w:rPr>
                              <w:rFonts w:ascii="Arial" w:hAnsi="Arial" w:cs="Arial"/>
                              <w:sz w:val="22"/>
                            </w:rPr>
                            <w:t xml:space="preserve">savivaldybėje lygus apie 814 MW, arba apie 7 129 GWh šilumos energijos. Darant prielaidą, kad šilumos siurblių galios išnaudojimo koeficientas lygus 0,5 (ribotas patalpų šildymo poreikis per metus ir per parą), energijos techninis potencialas sumažinamas perpus, iki </w:t>
                          </w:r>
                          <w:r>
                            <w:rPr>
                              <w:rFonts w:ascii="Arial" w:hAnsi="Arial" w:cs="Arial"/>
                              <w:b/>
                              <w:bCs/>
                              <w:sz w:val="22"/>
                            </w:rPr>
                            <w:t>3 564 GWh (306 543 tne).</w:t>
                          </w:r>
                        </w:p>
                        <w:p>
                          <w:pPr>
                            <w:rPr>
                              <w:sz w:val="14"/>
                              <w:szCs w:val="14"/>
                            </w:rPr>
                          </w:pPr>
                        </w:p>
                        <w:p>
                          <w:pPr>
                            <w:spacing w:line="259" w:lineRule="auto"/>
                            <w:ind w:firstLine="567"/>
                            <w:jc w:val="both"/>
                            <w:rPr>
                              <w:rFonts w:ascii="Arial" w:hAnsi="Arial" w:cs="Arial"/>
                              <w:sz w:val="22"/>
                            </w:rPr>
                          </w:pPr>
                          <w:r>
                            <w:rPr>
                              <w:rFonts w:ascii="Arial" w:hAnsi="Arial" w:cs="Arial"/>
                              <w:sz w:val="22"/>
                            </w:rPr>
                            <w:t>Įrengiant vertikalius kolektorius grunto šilumos energijos potencialas dar didesnis, nes gręžiniui reikalingas mažesnis žemės plotas.</w:t>
                          </w:r>
                        </w:p>
                        <w:p>
                          <w:pPr>
                            <w:rPr>
                              <w:sz w:val="14"/>
                              <w:szCs w:val="14"/>
                            </w:rPr>
                          </w:pPr>
                        </w:p>
                        <w:p>
                          <w:pPr>
                            <w:spacing w:line="259" w:lineRule="auto"/>
                            <w:ind w:firstLine="567"/>
                            <w:jc w:val="both"/>
                            <w:rPr>
                              <w:rFonts w:ascii="Arial" w:hAnsi="Arial" w:cs="Arial"/>
                              <w:sz w:val="22"/>
                            </w:rPr>
                          </w:pPr>
                          <w:r>
                            <w:rPr>
                              <w:rFonts w:ascii="Arial" w:hAnsi="Arial" w:cs="Arial"/>
                              <w:sz w:val="22"/>
                            </w:rPr>
                            <w:t>Kalbant apie šilumos siurblius paminėtini ir aeroterminę energiją naudojantys šilumos siurbliai „oras-oras“ arba „oras-vanduo“. Šio tipo šilumos siurblių efektyvumo koeficientas yra mažesnis nei geoterminių, nes priklauso nuo aplinkos oro temperatūros, kuriai nukritus žemiau -20ºC didžioji dalis aeroterminių šilumos siurblių veikia kaip paprasti rezistoriniai elektriniai šildytuvai. Aeroterminės energijos techninį potencialą riboja tik technologijų efektyvumas ir vartotojų energijos poreikis. Techninis potencialas vertinamas tik individualiems gyvenamiesiems namams ir tik šildymo bei karšto vandens poreikiams tenkinti. Laikoma, kad daugiabučių namų butuose, kuriose nėra individualios šilumos energijos apskaitos, aeroterminius šilumos siurblius įsirengti netikslinga.</w:t>
                          </w:r>
                        </w:p>
                        <w:p>
                          <w:pPr>
                            <w:rPr>
                              <w:sz w:val="14"/>
                              <w:szCs w:val="14"/>
                            </w:rPr>
                          </w:pPr>
                        </w:p>
                        <w:p>
                          <w:pPr>
                            <w:spacing w:line="259" w:lineRule="auto"/>
                            <w:ind w:firstLine="567"/>
                            <w:jc w:val="both"/>
                            <w:rPr>
                              <w:rFonts w:ascii="Arial" w:hAnsi="Arial" w:cs="Arial"/>
                              <w:b/>
                              <w:bCs/>
                              <w:sz w:val="22"/>
                            </w:rPr>
                          </w:pPr>
                          <w:r>
                            <w:rPr>
                              <w:rFonts w:ascii="Arial" w:hAnsi="Arial" w:cs="Arial"/>
                              <w:sz w:val="22"/>
                            </w:rPr>
                            <w:t>Joniškio rajono savivaldybėje 2018 m. pradžioje buvo įregistruoti 7 309 individualūs namai, kurių bendras plotas 747 134 m</w:t>
                          </w:r>
                          <w:r>
                            <w:rPr>
                              <w:rFonts w:ascii="Arial" w:hAnsi="Arial" w:cs="Arial"/>
                              <w:sz w:val="22"/>
                              <w:vertAlign w:val="superscript"/>
                            </w:rPr>
                            <w:t>2</w:t>
                          </w:r>
                          <w:r>
                            <w:rPr>
                              <w:rFonts w:ascii="Arial" w:hAnsi="Arial" w:cs="Arial"/>
                              <w:sz w:val="22"/>
                            </w:rPr>
                            <w:t>. Nagrinėjant aeroterminio šilumos siurblio įrengimo individualiame name galimybes, daroma prielaida, kad 150–200 m</w:t>
                          </w:r>
                          <w:r>
                            <w:rPr>
                              <w:rFonts w:ascii="Arial" w:hAnsi="Arial" w:cs="Arial"/>
                              <w:sz w:val="22"/>
                              <w:vertAlign w:val="superscript"/>
                            </w:rPr>
                            <w:t>2</w:t>
                          </w:r>
                          <w:r>
                            <w:rPr>
                              <w:rFonts w:ascii="Arial" w:hAnsi="Arial" w:cs="Arial"/>
                              <w:sz w:val="22"/>
                            </w:rPr>
                            <w:t xml:space="preserve"> ploto individualaus namo, kurio energinio efektyvumo klasė A, metinis šilumos poreikis šildymui ir karštam vandeniui (3 asmenų šeimai) – apie 7,72 MWh. Kadangi ne visi individualūs namai yra aukšto energinio efektyvumo, daroma prielaida, kad potencialo vertinimui yra tinkami apie 50 % visų individualių namų, t. y. apie 3 655 vnt., kurių bendras plotas apie 373 567 m</w:t>
                          </w:r>
                          <w:r>
                            <w:rPr>
                              <w:rFonts w:ascii="Arial" w:hAnsi="Arial" w:cs="Arial"/>
                              <w:sz w:val="22"/>
                              <w:vertAlign w:val="superscript"/>
                            </w:rPr>
                            <w:t>2</w:t>
                          </w:r>
                          <w:r>
                            <w:rPr>
                              <w:rFonts w:ascii="Arial" w:hAnsi="Arial" w:cs="Arial"/>
                              <w:sz w:val="22"/>
                            </w:rPr>
                            <w:t xml:space="preserve">. Bendras apytikslis šilumos energijos poreikis siektų apie 28 213 MWh, kurio apie 90 % būtų patenkinama naudojant aeroterminius šilumos siurblius (likę 10 % šilumos pagaminami elektriniais šildytuvais arba naudojant rezervinį šilumos gamybos įrenginį). Taigi aeroterminės energijos techninis potencialas </w:t>
                          </w:r>
                          <w:r>
                            <w:rPr>
                              <w:rFonts w:ascii="Arial" w:eastAsia="Calibri" w:hAnsi="Arial" w:cs="Arial"/>
                              <w:sz w:val="22"/>
                              <w:szCs w:val="23"/>
                            </w:rPr>
                            <w:t xml:space="preserve">Joniškio rajono </w:t>
                          </w:r>
                          <w:r>
                            <w:rPr>
                              <w:rFonts w:ascii="Arial" w:hAnsi="Arial" w:cs="Arial"/>
                              <w:sz w:val="22"/>
                            </w:rPr>
                            <w:t xml:space="preserve">savivaldybėje siekia apie </w:t>
                          </w:r>
                          <w:r>
                            <w:rPr>
                              <w:rFonts w:ascii="Arial" w:hAnsi="Arial" w:cs="Arial"/>
                              <w:b/>
                              <w:bCs/>
                              <w:sz w:val="22"/>
                            </w:rPr>
                            <w:t>25 391 MWh (2 183,67 tne).</w:t>
                          </w:r>
                        </w:p>
                        <w:p>
                          <w:pPr>
                            <w:rPr>
                              <w:sz w:val="14"/>
                              <w:szCs w:val="14"/>
                            </w:rPr>
                          </w:pPr>
                        </w:p>
                        <w:p>
                          <w:pPr>
                            <w:spacing w:line="259" w:lineRule="auto"/>
                            <w:ind w:firstLine="567"/>
                            <w:jc w:val="both"/>
                            <w:rPr>
                              <w:rFonts w:ascii="Arial" w:hAnsi="Arial" w:cs="Arial"/>
                              <w:sz w:val="22"/>
                            </w:rPr>
                          </w:pPr>
                          <w:r>
                            <w:rPr>
                              <w:rFonts w:ascii="Arial" w:hAnsi="Arial" w:cs="Arial"/>
                              <w:sz w:val="22"/>
                            </w:rPr>
                            <w:t>Apibendrinant galima teigti, kad sekliosios geoterminės energijos techninis potencialas trylika kartų viršija Joniškio rajono savivaldybės šilumos energijos poreikius. Dėl gruntų įvairovės, skirtingų gręžinių šiluminių savybių ir šilumos siurblių įvairovės sudėtinga įvertinti šilumos siurblių panaudojimo ekonominį potencialą.</w:t>
                          </w:r>
                        </w:p>
                        <w:p>
                          <w:pPr>
                            <w:rPr>
                              <w:sz w:val="14"/>
                              <w:szCs w:val="14"/>
                            </w:rPr>
                          </w:pPr>
                        </w:p>
                      </w:sdtContent>
                    </w:sdt>
                  </w:sdtContent>
                </w:sdt>
                <w:sdt>
                  <w:sdtPr>
                    <w:alias w:val="4.9 pp."/>
                    <w:tag w:val="part_2889097d649349a49d2712a440d4734b"/>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2889097d649349a49d2712a440d4734b"/>
                          <w:lock w:val="sdtLocked"/>
                          <w:richText/>
                        </w:sdtPr>
                        <w:sdtContent>
                          <w:r>
                            <w:rPr>
                              <w:rFonts w:ascii="Arial" w:eastAsia="SegoeUI" w:hAnsi="Arial" w:cs="Arial"/>
                              <w:b/>
                              <w:color w:val="002060"/>
                              <w:szCs w:val="26"/>
                            </w:rPr>
                            <w:t>4.9</w:t>
                          </w:r>
                        </w:sdtContent>
                      </w:sdt>
                      <w:r>
                        <w:rPr>
                          <w:rFonts w:ascii="Arial" w:eastAsia="SegoeUI" w:hAnsi="Arial" w:cs="Arial"/>
                          <w:b/>
                          <w:color w:val="002060"/>
                          <w:szCs w:val="26"/>
                        </w:rPr>
                        <w:t>. Hidroenergijos ištekliai</w:t>
                      </w:r>
                    </w:p>
                    <w:p>
                      <w:pPr>
                        <w:rPr>
                          <w:sz w:val="14"/>
                          <w:szCs w:val="14"/>
                        </w:rPr>
                      </w:pPr>
                    </w:p>
                    <w:p>
                      <w:pPr>
                        <w:spacing w:line="259" w:lineRule="auto"/>
                        <w:ind w:firstLine="567"/>
                        <w:jc w:val="both"/>
                        <w:rPr>
                          <w:rFonts w:ascii="Arial" w:hAnsi="Arial" w:cs="Arial"/>
                          <w:sz w:val="22"/>
                        </w:rPr>
                      </w:pPr>
                      <w:r>
                        <w:rPr>
                          <w:rFonts w:ascii="Arial" w:hAnsi="Arial" w:cs="Arial"/>
                          <w:sz w:val="22"/>
                        </w:rPr>
                        <w:t>Aplinkosaugos reikalavimai hidroenergetikai Lietuvoje tarp griežčiausių iš visų ES šalių, todėl galimybės plačiau naudoti hidroenergijos išteklius yra ribotos. Tačiau hidroenergija yra pigiausia, o efektyvumas gali siekti net 90 %.</w:t>
                      </w:r>
                      <w:r>
                        <w:rPr>
                          <w:rFonts w:ascii="Arial" w:hAnsi="Arial" w:cs="Arial"/>
                          <w:sz w:val="22"/>
                          <w:vertAlign w:val="superscript"/>
                        </w:rPr>
                        <w:footnoteReference w:id="28"/>
                        <w:t xml:space="preserve"> </w:t>
                      </w:r>
                      <w:r>
                        <w:rPr>
                          <w:rFonts w:ascii="Arial" w:hAnsi="Arial" w:cs="Arial"/>
                          <w:sz w:val="22"/>
                        </w:rPr>
                        <w:t>Hidroenergija užtikrina nepertraukiamą energijos gamybą, kuri yra pigi, palyginti su kitais energijos ištekliais. Tekančio vandens kinetinę energiją galima panaudoti tiesiogiai, tačiau ji yra menka, o įrengimai nenašūs. Todėl dažniausiai panaudojama vandens tėkmės potencinė energija, kuri specialių įrenginių (turbinų) pagalba verčiama į elektros energiją.</w:t>
                      </w:r>
                      <w:r>
                        <w:rPr>
                          <w:rFonts w:ascii="Arial" w:hAnsi="Arial" w:cs="Arial"/>
                          <w:sz w:val="22"/>
                          <w:vertAlign w:val="superscript"/>
                        </w:rPr>
                        <w:footnoteReference w:id="29"/>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Hidroenergijos potencialą nusako hidrogalios dydis, tenkantis 1 km ilgio upės ruožui (kW/km). Hidroenergetiniu požiūriu reikšmingi tik tie upių ruožai, kurių kilometrinė galia didesnė nei 20 kW/km. Pagal šį rodiklį didžiausią reikšmę Lietuvoje turi Nemuno ir Neries hidrogalia, hidroenergetiniu atžvilgiu tai yra pačios efektyviausios šalies upės. Nemuno vidutinė kilometrinė galia yra 575 kW/km. Visos kitos upės laikomos mažą hidroenergijos potencialą turinčiais šaltiniais. Didžiausia elektrinė Lietuvoje, naudojanti AEI elektros energijos gamybai, yra Kauno Algirdo Brazausko hidroelektrinė.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Lietuva yra suskirstyta į keturias hidrologines sritis: Baltijos pajūrio, Žemaičių aukštumos, Vidurio Lietuvos ir Pietryčių. </w:t>
                      </w:r>
                      <w:r>
                        <w:rPr>
                          <w:rFonts w:ascii="Arial" w:eastAsia="Calibri" w:hAnsi="Arial" w:cs="Arial"/>
                          <w:sz w:val="22"/>
                          <w:szCs w:val="23"/>
                        </w:rPr>
                        <w:t xml:space="preserve">Joniškio rajono </w:t>
                      </w:r>
                      <w:r>
                        <w:rPr>
                          <w:rFonts w:ascii="Arial" w:hAnsi="Arial" w:cs="Arial"/>
                          <w:sz w:val="22"/>
                        </w:rPr>
                        <w:t xml:space="preserve">savivaldybės apylinkėse tekančios upės ir esantys ežerai bei tvenkiniai priklauso Nemunėlio baseinui. </w:t>
                      </w:r>
                    </w:p>
                    <w:p>
                      <w:pPr>
                        <w:rPr>
                          <w:sz w:val="14"/>
                          <w:szCs w:val="14"/>
                        </w:rPr>
                      </w:pPr>
                    </w:p>
                    <w:p>
                      <w:pPr>
                        <w:spacing w:line="259" w:lineRule="auto"/>
                        <w:jc w:val="center"/>
                        <w:rPr>
                          <w:rFonts w:ascii="Arial" w:hAnsi="Arial" w:cs="Arial"/>
                          <w:sz w:val="22"/>
                        </w:rPr>
                      </w:pPr>
                      <w:r>
                        <w:rPr>
                          <w:rFonts w:ascii="Arial" w:hAnsi="Arial" w:cs="Arial"/>
                          <w:sz w:val="22"/>
                          <w:lang w:val="en-US"/>
                        </w:rPr>
                        <w:drawing>
                          <wp:inline distT="0" distB="0" distL="0" distR="0" wp14:anchorId="00C6ABAD" wp14:editId="60B4CE15">
                            <wp:extent cx="4902200" cy="3576955"/>
                            <wp:effectExtent l="76200" t="38100" r="69850" b="118745"/>
                            <wp:docPr id="52" name="Paveikslėlis 52" descr="Paveikslėlis, kuriame yra žemėlap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aveikslėlis 52" descr="Paveikslėlis, kuriame yra žemėlapis  Automatiškai sugeneruotas aprašymas"/>
                                    <pic:cNvPicPr/>
                                  </pic:nvPicPr>
                                  <pic:blipFill>
                                    <a:blip r:embed="rId26">
                                      <a:extLst>
                                        <a:ext uri="{28A0092B-C50C-407E-A947-70E740481C1C}">
                                          <a14:useLocalDpi xmlns:a14="http://schemas.microsoft.com/office/drawing/2010/main" val="0"/>
                                        </a:ext>
                                      </a:extLst>
                                    </a:blip>
                                    <a:stretch>
                                      <a:fillRect/>
                                    </a:stretch>
                                  </pic:blipFill>
                                  <pic:spPr>
                                    <a:xfrm>
                                      <a:off x="0" y="0"/>
                                      <a:ext cx="4902200" cy="3576955"/>
                                    </a:xfrm>
                                    <a:prstGeom prst="rect">
                                      <a:avLst/>
                                    </a:prstGeom>
                                    <a:ln w="3175" cap="sq">
                                      <a:solidFill>
                                        <a:schemeClr val="tx1">
                                          <a:lumMod val="50000"/>
                                          <a:lumOff val="50000"/>
                                        </a:schemeClr>
                                      </a:solidFill>
                                      <a:prstDash val="solid"/>
                                      <a:miter lim="800000"/>
                                    </a:ln>
                                    <a:effectLst>
                                      <a:outerShdw blurRad="50800" dist="38100" dir="5400000" algn="t" rotWithShape="0">
                                        <a:prstClr val="black">
                                          <a:alpha val="40000"/>
                                        </a:prstClr>
                                      </a:outerShdw>
                                    </a:effectLst>
                                  </pic:spPr>
                                </pic:pic>
                              </a:graphicData>
                            </a:graphic>
                          </wp:inline>
                        </w:drawing>
                      </w:r>
                    </w:p>
                    <w:p>
                      <w:pPr>
                        <w:rPr>
                          <w:sz w:val="14"/>
                          <w:szCs w:val="14"/>
                        </w:rPr>
                      </w:pPr>
                    </w:p>
                    <w:sdt>
                      <w:sdtPr>
                        <w:alias w:val="4.9.1 pp."/>
                        <w:tag w:val="part_177ec530ac074f8f9357e3be945325c2"/>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177ec530ac074f8f9357e3be945325c2"/>
                              <w:lock w:val="sdtLocked"/>
                              <w:richText/>
                            </w:sdtPr>
                            <w:sdtContent>
                              <w:r>
                                <w:rPr>
                                  <w:rFonts w:ascii="Arial" w:eastAsia="Calibri" w:hAnsi="Arial" w:cs="Arial"/>
                                  <w:b/>
                                  <w:color w:val="002060"/>
                                  <w:sz w:val="22"/>
                                  <w:szCs w:val="22"/>
                                </w:rPr>
                                <w:t>4.9.1</w:t>
                              </w:r>
                            </w:sdtContent>
                          </w:sdt>
                          <w:r>
                            <w:rPr>
                              <w:rFonts w:ascii="Arial" w:eastAsia="Calibri" w:hAnsi="Arial" w:cs="Arial"/>
                              <w:b/>
                              <w:color w:val="002060"/>
                              <w:sz w:val="22"/>
                              <w:szCs w:val="22"/>
                            </w:rPr>
                            <w:t>. pav. Lietuvos hidrografinis žemėlapis</w:t>
                          </w:r>
                        </w:p>
                        <w:p>
                          <w:pPr>
                            <w:rPr>
                              <w:sz w:val="10"/>
                              <w:szCs w:val="10"/>
                            </w:rPr>
                          </w:pPr>
                        </w:p>
                        <w:p>
                          <w:pPr>
                            <w:spacing w:line="259" w:lineRule="auto"/>
                            <w:ind w:firstLine="567"/>
                            <w:jc w:val="both"/>
                            <w:rPr>
                              <w:rFonts w:ascii="Arial" w:hAnsi="Arial" w:cs="Arial"/>
                              <w:sz w:val="22"/>
                            </w:rPr>
                          </w:pPr>
                          <w:r>
                            <w:rPr>
                              <w:rFonts w:ascii="Arial" w:hAnsi="Arial" w:cs="Arial"/>
                              <w:sz w:val="22"/>
                            </w:rPr>
                            <w:t xml:space="preserve">Pagal Lietuvos Respublikos vandens įstatymo 14 straipsnio 6 dalį, draudžiama statyti užtvankas Nemune ir kitose upėse, jeigu: </w:t>
                          </w:r>
                        </w:p>
                        <w:p>
                          <w:pPr>
                            <w:rPr>
                              <w:sz w:val="14"/>
                              <w:szCs w:val="14"/>
                            </w:rPr>
                          </w:pPr>
                        </w:p>
                        <w:sdt>
                          <w:sdtPr>
                            <w:alias w:val="4.9.1 pp. 1 pp."/>
                            <w:tag w:val="part_39771bcf7420478ba1837eeaa77ce33c"/>
                            <w:lock w:val="sdtLocked"/>
                            <w:richText/>
                          </w:sdtPr>
                          <w:sdtContent>
                            <w:p>
                              <w:pPr>
                                <w:spacing w:line="259" w:lineRule="auto"/>
                                <w:ind w:left="567" w:hanging="567"/>
                                <w:jc w:val="both"/>
                                <w:rPr>
                                  <w:rFonts w:ascii="Arial" w:eastAsia="SegoeUI" w:hAnsi="Arial" w:cs="Arial"/>
                                  <w:sz w:val="22"/>
                                </w:rPr>
                              </w:pPr>
                              <w:sdt>
                                <w:sdtPr>
                                  <w:alias w:val="Numeris"/>
                                  <w:tag w:val="nr_39771bcf7420478ba1837eeaa77ce33c"/>
                                  <w:lock w:val="sdtLocked"/>
                                  <w:richText/>
                                </w:sdtPr>
                                <w:sdtContent>
                                  <w:r>
                                    <w:rPr>
                                      <w:rFonts w:ascii="Arial" w:eastAsia="SegoeUI" w:hAnsi="Arial" w:cs="Arial"/>
                                      <w:sz w:val="22"/>
                                    </w:rPr>
                                    <w:t>1</w:t>
                                  </w:r>
                                </w:sdtContent>
                              </w:sdt>
                              <w:r>
                                <w:rPr>
                                  <w:rFonts w:ascii="Arial" w:eastAsia="SegoeUI" w:hAnsi="Arial" w:cs="Arial"/>
                                  <w:sz w:val="22"/>
                                </w:rPr>
                                <w:t>)</w:t>
                                <w:tab/>
                                <w:t>upės ar jų ruožai patenka į saugomas teritorijas;</w:t>
                              </w:r>
                            </w:p>
                            <w:p>
                              <w:pPr>
                                <w:rPr>
                                  <w:sz w:val="14"/>
                                  <w:szCs w:val="14"/>
                                </w:rPr>
                              </w:pPr>
                            </w:p>
                          </w:sdtContent>
                        </w:sdt>
                        <w:sdt>
                          <w:sdtPr>
                            <w:alias w:val="4.9.1 pp. 2 pp."/>
                            <w:tag w:val="part_0b49bbe3fbe244cd9bde669df21cd513"/>
                            <w:lock w:val="sdtLocked"/>
                            <w:richText/>
                          </w:sdtPr>
                          <w:sdtContent>
                            <w:p>
                              <w:pPr>
                                <w:spacing w:line="259" w:lineRule="auto"/>
                                <w:ind w:left="567" w:hanging="567"/>
                                <w:jc w:val="both"/>
                                <w:rPr>
                                  <w:rFonts w:ascii="Arial" w:eastAsia="SegoeUI" w:hAnsi="Arial" w:cs="Arial"/>
                                  <w:sz w:val="22"/>
                                </w:rPr>
                              </w:pPr>
                              <w:sdt>
                                <w:sdtPr>
                                  <w:alias w:val="Numeris"/>
                                  <w:tag w:val="nr_0b49bbe3fbe244cd9bde669df21cd513"/>
                                  <w:lock w:val="sdtLocked"/>
                                  <w:richText/>
                                </w:sdtPr>
                                <w:sdtContent>
                                  <w:r>
                                    <w:rPr>
                                      <w:rFonts w:ascii="Arial" w:eastAsia="SegoeUI" w:hAnsi="Arial" w:cs="Arial"/>
                                      <w:sz w:val="22"/>
                                    </w:rPr>
                                    <w:t>2</w:t>
                                  </w:r>
                                </w:sdtContent>
                              </w:sdt>
                              <w:r>
                                <w:rPr>
                                  <w:rFonts w:ascii="Arial" w:eastAsia="SegoeUI" w:hAnsi="Arial" w:cs="Arial"/>
                                  <w:sz w:val="22"/>
                                </w:rPr>
                                <w:t>)</w:t>
                                <w:tab/>
                                <w:t>upėse aptinkama į Lietuvos raudonąją knygą įrašytų žuvų rūšių, Europos laukinės gamtos ir gamtinės aplinkos apsaugos konvencijos (Berno konvencijos) saugomų rūšių, Natūralių buveinių ir laukinės faunos bei floros apsaugos direktyvos (92/43/EEB) saugomų rūšių;</w:t>
                              </w:r>
                            </w:p>
                            <w:p>
                              <w:pPr>
                                <w:rPr>
                                  <w:sz w:val="14"/>
                                  <w:szCs w:val="14"/>
                                </w:rPr>
                              </w:pPr>
                            </w:p>
                          </w:sdtContent>
                        </w:sdt>
                        <w:sdt>
                          <w:sdtPr>
                            <w:alias w:val="4.9.1 pp. 3 pp."/>
                            <w:tag w:val="part_0f22840b35324bebbde9d0482936ecd4"/>
                            <w:lock w:val="sdtLocked"/>
                            <w:richText/>
                          </w:sdtPr>
                          <w:sdtContent>
                            <w:p>
                              <w:pPr>
                                <w:spacing w:line="259" w:lineRule="auto"/>
                                <w:ind w:left="567" w:hanging="567"/>
                                <w:jc w:val="both"/>
                                <w:rPr>
                                  <w:rFonts w:ascii="Arial" w:eastAsia="SegoeUI" w:hAnsi="Arial" w:cs="Arial"/>
                                  <w:sz w:val="22"/>
                                </w:rPr>
                              </w:pPr>
                              <w:sdt>
                                <w:sdtPr>
                                  <w:alias w:val="Numeris"/>
                                  <w:tag w:val="nr_0f22840b35324bebbde9d0482936ecd4"/>
                                  <w:lock w:val="sdtLocked"/>
                                  <w:richText/>
                                </w:sdtPr>
                                <w:sdtContent>
                                  <w:r>
                                    <w:rPr>
                                      <w:rFonts w:ascii="Arial" w:eastAsia="SegoeUI" w:hAnsi="Arial" w:cs="Arial"/>
                                      <w:sz w:val="22"/>
                                    </w:rPr>
                                    <w:t>3</w:t>
                                  </w:r>
                                </w:sdtContent>
                              </w:sdt>
                              <w:r>
                                <w:rPr>
                                  <w:rFonts w:ascii="Arial" w:eastAsia="SegoeUI" w:hAnsi="Arial" w:cs="Arial"/>
                                  <w:sz w:val="22"/>
                                </w:rPr>
                                <w:t>)</w:t>
                                <w:tab/>
                                <w:t>upių užtvenkimas neleistų užtikrinti geros vandens telkinių būklės ir Direktyvos 2000/60/EB reikalavimų įgyvendinimo.</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anksčiau pateiktą informaciją Joniškio rajono savivaldybės upės laikomos mažą hidroenergijos potencialą turinčiu šaltiniu, be to dalis jų patenka į saugomas teritorijas, todėl vertinama, kad hidroenergijos potencialo </w:t>
                              </w:r>
                              <w:r>
                                <w:rPr>
                                  <w:rFonts w:ascii="Arial" w:eastAsia="Calibri" w:hAnsi="Arial" w:cs="Arial"/>
                                  <w:sz w:val="22"/>
                                  <w:szCs w:val="23"/>
                                </w:rPr>
                                <w:t xml:space="preserve">Joniškio rajono </w:t>
                              </w:r>
                              <w:r>
                                <w:rPr>
                                  <w:rFonts w:ascii="Arial" w:hAnsi="Arial" w:cs="Arial"/>
                                  <w:sz w:val="22"/>
                                </w:rPr>
                                <w:t>savivaldybėje nėra.</w:t>
                              </w:r>
                            </w:p>
                            <w:p>
                              <w:pPr>
                                <w:rPr>
                                  <w:sz w:val="14"/>
                                  <w:szCs w:val="14"/>
                                </w:rPr>
                              </w:pPr>
                            </w:p>
                          </w:sdtContent>
                        </w:sdt>
                      </w:sdtContent>
                    </w:sdt>
                  </w:sdtContent>
                </w:sdt>
                <w:sdt>
                  <w:sdtPr>
                    <w:alias w:val="4.10 pp."/>
                    <w:tag w:val="part_cc7eacb979674dcab517142562944df4"/>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cc7eacb979674dcab517142562944df4"/>
                          <w:lock w:val="sdtLocked"/>
                          <w:richText/>
                        </w:sdtPr>
                        <w:sdtContent>
                          <w:r>
                            <w:rPr>
                              <w:rFonts w:ascii="Arial" w:eastAsia="SegoeUI" w:hAnsi="Arial" w:cs="Arial"/>
                              <w:b/>
                              <w:color w:val="002060"/>
                              <w:szCs w:val="26"/>
                            </w:rPr>
                            <w:t>4.10</w:t>
                          </w:r>
                        </w:sdtContent>
                      </w:sdt>
                      <w:r>
                        <w:rPr>
                          <w:rFonts w:ascii="Arial" w:eastAsia="SegoeUI" w:hAnsi="Arial" w:cs="Arial"/>
                          <w:b/>
                          <w:color w:val="002060"/>
                          <w:szCs w:val="26"/>
                        </w:rPr>
                        <w:t>. Hidroterminės energijos ištekliai</w:t>
                      </w:r>
                    </w:p>
                    <w:p>
                      <w:pPr>
                        <w:rPr>
                          <w:sz w:val="14"/>
                          <w:szCs w:val="14"/>
                        </w:rPr>
                      </w:pPr>
                    </w:p>
                    <w:p>
                      <w:pPr>
                        <w:spacing w:line="259" w:lineRule="auto"/>
                        <w:ind w:firstLine="567"/>
                        <w:jc w:val="both"/>
                        <w:rPr>
                          <w:rFonts w:ascii="Arial" w:hAnsi="Arial" w:cs="Arial"/>
                          <w:sz w:val="22"/>
                        </w:rPr>
                      </w:pPr>
                      <w:r>
                        <w:rPr>
                          <w:rFonts w:ascii="Arial" w:hAnsi="Arial" w:cs="Arial"/>
                          <w:sz w:val="22"/>
                        </w:rPr>
                        <w:t>Hidroterminė energija – paviršinių vandenų šilumos energija. Ši energija gali būti išgaunama šilumos siurbliais, kurie leidžia žematemperatūrę šilumą paversti aukštesnės temperatūros šiluma, ir panaudoti patalpų šildymui ir/ar karštam vandeniui ruošti. Naudojant šią technologiją, horizontalūs šilumos kolektoriai įrengiami vandens telkinio dugne. Šios technologijos privalumas – vandens temperatūra visada teigiama ir nedaug kintanti, tai užtikrina aukštą vidutinį metinį šilumos siurblio efektyvumo rodiklį.</w:t>
                      </w:r>
                    </w:p>
                    <w:p>
                      <w:pPr>
                        <w:rPr>
                          <w:sz w:val="14"/>
                          <w:szCs w:val="14"/>
                        </w:rPr>
                      </w:pPr>
                    </w:p>
                    <w:p>
                      <w:pPr>
                        <w:spacing w:line="259" w:lineRule="auto"/>
                        <w:ind w:firstLine="567"/>
                        <w:jc w:val="both"/>
                        <w:rPr>
                          <w:rFonts w:ascii="Arial" w:hAnsi="Arial" w:cs="Arial"/>
                          <w:sz w:val="22"/>
                        </w:rPr>
                      </w:pPr>
                      <w:r>
                        <w:rPr>
                          <w:rFonts w:ascii="Arial" w:hAnsi="Arial" w:cs="Arial"/>
                          <w:sz w:val="22"/>
                        </w:rPr>
                        <w:t>Hidroterminės energijos naudojimas centralizuotam šilumos tiekimui nesvarstomas, nes iš šilumos siurblių tiekiamo šilumnešio temperatūra (30-40ºC) būtų nepakankama šilumos tiekimo temperatūriniam grafikui išpildyti, ir norint ją pakelti, reikėtų papildomai deginti kurą kituose šilumos gamybos įrenginiuose.</w:t>
                      </w:r>
                    </w:p>
                    <w:p>
                      <w:pPr>
                        <w:rPr>
                          <w:sz w:val="14"/>
                          <w:szCs w:val="14"/>
                        </w:rPr>
                      </w:pPr>
                    </w:p>
                    <w:p>
                      <w:pPr>
                        <w:spacing w:line="259" w:lineRule="auto"/>
                        <w:ind w:firstLine="567"/>
                        <w:jc w:val="both"/>
                        <w:rPr>
                          <w:rFonts w:ascii="Arial" w:hAnsi="Arial" w:cs="Arial"/>
                          <w:b/>
                          <w:bCs/>
                          <w:sz w:val="22"/>
                        </w:rPr>
                      </w:pPr>
                      <w:r>
                        <w:rPr>
                          <w:rFonts w:ascii="Arial" w:hAnsi="Arial" w:cs="Arial"/>
                          <w:sz w:val="22"/>
                        </w:rPr>
                        <w:t>Palankiausias galimybės panaudoti hidroterminę energiją turėtų gyventojai (ar kiti vartotojai), įsikūrę prie vandens telkinių (upių, ežerų, tvenkinių), todėl hidroenergijos potencialas turi būti vertinamas atsižvelgiant į savivaldybės teritorijoje esančių vidaus vandenų plotą. Joniškio rajono savivaldybės teritorija – 1 151,63 km</w:t>
                      </w:r>
                      <w:r>
                        <w:rPr>
                          <w:rFonts w:ascii="Arial" w:hAnsi="Arial" w:cs="Arial"/>
                          <w:sz w:val="22"/>
                          <w:vertAlign w:val="superscript"/>
                        </w:rPr>
                        <w:t>2</w:t>
                      </w:r>
                      <w:r>
                        <w:rPr>
                          <w:rFonts w:ascii="Arial" w:hAnsi="Arial" w:cs="Arial"/>
                          <w:sz w:val="22"/>
                        </w:rPr>
                        <w:t>, vidaus vandenų plotas sudaro 19,56 km</w:t>
                      </w:r>
                      <w:r>
                        <w:rPr>
                          <w:rFonts w:ascii="Arial" w:hAnsi="Arial" w:cs="Arial"/>
                          <w:sz w:val="22"/>
                          <w:vertAlign w:val="superscript"/>
                        </w:rPr>
                        <w:t>2</w:t>
                      </w:r>
                      <w:r>
                        <w:rPr>
                          <w:rFonts w:ascii="Arial" w:hAnsi="Arial" w:cs="Arial"/>
                          <w:sz w:val="22"/>
                        </w:rPr>
                        <w:t>. Energijos vartotojų prie vandens telkinių paprastai yra nedaug, tačiau potencialo vertinimo tikslais daroma prielaida, kad visi vandens telkiniai yra tinkami hidroenergijos ištekliams panaudoti. Darant prielaidą, kad vandens telkinio šilumos emisija tokia pati, kaip šlapio grunto (35 W/m</w:t>
                      </w:r>
                      <w:r>
                        <w:rPr>
                          <w:rFonts w:ascii="Arial" w:hAnsi="Arial" w:cs="Arial"/>
                          <w:sz w:val="22"/>
                          <w:vertAlign w:val="superscript"/>
                        </w:rPr>
                        <w:t>2</w:t>
                      </w:r>
                      <w:r>
                        <w:rPr>
                          <w:rFonts w:ascii="Arial" w:hAnsi="Arial" w:cs="Arial"/>
                          <w:sz w:val="22"/>
                        </w:rPr>
                        <w:t>, žr. 4.8.1 lentelę), ir vienam kW energijos išgauti pakanka 20 m</w:t>
                      </w:r>
                      <w:r>
                        <w:rPr>
                          <w:rFonts w:ascii="Arial" w:hAnsi="Arial" w:cs="Arial"/>
                          <w:sz w:val="22"/>
                          <w:vertAlign w:val="superscript"/>
                        </w:rPr>
                        <w:t>2</w:t>
                      </w:r>
                      <w:r>
                        <w:rPr>
                          <w:rFonts w:ascii="Arial" w:hAnsi="Arial" w:cs="Arial"/>
                          <w:sz w:val="22"/>
                        </w:rPr>
                        <w:t xml:space="preserve"> ploto, apskaičiuojama, kad Joniškio rajono savivaldybės vandens telkinių hidroenergijos išteklius naudojančių šilumos siurblių bendra galia sudarytų apie 978 MW, o šilumos energijos potencialas (šilumos siurbliui veikiant 8 760 val. per metus pilna galia) siektų 8 568 GWh. Dėl įvairių gamtinių ir techninių apribojimų realiai šilumos siurblių kolektoriais būtų galima nukloti tik nedidelę vandens telkinių dugno dalį, tarkime, iki 1 %. Be to, darant prielaidą, kad šilumos siurblių galios išnaudojimo koeficientas lygus 0,5 (ribotas patalpų šildymo poreikis per metus ir per parą), energijos potencialas sumažinamas dar dvigubai, ir gaunamas galutinis techninis potencialas – apie </w:t>
                      </w:r>
                      <w:r>
                        <w:rPr>
                          <w:rFonts w:ascii="Arial" w:hAnsi="Arial" w:cs="Arial"/>
                          <w:b/>
                          <w:bCs/>
                          <w:sz w:val="22"/>
                        </w:rPr>
                        <w:t>42 839 MWh (3 684,12tne).</w:t>
                      </w:r>
                    </w:p>
                    <w:p>
                      <w:pPr>
                        <w:rPr>
                          <w:sz w:val="14"/>
                          <w:szCs w:val="14"/>
                        </w:rPr>
                      </w:pPr>
                    </w:p>
                  </w:sdtContent>
                </w:sdt>
                <w:sdt>
                  <w:sdtPr>
                    <w:alias w:val="4.11 pp."/>
                    <w:tag w:val="part_71fe772268224b04a1bce3dbd03f38d7"/>
                    <w:lock w:val="sdtLocked"/>
                    <w:richText/>
                  </w:sdtPr>
                  <w:sdtContent>
                    <w:p>
                      <w:pPr>
                        <w:keepNext/>
                        <w:keepLines/>
                        <w:spacing w:line="259" w:lineRule="auto"/>
                        <w:jc w:val="center"/>
                        <w:outlineLvl w:val="1"/>
                        <w:rPr>
                          <w:rFonts w:ascii="Arial" w:hAnsi="Arial" w:cs="Arial"/>
                          <w:b/>
                          <w:color w:val="002060"/>
                          <w:szCs w:val="26"/>
                        </w:rPr>
                      </w:pPr>
                      <w:sdt>
                        <w:sdtPr>
                          <w:alias w:val="Numeris"/>
                          <w:tag w:val="nr_71fe772268224b04a1bce3dbd03f38d7"/>
                          <w:lock w:val="sdtLocked"/>
                          <w:richText/>
                        </w:sdtPr>
                        <w:sdtContent>
                          <w:r>
                            <w:rPr>
                              <w:rFonts w:ascii="Arial" w:eastAsia="SegoeUI" w:hAnsi="Arial" w:cs="Arial"/>
                              <w:b/>
                              <w:color w:val="002060"/>
                              <w:szCs w:val="26"/>
                            </w:rPr>
                            <w:t>4.11</w:t>
                          </w:r>
                        </w:sdtContent>
                      </w:sdt>
                      <w:r>
                        <w:rPr>
                          <w:rFonts w:ascii="Arial" w:eastAsia="SegoeUI" w:hAnsi="Arial" w:cs="Arial"/>
                          <w:b/>
                          <w:color w:val="002060"/>
                          <w:szCs w:val="26"/>
                        </w:rPr>
                        <w:t xml:space="preserve">. </w:t>
                      </w:r>
                      <w:r>
                        <w:rPr>
                          <w:rFonts w:ascii="Arial" w:hAnsi="Arial" w:cs="Arial"/>
                          <w:b/>
                          <w:color w:val="002060"/>
                          <w:szCs w:val="26"/>
                        </w:rPr>
                        <w:t>AEI naudojimas centralizuoto šilumos tiekimo sistemoje</w:t>
                      </w:r>
                    </w:p>
                    <w:p>
                      <w:pPr>
                        <w:rPr>
                          <w:sz w:val="14"/>
                          <w:szCs w:val="14"/>
                        </w:rPr>
                      </w:pPr>
                    </w:p>
                    <w:p>
                      <w:pPr>
                        <w:spacing w:line="259" w:lineRule="auto"/>
                        <w:ind w:firstLine="567"/>
                        <w:jc w:val="both"/>
                        <w:rPr>
                          <w:rFonts w:ascii="Arial" w:hAnsi="Arial" w:cs="Arial"/>
                          <w:color w:val="000000"/>
                          <w:sz w:val="22"/>
                        </w:rPr>
                      </w:pPr>
                      <w:r>
                        <w:rPr>
                          <w:rFonts w:ascii="Arial" w:hAnsi="Arial" w:cs="Arial"/>
                          <w:sz w:val="22"/>
                        </w:rPr>
                        <w:t xml:space="preserve">Vienas iš AIE dalies didinimo Joniškio rajono savivaldybėje potencialas yra CŠT naudojama atsinaujinanti energija. Šio tobulinimo </w:t>
                      </w:r>
                      <w:r>
                        <w:rPr>
                          <w:rFonts w:ascii="Arial" w:hAnsi="Arial" w:cs="Arial"/>
                          <w:color w:val="000000"/>
                          <w:sz w:val="22"/>
                        </w:rPr>
                        <w:t xml:space="preserve">tikslas yra modernizuoti savivaldybės CŠT sistemas taip, kad jos būtų veiksmingos ir jose būtų nulinės (ar beveik nulinės) taršos emisijos, kas prisidėtų prie klimato kaitos mažinimo. Didžiausia atsinaujinančios šilumos dalis yra gaunama iš biomasės, mažesnę dalį sudaro saulės ir geoterminė energija. </w:t>
                      </w:r>
                    </w:p>
                    <w:p>
                      <w:pPr>
                        <w:rPr>
                          <w:sz w:val="14"/>
                          <w:szCs w:val="14"/>
                        </w:rPr>
                      </w:pPr>
                    </w:p>
                    <w:p>
                      <w:pPr>
                        <w:spacing w:line="259" w:lineRule="auto"/>
                        <w:ind w:firstLine="567"/>
                        <w:jc w:val="both"/>
                        <w:rPr>
                          <w:rFonts w:ascii="Arial" w:hAnsi="Arial" w:cs="Arial"/>
                          <w:color w:val="000000"/>
                          <w:sz w:val="22"/>
                          <w:highlight w:val="yellow"/>
                        </w:rPr>
                      </w:pPr>
                      <w:r>
                        <w:rPr>
                          <w:rFonts w:ascii="Arial" w:hAnsi="Arial" w:cs="Arial"/>
                          <w:color w:val="000000"/>
                          <w:sz w:val="22"/>
                        </w:rPr>
                        <w:t>Lietuva yra pažengusi CŠT srityje, tačiau CŠT sistemų modernizavimas dar turi didelį potencialą, kuris turėtų būti panaudojamas siekiant šilumos vartojimo mažinimo, šilumos perdavimo nuostolių mažinimo ir šilumos gamybos optimizavimo. Pagrindinis ir ambicingas energetikos sektoriaus tikslas – 100 proc. energijos generavimas iš atsinaujinančių energijos šaltinių iki 2050 metų. CŠT tiekimo sistemos infrastruktūros plėtojimas, rekonstrukcija ir atnaujinimas leistų padidinti šilumos energijos tiekimo efektyvumą ir mažinti energijos tiekimo nuostolius.</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Atkreiptinas dėmesys, kad </w:t>
                      </w:r>
                      <w:r>
                        <w:rPr>
                          <w:rFonts w:ascii="Arial" w:hAnsi="Arial" w:cs="Arial"/>
                          <w:sz w:val="22"/>
                          <w:szCs w:val="22"/>
                        </w:rPr>
                        <w:t xml:space="preserve">Joniškio rajono savivaldybės </w:t>
                      </w:r>
                      <w:r>
                        <w:rPr>
                          <w:rFonts w:ascii="Arial" w:eastAsia="Calibri" w:hAnsi="Arial" w:cs="Arial"/>
                          <w:sz w:val="22"/>
                          <w:szCs w:val="23"/>
                        </w:rPr>
                        <w:t xml:space="preserve">gyvenamosiose vietovėse, kur nevykdoma daugiaaukščių pastatų statyba, centralizuotos šilumos tinklus numatyti nėra tikslinga. Šilumos tinklų plėtra, pagal poreikį, turi būti nustatoma rengiant specialiuosius ir detaliuosius planus, atlikus reikiamus geologinius tyrimus. </w:t>
                      </w:r>
                    </w:p>
                    <w:p>
                      <w:pPr>
                        <w:rPr>
                          <w:sz w:val="14"/>
                          <w:szCs w:val="14"/>
                        </w:rPr>
                      </w:pPr>
                    </w:p>
                    <w:p>
                      <w:pPr>
                        <w:widowControl w:val="0"/>
                        <w:spacing w:line="259" w:lineRule="auto"/>
                        <w:ind w:firstLine="567"/>
                        <w:jc w:val="both"/>
                        <w:rPr>
                          <w:rFonts w:ascii="Arial" w:eastAsia="Calibri" w:hAnsi="Arial" w:cs="Arial"/>
                          <w:color w:val="000000"/>
                          <w:sz w:val="22"/>
                          <w:szCs w:val="23"/>
                        </w:rPr>
                      </w:pPr>
                      <w:r>
                        <w:rPr>
                          <w:rFonts w:ascii="Arial" w:eastAsia="Calibri" w:hAnsi="Arial" w:cs="Arial"/>
                          <w:color w:val="000000"/>
                          <w:sz w:val="22"/>
                          <w:szCs w:val="23"/>
                        </w:rPr>
                        <w:t xml:space="preserve">Šioje dalyje aptariamos priemonės, kurios gali būti panaudojamos modernizuojant </w:t>
                      </w:r>
                      <w:r>
                        <w:rPr>
                          <w:rFonts w:ascii="Arial" w:hAnsi="Arial" w:cs="Arial"/>
                          <w:sz w:val="22"/>
                          <w:szCs w:val="22"/>
                        </w:rPr>
                        <w:t>Joniškio rajono</w:t>
                      </w:r>
                      <w:r>
                        <w:rPr>
                          <w:rFonts w:ascii="Arial" w:eastAsia="Calibri" w:hAnsi="Arial" w:cs="Arial"/>
                          <w:sz w:val="22"/>
                          <w:szCs w:val="23"/>
                        </w:rPr>
                        <w:t xml:space="preserve"> </w:t>
                      </w:r>
                      <w:r>
                        <w:rPr>
                          <w:rFonts w:ascii="Arial" w:eastAsia="Calibri" w:hAnsi="Arial" w:cs="Arial"/>
                          <w:color w:val="000000"/>
                          <w:sz w:val="22"/>
                          <w:szCs w:val="23"/>
                        </w:rPr>
                        <w:t xml:space="preserve">savivaldybės CŠT, taip sudarant sąlygas savivaldybės AIE dalį galutiniame energijos suvartojime padidinti iki 100 proc. </w:t>
                      </w:r>
                    </w:p>
                    <w:p>
                      <w:pPr>
                        <w:rPr>
                          <w:sz w:val="14"/>
                          <w:szCs w:val="14"/>
                        </w:rPr>
                      </w:pPr>
                    </w:p>
                    <w:sdt>
                      <w:sdtPr>
                        <w:alias w:val="4.11.1 pp."/>
                        <w:tag w:val="part_e626cdf604354c758cf6fe8e1c597d1e"/>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e626cdf604354c758cf6fe8e1c597d1e"/>
                              <w:lock w:val="sdtLocked"/>
                              <w:richText/>
                            </w:sdtPr>
                            <w:sdtContent>
                              <w:r>
                                <w:rPr>
                                  <w:rFonts w:ascii="Arial" w:hAnsi="Arial" w:cs="Arial"/>
                                  <w:b/>
                                  <w:color w:val="002060"/>
                                  <w:sz w:val="22"/>
                                  <w:szCs w:val="24"/>
                                </w:rPr>
                                <w:t>4.11.1</w:t>
                              </w:r>
                            </w:sdtContent>
                          </w:sdt>
                          <w:r>
                            <w:rPr>
                              <w:rFonts w:ascii="Arial" w:hAnsi="Arial" w:cs="Arial"/>
                              <w:b/>
                              <w:color w:val="002060"/>
                              <w:sz w:val="22"/>
                              <w:szCs w:val="24"/>
                            </w:rPr>
                            <w:t>. Saulės energija pagamintos šilumos integracija</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Viena iš galimybių Joniškio rajono savivaldybės CŠT modernizavimui – saulės energija. Nors saulės šilumos kolektoriai yra plačiai naudojami privačiuose namuose, karštam vandeniui ruošti ir šildyti, tačiau Lietuvos CŠT sektoriuje šis potencialas nėra išnaudojamas.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savivaldybės geografinė padėtis yra mažai palanki saulės kolektorių integracijai šilumos sektoriuje, kadangi vidutinė metinė saulės spindėjimo trukmė savivaldybėje yra </w:t>
                          </w:r>
                          <w:r>
                            <w:rPr>
                              <w:rFonts w:ascii="Arial" w:eastAsia="SegoeUI" w:hAnsi="Arial" w:cs="Arial"/>
                              <w:sz w:val="22"/>
                            </w:rPr>
                            <w:t xml:space="preserve">1 800 – 1 850 </w:t>
                          </w:r>
                          <w:r>
                            <w:rPr>
                              <w:rFonts w:ascii="Arial" w:hAnsi="Arial" w:cs="Arial"/>
                              <w:sz w:val="22"/>
                            </w:rPr>
                            <w:t xml:space="preserve">val. Saulės energija CŠT sistemose panaudojama dėl didelio ploto saulės kolektorių jėgainių, kuriose sugeneruota šiluma tiekiama į tinklus. Saulės kolektoriai gali būti montuojami ant žemės arba ant pastatų stogų. </w:t>
                          </w:r>
                          <w:r>
                            <w:rPr>
                              <w:rFonts w:ascii="Arial" w:eastAsia="Calibri" w:hAnsi="Arial" w:cs="Arial"/>
                              <w:sz w:val="22"/>
                              <w:szCs w:val="23"/>
                            </w:rPr>
                            <w:t xml:space="preserve">Joniškio rajono </w:t>
                          </w:r>
                          <w:r>
                            <w:rPr>
                              <w:rFonts w:ascii="Arial" w:hAnsi="Arial" w:cs="Arial"/>
                              <w:sz w:val="22"/>
                            </w:rPr>
                            <w:t>savivaldybės atveju, siūlytina kolektorius montuoti ant pastatų stogų. Paprastai saulės energijos generavimo dalis sudaro iki 20 proc. metinio šilumos poreikio. Tačiau įrengus dideles sezonines šilumos akumuliacines talpyklas (ŠAT), kurios naudojamos ir šilumos bei elektros energijos gamybos balansavimui, saulės energijos generavimo dalį galima padidinti iki 50 proc. Taigi, šioje vietoje šilumos gamybos procese svarbus vaidmuo tenka šilumos akumuliacinėms talpykloms, kurių pagalba šilumos gamybos rėžimas tampa lankstesnis. ŠAT yra labai svarbi technologinė dalis, kadangi priklausomai nuo ŠAT dydžio, saulės jėgainė gali būti apkraunama maksimaliai, o perteklinė šiluma kaupiama talpykloje</w:t>
                          </w:r>
                          <w:r>
                            <w:rPr>
                              <w:rFonts w:ascii="Arial" w:hAnsi="Arial" w:cs="Arial"/>
                              <w:color w:val="000000"/>
                              <w:sz w:val="22"/>
                              <w:vertAlign w:val="superscript"/>
                            </w:rPr>
                            <w:footnoteReference w:id="30"/>
                          </w:r>
                          <w:r>
                            <w:rPr>
                              <w:rFonts w:ascii="Arial" w:hAnsi="Arial" w:cs="Arial"/>
                              <w:sz w:val="22"/>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Remiantis ekspertų nuomone, saulės kolektorių plėtra (gavus paramą) tikslinga ten kur karšto vandens gamybai yra naudojama elektros energija. Saulės kolektorių plėtra daugiabučiuose (prijungtuose prie CŠT) vykdant renovaciją, neduos socialinės ir ekonominės naudos, o veikiau padidins nepageidaujamą šilumos energijos kainą. Saulės kolektorių panaudojimas šilumos gamybai CŠT sektoriuje būtų tikslingas tik tada jeigu paramos intensyvumas būtų ne mažesnis kaip 70 proc. Tačiau šiai dienai toks paramos intensyvumas nėra numatomas (siūloma apie 30 proc. parama).</w:t>
                          </w:r>
                        </w:p>
                        <w:p>
                          <w:pPr>
                            <w:rPr>
                              <w:sz w:val="14"/>
                              <w:szCs w:val="14"/>
                            </w:rPr>
                          </w:pPr>
                        </w:p>
                      </w:sdtContent>
                    </w:sdt>
                    <w:sdt>
                      <w:sdtPr>
                        <w:alias w:val="4.11.2 pp."/>
                        <w:tag w:val="part_b61e1c48c1514fbc90ffb9f45550857d"/>
                        <w:lock w:val="sdtLocked"/>
                        <w:richText/>
                      </w:sdtPr>
                      <w:sdtContent>
                        <w:p>
                          <w:pPr>
                            <w:keepNext/>
                            <w:keepLines/>
                            <w:spacing w:line="259" w:lineRule="auto"/>
                            <w:jc w:val="center"/>
                            <w:outlineLvl w:val="1"/>
                            <w:rPr>
                              <w:rFonts w:ascii="Arial" w:hAnsi="Arial" w:cs="Arial"/>
                              <w:b/>
                              <w:color w:val="002060"/>
                              <w:szCs w:val="26"/>
                            </w:rPr>
                          </w:pPr>
                          <w:sdt>
                            <w:sdtPr>
                              <w:alias w:val="Numeris"/>
                              <w:tag w:val="nr_b61e1c48c1514fbc90ffb9f45550857d"/>
                              <w:lock w:val="sdtLocked"/>
                              <w:richText/>
                            </w:sdtPr>
                            <w:sdtContent>
                              <w:r>
                                <w:rPr>
                                  <w:rFonts w:ascii="Arial" w:hAnsi="Arial" w:cs="Arial"/>
                                  <w:b/>
                                  <w:color w:val="002060"/>
                                  <w:szCs w:val="26"/>
                                </w:rPr>
                                <w:t>4.11.2</w:t>
                              </w:r>
                            </w:sdtContent>
                          </w:sdt>
                          <w:r>
                            <w:rPr>
                              <w:rFonts w:ascii="Arial" w:hAnsi="Arial" w:cs="Arial"/>
                              <w:b/>
                              <w:color w:val="002060"/>
                              <w:szCs w:val="26"/>
                            </w:rPr>
                            <w:t>. Šilumos gamyba naudojant elektrą</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Elektros naudojimas šilumos gamyboje sujungia šilumos ir elektros sektorius. Elektrinė šilumos gamyba taip pat gali būti naudojama CŠT sistemose. Tokiu atveju yra naudojami elektriniai katilai ir šilumos siurbliai. Elektriniai katilai, elektros energiją tiesiogiai paverčia šilumine energija ir tam yra naudojamos elektrodinių katilų arba elektrinių srauto šildytuvų technologijos. Šilumos siurbliai gali būti klasifikuojami į kompresorinius, absorbcinius ir adsorbcinius. Kompresoriniai šilumos siurbliai skirti elektros transformavimui į šilumą ir yra dažniausiai naudojami CŠT sistemose. </w:t>
                          </w:r>
                        </w:p>
                        <w:p>
                          <w:pPr>
                            <w:rPr>
                              <w:sz w:val="14"/>
                              <w:szCs w:val="14"/>
                            </w:rPr>
                          </w:pPr>
                        </w:p>
                        <w:p>
                          <w:pPr>
                            <w:spacing w:line="259" w:lineRule="auto"/>
                            <w:ind w:firstLine="567"/>
                            <w:jc w:val="both"/>
                            <w:rPr>
                              <w:rFonts w:ascii="Arial" w:hAnsi="Arial" w:cs="Arial"/>
                              <w:sz w:val="22"/>
                            </w:rPr>
                          </w:pPr>
                          <w:r>
                            <w:rPr>
                              <w:rFonts w:ascii="Arial" w:hAnsi="Arial" w:cs="Arial"/>
                              <w:sz w:val="22"/>
                            </w:rPr>
                            <w:t>Tačiau tarp šių dviejų technologijų (elektrinių katilinių ir šilumos siurblių) egzistuoja esminiai skirtumai. Elektriniai šildymo katilai CŠT sistemose naudojami elektros tinklo stabilizavimui ir galios reguliavimui. Jei elektros energijos tinkle yra elektros perviršis, elektriniai katilai gali būti įjungti, kad suvartotų perteklinę elektros energiją, ją transformuotų į šiluminę energiją ir taip subalansuotų elektros tinklą. Viena vertus, tai yra pajamos, gaunamos teikiant galios reguliavimo paslaugą. Kita vertus, dėl svyruojančių elektros energijos kainų šis šilumos gamybos būdas gali būti ekonomiškesnis nei kiti. Priešingai, šilumos siurbliai naudojami pagrindiniams šilumos poreikiams tenkinti. Šilumos siurblių efektyvumą apibrėžia našumo koeficientas (COP), kuris reiškia naudingos šiluminės energijos kiekio santykį su suvartotos elektros energijos kiekiu. Tačiau egzistuoja pagrindinės kliūtys, dėl kurių įrengti šilumos siurblius CŠT sistemose yra nenaudinga – santykinai didelės investicinės išlaidos ir jų atsiperkamumo priklausomybė nuo vietinės elektros energijos kainos. Taip pat šilumos siurbliai nėra techniškai tinkami kaip atskira technologija visam CŠT sistemos poreikio tenkinimui.</w:t>
                          </w:r>
                          <w:r>
                            <w:rPr>
                              <w:rFonts w:ascii="Arial" w:hAnsi="Arial" w:cs="Arial"/>
                              <w:color w:val="000000"/>
                              <w:sz w:val="20"/>
                              <w:vertAlign w:val="superscript"/>
                            </w:rPr>
                            <w:footnoteReference w:id="31"/>
                          </w:r>
                        </w:p>
                        <w:p>
                          <w:pPr>
                            <w:rPr>
                              <w:sz w:val="14"/>
                              <w:szCs w:val="14"/>
                            </w:rPr>
                          </w:pPr>
                        </w:p>
                      </w:sdtContent>
                    </w:sdt>
                    <w:sdt>
                      <w:sdtPr>
                        <w:alias w:val="4.11.3 pp."/>
                        <w:tag w:val="part_098e4311d1634520bf21c483435ad238"/>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098e4311d1634520bf21c483435ad238"/>
                              <w:lock w:val="sdtLocked"/>
                              <w:richText/>
                            </w:sdtPr>
                            <w:sdtContent>
                              <w:r>
                                <w:rPr>
                                  <w:rFonts w:ascii="Arial" w:eastAsia="SegoeUI" w:hAnsi="Arial" w:cs="Arial"/>
                                  <w:b/>
                                  <w:color w:val="002060"/>
                                  <w:szCs w:val="26"/>
                                </w:rPr>
                                <w:t>4.11.3</w:t>
                              </w:r>
                            </w:sdtContent>
                          </w:sdt>
                          <w:r>
                            <w:rPr>
                              <w:rFonts w:ascii="Arial" w:eastAsia="SegoeUI" w:hAnsi="Arial" w:cs="Arial"/>
                              <w:b/>
                              <w:color w:val="002060"/>
                              <w:szCs w:val="26"/>
                            </w:rPr>
                            <w:t>. Šilumos akumuliacijos technologijų integravimas</w:t>
                          </w:r>
                        </w:p>
                        <w:p>
                          <w:pPr>
                            <w:rPr>
                              <w:sz w:val="14"/>
                              <w:szCs w:val="14"/>
                            </w:rPr>
                          </w:pPr>
                        </w:p>
                        <w:p>
                          <w:pPr>
                            <w:spacing w:line="259" w:lineRule="auto"/>
                            <w:ind w:firstLine="567"/>
                            <w:jc w:val="both"/>
                            <w:rPr>
                              <w:rFonts w:ascii="Arial" w:hAnsi="Arial" w:cs="Arial"/>
                              <w:sz w:val="22"/>
                            </w:rPr>
                          </w:pPr>
                          <w:r>
                            <w:rPr>
                              <w:rFonts w:ascii="Arial" w:hAnsi="Arial" w:cs="Arial"/>
                              <w:sz w:val="22"/>
                            </w:rPr>
                            <w:t>Tradicinės trumpalaikės ŠAT yra neslėginiai rezervuarai, kurie veikia dėl atmosferinio slėgio. Rezervuarai yra gerai izoliuoti ir paprastai naudojami pikų metu. Tokiuose ŠAT saugomo vandens temperatūra yra šiek tiek žemesnė nei 100 °C. Kai kuriais atvejais galima modernizuoti mazuto rezervuarus ir juos pritaikyti ŠAT CŠT sistemoms. Slėginės ŠAT temperatūra yra aukštesnė nei 100 °C. Šios ŠAT gali būti panaudojamos siekiant patenkinti šilumos vartotojų poreikius arba siekiant sukaupti aukšto potencialo energiją. Palyginimui tarp slėginių ir neslėginių ŠAT – slėginės gali sukaupti didesnį energijos kiekį tokioje pačioje talpoje (tūryje). Tačiau pastarosioms yra keliami aukštesni saugumo reikalavimai ir yra didesnės priežiūros ir statybos išlaidos. Apibendrinant pagrindinius skirtumus tarp minėtų ŠAT – palyginti su neslėginėmis ŠAT, dviejų zonų ŠAT privalumas – didesnis sukaupiamos energijos kiekis tame pačiame tūryje. Palyginti su slėginėmis ŠAT, dviejų zonų ŠAT privalumas – mažesnės išlaidos dėl mažesnių saugumo priemonių reikalavimų</w:t>
                          </w:r>
                          <w:r>
                            <w:rPr>
                              <w:rFonts w:ascii="Arial" w:hAnsi="Arial" w:cs="Arial"/>
                              <w:color w:val="000000"/>
                              <w:sz w:val="22"/>
                              <w:vertAlign w:val="superscript"/>
                            </w:rPr>
                            <w:footnoteReference w:id="32"/>
                          </w:r>
                          <w:r>
                            <w:rPr>
                              <w:rFonts w:ascii="Arial" w:hAnsi="Arial" w:cs="Arial"/>
                              <w:sz w:val="22"/>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Per pastaruosius kelis dešimtmečius pasaulyje buvo išbandytos kelios pagrindinės sezoninės ŠAT. Kiekviena iš jų turi skirtingą energijos akumuliavimo tankį, efektyvumą, galimą įkrovimų ir iškrovimų pajėgumą. Kiekvienas tipas taip pat turi skirtingus vietinės žemės ir sistemos ribinių sąlygų reikalavimus (pvz., temperatūros lygiai). Paminėtinos: rezervuaro tipo ŠAT, Gruntinės ŠAT, Gręžinių tipo ŠAT ir Natūralių požeminių vandens telkinių ŠAT. CŠT sistemoje tinkamiausias ŠAT būtų nustatomas atliktus techninį ir ekonominį įvertinimą, esant tam tikroms ribinėms sąlygoms. Atkreiptinas dėmesys, kad daliai ŠAT koncepcijų yra reikalingi papildomi komponentai, pvz., šilumos siurbliai. Taigi, apibendrinant, dažniausiai CŠT sistemose ŠAT naudojamos toliau minėtinais tikslais:</w:t>
                          </w:r>
                        </w:p>
                        <w:p>
                          <w:pPr>
                            <w:rPr>
                              <w:sz w:val="14"/>
                              <w:szCs w:val="14"/>
                            </w:rPr>
                          </w:pPr>
                        </w:p>
                        <w:p>
                          <w:pPr>
                            <w:widowControl w:val="0"/>
                            <w:spacing w:line="259" w:lineRule="auto"/>
                            <w:ind w:left="1134" w:hanging="567"/>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Trumpalaikiam šilumos saugojimui, šilumos piko poreikiui patenkinti, nejungiant papildomų energijos generatorių. </w:t>
                          </w:r>
                        </w:p>
                        <w:p>
                          <w:pPr>
                            <w:rPr>
                              <w:sz w:val="14"/>
                              <w:szCs w:val="14"/>
                            </w:rPr>
                          </w:pPr>
                        </w:p>
                        <w:p>
                          <w:pPr>
                            <w:widowControl w:val="0"/>
                            <w:spacing w:line="259" w:lineRule="auto"/>
                            <w:ind w:left="1134" w:hanging="567"/>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Ilgalaikiam (sezoniniam) perteklinės šilumos saugojimui (pvz., energijai, pagamintai saulės kolektoriais). </w:t>
                          </w:r>
                        </w:p>
                        <w:p>
                          <w:pPr>
                            <w:rPr>
                              <w:sz w:val="14"/>
                              <w:szCs w:val="14"/>
                            </w:rPr>
                          </w:pPr>
                        </w:p>
                        <w:p>
                          <w:pPr>
                            <w:widowControl w:val="0"/>
                            <w:spacing w:line="259" w:lineRule="auto"/>
                            <w:ind w:left="1134" w:hanging="567"/>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Energijos srautų sukaupimui ir subalansavimui, gaunant juos iš skirtingų šilumos generavimo įrenginių, pvz., kogeneracinių jėgainių, saulės kolektorių, šilumos siurblių ar pramonės įmonių. </w:t>
                          </w:r>
                        </w:p>
                        <w:p>
                          <w:pPr>
                            <w:rPr>
                              <w:sz w:val="14"/>
                              <w:szCs w:val="14"/>
                            </w:rPr>
                          </w:pPr>
                        </w:p>
                        <w:p>
                          <w:pPr>
                            <w:widowControl w:val="0"/>
                            <w:spacing w:line="259" w:lineRule="auto"/>
                            <w:ind w:left="1134" w:hanging="567"/>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Šiluma surenkama iš vėsinimo sistemų ir t. t.</w:t>
                          </w:r>
                          <w:r>
                            <w:rPr>
                              <w:rFonts w:ascii="Arial" w:eastAsia="Calibri" w:hAnsi="Arial" w:cs="Arial"/>
                              <w:sz w:val="22"/>
                              <w:szCs w:val="23"/>
                              <w:vertAlign w:val="superscript"/>
                            </w:rPr>
                            <w:footnoteReference w:id="33"/>
                          </w:r>
                          <w:r>
                            <w:rPr>
                              <w:rFonts w:ascii="Arial" w:eastAsia="Calibri" w:hAnsi="Arial" w:cs="Arial"/>
                              <w:sz w:val="22"/>
                              <w:szCs w:val="23"/>
                            </w:rPr>
                            <w:t xml:space="preserve">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Remiantis ekspertų įžvalgomis, Joniškio rajono savivaldybėje perteklinės šilumos energijos surinkimas galimas iš pramonės įmonių (tačiau jose susidaro žemo potencialo šiluma ir papildomai reikėtų įrenginėti šilumos siurblius). Atliekinės šilumos energijos procesų šiluma tikėtina, kad nebus konkurencinga su šiuo metu gaminama šiluma iš biokuro. Todėl tokie projektai investuotojams neatsipirktų, taip pat nesukurtų socialinės/ekonominės naudos. Šilumos akumuliacinės talpos įrengimas būtų tikslingas tuo atveju jeigu būtų įrengta biokuro kogeneracinė elektrinė, nes ji galėtų dirbti stabiliau nešildymo sezono metu, o šildymo sezono metu užtikrintų taip pat tam tikrą rezervą tiek termofikacinio vandens, tiek ir šilumos. </w:t>
                          </w:r>
                        </w:p>
                        <w:p>
                          <w:pPr>
                            <w:rPr>
                              <w:sz w:val="14"/>
                              <w:szCs w:val="14"/>
                            </w:rPr>
                          </w:pPr>
                        </w:p>
                      </w:sdtContent>
                    </w:sdt>
                    <w:sdt>
                      <w:sdtPr>
                        <w:alias w:val="4.11.4 pp."/>
                        <w:tag w:val="part_d44cb223565b46538820843b8bba0712"/>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d44cb223565b46538820843b8bba0712"/>
                              <w:lock w:val="sdtLocked"/>
                              <w:richText/>
                            </w:sdtPr>
                            <w:sdtContent>
                              <w:r>
                                <w:rPr>
                                  <w:rFonts w:ascii="Arial" w:hAnsi="Arial" w:cs="Arial"/>
                                  <w:b/>
                                  <w:color w:val="002060"/>
                                  <w:szCs w:val="26"/>
                                </w:rPr>
                                <w:t>4.11.4</w:t>
                              </w:r>
                            </w:sdtContent>
                          </w:sdt>
                          <w:r>
                            <w:rPr>
                              <w:rFonts w:ascii="Arial" w:hAnsi="Arial" w:cs="Arial"/>
                              <w:b/>
                              <w:color w:val="002060"/>
                              <w:szCs w:val="26"/>
                            </w:rPr>
                            <w:t>. Vėsinimo technologijų integravimas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Centralizuotas šilumos ir vėsumos tiekimas yra laikomas vienu iš perspektyviausių klimato kaitos problemų sprendimo būdų ir jo skatinimas vis labiau tampa ES energetikos politikos dalimi. Apsirūpinimo šiluma ir vėsuma perspektyvos yra surinkti, kaupti ir efektyviai panaudoti atliekine ir aplinkos energiją. Juo labiau, kad biomasės naudojimas vis dažniau traktuojamas, kaip laikina priemonė. </w:t>
                          </w:r>
                        </w:p>
                        <w:p>
                          <w:pPr>
                            <w:rPr>
                              <w:sz w:val="14"/>
                              <w:szCs w:val="14"/>
                            </w:rPr>
                          </w:pPr>
                        </w:p>
                        <w:p>
                          <w:pPr>
                            <w:spacing w:line="259" w:lineRule="auto"/>
                            <w:ind w:firstLine="567"/>
                            <w:jc w:val="both"/>
                            <w:rPr>
                              <w:rFonts w:ascii="Arial" w:hAnsi="Arial" w:cs="Arial"/>
                              <w:sz w:val="22"/>
                            </w:rPr>
                          </w:pPr>
                          <w:r>
                            <w:rPr>
                              <w:rFonts w:ascii="Arial" w:hAnsi="Arial" w:cs="Arial"/>
                              <w:sz w:val="22"/>
                            </w:rPr>
                            <w:t>Centralizuotas vėsinimas – tai centralizuota vėsumos gamyba ir tiekimas, paverčiant šilumos energiją į vėsumą ir panaudojant turimą centralizuoto šilumos tiekimo infrastruktūrą. Pažymimi centralizuoto vėsinimo privalumai lyginant su individualiu vėsinimu: energijos ir išlaidų taupymas, pigesni vėsinimo įrenginiai, nereikia jiems skirti erdvės pastatų viduje ir išorėje, nėra rūpesčių dėl eksploatavimo, nebelieka triukšmo ir vibracijų, aplinkai draugiškas sprendimas, nedarkoma pastatų architektūra ir pan.</w:t>
                          </w:r>
                          <w:r>
                            <w:rPr>
                              <w:rFonts w:ascii="Arial" w:hAnsi="Arial" w:cs="Arial"/>
                              <w:sz w:val="22"/>
                              <w:vertAlign w:val="superscript"/>
                            </w:rPr>
                            <w:footnoteReference w:id="34"/>
                          </w:r>
                          <w:r>
                            <w:rPr>
                              <w:rFonts w:ascii="Arial" w:hAnsi="Arial" w:cs="Arial"/>
                              <w:sz w:val="22"/>
                            </w:rPr>
                            <w:t xml:space="preserve"> Tam CŠT dažniausiai panaudojami kompresoriniai vieno ar dviejų laipsnių šilumos siurbliai (toliau – ŠS). Šildymui reikalinga pirminė energija gali būti imama iš grunto, vandens telkinio arba iš aplinkos oro. </w:t>
                          </w:r>
                        </w:p>
                        <w:p>
                          <w:pPr>
                            <w:rPr>
                              <w:sz w:val="14"/>
                              <w:szCs w:val="14"/>
                            </w:rPr>
                          </w:pPr>
                        </w:p>
                        <w:p>
                          <w:pPr>
                            <w:spacing w:line="259" w:lineRule="auto"/>
                            <w:ind w:firstLine="567"/>
                            <w:jc w:val="both"/>
                            <w:rPr>
                              <w:rFonts w:ascii="Arial" w:hAnsi="Arial" w:cs="Arial"/>
                              <w:sz w:val="22"/>
                            </w:rPr>
                          </w:pPr>
                          <w:r>
                            <w:rPr>
                              <w:rFonts w:ascii="Arial" w:hAnsi="Arial" w:cs="Arial"/>
                              <w:sz w:val="22"/>
                            </w:rPr>
                            <w:t>Viena iš naujausių technologijų vėsumai iš šilumai gaminti – absorbciniai šilumos siurbliai. Juose, gana sudėtingo technologinio proceso metu, šilumos energija paverčiama vėsuma, kuri kitais įrenginiais tiekiama į patalpas. Absorbciniai šilumos siurbliai yra gerokai ilgaamžiškesni už šiuo metu paplitusius kompresorinius oru aušinamus vėsinimo įrenginius, o jais pagaminama vėsuma yra iki 20 proc. pigesnė. Taip pat jie ir yra ne tokie triukšmingi, bei suvartoja mažiau elektros energijos. Didžiausias galimybes ir absorbcinių siurblių savybės atsiskleidžia administracinės, visuomeninės, komercinės ir pramoninės paskirties objektuose, kuriuose projektinis vėsinimo poreikis didesnis nei 500 kW.</w:t>
                          </w:r>
                          <w:r>
                            <w:rPr>
                              <w:rFonts w:ascii="Arial" w:hAnsi="Arial" w:cs="Arial"/>
                              <w:sz w:val="22"/>
                              <w:vertAlign w:val="superscript"/>
                            </w:rPr>
                            <w:footnoteReference w:id="35"/>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Ši technologija plačiai naudojama Vakarų Europos šalyse, Pietų Korėjoje ir kitur. Šiuo atveju vasarą tinklų vanduo tiekiamas kiek aukštesnės negu įprastai temperatūros (80–90 °C), kuris naudojamas ne tik KV ruošimui, bet ir tinkamas absorbcinių ŠS „veikimui“, ruošiant tradicinį 6–7 </w:t>
                          </w:r>
                          <w:r>
                            <w:rPr>
                              <w:rFonts w:ascii="Arial" w:hAnsi="Arial" w:cs="Arial"/>
                              <w:sz w:val="22"/>
                              <w:vertAlign w:val="superscript"/>
                            </w:rPr>
                            <w:t>o</w:t>
                          </w:r>
                          <w:r>
                            <w:rPr>
                              <w:rFonts w:ascii="Arial" w:hAnsi="Arial" w:cs="Arial"/>
                              <w:sz w:val="22"/>
                            </w:rPr>
                            <w:t xml:space="preserve">C šaltnešį orinio vėsinimo sistemoms. </w:t>
                          </w:r>
                        </w:p>
                        <w:p>
                          <w:pPr>
                            <w:rPr>
                              <w:sz w:val="14"/>
                              <w:szCs w:val="14"/>
                            </w:rPr>
                          </w:pPr>
                        </w:p>
                        <w:p>
                          <w:pPr>
                            <w:spacing w:line="259" w:lineRule="auto"/>
                            <w:ind w:firstLine="567"/>
                            <w:jc w:val="both"/>
                            <w:rPr>
                              <w:rFonts w:ascii="Arial" w:hAnsi="Arial" w:cs="Arial"/>
                              <w:sz w:val="22"/>
                            </w:rPr>
                          </w:pPr>
                          <w:r>
                            <w:rPr>
                              <w:rFonts w:ascii="Arial" w:hAnsi="Arial" w:cs="Arial"/>
                              <w:sz w:val="22"/>
                            </w:rPr>
                            <w:t>Dar viena absorbcinių šilumos siurblių naudų yra ta, kad ši technologija leidžia vasarą efektyviau išnaudoti centralizuoto šilumos tiekimo tinklo katilines. Vasarą šilumos poreikis yra mažas, o įrengus absorbcinius šilumos siurblius, jis galėtų padidėti, kadangi juose, kaip varančioji energija, panaudojama šilumos tinkluose cirkuliuojančio šilumnešio energija. Taigi, įdiegus šią technologiją, šilumą gaminančios katilinės vasarą galėtų dirbti efektyviau.</w:t>
                          </w:r>
                        </w:p>
                        <w:p>
                          <w:pPr>
                            <w:rPr>
                              <w:sz w:val="14"/>
                              <w:szCs w:val="14"/>
                            </w:rPr>
                          </w:pPr>
                        </w:p>
                        <w:p>
                          <w:pPr>
                            <w:spacing w:line="259" w:lineRule="auto"/>
                            <w:ind w:firstLine="567"/>
                            <w:jc w:val="both"/>
                            <w:rPr>
                              <w:rFonts w:ascii="Arial" w:eastAsia="Calibri" w:hAnsi="Arial" w:cs="Arial"/>
                              <w:sz w:val="22"/>
                              <w:szCs w:val="23"/>
                            </w:rPr>
                          </w:pPr>
                          <w:r>
                            <w:rPr>
                              <w:rFonts w:ascii="Arial" w:hAnsi="Arial" w:cs="Arial"/>
                              <w:sz w:val="22"/>
                            </w:rPr>
                            <w:t>Geriausias pavyzdys Lietuvoje yra AB „Kauno energija“, kuriai tokį žematemperatūrį absorbcinį ŠS pagal užsakymą pagamino Pietų Korėjos įmonė World Energy. Toks įrenginys yra kiek brangesnis nei tradiciniai, aukštesnės temperatūros varančiajam vandeniui (80–95 °C) pritaikyti absorbciniai ŠS, tačiau tai suteikia galimybę, be CŠT sistemos koregavimo, vėsinti bet kuriuos objektus, prijungtus prie CŠT sistemos.</w:t>
                          </w:r>
                          <w:r>
                            <w:rPr>
                              <w:rFonts w:ascii="Arial" w:eastAsia="Calibri" w:hAnsi="Arial" w:cs="Arial"/>
                              <w:sz w:val="22"/>
                              <w:szCs w:val="23"/>
                              <w:vertAlign w:val="superscript"/>
                            </w:rPr>
                            <w:footnoteReference w:id="36"/>
                          </w:r>
                          <w:r>
                            <w:rPr>
                              <w:rFonts w:ascii="Arial" w:eastAsia="Calibri" w:hAnsi="Arial" w:cs="Arial"/>
                              <w:sz w:val="22"/>
                              <w:szCs w:val="23"/>
                            </w:rPr>
                            <w:t xml:space="preserve"> </w:t>
                          </w:r>
                        </w:p>
                        <w:p>
                          <w:pPr>
                            <w:rPr>
                              <w:sz w:val="14"/>
                              <w:szCs w:val="14"/>
                            </w:rPr>
                          </w:pPr>
                        </w:p>
                        <w:p>
                          <w:pPr>
                            <w:spacing w:line="259" w:lineRule="auto"/>
                            <w:ind w:firstLine="567"/>
                            <w:jc w:val="both"/>
                            <w:rPr>
                              <w:rFonts w:ascii="Arial" w:eastAsia="Calibri" w:hAnsi="Arial" w:cs="Arial"/>
                              <w:sz w:val="22"/>
                              <w:szCs w:val="23"/>
                            </w:rPr>
                          </w:pPr>
                          <w:r>
                            <w:rPr>
                              <w:rFonts w:ascii="Arial" w:hAnsi="Arial" w:cs="Arial"/>
                              <w:sz w:val="22"/>
                            </w:rPr>
                            <w:t>Esant galimybei ir ekonominiam tikslingumui, santykinai pigi vasaros vėsinimo šiluma ateityje turėtų būti panaudojama ir šildymo poreikiams žiemos laikotarpiu. Tam palanku panaudoti ir atliekinę energiją iš kogeneracinių elektrinių ar pramonės objektų, saulės kolektoriais pagamintą „nemokamą“ šilumą ar pan. Šia kryptimi aktyviai dirba ir jau turi sukaupę didelę patirtį Skandinavijos šalių šilumininkai, kurie vis dažniau save vadina centralizuotos energijos tiekėjais, nes šiluma, vėsuma ir elektra vis labiau susipina ir formuoja kompleksines energijos generavimo ir tiekimo sistemas.</w:t>
                          </w:r>
                          <w:r>
                            <w:rPr>
                              <w:rFonts w:ascii="Arial" w:eastAsia="Calibri" w:hAnsi="Arial" w:cs="Arial"/>
                              <w:sz w:val="22"/>
                              <w:szCs w:val="23"/>
                              <w:vertAlign w:val="superscript"/>
                            </w:rPr>
                            <w:footnoteReference w:id="37"/>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Kadangi Lietuva 2021–2027 ES paramos naudojimo laikotarpyje planuoja skirti lėšų centralizuoto vėsinimo sistemų vystymui, kad būtų galima panaudoti žalią, daugiausia vietinės kilmės biokuro ar atliekų šilumą ir taip pakeisti importuojamą iš dalies iš iškastinio kuro gaminamą elektros energiją. Tai padėtų siekti strateginių Lietuvos dekarbonizavimo ir energetinės nepriklausomybės tikslų. </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Atkreiptinas dėmesys, kad remiantis ekspertų įžvalgomis, centralizuotas vėsumos tiekimas Joniškio rajono </w:t>
                          </w:r>
                          <w:r>
                            <w:rPr>
                              <w:rFonts w:ascii="Arial" w:hAnsi="Arial" w:cs="Arial"/>
                              <w:sz w:val="22"/>
                            </w:rPr>
                            <w:t xml:space="preserve">savivaldybėje </w:t>
                          </w:r>
                          <w:r>
                            <w:rPr>
                              <w:rFonts w:ascii="Arial" w:eastAsia="Calibri" w:hAnsi="Arial" w:cs="Arial"/>
                              <w:sz w:val="22"/>
                              <w:szCs w:val="23"/>
                            </w:rPr>
                            <w:t xml:space="preserve">sunkiai įsivaizduojamas, dėl gana mažo vėsumos poreikio tankio. Vėsuma iš esmės daugiausiai naudojama prekybos centruose, dideliuose biurų pastatuose. Kaip alternatyvą, galbūt būtų galima naudoti freecooling’ą – panaudoti vandentiekio vandens vėsumą pvz. prekybos centrų vėsinimui. Tačiau šiuo atveju šios iniciatyvos nepriklauso nuo savivaldybės, tai turėtų būti iniciatyvos iš prekybos centrų, bei neprieštaravimas naudotis nemokamu šalčiu iš vandens tiekimo įmonės. Tačiau toks projektas tikslingas ten kur praeina magistraliniai vandentiekio tinklai ir jie turėtų būti arti vėsumos vartotojų. </w:t>
                          </w:r>
                        </w:p>
                        <w:p>
                          <w:pPr>
                            <w:rPr>
                              <w:sz w:val="14"/>
                              <w:szCs w:val="14"/>
                            </w:rPr>
                          </w:pPr>
                        </w:p>
                      </w:sdtContent>
                    </w:sdt>
                    <w:sdt>
                      <w:sdtPr>
                        <w:alias w:val="4.11.5 pp."/>
                        <w:tag w:val="part_fe55518ba9eb42719b18968790955bec"/>
                        <w:lock w:val="sdtLocked"/>
                        <w:richText/>
                      </w:sdtPr>
                      <w:sdtContent>
                        <w:p>
                          <w:pPr>
                            <w:keepNext/>
                            <w:keepLines/>
                            <w:spacing w:line="259" w:lineRule="auto"/>
                            <w:jc w:val="center"/>
                            <w:outlineLvl w:val="1"/>
                            <w:rPr>
                              <w:rFonts w:ascii="Arial" w:hAnsi="Arial" w:cs="Arial"/>
                              <w:b/>
                              <w:color w:val="002060"/>
                              <w:szCs w:val="26"/>
                            </w:rPr>
                          </w:pPr>
                          <w:sdt>
                            <w:sdtPr>
                              <w:alias w:val="Numeris"/>
                              <w:tag w:val="nr_fe55518ba9eb42719b18968790955bec"/>
                              <w:lock w:val="sdtLocked"/>
                              <w:richText/>
                            </w:sdtPr>
                            <w:sdtContent>
                              <w:r>
                                <w:rPr>
                                  <w:rFonts w:ascii="Arial" w:hAnsi="Arial" w:cs="Arial"/>
                                  <w:b/>
                                  <w:color w:val="002060"/>
                                  <w:szCs w:val="26"/>
                                </w:rPr>
                                <w:t>4.11.5</w:t>
                              </w:r>
                            </w:sdtContent>
                          </w:sdt>
                          <w:r>
                            <w:rPr>
                              <w:rFonts w:ascii="Arial" w:hAnsi="Arial" w:cs="Arial"/>
                              <w:b/>
                              <w:color w:val="002060"/>
                              <w:szCs w:val="26"/>
                            </w:rPr>
                            <w:t>. Nuotekinio vandens šilumos panaudojimas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Remiantis ekspertų įžvalgomis, nuotekinio vandens šilumos panaudojimas, šiai dienai yra sunkiai įsivaizduojamas, kadangi yra reikalingas pakankamas nuotekų debitas, o taip pat galimybė pasijungti arti į CŠT tinklą – magistralinė nuotekų linija, turi būti arti magistralinės CŠT linijos.  Technologijai reikalingas šilumos siurblys, kurio apskaičiuotas metinis vidutinis COP galėtų būti apie 3,3 (Tnuoteku=15C, T1=75C, T2=45C). Prie dabartinių ir prognozuojamų aukštesnių elektros energijos kainų net ir gavus 100 proc. paramą, toks šilumos siurblys negalėtų konkuruoti kintamais kaštais su CŠT ir iniciatyva būtų neatsiperkanti.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Bendrai, </w:t>
                          </w:r>
                          <w:r>
                            <w:rPr>
                              <w:rFonts w:ascii="Arial" w:eastAsia="Calibri" w:hAnsi="Arial" w:cs="Arial"/>
                              <w:sz w:val="22"/>
                              <w:szCs w:val="23"/>
                            </w:rPr>
                            <w:t xml:space="preserve">Joniškio rajono </w:t>
                          </w:r>
                          <w:r>
                            <w:rPr>
                              <w:rFonts w:ascii="Arial" w:hAnsi="Arial" w:cs="Arial"/>
                              <w:sz w:val="22"/>
                            </w:rPr>
                            <w:t>savivaldybės CŠT modernizavimo potencialas turėtų būti pagrįstas duomenų analize ir galimybių tyrimais, kuriuose nurodoma keletą galimybių, kurios yra techniškai įmanomos. Tai sudaro galimybių tyrimų pagrindą, kurio tikslas yra įvertinti kiekvieną variantą ir atlikti palyginimą, kad būtų galima palengvinti galutinių sprendimų priėmimą ir pasirinkti geriausią (ekonominiu ir techniniu požiūriu) alternatyvą.</w:t>
                          </w:r>
                        </w:p>
                        <w:p>
                          <w:pPr>
                            <w:rPr>
                              <w:sz w:val="14"/>
                              <w:szCs w:val="14"/>
                            </w:rPr>
                          </w:pPr>
                        </w:p>
                      </w:sdtContent>
                    </w:sdt>
                  </w:sdtContent>
                </w:sdt>
                <w:sdt>
                  <w:sdtPr>
                    <w:alias w:val="4.12 pp."/>
                    <w:tag w:val="part_37d28ade305546308321bd86b3f59cc2"/>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37d28ade305546308321bd86b3f59cc2"/>
                          <w:lock w:val="sdtLocked"/>
                          <w:richText/>
                        </w:sdtPr>
                        <w:sdtContent>
                          <w:r>
                            <w:rPr>
                              <w:rFonts w:ascii="Arial" w:eastAsia="SegoeUI" w:hAnsi="Arial" w:cs="Arial"/>
                              <w:b/>
                              <w:color w:val="002060"/>
                              <w:szCs w:val="26"/>
                            </w:rPr>
                            <w:t>4.12</w:t>
                          </w:r>
                        </w:sdtContent>
                      </w:sdt>
                      <w:r>
                        <w:rPr>
                          <w:rFonts w:ascii="Arial" w:eastAsia="SegoeUI" w:hAnsi="Arial" w:cs="Arial"/>
                          <w:b/>
                          <w:color w:val="002060"/>
                          <w:szCs w:val="26"/>
                        </w:rPr>
                        <w:t>. Savivaldybės teritorijoje esančio atsinaujinančių išteklių energijos potencialo apibendrinimas</w:t>
                      </w:r>
                    </w:p>
                    <w:p>
                      <w:pPr>
                        <w:rPr>
                          <w:sz w:val="14"/>
                          <w:szCs w:val="14"/>
                        </w:rPr>
                      </w:pPr>
                    </w:p>
                    <w:p>
                      <w:pPr>
                        <w:spacing w:line="259" w:lineRule="auto"/>
                        <w:ind w:firstLine="567"/>
                        <w:jc w:val="both"/>
                        <w:rPr>
                          <w:rFonts w:ascii="Arial" w:hAnsi="Arial" w:cs="Arial"/>
                          <w:sz w:val="22"/>
                        </w:rPr>
                      </w:pPr>
                      <w:r>
                        <w:rPr>
                          <w:rFonts w:ascii="Arial" w:hAnsi="Arial" w:cs="Arial"/>
                          <w:sz w:val="22"/>
                        </w:rPr>
                        <w:t>Vertinant AIE technologijų potencialą nepaminėta vandenilio energetika, turinti didžiulį potencialą užtikrinant energijos tiekimo saugumą ir patikimumą bei mažiau išskiriant šiltnamio reiškinį skatinančių dujų, tačiau kol kas plačiau nepaplitusi dėl vis dar aukštos technologijų kainos. Vandenilio energetikos technologijų realus panaudojimas priklauso ne tik nuo mokslinių atradimų technologiniame lygmenyje, bet ir nuo valstybės energetikos politikos, palankios teisinės ir ekonominės aplinkos sukūrimo šių technologijų plėtrai bei įtraukimui į rinką.</w:t>
                      </w:r>
                    </w:p>
                    <w:p>
                      <w:pPr>
                        <w:rPr>
                          <w:sz w:val="14"/>
                          <w:szCs w:val="14"/>
                        </w:rPr>
                      </w:pPr>
                    </w:p>
                    <w:p>
                      <w:pPr>
                        <w:spacing w:line="259" w:lineRule="auto"/>
                        <w:ind w:firstLine="567"/>
                        <w:jc w:val="both"/>
                        <w:rPr>
                          <w:rFonts w:ascii="Arial" w:hAnsi="Arial" w:cs="Arial"/>
                          <w:sz w:val="22"/>
                        </w:rPr>
                      </w:pPr>
                      <w:r>
                        <w:rPr>
                          <w:rFonts w:ascii="Arial" w:hAnsi="Arial" w:cs="Arial"/>
                          <w:sz w:val="22"/>
                        </w:rPr>
                        <w:t>Taip pat AIE naudojimas ateityje susijęs su spartėjančia elektromobilių plėtra, kurie dėl didelės pažangos elektros energijos kaupiklių (akumuliatorių ir baterijų) srityje jau netolimoje ateityje gali tapti reikšminga automobilių pramonės ir elektros energijos vartotojų dalimi.</w:t>
                      </w:r>
                    </w:p>
                    <w:p>
                      <w:pPr>
                        <w:rPr>
                          <w:sz w:val="14"/>
                          <w:szCs w:val="14"/>
                        </w:rPr>
                      </w:pPr>
                    </w:p>
                    <w:sdt>
                      <w:sdtPr>
                        <w:alias w:val="4.12.1 pp."/>
                        <w:tag w:val="part_18aa5b876e3f427daccc96a553772db1"/>
                        <w:lock w:val="sdtLocked"/>
                        <w:richText/>
                      </w:sdtPr>
                      <w:sdtContent>
                        <w:p>
                          <w:pPr>
                            <w:spacing w:line="259" w:lineRule="auto"/>
                            <w:ind w:firstLine="567"/>
                            <w:jc w:val="both"/>
                            <w:rPr>
                              <w:rFonts w:ascii="Arial" w:hAnsi="Arial" w:cs="Arial"/>
                              <w:sz w:val="22"/>
                            </w:rPr>
                          </w:pPr>
                          <w:sdt>
                            <w:sdtPr>
                              <w:alias w:val="Numeris"/>
                              <w:tag w:val="nr_18aa5b876e3f427daccc96a553772db1"/>
                              <w:lock w:val="sdtLocked"/>
                              <w:richText/>
                            </w:sdtPr>
                            <w:sdtContent>
                              <w:r>
                                <w:rPr>
                                  <w:rFonts w:ascii="Arial" w:hAnsi="Arial" w:cs="Arial"/>
                                  <w:sz w:val="22"/>
                                </w:rPr>
                                <w:t>4.12.1</w:t>
                              </w:r>
                            </w:sdtContent>
                          </w:sdt>
                          <w:r>
                            <w:rPr>
                              <w:rFonts w:ascii="Arial" w:hAnsi="Arial" w:cs="Arial"/>
                              <w:sz w:val="22"/>
                            </w:rPr>
                            <w:t>. lentelėje pateikiama apibendrinta informacija apie AIE techninį potencialą savivaldybės teritorijoje.</w:t>
                          </w:r>
                        </w:p>
                        <w:p>
                          <w:pPr>
                            <w:rPr>
                              <w:sz w:val="14"/>
                              <w:szCs w:val="14"/>
                            </w:rPr>
                          </w:pPr>
                        </w:p>
                      </w:sdtContent>
                    </w:sdt>
                    <w:sdt>
                      <w:sdtPr>
                        <w:alias w:val="4.12.1 pp."/>
                        <w:tag w:val="part_8a7d55da2eae4538b782960385419e06"/>
                        <w:lock w:val="sdtLocked"/>
                        <w:richText/>
                      </w:sdtPr>
                      <w:sdtContent>
                        <w:p>
                          <w:pPr>
                            <w:spacing w:line="259" w:lineRule="auto"/>
                            <w:jc w:val="center"/>
                            <w:rPr>
                              <w:rFonts w:ascii="Arial" w:eastAsia="Calibri" w:hAnsi="Arial"/>
                              <w:b/>
                              <w:color w:val="002060"/>
                              <w:sz w:val="22"/>
                              <w:szCs w:val="32"/>
                            </w:rPr>
                          </w:pPr>
                          <w:sdt>
                            <w:sdtPr>
                              <w:alias w:val="Numeris"/>
                              <w:tag w:val="nr_8a7d55da2eae4538b782960385419e06"/>
                              <w:lock w:val="sdtLocked"/>
                              <w:richText/>
                            </w:sdtPr>
                            <w:sdtContent>
                              <w:r>
                                <w:rPr>
                                  <w:rFonts w:ascii="Arial" w:eastAsia="Calibri" w:hAnsi="Arial"/>
                                  <w:b/>
                                  <w:color w:val="002060"/>
                                  <w:sz w:val="22"/>
                                  <w:szCs w:val="32"/>
                                </w:rPr>
                                <w:t>4.12.1</w:t>
                              </w:r>
                            </w:sdtContent>
                          </w:sdt>
                          <w:r>
                            <w:rPr>
                              <w:rFonts w:ascii="Arial" w:eastAsia="Calibri" w:hAnsi="Arial"/>
                              <w:b/>
                              <w:color w:val="002060"/>
                              <w:sz w:val="22"/>
                              <w:szCs w:val="32"/>
                            </w:rPr>
                            <w:t>. lentelė. AIE potencialas Joniškio rajono savivaldybėje</w:t>
                          </w:r>
                        </w:p>
                        <w:p>
                          <w:pPr>
                            <w:rPr>
                              <w:sz w:val="10"/>
                              <w:szCs w:val="10"/>
                            </w:rPr>
                          </w:pPr>
                        </w:p>
                        <w:tbl>
                          <w:tblPr>
                            <w:tblW w:w="5000" w:type="pct"/>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1735"/>
                            <w:gridCol w:w="2612"/>
                            <w:gridCol w:w="3791"/>
                            <w:gridCol w:w="2057"/>
                          </w:tblGrid>
                          <w:tr>
                            <w:trPr>
                              <w:trHeight w:val="528"/>
                            </w:trPr>
                            <w:tc>
                              <w:tcPr>
                                <w:tcW w:w="2132" w:type="pct"/>
                                <w:gridSpan w:val="2"/>
                                <w:hideMark/>
                              </w:tcPr>
                              <w:p>
                                <w:pPr>
                                  <w:spacing w:line="259" w:lineRule="auto"/>
                                  <w:jc w:val="center"/>
                                  <w:rPr>
                                    <w:rFonts w:ascii="Arial" w:hAnsi="Arial" w:cs="Arial"/>
                                    <w:sz w:val="20"/>
                                  </w:rPr>
                                </w:pPr>
                                <w:r>
                                  <w:rPr>
                                    <w:rFonts w:ascii="Arial" w:hAnsi="Arial" w:cs="Arial"/>
                                    <w:sz w:val="20"/>
                                  </w:rPr>
                                  <w:t>AIE rūšis</w:t>
                                </w:r>
                              </w:p>
                            </w:tc>
                            <w:tc>
                              <w:tcPr>
                                <w:tcW w:w="1859" w:type="pct"/>
                                <w:hideMark/>
                              </w:tcPr>
                              <w:p>
                                <w:pPr>
                                  <w:spacing w:line="259" w:lineRule="auto"/>
                                  <w:jc w:val="center"/>
                                  <w:rPr>
                                    <w:rFonts w:ascii="Arial" w:hAnsi="Arial" w:cs="Arial"/>
                                    <w:sz w:val="20"/>
                                  </w:rPr>
                                </w:pPr>
                                <w:r>
                                  <w:rPr>
                                    <w:rFonts w:ascii="Arial" w:hAnsi="Arial" w:cs="Arial"/>
                                    <w:sz w:val="20"/>
                                  </w:rPr>
                                  <w:t>AIE pritaikymas</w:t>
                                </w:r>
                              </w:p>
                            </w:tc>
                            <w:tc>
                              <w:tcPr>
                                <w:tcW w:w="1009" w:type="pct"/>
                                <w:hideMark/>
                              </w:tcPr>
                              <w:p>
                                <w:pPr>
                                  <w:spacing w:line="259" w:lineRule="auto"/>
                                  <w:jc w:val="center"/>
                                  <w:rPr>
                                    <w:rFonts w:ascii="Arial" w:hAnsi="Arial" w:cs="Arial"/>
                                    <w:sz w:val="20"/>
                                  </w:rPr>
                                </w:pPr>
                                <w:r>
                                  <w:rPr>
                                    <w:rFonts w:ascii="Arial" w:hAnsi="Arial" w:cs="Arial"/>
                                    <w:sz w:val="20"/>
                                  </w:rPr>
                                  <w:t>Techninis potencialas tne</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Medienos kuras</w:t>
                                </w:r>
                              </w:p>
                            </w:tc>
                            <w:tc>
                              <w:tcPr>
                                <w:tcW w:w="1859" w:type="pct"/>
                                <w:hideMark/>
                              </w:tcPr>
                              <w:p>
                                <w:pPr>
                                  <w:spacing w:line="259" w:lineRule="auto"/>
                                  <w:rPr>
                                    <w:rFonts w:ascii="Arial" w:hAnsi="Arial" w:cs="Arial"/>
                                    <w:color w:val="000000"/>
                                    <w:sz w:val="20"/>
                                  </w:rPr>
                                </w:pPr>
                                <w:r>
                                  <w:rPr>
                                    <w:rFonts w:ascii="Arial" w:hAnsi="Arial" w:cs="Arial"/>
                                    <w:color w:val="000000"/>
                                    <w:sz w:val="20"/>
                                  </w:rPr>
                                  <w:t>Biokuras katilinėms ir elektrinėms</w:t>
                                </w:r>
                              </w:p>
                            </w:tc>
                            <w:tc>
                              <w:tcPr>
                                <w:tcW w:w="1009" w:type="pct"/>
                                <w:hideMark/>
                              </w:tcPr>
                              <w:p>
                                <w:pPr>
                                  <w:spacing w:line="259" w:lineRule="auto"/>
                                  <w:jc w:val="center"/>
                                  <w:rPr>
                                    <w:rFonts w:ascii="Arial" w:hAnsi="Arial" w:cs="Arial"/>
                                    <w:b/>
                                    <w:bCs/>
                                    <w:color w:val="000000"/>
                                    <w:sz w:val="20"/>
                                  </w:rPr>
                                </w:pPr>
                                <w:r>
                                  <w:rPr>
                                    <w:rFonts w:ascii="Arial" w:hAnsi="Arial" w:cs="Arial"/>
                                    <w:b/>
                                    <w:bCs/>
                                    <w:sz w:val="20"/>
                                  </w:rPr>
                                  <w:t>11 027,0</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Šiaudai</w:t>
                                </w:r>
                              </w:p>
                            </w:tc>
                            <w:tc>
                              <w:tcPr>
                                <w:tcW w:w="1859" w:type="pct"/>
                                <w:hideMark/>
                              </w:tcPr>
                              <w:p>
                                <w:pPr>
                                  <w:spacing w:line="259" w:lineRule="auto"/>
                                  <w:rPr>
                                    <w:rFonts w:ascii="Arial" w:hAnsi="Arial" w:cs="Arial"/>
                                    <w:color w:val="000000"/>
                                    <w:sz w:val="20"/>
                                  </w:rPr>
                                </w:pPr>
                                <w:r>
                                  <w:rPr>
                                    <w:rFonts w:ascii="Arial" w:hAnsi="Arial" w:cs="Arial"/>
                                    <w:color w:val="000000"/>
                                    <w:sz w:val="20"/>
                                  </w:rPr>
                                  <w:t>Biokuras katilinėms ir elektrinėms</w:t>
                                </w:r>
                              </w:p>
                            </w:tc>
                            <w:tc>
                              <w:tcPr>
                                <w:tcW w:w="1009" w:type="pct"/>
                                <w:hideMark/>
                              </w:tcPr>
                              <w:p>
                                <w:pPr>
                                  <w:spacing w:line="259" w:lineRule="auto"/>
                                  <w:jc w:val="center"/>
                                  <w:rPr>
                                    <w:rFonts w:ascii="Arial" w:hAnsi="Arial" w:cs="Arial"/>
                                    <w:b/>
                                    <w:bCs/>
                                    <w:color w:val="000000"/>
                                    <w:sz w:val="20"/>
                                    <w:highlight w:val="yellow"/>
                                  </w:rPr>
                                </w:pPr>
                                <w:r>
                                  <w:rPr>
                                    <w:rFonts w:ascii="Arial" w:hAnsi="Arial" w:cs="Arial"/>
                                    <w:b/>
                                    <w:bCs/>
                                    <w:sz w:val="20"/>
                                  </w:rPr>
                                  <w:t>88 082,1</w:t>
                                </w:r>
                              </w:p>
                            </w:tc>
                          </w:tr>
                          <w:tr>
                            <w:trPr>
                              <w:trHeight w:val="407"/>
                            </w:trPr>
                            <w:tc>
                              <w:tcPr>
                                <w:tcW w:w="851" w:type="pct"/>
                                <w:vMerge w:val="restart"/>
                                <w:hideMark/>
                              </w:tcPr>
                              <w:p>
                                <w:pPr>
                                  <w:spacing w:line="259" w:lineRule="auto"/>
                                  <w:rPr>
                                    <w:rFonts w:ascii="Arial" w:hAnsi="Arial" w:cs="Arial"/>
                                    <w:color w:val="000000"/>
                                    <w:sz w:val="20"/>
                                  </w:rPr>
                                </w:pPr>
                                <w:r>
                                  <w:rPr>
                                    <w:rFonts w:ascii="Arial" w:hAnsi="Arial" w:cs="Arial"/>
                                    <w:color w:val="000000"/>
                                    <w:sz w:val="20"/>
                                  </w:rPr>
                                  <w:t>Biodujos</w:t>
                                </w:r>
                              </w:p>
                            </w:tc>
                            <w:tc>
                              <w:tcPr>
                                <w:tcW w:w="1281" w:type="pct"/>
                                <w:hideMark/>
                              </w:tcPr>
                              <w:p>
                                <w:pPr>
                                  <w:spacing w:line="259" w:lineRule="auto"/>
                                  <w:rPr>
                                    <w:rFonts w:ascii="Arial" w:hAnsi="Arial" w:cs="Arial"/>
                                    <w:color w:val="000000"/>
                                    <w:sz w:val="20"/>
                                  </w:rPr>
                                </w:pPr>
                                <w:r>
                                  <w:rPr>
                                    <w:rFonts w:ascii="Arial" w:hAnsi="Arial" w:cs="Arial"/>
                                    <w:color w:val="000000"/>
                                    <w:sz w:val="20"/>
                                  </w:rPr>
                                  <w:t>Biodujos iš ŽŪ ir maisto pramonės atliekų</w:t>
                                </w:r>
                              </w:p>
                            </w:tc>
                            <w:tc>
                              <w:tcPr>
                                <w:tcW w:w="1859" w:type="pct"/>
                                <w:vMerge w:val="restart"/>
                                <w:hideMark/>
                              </w:tcPr>
                              <w:p>
                                <w:pPr>
                                  <w:spacing w:line="259" w:lineRule="auto"/>
                                  <w:rPr>
                                    <w:rFonts w:ascii="Arial" w:hAnsi="Arial" w:cs="Arial"/>
                                    <w:color w:val="000000"/>
                                    <w:sz w:val="20"/>
                                  </w:rPr>
                                </w:pPr>
                                <w:r>
                                  <w:rPr>
                                    <w:rFonts w:ascii="Arial" w:hAnsi="Arial" w:cs="Arial"/>
                                    <w:color w:val="000000"/>
                                    <w:sz w:val="20"/>
                                  </w:rPr>
                                  <w:t>Kuras katilinėms, kogeneracinėms jėgainėms</w:t>
                                </w:r>
                              </w:p>
                            </w:tc>
                            <w:tc>
                              <w:tcPr>
                                <w:tcW w:w="1009" w:type="pct"/>
                                <w:hideMark/>
                              </w:tcPr>
                              <w:p>
                                <w:pPr>
                                  <w:spacing w:line="259" w:lineRule="auto"/>
                                  <w:jc w:val="center"/>
                                  <w:rPr>
                                    <w:rFonts w:ascii="Arial" w:hAnsi="Arial" w:cs="Arial"/>
                                    <w:b/>
                                    <w:bCs/>
                                    <w:color w:val="000000"/>
                                    <w:sz w:val="20"/>
                                  </w:rPr>
                                </w:pPr>
                                <w:r>
                                  <w:rPr>
                                    <w:rFonts w:ascii="Arial" w:hAnsi="Arial" w:cs="Arial"/>
                                    <w:b/>
                                    <w:bCs/>
                                    <w:sz w:val="20"/>
                                  </w:rPr>
                                  <w:t>1 814,1</w:t>
                                </w:r>
                              </w:p>
                            </w:tc>
                          </w:tr>
                          <w:tr>
                            <w:trPr>
                              <w:trHeight w:hRule="exact" w:val="255"/>
                            </w:trPr>
                            <w:tc>
                              <w:tcPr>
                                <w:tcW w:w="851" w:type="pct"/>
                                <w:vMerge/>
                                <w:hideMark/>
                              </w:tcPr>
                              <w:p>
                                <w:pPr>
                                  <w:spacing w:line="259" w:lineRule="auto"/>
                                  <w:rPr>
                                    <w:rFonts w:ascii="Arial" w:hAnsi="Arial" w:cs="Arial"/>
                                    <w:color w:val="000000"/>
                                    <w:sz w:val="20"/>
                                  </w:rPr>
                                </w:pPr>
                              </w:p>
                            </w:tc>
                            <w:tc>
                              <w:tcPr>
                                <w:tcW w:w="1281" w:type="pct"/>
                                <w:hideMark/>
                              </w:tcPr>
                              <w:p>
                                <w:pPr>
                                  <w:spacing w:line="259" w:lineRule="auto"/>
                                  <w:rPr>
                                    <w:rFonts w:ascii="Arial" w:hAnsi="Arial" w:cs="Arial"/>
                                    <w:color w:val="000000"/>
                                    <w:sz w:val="20"/>
                                  </w:rPr>
                                </w:pPr>
                                <w:r>
                                  <w:rPr>
                                    <w:rFonts w:ascii="Arial" w:hAnsi="Arial" w:cs="Arial"/>
                                    <w:color w:val="000000"/>
                                    <w:sz w:val="20"/>
                                  </w:rPr>
                                  <w:t>Sąvartynų dujos</w:t>
                                </w:r>
                              </w:p>
                            </w:tc>
                            <w:tc>
                              <w:tcPr>
                                <w:tcW w:w="1859" w:type="pct"/>
                                <w:vMerge/>
                                <w:hideMark/>
                              </w:tcPr>
                              <w:p>
                                <w:pPr>
                                  <w:spacing w:line="259" w:lineRule="auto"/>
                                  <w:rPr>
                                    <w:rFonts w:ascii="Arial" w:hAnsi="Arial" w:cs="Arial"/>
                                    <w:color w:val="000000"/>
                                    <w:sz w:val="20"/>
                                  </w:rPr>
                                </w:pPr>
                              </w:p>
                            </w:tc>
                            <w:tc>
                              <w:tcPr>
                                <w:tcW w:w="1009" w:type="pct"/>
                                <w:hideMark/>
                              </w:tcPr>
                              <w:p>
                                <w:pPr>
                                  <w:spacing w:line="259" w:lineRule="auto"/>
                                  <w:jc w:val="center"/>
                                  <w:rPr>
                                    <w:rFonts w:ascii="Arial" w:hAnsi="Arial" w:cs="Arial"/>
                                    <w:b/>
                                    <w:bCs/>
                                    <w:color w:val="000000"/>
                                    <w:sz w:val="20"/>
                                  </w:rPr>
                                </w:pPr>
                                <w:r>
                                  <w:rPr>
                                    <w:rFonts w:ascii="Arial" w:hAnsi="Arial" w:cs="Arial"/>
                                    <w:b/>
                                    <w:bCs/>
                                    <w:sz w:val="20"/>
                                  </w:rPr>
                                  <w:t>5,1</w:t>
                                </w:r>
                              </w:p>
                            </w:tc>
                          </w:tr>
                          <w:tr>
                            <w:trPr>
                              <w:trHeight w:hRule="exact" w:val="255"/>
                            </w:trPr>
                            <w:tc>
                              <w:tcPr>
                                <w:tcW w:w="851" w:type="pct"/>
                                <w:vMerge/>
                                <w:hideMark/>
                              </w:tcPr>
                              <w:p>
                                <w:pPr>
                                  <w:spacing w:line="259" w:lineRule="auto"/>
                                  <w:rPr>
                                    <w:rFonts w:ascii="Arial" w:hAnsi="Arial" w:cs="Arial"/>
                                    <w:color w:val="000000"/>
                                    <w:sz w:val="20"/>
                                  </w:rPr>
                                </w:pPr>
                              </w:p>
                            </w:tc>
                            <w:tc>
                              <w:tcPr>
                                <w:tcW w:w="1281" w:type="pct"/>
                                <w:hideMark/>
                              </w:tcPr>
                              <w:p>
                                <w:pPr>
                                  <w:spacing w:line="259" w:lineRule="auto"/>
                                  <w:rPr>
                                    <w:rFonts w:ascii="Arial" w:hAnsi="Arial" w:cs="Arial"/>
                                    <w:color w:val="000000"/>
                                    <w:sz w:val="20"/>
                                  </w:rPr>
                                </w:pPr>
                                <w:r>
                                  <w:rPr>
                                    <w:rFonts w:ascii="Arial" w:hAnsi="Arial" w:cs="Arial"/>
                                    <w:color w:val="000000"/>
                                    <w:sz w:val="20"/>
                                  </w:rPr>
                                  <w:t>Biodujos iš nuotekų</w:t>
                                </w:r>
                              </w:p>
                            </w:tc>
                            <w:tc>
                              <w:tcPr>
                                <w:tcW w:w="1859" w:type="pct"/>
                                <w:vMerge/>
                                <w:hideMark/>
                              </w:tcPr>
                              <w:p>
                                <w:pPr>
                                  <w:spacing w:line="259" w:lineRule="auto"/>
                                  <w:rPr>
                                    <w:rFonts w:ascii="Arial" w:hAnsi="Arial" w:cs="Arial"/>
                                    <w:color w:val="000000"/>
                                    <w:sz w:val="20"/>
                                  </w:rPr>
                                </w:pPr>
                              </w:p>
                            </w:tc>
                            <w:tc>
                              <w:tcPr>
                                <w:tcW w:w="1009" w:type="pct"/>
                                <w:hideMark/>
                              </w:tcPr>
                              <w:p>
                                <w:pPr>
                                  <w:jc w:val="center"/>
                                  <w:rPr>
                                    <w:rFonts w:ascii="Arial" w:hAnsi="Arial" w:cs="Arial"/>
                                    <w:b/>
                                    <w:bCs/>
                                    <w:color w:val="000000"/>
                                    <w:sz w:val="20"/>
                                  </w:rPr>
                                </w:pPr>
                                <w:r>
                                  <w:rPr>
                                    <w:rFonts w:ascii="Arial" w:hAnsi="Arial" w:cs="Arial"/>
                                    <w:b/>
                                    <w:bCs/>
                                    <w:color w:val="000000"/>
                                    <w:sz w:val="20"/>
                                  </w:rPr>
                                  <w:t>484,0</w:t>
                                </w:r>
                              </w:p>
                              <w:p>
                                <w:pPr>
                                  <w:jc w:val="center"/>
                                  <w:rPr>
                                    <w:rFonts w:ascii="Arial" w:hAnsi="Arial" w:cs="Arial"/>
                                    <w:b/>
                                    <w:bCs/>
                                    <w:color w:val="000000"/>
                                    <w:sz w:val="20"/>
                                  </w:rPr>
                                </w:pPr>
                              </w:p>
                              <w:p>
                                <w:pPr>
                                  <w:jc w:val="center"/>
                                  <w:rPr>
                                    <w:rFonts w:ascii="Arial" w:hAnsi="Arial" w:cs="Arial"/>
                                    <w:b/>
                                    <w:bCs/>
                                    <w:color w:val="000000"/>
                                    <w:sz w:val="20"/>
                                  </w:rPr>
                                </w:pPr>
                              </w:p>
                            </w:tc>
                          </w:tr>
                          <w:tr>
                            <w:trPr>
                              <w:trHeight w:val="348"/>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Komunalinės atliekos</w:t>
                                </w:r>
                              </w:p>
                            </w:tc>
                            <w:tc>
                              <w:tcPr>
                                <w:tcW w:w="1859" w:type="pct"/>
                                <w:hideMark/>
                              </w:tcPr>
                              <w:p>
                                <w:pPr>
                                  <w:spacing w:line="259" w:lineRule="auto"/>
                                  <w:rPr>
                                    <w:rFonts w:ascii="Arial" w:hAnsi="Arial" w:cs="Arial"/>
                                    <w:color w:val="000000"/>
                                    <w:sz w:val="20"/>
                                  </w:rPr>
                                </w:pPr>
                                <w:r>
                                  <w:rPr>
                                    <w:rFonts w:ascii="Arial" w:hAnsi="Arial" w:cs="Arial"/>
                                    <w:color w:val="000000"/>
                                    <w:sz w:val="20"/>
                                  </w:rPr>
                                  <w:t>Kuras katilinėms ir kogeneracinėms jėgainėms</w:t>
                                </w:r>
                              </w:p>
                            </w:tc>
                            <w:tc>
                              <w:tcPr>
                                <w:tcW w:w="1009" w:type="pct"/>
                                <w:hideMark/>
                              </w:tcPr>
                              <w:p>
                                <w:pPr>
                                  <w:spacing w:line="259" w:lineRule="auto"/>
                                  <w:jc w:val="center"/>
                                  <w:rPr>
                                    <w:rFonts w:ascii="Arial" w:hAnsi="Arial" w:cs="Arial"/>
                                    <w:b/>
                                    <w:bCs/>
                                    <w:color w:val="000000"/>
                                    <w:sz w:val="20"/>
                                    <w:highlight w:val="yellow"/>
                                  </w:rPr>
                                </w:pPr>
                                <w:r>
                                  <w:rPr>
                                    <w:rFonts w:ascii="Arial" w:hAnsi="Arial" w:cs="Arial"/>
                                    <w:b/>
                                    <w:bCs/>
                                    <w:color w:val="000000"/>
                                    <w:sz w:val="20"/>
                                  </w:rPr>
                                  <w:t>135,3</w:t>
                                </w:r>
                              </w:p>
                            </w:tc>
                          </w:tr>
                          <w:tr>
                            <w:trPr>
                              <w:trHeight w:hRule="exact" w:val="255"/>
                            </w:trPr>
                            <w:tc>
                              <w:tcPr>
                                <w:tcW w:w="851" w:type="pct"/>
                                <w:vMerge w:val="restart"/>
                                <w:hideMark/>
                              </w:tcPr>
                              <w:p>
                                <w:pPr>
                                  <w:spacing w:line="259" w:lineRule="auto"/>
                                  <w:rPr>
                                    <w:rFonts w:ascii="Arial" w:hAnsi="Arial" w:cs="Arial"/>
                                    <w:color w:val="000000"/>
                                    <w:sz w:val="20"/>
                                  </w:rPr>
                                </w:pPr>
                                <w:r>
                                  <w:rPr>
                                    <w:rFonts w:ascii="Arial" w:hAnsi="Arial" w:cs="Arial"/>
                                    <w:color w:val="000000"/>
                                    <w:sz w:val="20"/>
                                  </w:rPr>
                                  <w:t>Saulės energija</w:t>
                                </w:r>
                              </w:p>
                            </w:tc>
                            <w:tc>
                              <w:tcPr>
                                <w:tcW w:w="1281" w:type="pct"/>
                                <w:hideMark/>
                              </w:tcPr>
                              <w:p>
                                <w:pPr>
                                  <w:spacing w:line="259" w:lineRule="auto"/>
                                  <w:rPr>
                                    <w:rFonts w:ascii="Arial" w:hAnsi="Arial" w:cs="Arial"/>
                                    <w:color w:val="000000"/>
                                    <w:sz w:val="20"/>
                                  </w:rPr>
                                </w:pPr>
                                <w:r>
                                  <w:rPr>
                                    <w:rFonts w:ascii="Arial" w:hAnsi="Arial" w:cs="Arial"/>
                                    <w:color w:val="000000"/>
                                    <w:sz w:val="20"/>
                                  </w:rPr>
                                  <w:t>Saulės šviesos elektrinės</w:t>
                                </w:r>
                              </w:p>
                            </w:tc>
                            <w:tc>
                              <w:tcPr>
                                <w:tcW w:w="1859" w:type="pct"/>
                                <w:hideMark/>
                              </w:tcPr>
                              <w:p>
                                <w:pPr>
                                  <w:spacing w:line="259" w:lineRule="auto"/>
                                  <w:rPr>
                                    <w:rFonts w:ascii="Arial" w:hAnsi="Arial" w:cs="Arial"/>
                                    <w:color w:val="000000"/>
                                    <w:sz w:val="20"/>
                                  </w:rPr>
                                </w:pPr>
                                <w:r>
                                  <w:rPr>
                                    <w:rFonts w:ascii="Arial" w:hAnsi="Arial" w:cs="Arial"/>
                                    <w:color w:val="000000"/>
                                    <w:sz w:val="20"/>
                                  </w:rPr>
                                  <w:t>Elektros energija</w:t>
                                </w:r>
                              </w:p>
                            </w:tc>
                            <w:tc>
                              <w:tcPr>
                                <w:tcW w:w="1009" w:type="pct"/>
                                <w:hideMark/>
                              </w:tcPr>
                              <w:p>
                                <w:pPr>
                                  <w:spacing w:line="259" w:lineRule="auto"/>
                                  <w:jc w:val="center"/>
                                  <w:rPr>
                                    <w:rFonts w:ascii="Arial" w:hAnsi="Arial" w:cs="Arial"/>
                                    <w:color w:val="000000"/>
                                    <w:sz w:val="20"/>
                                    <w:highlight w:val="yellow"/>
                                  </w:rPr>
                                </w:pPr>
                                <w:r>
                                  <w:rPr>
                                    <w:rFonts w:ascii="Arial" w:hAnsi="Arial" w:cs="Arial"/>
                                    <w:b/>
                                    <w:bCs/>
                                    <w:sz w:val="20"/>
                                  </w:rPr>
                                  <w:t>9 500,2</w:t>
                                </w:r>
                              </w:p>
                            </w:tc>
                          </w:tr>
                          <w:tr>
                            <w:trPr>
                              <w:trHeight w:hRule="exact" w:val="255"/>
                            </w:trPr>
                            <w:tc>
                              <w:tcPr>
                                <w:tcW w:w="851" w:type="pct"/>
                                <w:vMerge/>
                                <w:hideMark/>
                              </w:tcPr>
                              <w:p>
                                <w:pPr>
                                  <w:spacing w:line="259" w:lineRule="auto"/>
                                  <w:rPr>
                                    <w:rFonts w:ascii="Arial" w:hAnsi="Arial" w:cs="Arial"/>
                                    <w:color w:val="000000"/>
                                    <w:sz w:val="20"/>
                                  </w:rPr>
                                </w:pPr>
                              </w:p>
                            </w:tc>
                            <w:tc>
                              <w:tcPr>
                                <w:tcW w:w="1281" w:type="pct"/>
                                <w:hideMark/>
                              </w:tcPr>
                              <w:p>
                                <w:pPr>
                                  <w:spacing w:line="259" w:lineRule="auto"/>
                                  <w:rPr>
                                    <w:rFonts w:ascii="Arial" w:hAnsi="Arial" w:cs="Arial"/>
                                    <w:color w:val="000000"/>
                                    <w:sz w:val="20"/>
                                  </w:rPr>
                                </w:pPr>
                                <w:r>
                                  <w:rPr>
                                    <w:rFonts w:ascii="Arial" w:hAnsi="Arial" w:cs="Arial"/>
                                    <w:color w:val="000000"/>
                                    <w:sz w:val="20"/>
                                  </w:rPr>
                                  <w:t>Buitiniai saulės kolektoriai</w:t>
                                </w:r>
                              </w:p>
                            </w:tc>
                            <w:tc>
                              <w:tcPr>
                                <w:tcW w:w="1859" w:type="pct"/>
                                <w:hideMark/>
                              </w:tcPr>
                              <w:p>
                                <w:pPr>
                                  <w:spacing w:line="259" w:lineRule="auto"/>
                                  <w:rPr>
                                    <w:rFonts w:ascii="Arial" w:hAnsi="Arial" w:cs="Arial"/>
                                    <w:color w:val="000000"/>
                                    <w:sz w:val="20"/>
                                  </w:rPr>
                                </w:pPr>
                                <w:r>
                                  <w:rPr>
                                    <w:rFonts w:ascii="Arial" w:hAnsi="Arial" w:cs="Arial"/>
                                    <w:color w:val="000000"/>
                                    <w:sz w:val="20"/>
                                  </w:rPr>
                                  <w:t>Šilumos energija buitiniams vartotojams</w:t>
                                </w:r>
                              </w:p>
                            </w:tc>
                            <w:tc>
                              <w:tcPr>
                                <w:tcW w:w="1009" w:type="pct"/>
                                <w:hideMark/>
                              </w:tcPr>
                              <w:p>
                                <w:pPr>
                                  <w:spacing w:line="259" w:lineRule="auto"/>
                                  <w:jc w:val="center"/>
                                  <w:rPr>
                                    <w:rFonts w:ascii="Arial" w:hAnsi="Arial" w:cs="Arial"/>
                                    <w:b/>
                                    <w:bCs/>
                                    <w:color w:val="000000"/>
                                    <w:sz w:val="20"/>
                                    <w:highlight w:val="yellow"/>
                                  </w:rPr>
                                </w:pPr>
                                <w:r>
                                  <w:rPr>
                                    <w:rFonts w:ascii="Arial" w:hAnsi="Arial" w:cs="Arial"/>
                                    <w:b/>
                                    <w:bCs/>
                                    <w:color w:val="000000"/>
                                    <w:sz w:val="20"/>
                                  </w:rPr>
                                  <w:t>389,9</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Vėjo energija</w:t>
                                </w:r>
                              </w:p>
                            </w:tc>
                            <w:tc>
                              <w:tcPr>
                                <w:tcW w:w="1859" w:type="pct"/>
                                <w:hideMark/>
                              </w:tcPr>
                              <w:p>
                                <w:pPr>
                                  <w:spacing w:line="259" w:lineRule="auto"/>
                                  <w:rPr>
                                    <w:rFonts w:ascii="Arial" w:hAnsi="Arial" w:cs="Arial"/>
                                    <w:color w:val="000000"/>
                                    <w:sz w:val="20"/>
                                  </w:rPr>
                                </w:pPr>
                                <w:r>
                                  <w:rPr>
                                    <w:rFonts w:ascii="Arial" w:hAnsi="Arial" w:cs="Arial"/>
                                    <w:color w:val="000000"/>
                                    <w:sz w:val="20"/>
                                  </w:rPr>
                                  <w:t>Vėjo elektrinių parkai</w:t>
                                </w:r>
                              </w:p>
                            </w:tc>
                            <w:tc>
                              <w:tcPr>
                                <w:tcW w:w="1009" w:type="pct"/>
                                <w:hideMark/>
                              </w:tcPr>
                              <w:p>
                                <w:pPr>
                                  <w:spacing w:line="259" w:lineRule="auto"/>
                                  <w:jc w:val="center"/>
                                  <w:rPr>
                                    <w:rFonts w:ascii="Arial" w:hAnsi="Arial" w:cs="Arial"/>
                                    <w:color w:val="000000"/>
                                    <w:sz w:val="20"/>
                                    <w:highlight w:val="yellow"/>
                                  </w:rPr>
                                </w:pPr>
                                <w:r>
                                  <w:rPr>
                                    <w:rFonts w:ascii="Arial" w:eastAsia="Calibri" w:hAnsi="Arial" w:cs="Arial"/>
                                    <w:b/>
                                    <w:bCs/>
                                    <w:sz w:val="20"/>
                                  </w:rPr>
                                  <w:t>20 979,3</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Geoterminė energija</w:t>
                                </w:r>
                              </w:p>
                            </w:tc>
                            <w:tc>
                              <w:tcPr>
                                <w:tcW w:w="1859" w:type="pct"/>
                                <w:hideMark/>
                              </w:tcPr>
                              <w:p>
                                <w:pPr>
                                  <w:spacing w:line="259" w:lineRule="auto"/>
                                  <w:rPr>
                                    <w:rFonts w:ascii="Arial" w:hAnsi="Arial" w:cs="Arial"/>
                                    <w:color w:val="000000"/>
                                    <w:sz w:val="20"/>
                                  </w:rPr>
                                </w:pPr>
                                <w:r>
                                  <w:rPr>
                                    <w:rFonts w:ascii="Arial" w:hAnsi="Arial" w:cs="Arial"/>
                                    <w:color w:val="000000"/>
                                    <w:sz w:val="20"/>
                                  </w:rPr>
                                  <w:t>Šilumos siurbliai</w:t>
                                </w:r>
                              </w:p>
                            </w:tc>
                            <w:tc>
                              <w:tcPr>
                                <w:tcW w:w="1009" w:type="pct"/>
                                <w:hideMark/>
                              </w:tcPr>
                              <w:p>
                                <w:pPr>
                                  <w:spacing w:line="259" w:lineRule="auto"/>
                                  <w:jc w:val="center"/>
                                  <w:rPr>
                                    <w:rFonts w:ascii="Arial" w:hAnsi="Arial" w:cs="Arial"/>
                                    <w:b/>
                                    <w:bCs/>
                                    <w:color w:val="000000"/>
                                    <w:sz w:val="20"/>
                                    <w:highlight w:val="yellow"/>
                                  </w:rPr>
                                </w:pPr>
                                <w:r>
                                  <w:rPr>
                                    <w:rFonts w:ascii="Arial" w:hAnsi="Arial" w:cs="Arial"/>
                                    <w:b/>
                                    <w:bCs/>
                                    <w:color w:val="000000"/>
                                    <w:sz w:val="20"/>
                                  </w:rPr>
                                  <w:t>306 542,9</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Aeroterminė energija</w:t>
                                </w:r>
                              </w:p>
                            </w:tc>
                            <w:tc>
                              <w:tcPr>
                                <w:tcW w:w="1859" w:type="pct"/>
                                <w:hideMark/>
                              </w:tcPr>
                              <w:p>
                                <w:pPr>
                                  <w:spacing w:line="259" w:lineRule="auto"/>
                                  <w:rPr>
                                    <w:rFonts w:ascii="Arial" w:hAnsi="Arial" w:cs="Arial"/>
                                    <w:color w:val="000000"/>
                                    <w:sz w:val="20"/>
                                  </w:rPr>
                                </w:pPr>
                                <w:r>
                                  <w:rPr>
                                    <w:rFonts w:ascii="Arial" w:hAnsi="Arial" w:cs="Arial"/>
                                    <w:color w:val="000000"/>
                                    <w:sz w:val="20"/>
                                  </w:rPr>
                                  <w:t>Šilumos siurbliai</w:t>
                                </w:r>
                              </w:p>
                            </w:tc>
                            <w:tc>
                              <w:tcPr>
                                <w:tcW w:w="1009" w:type="pct"/>
                                <w:hideMark/>
                              </w:tcPr>
                              <w:p>
                                <w:pPr>
                                  <w:spacing w:line="259" w:lineRule="auto"/>
                                  <w:jc w:val="center"/>
                                  <w:rPr>
                                    <w:rFonts w:ascii="Arial" w:hAnsi="Arial" w:cs="Arial"/>
                                    <w:b/>
                                    <w:bCs/>
                                    <w:color w:val="000000"/>
                                    <w:sz w:val="20"/>
                                  </w:rPr>
                                </w:pPr>
                                <w:r>
                                  <w:rPr>
                                    <w:rFonts w:ascii="Arial" w:hAnsi="Arial" w:cs="Arial"/>
                                    <w:b/>
                                    <w:bCs/>
                                    <w:color w:val="000000"/>
                                    <w:sz w:val="20"/>
                                  </w:rPr>
                                  <w:t>2 183,7</w:t>
                                </w:r>
                              </w:p>
                            </w:tc>
                          </w:tr>
                          <w:tr>
                            <w:trPr>
                              <w:trHeight w:hRule="exact" w:val="255"/>
                            </w:trPr>
                            <w:tc>
                              <w:tcPr>
                                <w:tcW w:w="2132" w:type="pct"/>
                                <w:gridSpan w:val="2"/>
                                <w:hideMark/>
                              </w:tcPr>
                              <w:p>
                                <w:pPr>
                                  <w:spacing w:line="259" w:lineRule="auto"/>
                                  <w:rPr>
                                    <w:rFonts w:ascii="Arial" w:hAnsi="Arial" w:cs="Arial"/>
                                    <w:color w:val="000000"/>
                                    <w:sz w:val="20"/>
                                  </w:rPr>
                                </w:pPr>
                                <w:r>
                                  <w:rPr>
                                    <w:rFonts w:ascii="Arial" w:hAnsi="Arial" w:cs="Arial"/>
                                    <w:color w:val="000000"/>
                                    <w:sz w:val="20"/>
                                  </w:rPr>
                                  <w:t>Hidroterminė energija</w:t>
                                </w:r>
                              </w:p>
                            </w:tc>
                            <w:tc>
                              <w:tcPr>
                                <w:tcW w:w="1859" w:type="pct"/>
                                <w:hideMark/>
                              </w:tcPr>
                              <w:p>
                                <w:pPr>
                                  <w:spacing w:line="259" w:lineRule="auto"/>
                                  <w:rPr>
                                    <w:rFonts w:ascii="Arial" w:hAnsi="Arial" w:cs="Arial"/>
                                    <w:color w:val="000000"/>
                                    <w:sz w:val="20"/>
                                  </w:rPr>
                                </w:pPr>
                                <w:r>
                                  <w:rPr>
                                    <w:rFonts w:ascii="Arial" w:hAnsi="Arial" w:cs="Arial"/>
                                    <w:color w:val="000000"/>
                                    <w:sz w:val="20"/>
                                  </w:rPr>
                                  <w:t>Šilumos siurbliai</w:t>
                                </w:r>
                              </w:p>
                            </w:tc>
                            <w:tc>
                              <w:tcPr>
                                <w:tcW w:w="1009" w:type="pct"/>
                                <w:hideMark/>
                              </w:tcPr>
                              <w:p>
                                <w:pPr>
                                  <w:spacing w:line="259" w:lineRule="auto"/>
                                  <w:jc w:val="center"/>
                                  <w:rPr>
                                    <w:rFonts w:ascii="Arial" w:hAnsi="Arial" w:cs="Arial"/>
                                    <w:b/>
                                    <w:bCs/>
                                    <w:color w:val="000000"/>
                                    <w:sz w:val="20"/>
                                  </w:rPr>
                                </w:pPr>
                                <w:r>
                                  <w:rPr>
                                    <w:rFonts w:ascii="Arial" w:hAnsi="Arial" w:cs="Arial"/>
                                    <w:b/>
                                    <w:bCs/>
                                    <w:color w:val="000000"/>
                                    <w:sz w:val="20"/>
                                  </w:rPr>
                                  <w:t>3 684,1</w:t>
                                </w:r>
                              </w:p>
                            </w:tc>
                          </w:tr>
                          <w:tr>
                            <w:trPr>
                              <w:trHeight w:hRule="exact" w:val="255"/>
                            </w:trPr>
                            <w:tc>
                              <w:tcPr>
                                <w:tcW w:w="3991" w:type="pct"/>
                                <w:gridSpan w:val="3"/>
                                <w:hideMark/>
                              </w:tcPr>
                              <w:p>
                                <w:pPr>
                                  <w:spacing w:line="259" w:lineRule="auto"/>
                                  <w:jc w:val="right"/>
                                  <w:rPr>
                                    <w:rFonts w:ascii="Arial" w:hAnsi="Arial" w:cs="Arial"/>
                                    <w:color w:val="000000"/>
                                    <w:sz w:val="20"/>
                                  </w:rPr>
                                </w:pPr>
                                <w:r>
                                  <w:rPr>
                                    <w:rFonts w:ascii="Arial" w:hAnsi="Arial" w:cs="Arial"/>
                                    <w:color w:val="000000"/>
                                    <w:sz w:val="20"/>
                                  </w:rPr>
                                  <w:t>Viso</w:t>
                                </w:r>
                              </w:p>
                            </w:tc>
                            <w:tc>
                              <w:tcPr>
                                <w:tcW w:w="1009" w:type="pct"/>
                                <w:hideMark/>
                              </w:tcPr>
                              <w:p>
                                <w:pPr>
                                  <w:jc w:val="center"/>
                                  <w:rPr>
                                    <w:rFonts w:ascii="Arial" w:hAnsi="Arial" w:cs="Arial"/>
                                    <w:b/>
                                    <w:bCs/>
                                    <w:color w:val="000000"/>
                                    <w:sz w:val="20"/>
                                  </w:rPr>
                                </w:pPr>
                                <w:r>
                                  <w:rPr>
                                    <w:rFonts w:ascii="Arial" w:hAnsi="Arial" w:cs="Arial"/>
                                    <w:b/>
                                    <w:bCs/>
                                    <w:color w:val="000000"/>
                                    <w:sz w:val="20"/>
                                  </w:rPr>
                                  <w:t>444 827,7</w:t>
                                </w:r>
                              </w:p>
                            </w:tc>
                          </w:tr>
                        </w:tbl>
                        <w:p>
                          <w:pPr>
                            <w:widowControl w:val="0"/>
                            <w:spacing w:line="259" w:lineRule="auto"/>
                            <w:jc w:val="center"/>
                            <w:rPr>
                              <w:rFonts w:ascii="Arial" w:eastAsia="Calibri" w:hAnsi="Arial" w:cs="Arial"/>
                              <w:sz w:val="20"/>
                              <w:szCs w:val="22"/>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Suminis, pagal aprašytas prielaidas įvertintas savivaldybės teritorijoje esančių AEI techninis potencialas siekia apie 444 ktne. Šis skaičius parodo AIE kiekį, kuris galėtų būti įsisavintas pasinaudojant tik savivaldybės teritorijoje esančiais ištekliais. Šis potencialas daug kartų viršija savivaldybės metinius energijos poreikius (apie 20 ktne).</w:t>
                          </w:r>
                        </w:p>
                        <w:p>
                          <w:pPr>
                            <w:rPr>
                              <w:sz w:val="14"/>
                              <w:szCs w:val="14"/>
                            </w:rPr>
                          </w:pPr>
                        </w:p>
                        <w:p>
                          <w:pPr>
                            <w:spacing w:line="259" w:lineRule="auto"/>
                            <w:rPr>
                              <w:rFonts w:ascii="Arial" w:hAnsi="Arial" w:cs="Arial"/>
                              <w:sz w:val="22"/>
                            </w:rPr>
                          </w:pPr>
                          <w:r>
                            <w:rPr>
                              <w:rFonts w:ascii="Arial" w:hAnsi="Arial" w:cs="Arial"/>
                              <w:sz w:val="22"/>
                              <w:szCs w:val="22"/>
                            </w:rPr>
                            <w:br w:type="page"/>
                          </w:r>
                        </w:p>
                        <w:p>
                          <w:pPr>
                            <w:rPr>
                              <w:sz w:val="14"/>
                              <w:szCs w:val="14"/>
                            </w:rPr>
                          </w:pPr>
                        </w:p>
                      </w:sdtContent>
                    </w:sdt>
                  </w:sdtContent>
                </w:sdt>
              </w:sdtContent>
            </w:sdt>
            <w:sdt>
              <w:sdtPr>
                <w:alias w:val="5 p."/>
                <w:tag w:val="part_5ba9993fd5cc4bd4b339c25540a5b1f6"/>
                <w:lock w:val="sdtLocked"/>
                <w:richText/>
              </w:sdtPr>
              <w:sdtContent>
                <w:p>
                  <w:pPr>
                    <w:keepNext/>
                    <w:keepLines/>
                    <w:spacing w:line="259" w:lineRule="auto"/>
                    <w:jc w:val="center"/>
                    <w:rPr>
                      <w:rFonts w:ascii="Arial" w:hAnsi="Arial" w:cs="Arial"/>
                      <w:b/>
                      <w:caps/>
                      <w:color w:val="002060"/>
                      <w:sz w:val="28"/>
                      <w:szCs w:val="32"/>
                    </w:rPr>
                  </w:pPr>
                  <w:sdt>
                    <w:sdtPr>
                      <w:alias w:val="Numeris"/>
                      <w:tag w:val="nr_5ba9993fd5cc4bd4b339c25540a5b1f6"/>
                      <w:lock w:val="sdtLocked"/>
                      <w:richText/>
                    </w:sdtPr>
                    <w:sdtContent>
                      <w:r>
                        <w:rPr>
                          <w:rFonts w:ascii="Arial" w:hAnsi="Arial" w:cs="Arial"/>
                          <w:b/>
                          <w:caps/>
                          <w:color w:val="002060"/>
                          <w:sz w:val="28"/>
                          <w:szCs w:val="32"/>
                        </w:rPr>
                        <w:t>5</w:t>
                      </w:r>
                    </w:sdtContent>
                  </w:sdt>
                  <w:r>
                    <w:rPr>
                      <w:rFonts w:ascii="Arial" w:hAnsi="Arial" w:cs="Arial"/>
                      <w:b/>
                      <w:caps/>
                      <w:color w:val="002060"/>
                      <w:sz w:val="28"/>
                      <w:szCs w:val="32"/>
                    </w:rPr>
                    <w:t>. Savivaldybės energijos poreikių prognozė iki 2030 metų be papildomų priemonių</w:t>
                  </w:r>
                </w:p>
                <w:p>
                  <w:pPr>
                    <w:rPr>
                      <w:sz w:val="14"/>
                      <w:szCs w:val="14"/>
                    </w:rPr>
                  </w:pPr>
                </w:p>
                <w:p>
                  <w:pPr>
                    <w:spacing w:line="259" w:lineRule="auto"/>
                    <w:ind w:firstLine="567"/>
                    <w:jc w:val="both"/>
                    <w:rPr>
                      <w:rFonts w:ascii="Arial" w:hAnsi="Arial" w:cs="Arial"/>
                      <w:sz w:val="22"/>
                    </w:rPr>
                  </w:pPr>
                  <w:r>
                    <w:rPr>
                      <w:rFonts w:ascii="Arial" w:hAnsi="Arial" w:cs="Arial"/>
                      <w:sz w:val="22"/>
                    </w:rPr>
                    <w:t>Šiame skyriuje pateikiamos savivaldybės kuro ir energijos balanso iki 2030 metų prognozės. Skaičiavimuose naudojami ankstesniuose skyriuose pateikti duomenys apie Joniškio rajono savivaldybės energijos ir kuro suvartojimus. Prognozės atliktos esamos būklės tęstinumo atveju, kai nėra taikomos papildomos efektyvaus energijos naudojimo priemonės.</w:t>
                  </w:r>
                </w:p>
                <w:p>
                  <w:pPr>
                    <w:rPr>
                      <w:sz w:val="14"/>
                      <w:szCs w:val="14"/>
                    </w:rPr>
                  </w:pPr>
                </w:p>
                <w:p>
                  <w:pPr>
                    <w:spacing w:line="259" w:lineRule="auto"/>
                    <w:ind w:firstLine="567"/>
                    <w:jc w:val="both"/>
                    <w:rPr>
                      <w:rFonts w:ascii="Arial" w:hAnsi="Arial" w:cs="Arial"/>
                      <w:sz w:val="22"/>
                    </w:rPr>
                  </w:pPr>
                  <w:r>
                    <w:rPr>
                      <w:rFonts w:ascii="Arial" w:hAnsi="Arial" w:cs="Arial"/>
                      <w:sz w:val="22"/>
                    </w:rPr>
                    <w:t>Galutiniam energijos suvartojimui įtakos turi makroekonominiai rodikliai bei gyventojų skaičiaus kitimas. Pagrindinis makroekonominis rodiklis, lemiantis energijos suvartojimą – bendrasis vidaus produktas (BVP). Galutinio energijos vartojimo kitimo prielaidos priklausomai nuo BVP ir gyventojų skaičiaus didėjimo pateiktos sekančioje lentelėje (žr. 5.1. lentelę).</w:t>
                  </w:r>
                </w:p>
                <w:p>
                  <w:pPr>
                    <w:rPr>
                      <w:sz w:val="14"/>
                      <w:szCs w:val="14"/>
                    </w:rPr>
                  </w:pPr>
                </w:p>
                <w:sdt>
                  <w:sdtPr>
                    <w:alias w:val="5.1 pp."/>
                    <w:tag w:val="part_064704029b744ae7a73fe59a55b1cecd"/>
                    <w:lock w:val="sdtLocked"/>
                    <w:richText/>
                  </w:sdtPr>
                  <w:sdtContent>
                    <w:p>
                      <w:pPr>
                        <w:spacing w:line="259" w:lineRule="auto"/>
                        <w:jc w:val="center"/>
                        <w:rPr>
                          <w:rFonts w:ascii="Arial" w:eastAsia="Calibri" w:hAnsi="Arial" w:cs="Arial"/>
                          <w:b/>
                          <w:color w:val="002060"/>
                          <w:sz w:val="22"/>
                          <w:szCs w:val="32"/>
                        </w:rPr>
                      </w:pPr>
                      <w:sdt>
                        <w:sdtPr>
                          <w:alias w:val="Numeris"/>
                          <w:tag w:val="nr_064704029b744ae7a73fe59a55b1cecd"/>
                          <w:lock w:val="sdtLocked"/>
                          <w:richText/>
                        </w:sdtPr>
                        <w:sdtContent>
                          <w:r>
                            <w:rPr>
                              <w:rFonts w:ascii="Arial" w:eastAsia="Calibri" w:hAnsi="Arial" w:cs="Arial"/>
                              <w:b/>
                              <w:color w:val="002060"/>
                              <w:sz w:val="22"/>
                              <w:szCs w:val="32"/>
                            </w:rPr>
                            <w:t>5.1</w:t>
                          </w:r>
                        </w:sdtContent>
                      </w:sdt>
                      <w:r>
                        <w:rPr>
                          <w:rFonts w:ascii="Arial" w:eastAsia="Calibri" w:hAnsi="Arial" w:cs="Arial"/>
                          <w:b/>
                          <w:color w:val="002060"/>
                          <w:sz w:val="22"/>
                          <w:szCs w:val="32"/>
                        </w:rPr>
                        <w:t>. lentelė. Galutinio energijos poreikio skirtinguose ūkio sektoriuose priklausomybė nuo BVP augimo ir gyventojų skaičiaus kitimo</w:t>
                      </w:r>
                    </w:p>
                    <w:p>
                      <w:pPr>
                        <w:rPr>
                          <w:sz w:val="10"/>
                          <w:szCs w:val="10"/>
                        </w:rPr>
                      </w:pPr>
                    </w:p>
                    <w:tbl>
                      <w:tblPr>
                        <w:tblW w:w="3533"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2846"/>
                        <w:gridCol w:w="2407"/>
                        <w:gridCol w:w="1951"/>
                      </w:tblGrid>
                      <w:tr>
                        <w:trPr>
                          <w:trHeight w:hRule="exact" w:val="551"/>
                          <w:jc w:val="center"/>
                        </w:trPr>
                        <w:tc>
                          <w:tcPr>
                            <w:tcW w:w="2688" w:type="dxa"/>
                          </w:tcPr>
                          <w:p>
                            <w:pPr>
                              <w:spacing w:line="259" w:lineRule="auto"/>
                              <w:jc w:val="center"/>
                              <w:rPr>
                                <w:rFonts w:ascii="Arial" w:hAnsi="Arial" w:cs="Arial"/>
                                <w:sz w:val="20"/>
                                <w:szCs w:val="16"/>
                              </w:rPr>
                            </w:pPr>
                            <w:r>
                              <w:rPr>
                                <w:rFonts w:ascii="Arial" w:hAnsi="Arial" w:cs="Arial"/>
                                <w:sz w:val="20"/>
                                <w:szCs w:val="16"/>
                              </w:rPr>
                              <w:t>Energijos sąnaudų vartojimo sektorius</w:t>
                            </w:r>
                          </w:p>
                        </w:tc>
                        <w:tc>
                          <w:tcPr>
                            <w:tcW w:w="2273" w:type="dxa"/>
                          </w:tcPr>
                          <w:p>
                            <w:pPr>
                              <w:spacing w:line="259" w:lineRule="auto"/>
                              <w:jc w:val="center"/>
                              <w:rPr>
                                <w:rFonts w:ascii="Arial" w:hAnsi="Arial" w:cs="Arial"/>
                                <w:sz w:val="20"/>
                                <w:szCs w:val="16"/>
                              </w:rPr>
                            </w:pPr>
                            <w:r>
                              <w:rPr>
                                <w:rFonts w:ascii="Arial" w:hAnsi="Arial" w:cs="Arial"/>
                                <w:sz w:val="20"/>
                                <w:szCs w:val="16"/>
                              </w:rPr>
                              <w:t>BVP augant 1 %</w:t>
                            </w:r>
                          </w:p>
                        </w:tc>
                        <w:tc>
                          <w:tcPr>
                            <w:tcW w:w="1842" w:type="dxa"/>
                          </w:tcPr>
                          <w:p>
                            <w:pPr>
                              <w:spacing w:line="259" w:lineRule="auto"/>
                              <w:jc w:val="center"/>
                              <w:rPr>
                                <w:rFonts w:ascii="Arial" w:hAnsi="Arial" w:cs="Arial"/>
                                <w:sz w:val="20"/>
                                <w:szCs w:val="16"/>
                              </w:rPr>
                            </w:pPr>
                            <w:r>
                              <w:rPr>
                                <w:rFonts w:ascii="Arial" w:hAnsi="Arial" w:cs="Arial"/>
                                <w:sz w:val="20"/>
                                <w:szCs w:val="16"/>
                              </w:rPr>
                              <w:t>Gyventojų skaičiui padidėjus 1 %</w:t>
                            </w: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b/>
                                <w:bCs/>
                                <w:sz w:val="20"/>
                              </w:rPr>
                              <w:t>Kuras, šiluma</w:t>
                            </w:r>
                          </w:p>
                        </w:tc>
                        <w:tc>
                          <w:tcPr>
                            <w:tcW w:w="2273" w:type="dxa"/>
                          </w:tcPr>
                          <w:p>
                            <w:pPr>
                              <w:spacing w:line="259" w:lineRule="auto"/>
                              <w:jc w:val="center"/>
                              <w:rPr>
                                <w:rFonts w:ascii="Arial" w:hAnsi="Arial" w:cs="Arial"/>
                                <w:sz w:val="20"/>
                              </w:rPr>
                            </w:pPr>
                          </w:p>
                        </w:tc>
                        <w:tc>
                          <w:tcPr>
                            <w:tcW w:w="1842" w:type="dxa"/>
                          </w:tcPr>
                          <w:p>
                            <w:pPr>
                              <w:spacing w:line="259" w:lineRule="auto"/>
                              <w:jc w:val="center"/>
                              <w:rPr>
                                <w:rFonts w:ascii="Arial" w:hAnsi="Arial" w:cs="Arial"/>
                                <w:sz w:val="20"/>
                              </w:rPr>
                            </w:pPr>
                          </w:p>
                        </w:tc>
                      </w:tr>
                      <w:tr>
                        <w:trPr>
                          <w:trHeight w:hRule="exact" w:val="284"/>
                          <w:jc w:val="center"/>
                        </w:trPr>
                        <w:tc>
                          <w:tcPr>
                            <w:tcW w:w="2688" w:type="dxa"/>
                          </w:tcPr>
                          <w:p>
                            <w:pPr>
                              <w:spacing w:line="259" w:lineRule="auto"/>
                              <w:jc w:val="both"/>
                              <w:rPr>
                                <w:rFonts w:ascii="Arial" w:hAnsi="Arial" w:cs="Arial"/>
                                <w:sz w:val="20"/>
                              </w:rPr>
                            </w:pPr>
                            <w:r>
                              <w:rPr>
                                <w:rFonts w:ascii="Arial" w:hAnsi="Arial" w:cs="Arial"/>
                                <w:sz w:val="20"/>
                              </w:rPr>
                              <w:t>Pramonė, žemės ūkis</w:t>
                            </w:r>
                          </w:p>
                        </w:tc>
                        <w:tc>
                          <w:tcPr>
                            <w:tcW w:w="2273" w:type="dxa"/>
                          </w:tcPr>
                          <w:p>
                            <w:pPr>
                              <w:spacing w:line="259" w:lineRule="auto"/>
                              <w:jc w:val="center"/>
                              <w:rPr>
                                <w:rFonts w:ascii="Arial" w:hAnsi="Arial" w:cs="Arial"/>
                                <w:sz w:val="20"/>
                              </w:rPr>
                            </w:pPr>
                            <w:r>
                              <w:rPr>
                                <w:rFonts w:ascii="Arial" w:hAnsi="Arial" w:cs="Arial"/>
                                <w:sz w:val="20"/>
                              </w:rPr>
                              <w:t>0,5 %</w:t>
                            </w:r>
                          </w:p>
                        </w:tc>
                        <w:tc>
                          <w:tcPr>
                            <w:tcW w:w="1842" w:type="dxa"/>
                          </w:tcPr>
                          <w:p>
                            <w:pPr>
                              <w:spacing w:line="259" w:lineRule="auto"/>
                              <w:jc w:val="center"/>
                              <w:rPr>
                                <w:rFonts w:ascii="Arial" w:hAnsi="Arial" w:cs="Arial"/>
                                <w:sz w:val="20"/>
                              </w:rPr>
                            </w:pPr>
                            <w:r>
                              <w:rPr>
                                <w:rFonts w:ascii="Arial" w:hAnsi="Arial" w:cs="Arial"/>
                                <w:sz w:val="20"/>
                              </w:rPr>
                              <w:t>0 %</w:t>
                            </w:r>
                          </w:p>
                        </w:tc>
                      </w:tr>
                      <w:tr>
                        <w:trPr>
                          <w:trHeight w:hRule="exact" w:val="284"/>
                          <w:jc w:val="center"/>
                        </w:trPr>
                        <w:tc>
                          <w:tcPr>
                            <w:tcW w:w="2688" w:type="dxa"/>
                          </w:tcPr>
                          <w:p>
                            <w:pPr>
                              <w:spacing w:line="259" w:lineRule="auto"/>
                              <w:jc w:val="both"/>
                              <w:rPr>
                                <w:rFonts w:ascii="Arial" w:hAnsi="Arial" w:cs="Arial"/>
                                <w:sz w:val="20"/>
                              </w:rPr>
                            </w:pPr>
                            <w:r>
                              <w:rPr>
                                <w:rFonts w:ascii="Arial" w:hAnsi="Arial" w:cs="Arial"/>
                                <w:sz w:val="20"/>
                              </w:rPr>
                              <w:t>Paslaugų sektorius</w:t>
                            </w:r>
                          </w:p>
                        </w:tc>
                        <w:tc>
                          <w:tcPr>
                            <w:tcW w:w="2273" w:type="dxa"/>
                          </w:tcPr>
                          <w:p>
                            <w:pPr>
                              <w:spacing w:line="259" w:lineRule="auto"/>
                              <w:jc w:val="center"/>
                              <w:rPr>
                                <w:rFonts w:ascii="Arial" w:hAnsi="Arial" w:cs="Arial"/>
                                <w:sz w:val="20"/>
                              </w:rPr>
                            </w:pPr>
                            <w:r>
                              <w:rPr>
                                <w:rFonts w:ascii="Arial" w:hAnsi="Arial" w:cs="Arial"/>
                                <w:sz w:val="20"/>
                              </w:rPr>
                              <w:t>0,2 %</w:t>
                            </w:r>
                          </w:p>
                        </w:tc>
                        <w:tc>
                          <w:tcPr>
                            <w:tcW w:w="1842" w:type="dxa"/>
                          </w:tcPr>
                          <w:p>
                            <w:pPr>
                              <w:spacing w:line="259" w:lineRule="auto"/>
                              <w:jc w:val="center"/>
                              <w:rPr>
                                <w:rFonts w:ascii="Arial" w:hAnsi="Arial" w:cs="Arial"/>
                                <w:sz w:val="20"/>
                              </w:rPr>
                            </w:pPr>
                            <w:r>
                              <w:rPr>
                                <w:rFonts w:ascii="Arial" w:hAnsi="Arial" w:cs="Arial"/>
                                <w:sz w:val="20"/>
                              </w:rPr>
                              <w:t>0,2 %</w:t>
                            </w:r>
                          </w:p>
                        </w:tc>
                      </w:tr>
                      <w:tr>
                        <w:trPr>
                          <w:trHeight w:hRule="exact" w:val="284"/>
                          <w:jc w:val="center"/>
                        </w:trPr>
                        <w:tc>
                          <w:tcPr>
                            <w:tcW w:w="2688" w:type="dxa"/>
                          </w:tcPr>
                          <w:p>
                            <w:pPr>
                              <w:spacing w:line="259" w:lineRule="auto"/>
                              <w:jc w:val="both"/>
                              <w:rPr>
                                <w:rFonts w:ascii="Arial" w:hAnsi="Arial" w:cs="Arial"/>
                                <w:sz w:val="20"/>
                              </w:rPr>
                            </w:pPr>
                            <w:r>
                              <w:rPr>
                                <w:rFonts w:ascii="Arial" w:hAnsi="Arial" w:cs="Arial"/>
                                <w:sz w:val="20"/>
                              </w:rPr>
                              <w:t>Transportas</w:t>
                            </w:r>
                          </w:p>
                        </w:tc>
                        <w:tc>
                          <w:tcPr>
                            <w:tcW w:w="2273" w:type="dxa"/>
                          </w:tcPr>
                          <w:p>
                            <w:pPr>
                              <w:spacing w:line="259" w:lineRule="auto"/>
                              <w:jc w:val="center"/>
                              <w:rPr>
                                <w:rFonts w:ascii="Arial" w:hAnsi="Arial" w:cs="Arial"/>
                                <w:sz w:val="20"/>
                              </w:rPr>
                            </w:pPr>
                            <w:r>
                              <w:rPr>
                                <w:rFonts w:ascii="Arial" w:hAnsi="Arial" w:cs="Arial"/>
                                <w:sz w:val="20"/>
                              </w:rPr>
                              <w:t>0,3 %</w:t>
                            </w:r>
                          </w:p>
                        </w:tc>
                        <w:tc>
                          <w:tcPr>
                            <w:tcW w:w="1842" w:type="dxa"/>
                          </w:tcPr>
                          <w:p>
                            <w:pPr>
                              <w:spacing w:line="259" w:lineRule="auto"/>
                              <w:jc w:val="center"/>
                              <w:rPr>
                                <w:rFonts w:ascii="Arial" w:hAnsi="Arial" w:cs="Arial"/>
                                <w:sz w:val="20"/>
                              </w:rPr>
                            </w:pPr>
                            <w:r>
                              <w:rPr>
                                <w:rFonts w:ascii="Arial" w:hAnsi="Arial" w:cs="Arial"/>
                                <w:sz w:val="20"/>
                              </w:rPr>
                              <w:t>0,2 %</w:t>
                            </w:r>
                          </w:p>
                        </w:tc>
                      </w:tr>
                      <w:tr>
                        <w:trPr>
                          <w:trHeight w:hRule="exact" w:val="284"/>
                          <w:jc w:val="center"/>
                        </w:trPr>
                        <w:tc>
                          <w:tcPr>
                            <w:tcW w:w="2688" w:type="dxa"/>
                          </w:tcPr>
                          <w:p>
                            <w:pPr>
                              <w:spacing w:line="259" w:lineRule="auto"/>
                              <w:jc w:val="both"/>
                              <w:rPr>
                                <w:rFonts w:ascii="Arial" w:hAnsi="Arial" w:cs="Arial"/>
                                <w:sz w:val="20"/>
                              </w:rPr>
                            </w:pPr>
                            <w:r>
                              <w:rPr>
                                <w:rFonts w:ascii="Arial" w:hAnsi="Arial" w:cs="Arial"/>
                                <w:sz w:val="20"/>
                              </w:rPr>
                              <w:t>Namų ūkiai</w:t>
                            </w:r>
                          </w:p>
                        </w:tc>
                        <w:tc>
                          <w:tcPr>
                            <w:tcW w:w="2273" w:type="dxa"/>
                          </w:tcPr>
                          <w:p>
                            <w:pPr>
                              <w:spacing w:line="259" w:lineRule="auto"/>
                              <w:jc w:val="center"/>
                              <w:rPr>
                                <w:rFonts w:ascii="Arial" w:hAnsi="Arial" w:cs="Arial"/>
                                <w:sz w:val="20"/>
                              </w:rPr>
                            </w:pPr>
                            <w:r>
                              <w:rPr>
                                <w:rFonts w:ascii="Arial" w:hAnsi="Arial" w:cs="Arial"/>
                                <w:sz w:val="20"/>
                              </w:rPr>
                              <w:t>0 %</w:t>
                            </w:r>
                          </w:p>
                        </w:tc>
                        <w:tc>
                          <w:tcPr>
                            <w:tcW w:w="1842" w:type="dxa"/>
                          </w:tcPr>
                          <w:p>
                            <w:pPr>
                              <w:spacing w:line="259" w:lineRule="auto"/>
                              <w:jc w:val="center"/>
                              <w:rPr>
                                <w:rFonts w:ascii="Arial" w:hAnsi="Arial" w:cs="Arial"/>
                                <w:sz w:val="20"/>
                              </w:rPr>
                            </w:pPr>
                            <w:r>
                              <w:rPr>
                                <w:rFonts w:ascii="Arial" w:hAnsi="Arial" w:cs="Arial"/>
                                <w:sz w:val="20"/>
                              </w:rPr>
                              <w:t>0,5 %</w:t>
                            </w: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b/>
                                <w:bCs/>
                                <w:sz w:val="20"/>
                              </w:rPr>
                              <w:t>Elektros energija</w:t>
                            </w:r>
                          </w:p>
                        </w:tc>
                        <w:tc>
                          <w:tcPr>
                            <w:tcW w:w="2273" w:type="dxa"/>
                          </w:tcPr>
                          <w:p>
                            <w:pPr>
                              <w:spacing w:line="259" w:lineRule="auto"/>
                              <w:jc w:val="center"/>
                              <w:rPr>
                                <w:rFonts w:ascii="Arial" w:hAnsi="Arial" w:cs="Arial"/>
                                <w:b/>
                                <w:bCs/>
                                <w:sz w:val="20"/>
                              </w:rPr>
                            </w:pPr>
                          </w:p>
                        </w:tc>
                        <w:tc>
                          <w:tcPr>
                            <w:tcW w:w="1842" w:type="dxa"/>
                          </w:tcPr>
                          <w:p>
                            <w:pPr>
                              <w:spacing w:line="259" w:lineRule="auto"/>
                              <w:jc w:val="center"/>
                              <w:rPr>
                                <w:rFonts w:ascii="Arial" w:hAnsi="Arial" w:cs="Arial"/>
                                <w:b/>
                                <w:bCs/>
                                <w:sz w:val="20"/>
                              </w:rPr>
                            </w:pP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sz w:val="20"/>
                              </w:rPr>
                              <w:t>Pramonė, žemės ūkis</w:t>
                            </w:r>
                          </w:p>
                        </w:tc>
                        <w:tc>
                          <w:tcPr>
                            <w:tcW w:w="2273" w:type="dxa"/>
                          </w:tcPr>
                          <w:p>
                            <w:pPr>
                              <w:spacing w:line="259" w:lineRule="auto"/>
                              <w:jc w:val="center"/>
                              <w:rPr>
                                <w:rFonts w:ascii="Arial" w:hAnsi="Arial" w:cs="Arial"/>
                                <w:sz w:val="20"/>
                              </w:rPr>
                            </w:pPr>
                            <w:r>
                              <w:rPr>
                                <w:rFonts w:ascii="Arial" w:hAnsi="Arial" w:cs="Arial"/>
                                <w:sz w:val="20"/>
                              </w:rPr>
                              <w:t>1 %</w:t>
                            </w:r>
                          </w:p>
                        </w:tc>
                        <w:tc>
                          <w:tcPr>
                            <w:tcW w:w="1842" w:type="dxa"/>
                          </w:tcPr>
                          <w:p>
                            <w:pPr>
                              <w:spacing w:line="259" w:lineRule="auto"/>
                              <w:jc w:val="center"/>
                              <w:rPr>
                                <w:rFonts w:ascii="Arial" w:hAnsi="Arial" w:cs="Arial"/>
                                <w:sz w:val="20"/>
                              </w:rPr>
                            </w:pPr>
                            <w:r>
                              <w:rPr>
                                <w:rFonts w:ascii="Arial" w:hAnsi="Arial" w:cs="Arial"/>
                                <w:sz w:val="20"/>
                              </w:rPr>
                              <w:t>0 %</w:t>
                            </w: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sz w:val="20"/>
                              </w:rPr>
                              <w:t>Paslaugų sektorius</w:t>
                            </w:r>
                          </w:p>
                        </w:tc>
                        <w:tc>
                          <w:tcPr>
                            <w:tcW w:w="2273" w:type="dxa"/>
                          </w:tcPr>
                          <w:p>
                            <w:pPr>
                              <w:spacing w:line="259" w:lineRule="auto"/>
                              <w:jc w:val="center"/>
                              <w:rPr>
                                <w:rFonts w:ascii="Arial" w:hAnsi="Arial" w:cs="Arial"/>
                                <w:sz w:val="20"/>
                              </w:rPr>
                            </w:pPr>
                            <w:r>
                              <w:rPr>
                                <w:rFonts w:ascii="Arial" w:hAnsi="Arial" w:cs="Arial"/>
                                <w:sz w:val="20"/>
                              </w:rPr>
                              <w:t>0,2 %</w:t>
                            </w:r>
                          </w:p>
                        </w:tc>
                        <w:tc>
                          <w:tcPr>
                            <w:tcW w:w="1842" w:type="dxa"/>
                          </w:tcPr>
                          <w:p>
                            <w:pPr>
                              <w:spacing w:line="259" w:lineRule="auto"/>
                              <w:jc w:val="center"/>
                              <w:rPr>
                                <w:rFonts w:ascii="Arial" w:hAnsi="Arial" w:cs="Arial"/>
                                <w:sz w:val="20"/>
                              </w:rPr>
                            </w:pPr>
                            <w:r>
                              <w:rPr>
                                <w:rFonts w:ascii="Arial" w:hAnsi="Arial" w:cs="Arial"/>
                                <w:sz w:val="20"/>
                              </w:rPr>
                              <w:t>0,2 %</w:t>
                            </w: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sz w:val="20"/>
                              </w:rPr>
                              <w:t>Transportas</w:t>
                            </w:r>
                          </w:p>
                        </w:tc>
                        <w:tc>
                          <w:tcPr>
                            <w:tcW w:w="2273" w:type="dxa"/>
                          </w:tcPr>
                          <w:p>
                            <w:pPr>
                              <w:spacing w:line="259" w:lineRule="auto"/>
                              <w:jc w:val="center"/>
                              <w:rPr>
                                <w:rFonts w:ascii="Arial" w:hAnsi="Arial" w:cs="Arial"/>
                                <w:sz w:val="20"/>
                              </w:rPr>
                            </w:pPr>
                            <w:r>
                              <w:rPr>
                                <w:rFonts w:ascii="Arial" w:hAnsi="Arial" w:cs="Arial"/>
                                <w:sz w:val="20"/>
                              </w:rPr>
                              <w:t>0,3 %</w:t>
                            </w:r>
                          </w:p>
                        </w:tc>
                        <w:tc>
                          <w:tcPr>
                            <w:tcW w:w="1842" w:type="dxa"/>
                          </w:tcPr>
                          <w:p>
                            <w:pPr>
                              <w:spacing w:line="259" w:lineRule="auto"/>
                              <w:jc w:val="center"/>
                              <w:rPr>
                                <w:rFonts w:ascii="Arial" w:hAnsi="Arial" w:cs="Arial"/>
                                <w:sz w:val="20"/>
                              </w:rPr>
                            </w:pPr>
                            <w:r>
                              <w:rPr>
                                <w:rFonts w:ascii="Arial" w:hAnsi="Arial" w:cs="Arial"/>
                                <w:sz w:val="20"/>
                              </w:rPr>
                              <w:t>0,2 %</w:t>
                            </w:r>
                          </w:p>
                        </w:tc>
                      </w:tr>
                      <w:tr>
                        <w:trPr>
                          <w:trHeight w:hRule="exact" w:val="284"/>
                          <w:jc w:val="center"/>
                        </w:trPr>
                        <w:tc>
                          <w:tcPr>
                            <w:tcW w:w="2688" w:type="dxa"/>
                          </w:tcPr>
                          <w:p>
                            <w:pPr>
                              <w:spacing w:line="259" w:lineRule="auto"/>
                              <w:jc w:val="both"/>
                              <w:rPr>
                                <w:rFonts w:ascii="Arial" w:hAnsi="Arial" w:cs="Arial"/>
                                <w:b/>
                                <w:bCs/>
                                <w:sz w:val="20"/>
                              </w:rPr>
                            </w:pPr>
                            <w:r>
                              <w:rPr>
                                <w:rFonts w:ascii="Arial" w:hAnsi="Arial" w:cs="Arial"/>
                                <w:sz w:val="20"/>
                              </w:rPr>
                              <w:t>Namų ūkiai</w:t>
                            </w:r>
                          </w:p>
                        </w:tc>
                        <w:tc>
                          <w:tcPr>
                            <w:tcW w:w="2273" w:type="dxa"/>
                          </w:tcPr>
                          <w:p>
                            <w:pPr>
                              <w:spacing w:line="259" w:lineRule="auto"/>
                              <w:jc w:val="center"/>
                              <w:rPr>
                                <w:rFonts w:ascii="Arial" w:hAnsi="Arial" w:cs="Arial"/>
                                <w:sz w:val="20"/>
                              </w:rPr>
                            </w:pPr>
                            <w:r>
                              <w:rPr>
                                <w:rFonts w:ascii="Arial" w:hAnsi="Arial" w:cs="Arial"/>
                                <w:sz w:val="20"/>
                              </w:rPr>
                              <w:t>0,1 %</w:t>
                            </w:r>
                          </w:p>
                        </w:tc>
                        <w:tc>
                          <w:tcPr>
                            <w:tcW w:w="1842" w:type="dxa"/>
                          </w:tcPr>
                          <w:p>
                            <w:pPr>
                              <w:spacing w:line="259" w:lineRule="auto"/>
                              <w:jc w:val="center"/>
                              <w:rPr>
                                <w:rFonts w:ascii="Arial" w:hAnsi="Arial" w:cs="Arial"/>
                                <w:sz w:val="20"/>
                              </w:rPr>
                            </w:pPr>
                            <w:r>
                              <w:rPr>
                                <w:rFonts w:ascii="Arial" w:hAnsi="Arial" w:cs="Arial"/>
                                <w:sz w:val="20"/>
                              </w:rPr>
                              <w:t>0,5 %</w:t>
                            </w:r>
                          </w:p>
                        </w:tc>
                      </w:tr>
                    </w:tbl>
                    <w:p>
                      <w:pPr>
                        <w:spacing w:line="259" w:lineRule="auto"/>
                        <w:jc w:val="center"/>
                        <w:rPr>
                          <w:rFonts w:ascii="Arial" w:hAnsi="Arial" w:cs="Arial"/>
                          <w:i/>
                          <w:iCs/>
                          <w:sz w:val="18"/>
                          <w:szCs w:val="18"/>
                        </w:rPr>
                      </w:pPr>
                      <w:r>
                        <w:rPr>
                          <w:rFonts w:ascii="Arial" w:hAnsi="Arial" w:cs="Arial"/>
                          <w:i/>
                          <w:iCs/>
                          <w:sz w:val="18"/>
                          <w:szCs w:val="18"/>
                        </w:rPr>
                        <w:t>Šaltinis: LR finansų ministerija</w:t>
                      </w:r>
                    </w:p>
                    <w:p>
                      <w:pPr>
                        <w:rPr>
                          <w:sz w:val="14"/>
                          <w:szCs w:val="14"/>
                        </w:rPr>
                      </w:pPr>
                    </w:p>
                    <w:p>
                      <w:pPr>
                        <w:spacing w:line="259" w:lineRule="auto"/>
                        <w:ind w:firstLine="567"/>
                        <w:jc w:val="both"/>
                        <w:rPr>
                          <w:rFonts w:ascii="Arial" w:hAnsi="Arial" w:cs="Arial"/>
                          <w:sz w:val="22"/>
                          <w:lang w:eastAsia="lt-LT"/>
                        </w:rPr>
                      </w:pPr>
                      <w:r>
                        <w:rPr>
                          <w:rFonts w:ascii="Arial" w:hAnsi="Arial" w:cs="Arial"/>
                          <w:sz w:val="22"/>
                        </w:rPr>
                        <w:t xml:space="preserve">Energijos poreikių prognozės sudaromos atsižvelgiant į prognozuojamą minėtų rodiklių pokytį. BVP kitimo prognozės 2021-2030 m. sudarytos atsižvelgiant į Lietuvos Respublikos finansų ministerijos oficialiai skelbiamą ekonominės raidos scenarijų 2021-2023 m. Gyventojų skaičiaus kitimo prognozės sudarytos 1.3.1. skyriuje, kur numatyta, kad kasmet gyventojų mažės </w:t>
                      </w:r>
                      <w:r>
                        <w:rPr>
                          <w:rFonts w:ascii="Arial" w:hAnsi="Arial" w:cs="Arial"/>
                          <w:sz w:val="22"/>
                          <w:lang w:eastAsia="lt-LT"/>
                        </w:rPr>
                        <w:t xml:space="preserve">vidutiniškai 0,79 proc. per metus. </w:t>
                      </w:r>
                      <w:r>
                        <w:rPr>
                          <w:rFonts w:ascii="Arial" w:hAnsi="Arial" w:cs="Arial"/>
                          <w:sz w:val="22"/>
                        </w:rPr>
                        <w:t xml:space="preserve">Šios gyventojų skaičiaus mažėjimo prognozės sudarytos, remiantis </w:t>
                      </w:r>
                      <w:r>
                        <w:rPr>
                          <w:rFonts w:ascii="Arial" w:hAnsi="Arial" w:cs="Arial"/>
                          <w:sz w:val="22"/>
                          <w:lang w:eastAsia="lt-LT"/>
                        </w:rPr>
                        <w:t xml:space="preserve">2017-2021 m. tendencijomis, kurių metu daroma prielaida, kad gyventojų skaičius </w:t>
                      </w:r>
                      <w:r>
                        <w:rPr>
                          <w:rFonts w:ascii="Arial" w:hAnsi="Arial" w:cs="Arial"/>
                          <w:sz w:val="22"/>
                        </w:rPr>
                        <w:t>Joniškio rajono savivaldybėje, prognozuojamame</w:t>
                      </w:r>
                      <w:r>
                        <w:rPr>
                          <w:rFonts w:ascii="Arial" w:hAnsi="Arial" w:cs="Arial"/>
                          <w:sz w:val="22"/>
                          <w:lang w:eastAsia="lt-LT"/>
                        </w:rPr>
                        <w:t xml:space="preserve"> laikotarpyje bus panašus kaip ir analizuojamu laikotarpiu, t. y. gyventojų skaičius mažės vidutiniškai 0,79 proc. per metus (t.y. vidutinis sumažėjimas 2017-2021 m. laikotarpiu per vienerius metus).</w:t>
                      </w:r>
                    </w:p>
                    <w:p>
                      <w:pPr>
                        <w:rPr>
                          <w:sz w:val="14"/>
                          <w:szCs w:val="14"/>
                        </w:rPr>
                      </w:pPr>
                    </w:p>
                  </w:sdtContent>
                </w:sdt>
                <w:sdt>
                  <w:sdtPr>
                    <w:alias w:val="5.2 pp."/>
                    <w:tag w:val="part_7969d4a7522541d5b505ddcbe06e4687"/>
                    <w:lock w:val="sdtLocked"/>
                    <w:richText/>
                  </w:sdtPr>
                  <w:sdtContent>
                    <w:p>
                      <w:pPr>
                        <w:spacing w:line="259" w:lineRule="auto"/>
                        <w:jc w:val="center"/>
                        <w:rPr>
                          <w:rFonts w:ascii="Arial" w:eastAsia="Calibri" w:hAnsi="Arial" w:cs="Arial"/>
                          <w:b/>
                          <w:color w:val="002060"/>
                          <w:sz w:val="22"/>
                          <w:szCs w:val="32"/>
                        </w:rPr>
                      </w:pPr>
                      <w:sdt>
                        <w:sdtPr>
                          <w:alias w:val="Numeris"/>
                          <w:tag w:val="nr_7969d4a7522541d5b505ddcbe06e4687"/>
                          <w:lock w:val="sdtLocked"/>
                          <w:richText/>
                        </w:sdtPr>
                        <w:sdtContent>
                          <w:r>
                            <w:rPr>
                              <w:rFonts w:ascii="Arial" w:eastAsia="Calibri" w:hAnsi="Arial" w:cs="Arial"/>
                              <w:b/>
                              <w:color w:val="002060"/>
                              <w:sz w:val="22"/>
                              <w:szCs w:val="32"/>
                            </w:rPr>
                            <w:t>5.2</w:t>
                          </w:r>
                        </w:sdtContent>
                      </w:sdt>
                      <w:r>
                        <w:rPr>
                          <w:rFonts w:ascii="Arial" w:eastAsia="Calibri" w:hAnsi="Arial" w:cs="Arial"/>
                          <w:b/>
                          <w:color w:val="002060"/>
                          <w:sz w:val="22"/>
                          <w:szCs w:val="32"/>
                        </w:rPr>
                        <w:t>. lentelė. BVP ir gyventojų skaičiaus kitimo 2021-2030 m. laikotarpiu prognozės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3229"/>
                        <w:gridCol w:w="672"/>
                        <w:gridCol w:w="672"/>
                        <w:gridCol w:w="672"/>
                        <w:gridCol w:w="672"/>
                        <w:gridCol w:w="1218"/>
                      </w:tblGrid>
                      <w:tr>
                        <w:trPr>
                          <w:jc w:val="center"/>
                        </w:trPr>
                        <w:tc>
                          <w:tcPr>
                            <w:tcW w:w="0" w:type="auto"/>
                          </w:tcPr>
                          <w:p>
                            <w:pPr>
                              <w:jc w:val="both"/>
                              <w:rPr>
                                <w:rFonts w:ascii="Arial" w:hAnsi="Arial" w:cs="Arial"/>
                                <w:sz w:val="20"/>
                                <w:szCs w:val="16"/>
                              </w:rPr>
                            </w:pPr>
                            <w:r>
                              <w:rPr>
                                <w:rFonts w:ascii="Arial" w:hAnsi="Arial" w:cs="Arial"/>
                                <w:sz w:val="20"/>
                                <w:szCs w:val="16"/>
                              </w:rPr>
                              <w:t>Rodiklis</w:t>
                            </w:r>
                          </w:p>
                        </w:tc>
                        <w:tc>
                          <w:tcPr>
                            <w:tcW w:w="0" w:type="auto"/>
                          </w:tcPr>
                          <w:p>
                            <w:pPr>
                              <w:jc w:val="center"/>
                              <w:rPr>
                                <w:rFonts w:ascii="Arial" w:hAnsi="Arial" w:cs="Arial"/>
                                <w:sz w:val="20"/>
                                <w:szCs w:val="16"/>
                              </w:rPr>
                            </w:pPr>
                            <w:r>
                              <w:rPr>
                                <w:rFonts w:ascii="Arial" w:hAnsi="Arial" w:cs="Arial"/>
                                <w:sz w:val="20"/>
                                <w:szCs w:val="16"/>
                              </w:rPr>
                              <w:t>2021</w:t>
                            </w:r>
                          </w:p>
                        </w:tc>
                        <w:tc>
                          <w:tcPr>
                            <w:tcW w:w="0" w:type="auto"/>
                          </w:tcPr>
                          <w:p>
                            <w:pPr>
                              <w:jc w:val="center"/>
                              <w:rPr>
                                <w:rFonts w:ascii="Arial" w:hAnsi="Arial" w:cs="Arial"/>
                                <w:sz w:val="20"/>
                                <w:szCs w:val="16"/>
                              </w:rPr>
                            </w:pPr>
                            <w:r>
                              <w:rPr>
                                <w:rFonts w:ascii="Arial" w:hAnsi="Arial" w:cs="Arial"/>
                                <w:sz w:val="20"/>
                                <w:szCs w:val="16"/>
                              </w:rPr>
                              <w:t>2022</w:t>
                            </w:r>
                          </w:p>
                        </w:tc>
                        <w:tc>
                          <w:tcPr>
                            <w:tcW w:w="0" w:type="auto"/>
                          </w:tcPr>
                          <w:p>
                            <w:pPr>
                              <w:jc w:val="center"/>
                              <w:rPr>
                                <w:rFonts w:ascii="Arial" w:hAnsi="Arial" w:cs="Arial"/>
                                <w:sz w:val="20"/>
                                <w:szCs w:val="16"/>
                              </w:rPr>
                            </w:pPr>
                            <w:r>
                              <w:rPr>
                                <w:rFonts w:ascii="Arial" w:hAnsi="Arial" w:cs="Arial"/>
                                <w:sz w:val="20"/>
                                <w:szCs w:val="16"/>
                              </w:rPr>
                              <w:t>2023</w:t>
                            </w:r>
                          </w:p>
                        </w:tc>
                        <w:tc>
                          <w:tcPr>
                            <w:tcW w:w="0" w:type="auto"/>
                          </w:tcPr>
                          <w:p>
                            <w:pPr>
                              <w:jc w:val="center"/>
                              <w:rPr>
                                <w:rFonts w:ascii="Arial" w:hAnsi="Arial" w:cs="Arial"/>
                                <w:sz w:val="20"/>
                                <w:szCs w:val="16"/>
                              </w:rPr>
                            </w:pPr>
                            <w:r>
                              <w:rPr>
                                <w:rFonts w:ascii="Arial" w:hAnsi="Arial" w:cs="Arial"/>
                                <w:sz w:val="20"/>
                                <w:szCs w:val="16"/>
                              </w:rPr>
                              <w:t>2024</w:t>
                            </w:r>
                          </w:p>
                        </w:tc>
                        <w:tc>
                          <w:tcPr>
                            <w:tcW w:w="0" w:type="auto"/>
                          </w:tcPr>
                          <w:p>
                            <w:pPr>
                              <w:jc w:val="center"/>
                              <w:rPr>
                                <w:rFonts w:ascii="Arial" w:hAnsi="Arial" w:cs="Arial"/>
                                <w:sz w:val="20"/>
                                <w:szCs w:val="16"/>
                              </w:rPr>
                            </w:pPr>
                            <w:r>
                              <w:rPr>
                                <w:rFonts w:ascii="Arial" w:hAnsi="Arial" w:cs="Arial"/>
                                <w:sz w:val="20"/>
                                <w:szCs w:val="16"/>
                              </w:rPr>
                              <w:t>2025–2030</w:t>
                            </w:r>
                          </w:p>
                        </w:tc>
                      </w:tr>
                      <w:tr>
                        <w:trPr>
                          <w:trHeight w:val="20"/>
                          <w:jc w:val="center"/>
                        </w:trPr>
                        <w:tc>
                          <w:tcPr>
                            <w:tcW w:w="0" w:type="auto"/>
                          </w:tcPr>
                          <w:p>
                            <w:pPr>
                              <w:jc w:val="both"/>
                              <w:rPr>
                                <w:rFonts w:ascii="Arial" w:hAnsi="Arial" w:cs="Arial"/>
                                <w:sz w:val="20"/>
                              </w:rPr>
                            </w:pPr>
                            <w:r>
                              <w:rPr>
                                <w:rFonts w:ascii="Arial" w:hAnsi="Arial" w:cs="Arial"/>
                                <w:sz w:val="20"/>
                              </w:rPr>
                              <w:t>BVP kitimas, proc.</w:t>
                            </w:r>
                          </w:p>
                        </w:tc>
                        <w:tc>
                          <w:tcPr>
                            <w:tcW w:w="0" w:type="auto"/>
                          </w:tcPr>
                          <w:p>
                            <w:pPr>
                              <w:jc w:val="center"/>
                              <w:rPr>
                                <w:rFonts w:ascii="Arial" w:hAnsi="Arial" w:cs="Arial"/>
                                <w:sz w:val="20"/>
                              </w:rPr>
                            </w:pPr>
                            <w:r>
                              <w:rPr>
                                <w:rFonts w:ascii="Arial" w:hAnsi="Arial" w:cs="Arial"/>
                                <w:sz w:val="20"/>
                              </w:rPr>
                              <w:t>2,6</w:t>
                            </w:r>
                          </w:p>
                        </w:tc>
                        <w:tc>
                          <w:tcPr>
                            <w:tcW w:w="0" w:type="auto"/>
                          </w:tcPr>
                          <w:p>
                            <w:pPr>
                              <w:jc w:val="center"/>
                              <w:rPr>
                                <w:rFonts w:ascii="Arial" w:hAnsi="Arial" w:cs="Arial"/>
                                <w:sz w:val="20"/>
                              </w:rPr>
                            </w:pPr>
                            <w:r>
                              <w:rPr>
                                <w:rFonts w:ascii="Arial" w:hAnsi="Arial" w:cs="Arial"/>
                                <w:sz w:val="20"/>
                              </w:rPr>
                              <w:t>3,2</w:t>
                            </w:r>
                          </w:p>
                        </w:tc>
                        <w:tc>
                          <w:tcPr>
                            <w:tcW w:w="0" w:type="auto"/>
                          </w:tcPr>
                          <w:p>
                            <w:pPr>
                              <w:jc w:val="center"/>
                              <w:rPr>
                                <w:rFonts w:ascii="Arial" w:hAnsi="Arial" w:cs="Arial"/>
                                <w:sz w:val="20"/>
                              </w:rPr>
                            </w:pPr>
                            <w:r>
                              <w:rPr>
                                <w:rFonts w:ascii="Arial" w:hAnsi="Arial" w:cs="Arial"/>
                                <w:sz w:val="20"/>
                              </w:rPr>
                              <w:t>3,2</w:t>
                            </w:r>
                          </w:p>
                        </w:tc>
                        <w:tc>
                          <w:tcPr>
                            <w:tcW w:w="0" w:type="auto"/>
                          </w:tcPr>
                          <w:p>
                            <w:pPr>
                              <w:jc w:val="center"/>
                              <w:rPr>
                                <w:rFonts w:ascii="Arial" w:hAnsi="Arial" w:cs="Arial"/>
                                <w:sz w:val="20"/>
                              </w:rPr>
                            </w:pPr>
                            <w:r>
                              <w:rPr>
                                <w:rFonts w:ascii="Arial" w:hAnsi="Arial" w:cs="Arial"/>
                                <w:sz w:val="20"/>
                              </w:rPr>
                              <w:t>3,2</w:t>
                            </w:r>
                          </w:p>
                        </w:tc>
                        <w:tc>
                          <w:tcPr>
                            <w:tcW w:w="0" w:type="auto"/>
                          </w:tcPr>
                          <w:p>
                            <w:pPr>
                              <w:jc w:val="center"/>
                              <w:rPr>
                                <w:rFonts w:ascii="Arial" w:hAnsi="Arial" w:cs="Arial"/>
                                <w:sz w:val="20"/>
                              </w:rPr>
                            </w:pPr>
                            <w:r>
                              <w:rPr>
                                <w:rFonts w:ascii="Arial" w:hAnsi="Arial" w:cs="Arial"/>
                                <w:sz w:val="20"/>
                              </w:rPr>
                              <w:t>3,2</w:t>
                            </w:r>
                          </w:p>
                        </w:tc>
                      </w:tr>
                      <w:tr>
                        <w:trPr>
                          <w:trHeight w:val="20"/>
                          <w:jc w:val="center"/>
                        </w:trPr>
                        <w:tc>
                          <w:tcPr>
                            <w:tcW w:w="0" w:type="auto"/>
                          </w:tcPr>
                          <w:p>
                            <w:pPr>
                              <w:jc w:val="both"/>
                              <w:rPr>
                                <w:rFonts w:ascii="Arial" w:hAnsi="Arial" w:cs="Arial"/>
                                <w:sz w:val="20"/>
                              </w:rPr>
                            </w:pPr>
                            <w:r>
                              <w:rPr>
                                <w:rFonts w:ascii="Arial" w:hAnsi="Arial" w:cs="Arial"/>
                                <w:sz w:val="20"/>
                              </w:rPr>
                              <w:t>Gyventojų skaičiaus kitimas, proc.</w:t>
                            </w:r>
                          </w:p>
                        </w:tc>
                        <w:tc>
                          <w:tcPr>
                            <w:tcW w:w="0" w:type="auto"/>
                          </w:tcPr>
                          <w:p>
                            <w:pPr>
                              <w:jc w:val="center"/>
                              <w:rPr>
                                <w:rFonts w:ascii="Arial" w:hAnsi="Arial" w:cs="Arial"/>
                                <w:sz w:val="20"/>
                              </w:rPr>
                            </w:pPr>
                            <w:r>
                              <w:rPr>
                                <w:rFonts w:ascii="Arial" w:hAnsi="Arial" w:cs="Arial"/>
                                <w:sz w:val="20"/>
                              </w:rPr>
                              <w:t>-0,79</w:t>
                            </w:r>
                          </w:p>
                        </w:tc>
                        <w:tc>
                          <w:tcPr>
                            <w:tcW w:w="0" w:type="auto"/>
                          </w:tcPr>
                          <w:p>
                            <w:pPr>
                              <w:jc w:val="center"/>
                              <w:rPr>
                                <w:rFonts w:ascii="Arial" w:hAnsi="Arial" w:cs="Arial"/>
                                <w:sz w:val="20"/>
                              </w:rPr>
                            </w:pPr>
                            <w:r>
                              <w:rPr>
                                <w:rFonts w:ascii="Arial" w:hAnsi="Arial" w:cs="Arial"/>
                                <w:sz w:val="20"/>
                              </w:rPr>
                              <w:t>-0,79</w:t>
                            </w:r>
                          </w:p>
                        </w:tc>
                        <w:tc>
                          <w:tcPr>
                            <w:tcW w:w="0" w:type="auto"/>
                          </w:tcPr>
                          <w:p>
                            <w:pPr>
                              <w:jc w:val="center"/>
                              <w:rPr>
                                <w:rFonts w:ascii="Arial" w:hAnsi="Arial" w:cs="Arial"/>
                                <w:sz w:val="20"/>
                              </w:rPr>
                            </w:pPr>
                            <w:r>
                              <w:rPr>
                                <w:rFonts w:ascii="Arial" w:hAnsi="Arial" w:cs="Arial"/>
                                <w:sz w:val="20"/>
                              </w:rPr>
                              <w:t>-0,79</w:t>
                            </w:r>
                          </w:p>
                        </w:tc>
                        <w:tc>
                          <w:tcPr>
                            <w:tcW w:w="0" w:type="auto"/>
                          </w:tcPr>
                          <w:p>
                            <w:pPr>
                              <w:jc w:val="center"/>
                              <w:rPr>
                                <w:rFonts w:ascii="Arial" w:hAnsi="Arial" w:cs="Arial"/>
                                <w:sz w:val="20"/>
                              </w:rPr>
                            </w:pPr>
                            <w:r>
                              <w:rPr>
                                <w:rFonts w:ascii="Arial" w:hAnsi="Arial" w:cs="Arial"/>
                                <w:sz w:val="20"/>
                              </w:rPr>
                              <w:t>-0,79</w:t>
                            </w:r>
                          </w:p>
                        </w:tc>
                        <w:tc>
                          <w:tcPr>
                            <w:tcW w:w="0" w:type="auto"/>
                          </w:tcPr>
                          <w:p>
                            <w:pPr>
                              <w:jc w:val="center"/>
                              <w:rPr>
                                <w:rFonts w:ascii="Arial" w:hAnsi="Arial" w:cs="Arial"/>
                                <w:sz w:val="20"/>
                              </w:rPr>
                            </w:pPr>
                            <w:r>
                              <w:rPr>
                                <w:rFonts w:ascii="Arial" w:hAnsi="Arial" w:cs="Arial"/>
                                <w:sz w:val="20"/>
                              </w:rPr>
                              <w:t>-0,79</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Energijos poreikis transporto sektoriuje mažės proporcingai gyventojų skaičiaus mažėjimui (elektromobilių plėtra nevertinama dėl mažos jos įtakos). Pramonės ir žemės ūkio sektorių energijos vartojimas augs proporcingai BVP augimo prognozėms. Galutiniai energijos poreikio kitimo rezultatai pateikiami 5.3. skyriuje.</w:t>
                      </w:r>
                    </w:p>
                    <w:p>
                      <w:pPr>
                        <w:rPr>
                          <w:sz w:val="14"/>
                          <w:szCs w:val="14"/>
                        </w:rPr>
                      </w:pPr>
                    </w:p>
                  </w:sdtContent>
                </w:sdt>
                <w:sdt>
                  <w:sdtPr>
                    <w:alias w:val="5.1 pp."/>
                    <w:tag w:val="part_64c6cb7bbfda43a4b446dba858d4b321"/>
                    <w:lock w:val="sdtLocked"/>
                    <w:richText/>
                  </w:sdtPr>
                  <w:sdtContent>
                    <w:p>
                      <w:pPr>
                        <w:keepNext/>
                        <w:keepLines/>
                        <w:spacing w:line="259" w:lineRule="auto"/>
                        <w:jc w:val="center"/>
                        <w:outlineLvl w:val="1"/>
                        <w:rPr>
                          <w:rFonts w:ascii="Arial" w:hAnsi="Arial" w:cs="Arial"/>
                          <w:b/>
                          <w:color w:val="002060"/>
                          <w:szCs w:val="26"/>
                        </w:rPr>
                      </w:pPr>
                      <w:sdt>
                        <w:sdtPr>
                          <w:alias w:val="Numeris"/>
                          <w:tag w:val="nr_64c6cb7bbfda43a4b446dba858d4b321"/>
                          <w:lock w:val="sdtLocked"/>
                          <w:richText/>
                        </w:sdtPr>
                        <w:sdtContent>
                          <w:r>
                            <w:rPr>
                              <w:rFonts w:ascii="Arial" w:eastAsia="SegoeUI" w:hAnsi="Arial" w:cs="Arial"/>
                              <w:b/>
                              <w:color w:val="002060"/>
                              <w:szCs w:val="26"/>
                            </w:rPr>
                            <w:t>5.1</w:t>
                          </w:r>
                        </w:sdtContent>
                      </w:sdt>
                      <w:r>
                        <w:rPr>
                          <w:rFonts w:ascii="Arial" w:eastAsia="SegoeUI" w:hAnsi="Arial" w:cs="Arial"/>
                          <w:b/>
                          <w:color w:val="002060"/>
                          <w:szCs w:val="26"/>
                        </w:rPr>
                        <w:t>. Esamos energijos vartojimo efektyvumo didinimo priemonės</w:t>
                      </w:r>
                    </w:p>
                    <w:p>
                      <w:pPr>
                        <w:rPr>
                          <w:sz w:val="14"/>
                          <w:szCs w:val="14"/>
                        </w:rPr>
                      </w:pPr>
                    </w:p>
                    <w:p>
                      <w:pPr>
                        <w:spacing w:line="259" w:lineRule="auto"/>
                        <w:ind w:firstLine="567"/>
                        <w:jc w:val="both"/>
                        <w:rPr>
                          <w:rFonts w:ascii="Arial" w:hAnsi="Arial" w:cs="Arial"/>
                          <w:sz w:val="22"/>
                        </w:rPr>
                      </w:pPr>
                      <w:r>
                        <w:rPr>
                          <w:rFonts w:ascii="Arial" w:hAnsi="Arial" w:cs="Arial"/>
                          <w:sz w:val="22"/>
                        </w:rPr>
                        <w:t>Pastatų atnaujinimas (modernizavimas) yra vykdomas įdiegiant skirtingus šilumos vartojimo mažinimo priemonių derinius. Šilumos sutaupymas ir investicijos labiausiai priklauso nuo įdiegiamų priemonių.</w:t>
                      </w:r>
                    </w:p>
                    <w:p>
                      <w:pPr>
                        <w:rPr>
                          <w:sz w:val="14"/>
                          <w:szCs w:val="14"/>
                        </w:rPr>
                      </w:pPr>
                    </w:p>
                    <w:p>
                      <w:pPr>
                        <w:spacing w:line="259" w:lineRule="auto"/>
                        <w:ind w:firstLine="567"/>
                        <w:jc w:val="both"/>
                        <w:rPr>
                          <w:rFonts w:ascii="Arial" w:hAnsi="Arial" w:cs="Arial"/>
                          <w:sz w:val="22"/>
                        </w:rPr>
                      </w:pPr>
                      <w:r>
                        <w:rPr>
                          <w:rFonts w:ascii="Arial" w:hAnsi="Arial" w:cs="Arial"/>
                          <w:sz w:val="22"/>
                        </w:rPr>
                        <w:t>Daugiausia daugiabučių namų mieste pastatyti 1970–1980 metais. Kaip ir daugelyje kitų tuo pačiu metu statytų pastatų Lietuvoje, namai buvo statyti pagal žemus energinio efektyvumo standartus ir laikui bėgant jų būklė dėl nepakankamos techninės priežiūros vis prastėjo. Vidutinis buto daugiabučiame name plotas yra apie 67 m². Vienas namų ūkis šilumos energijos suvartoja apie 140 kWh/m² per metus, nors atskiruose namuose šis rodiklis yra nuo 65 iki 199 kWh/m² ir daugiau per metus. Analogiškas šilumos energijos suvartojimas pastebimas ir savivaldybei nuosavybės teise priklausančiuose viešuosiuose pastatuose.</w:t>
                      </w:r>
                    </w:p>
                    <w:p>
                      <w:pPr>
                        <w:rPr>
                          <w:sz w:val="14"/>
                          <w:szCs w:val="14"/>
                        </w:rPr>
                      </w:pPr>
                    </w:p>
                    <w:p>
                      <w:pPr>
                        <w:spacing w:line="259" w:lineRule="auto"/>
                        <w:ind w:firstLine="567"/>
                        <w:jc w:val="both"/>
                        <w:rPr>
                          <w:rFonts w:ascii="Arial" w:hAnsi="Arial" w:cs="Arial"/>
                          <w:sz w:val="22"/>
                        </w:rPr>
                      </w:pPr>
                      <w:r>
                        <w:rPr>
                          <w:rFonts w:ascii="Arial" w:hAnsi="Arial" w:cs="Arial"/>
                          <w:sz w:val="22"/>
                        </w:rPr>
                        <w:t>2021 m. pradžioje, Būsto energijos taupymo agentūros duomenimis, Joniškio rajono savivaldybėje, per visą programos laikotarpį, buvo modernizuoti 78 daugiabučiai namai iš 372 potencialių modernizuoti namų. Atsižvelgiant į modernizuotų namų skaičių, gauname, kad Joniškio rajono savivaldybėje 2021 m. buvo modernizuota 21,0 proc. visų daugiabučių. Lietuvoje 2021 m. pradžioje modernizuotų daugiabučių namų buvo 11,0 proc. Modernizavus 78 daugiabučius, per metus yra sutaupoma 70,1 proc. šiluminės energijos bei išmetamas ŠESD kiekis sumažėja 54,3 t per metus.</w:t>
                      </w:r>
                    </w:p>
                    <w:p>
                      <w:pPr>
                        <w:rPr>
                          <w:sz w:val="14"/>
                          <w:szCs w:val="14"/>
                        </w:rPr>
                      </w:pPr>
                    </w:p>
                    <w:p>
                      <w:pPr>
                        <w:spacing w:line="259" w:lineRule="auto"/>
                        <w:ind w:firstLine="567"/>
                        <w:jc w:val="both"/>
                        <w:rPr>
                          <w:rFonts w:ascii="Arial" w:hAnsi="Arial" w:cs="Arial"/>
                          <w:sz w:val="22"/>
                        </w:rPr>
                      </w:pPr>
                      <w:r>
                        <w:rPr>
                          <w:rFonts w:ascii="Arial" w:hAnsi="Arial" w:cs="Arial"/>
                          <w:sz w:val="22"/>
                        </w:rPr>
                        <w:t>Pagal Registrų centro duomenis, Joniškio rajono savivaldybėje 375 daugiabučių namų plotas siekė 244 850 m</w:t>
                      </w:r>
                      <w:r>
                        <w:rPr>
                          <w:rFonts w:ascii="Arial" w:hAnsi="Arial" w:cs="Arial"/>
                          <w:sz w:val="22"/>
                          <w:vertAlign w:val="superscript"/>
                        </w:rPr>
                        <w:t>2</w:t>
                      </w:r>
                      <w:r>
                        <w:rPr>
                          <w:rFonts w:ascii="Arial" w:hAnsi="Arial" w:cs="Arial"/>
                          <w:sz w:val="22"/>
                        </w:rPr>
                        <w:t>, t. y. vidutiniškai vienas daugiabutis buvo 652,9 m</w:t>
                      </w:r>
                      <w:r>
                        <w:rPr>
                          <w:rFonts w:ascii="Arial" w:hAnsi="Arial" w:cs="Arial"/>
                          <w:sz w:val="22"/>
                          <w:vertAlign w:val="superscript"/>
                        </w:rPr>
                        <w:t>2</w:t>
                      </w:r>
                      <w:r>
                        <w:rPr>
                          <w:rFonts w:ascii="Arial" w:hAnsi="Arial" w:cs="Arial"/>
                          <w:sz w:val="22"/>
                        </w:rPr>
                        <w:t>. Joniškio rajono savivaldybėje už daugiabučių namų administravimą, o taip pat ir renovaciją atsakinga UAB „Joniškio butų ūkis“. Remiantis įstaigos modernizavimo programos daugiabučių sąrašu, numatoma, jog iki 2025 m. bus atnaujinta 10 daugiabučių, kurių bendras plotas siekia 14 711,8 m</w:t>
                      </w:r>
                      <w:r>
                        <w:rPr>
                          <w:rFonts w:ascii="Arial" w:hAnsi="Arial" w:cs="Arial"/>
                          <w:sz w:val="22"/>
                          <w:vertAlign w:val="superscript"/>
                        </w:rPr>
                        <w:t>2</w:t>
                      </w:r>
                      <w:r>
                        <w:rPr>
                          <w:rFonts w:ascii="Arial" w:hAnsi="Arial" w:cs="Arial"/>
                          <w:sz w:val="22"/>
                        </w:rPr>
                        <w:t>.</w:t>
                      </w:r>
                    </w:p>
                    <w:p>
                      <w:pPr>
                        <w:rPr>
                          <w:sz w:val="14"/>
                          <w:szCs w:val="14"/>
                        </w:rPr>
                      </w:pPr>
                    </w:p>
                    <w:p>
                      <w:pPr>
                        <w:spacing w:line="259" w:lineRule="auto"/>
                        <w:ind w:firstLine="567"/>
                        <w:jc w:val="both"/>
                        <w:rPr>
                          <w:rFonts w:ascii="Arial" w:eastAsia="Calibri" w:hAnsi="Arial" w:cs="Arial"/>
                          <w:sz w:val="22"/>
                          <w:szCs w:val="23"/>
                        </w:rPr>
                      </w:pPr>
                      <w:r>
                        <w:rPr>
                          <w:rFonts w:ascii="Arial" w:hAnsi="Arial" w:cs="Arial"/>
                          <w:sz w:val="22"/>
                        </w:rPr>
                        <w:t>Planuojamas renovuoti plotas iki 2025 metų yra 14 711,8 m</w:t>
                      </w:r>
                      <w:r>
                        <w:rPr>
                          <w:rFonts w:ascii="Arial" w:hAnsi="Arial" w:cs="Arial"/>
                          <w:sz w:val="22"/>
                          <w:vertAlign w:val="superscript"/>
                        </w:rPr>
                        <w:t>2</w:t>
                      </w:r>
                      <w:r>
                        <w:rPr>
                          <w:rFonts w:ascii="Arial" w:hAnsi="Arial" w:cs="Arial"/>
                          <w:sz w:val="22"/>
                        </w:rPr>
                        <w:t xml:space="preserve">. Taigi, remiantis pateikta informacija yra daroma prielaida, kad </w:t>
                      </w:r>
                      <w:r>
                        <w:rPr>
                          <w:rFonts w:ascii="Arial" w:eastAsia="Calibri" w:hAnsi="Arial" w:cs="Arial"/>
                          <w:sz w:val="22"/>
                          <w:szCs w:val="23"/>
                        </w:rPr>
                        <w:t xml:space="preserve">2022–2025 m. Joniškio rajono savivaldybėje bus modernizuojama po 2-3 daugiabučius namus (prielaida daroma atsižvelgiant į planuojamas modernizavimo apimtis). </w:t>
                      </w:r>
                    </w:p>
                    <w:p>
                      <w:pPr>
                        <w:rPr>
                          <w:sz w:val="14"/>
                          <w:szCs w:val="14"/>
                        </w:rPr>
                      </w:pPr>
                    </w:p>
                    <w:sdt>
                      <w:sdtPr>
                        <w:alias w:val="5.1.1 pp."/>
                        <w:tag w:val="part_52e71b349a0e4805a1146d311f6e5b73"/>
                        <w:lock w:val="sdtLocked"/>
                        <w:richText/>
                      </w:sdtPr>
                      <w:sdtContent>
                        <w:p>
                          <w:pPr>
                            <w:spacing w:line="259" w:lineRule="auto"/>
                            <w:jc w:val="center"/>
                            <w:rPr>
                              <w:rFonts w:ascii="Arial" w:eastAsia="Calibri" w:hAnsi="Arial" w:cs="Arial"/>
                              <w:b/>
                              <w:color w:val="002060"/>
                              <w:sz w:val="22"/>
                              <w:szCs w:val="32"/>
                              <w:highlight w:val="yellow"/>
                            </w:rPr>
                          </w:pPr>
                          <w:sdt>
                            <w:sdtPr>
                              <w:alias w:val="Numeris"/>
                              <w:tag w:val="nr_52e71b349a0e4805a1146d311f6e5b73"/>
                              <w:lock w:val="sdtLocked"/>
                              <w:richText/>
                            </w:sdtPr>
                            <w:sdtContent>
                              <w:r>
                                <w:rPr>
                                  <w:rFonts w:ascii="Arial" w:eastAsia="Calibri" w:hAnsi="Arial" w:cs="Arial"/>
                                  <w:b/>
                                  <w:color w:val="002060"/>
                                  <w:sz w:val="22"/>
                                  <w:szCs w:val="32"/>
                                </w:rPr>
                                <w:t>5.1.1</w:t>
                              </w:r>
                            </w:sdtContent>
                          </w:sdt>
                          <w:r>
                            <w:rPr>
                              <w:rFonts w:ascii="Arial" w:eastAsia="Calibri" w:hAnsi="Arial" w:cs="Arial"/>
                              <w:b/>
                              <w:color w:val="002060"/>
                              <w:sz w:val="22"/>
                              <w:szCs w:val="32"/>
                            </w:rPr>
                            <w:t xml:space="preserve"> lentelė. Planuojamos renovacijos apimtys Joniškio rajono savivaldybėje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1573"/>
                            <w:gridCol w:w="1030"/>
                            <w:gridCol w:w="1021"/>
                            <w:gridCol w:w="1021"/>
                            <w:gridCol w:w="1021"/>
                            <w:gridCol w:w="1023"/>
                            <w:gridCol w:w="1006"/>
                            <w:gridCol w:w="1471"/>
                          </w:tblGrid>
                          <w:tr>
                            <w:trPr>
                              <w:jc w:val="center"/>
                            </w:trPr>
                            <w:tc>
                              <w:tcPr>
                                <w:tcW w:w="1573" w:type="dxa"/>
                              </w:tcPr>
                              <w:p>
                                <w:pPr>
                                  <w:jc w:val="center"/>
                                  <w:rPr>
                                    <w:rFonts w:ascii="Arial" w:hAnsi="Arial" w:cs="Arial"/>
                                    <w:sz w:val="20"/>
                                    <w:szCs w:val="16"/>
                                  </w:rPr>
                                </w:pPr>
                              </w:p>
                            </w:tc>
                            <w:tc>
                              <w:tcPr>
                                <w:tcW w:w="1030" w:type="dxa"/>
                              </w:tcPr>
                              <w:p>
                                <w:pPr>
                                  <w:jc w:val="center"/>
                                  <w:rPr>
                                    <w:rFonts w:ascii="Arial" w:hAnsi="Arial" w:cs="Arial"/>
                                    <w:sz w:val="20"/>
                                    <w:szCs w:val="16"/>
                                  </w:rPr>
                                </w:pPr>
                              </w:p>
                            </w:tc>
                            <w:tc>
                              <w:tcPr>
                                <w:tcW w:w="1021" w:type="dxa"/>
                              </w:tcPr>
                              <w:p>
                                <w:pPr>
                                  <w:jc w:val="center"/>
                                  <w:rPr>
                                    <w:rFonts w:ascii="Arial" w:hAnsi="Arial" w:cs="Arial"/>
                                    <w:sz w:val="20"/>
                                    <w:szCs w:val="16"/>
                                  </w:rPr>
                                </w:pPr>
                                <w:r>
                                  <w:rPr>
                                    <w:rFonts w:ascii="Arial" w:hAnsi="Arial" w:cs="Arial"/>
                                    <w:sz w:val="20"/>
                                    <w:szCs w:val="16"/>
                                  </w:rPr>
                                  <w:t>Metai</w:t>
                                </w:r>
                              </w:p>
                            </w:tc>
                            <w:tc>
                              <w:tcPr>
                                <w:tcW w:w="1021" w:type="dxa"/>
                              </w:tcPr>
                              <w:p>
                                <w:pPr>
                                  <w:jc w:val="center"/>
                                  <w:rPr>
                                    <w:rFonts w:ascii="Arial" w:hAnsi="Arial" w:cs="Arial"/>
                                    <w:sz w:val="20"/>
                                    <w:szCs w:val="16"/>
                                  </w:rPr>
                                </w:pPr>
                              </w:p>
                            </w:tc>
                            <w:tc>
                              <w:tcPr>
                                <w:tcW w:w="1021" w:type="dxa"/>
                              </w:tcPr>
                              <w:p>
                                <w:pPr>
                                  <w:jc w:val="center"/>
                                  <w:rPr>
                                    <w:rFonts w:ascii="Arial" w:hAnsi="Arial" w:cs="Arial"/>
                                    <w:sz w:val="20"/>
                                    <w:szCs w:val="16"/>
                                  </w:rPr>
                                </w:pPr>
                              </w:p>
                            </w:tc>
                            <w:tc>
                              <w:tcPr>
                                <w:tcW w:w="3412" w:type="dxa"/>
                                <w:gridSpan w:val="3"/>
                              </w:tcPr>
                              <w:p>
                                <w:pPr>
                                  <w:jc w:val="center"/>
                                  <w:rPr>
                                    <w:rFonts w:ascii="Arial" w:hAnsi="Arial" w:cs="Arial"/>
                                    <w:sz w:val="20"/>
                                    <w:szCs w:val="16"/>
                                  </w:rPr>
                                </w:pPr>
                                <w:r>
                                  <w:rPr>
                                    <w:rFonts w:ascii="Arial" w:hAnsi="Arial" w:cs="Arial"/>
                                    <w:sz w:val="20"/>
                                    <w:szCs w:val="16"/>
                                  </w:rPr>
                                  <w:t>Viso</w:t>
                                </w:r>
                              </w:p>
                            </w:tc>
                          </w:tr>
                          <w:tr>
                            <w:trPr>
                              <w:jc w:val="center"/>
                            </w:trPr>
                            <w:tc>
                              <w:tcPr>
                                <w:tcW w:w="1573" w:type="dxa"/>
                              </w:tcPr>
                              <w:p>
                                <w:pPr>
                                  <w:jc w:val="center"/>
                                  <w:rPr>
                                    <w:rFonts w:ascii="Arial" w:hAnsi="Arial" w:cs="Arial"/>
                                    <w:b/>
                                    <w:bCs/>
                                    <w:sz w:val="20"/>
                                  </w:rPr>
                                </w:pPr>
                                <w:r>
                                  <w:rPr>
                                    <w:rFonts w:ascii="Arial" w:hAnsi="Arial" w:cs="Arial"/>
                                    <w:b/>
                                    <w:bCs/>
                                    <w:sz w:val="20"/>
                                  </w:rPr>
                                  <w:t>Rodiklis</w:t>
                                </w:r>
                              </w:p>
                            </w:tc>
                            <w:tc>
                              <w:tcPr>
                                <w:tcW w:w="1030" w:type="dxa"/>
                              </w:tcPr>
                              <w:p>
                                <w:pPr>
                                  <w:jc w:val="center"/>
                                  <w:rPr>
                                    <w:rFonts w:ascii="Arial" w:hAnsi="Arial" w:cs="Arial"/>
                                    <w:b/>
                                    <w:bCs/>
                                    <w:sz w:val="20"/>
                                  </w:rPr>
                                </w:pPr>
                                <w:r>
                                  <w:rPr>
                                    <w:rFonts w:ascii="Arial" w:hAnsi="Arial" w:cs="Arial"/>
                                    <w:b/>
                                    <w:bCs/>
                                    <w:sz w:val="20"/>
                                  </w:rPr>
                                  <w:t>2022</w:t>
                                </w:r>
                              </w:p>
                            </w:tc>
                            <w:tc>
                              <w:tcPr>
                                <w:tcW w:w="1021" w:type="dxa"/>
                              </w:tcPr>
                              <w:p>
                                <w:pPr>
                                  <w:jc w:val="center"/>
                                  <w:rPr>
                                    <w:rFonts w:ascii="Arial" w:hAnsi="Arial" w:cs="Arial"/>
                                    <w:b/>
                                    <w:bCs/>
                                    <w:sz w:val="20"/>
                                  </w:rPr>
                                </w:pPr>
                                <w:r>
                                  <w:rPr>
                                    <w:rFonts w:ascii="Arial" w:hAnsi="Arial" w:cs="Arial"/>
                                    <w:b/>
                                    <w:bCs/>
                                    <w:sz w:val="20"/>
                                  </w:rPr>
                                  <w:t>2023</w:t>
                                </w:r>
                              </w:p>
                            </w:tc>
                            <w:tc>
                              <w:tcPr>
                                <w:tcW w:w="1021" w:type="dxa"/>
                              </w:tcPr>
                              <w:p>
                                <w:pPr>
                                  <w:jc w:val="center"/>
                                  <w:rPr>
                                    <w:rFonts w:ascii="Arial" w:hAnsi="Arial" w:cs="Arial"/>
                                    <w:b/>
                                    <w:bCs/>
                                    <w:sz w:val="20"/>
                                  </w:rPr>
                                </w:pPr>
                                <w:r>
                                  <w:rPr>
                                    <w:rFonts w:ascii="Arial" w:hAnsi="Arial" w:cs="Arial"/>
                                    <w:b/>
                                    <w:bCs/>
                                    <w:sz w:val="20"/>
                                  </w:rPr>
                                  <w:t>2024</w:t>
                                </w:r>
                              </w:p>
                            </w:tc>
                            <w:tc>
                              <w:tcPr>
                                <w:tcW w:w="1021" w:type="dxa"/>
                              </w:tcPr>
                              <w:p>
                                <w:pPr>
                                  <w:jc w:val="center"/>
                                  <w:rPr>
                                    <w:rFonts w:ascii="Arial" w:hAnsi="Arial" w:cs="Arial"/>
                                    <w:b/>
                                    <w:bCs/>
                                    <w:sz w:val="20"/>
                                  </w:rPr>
                                </w:pPr>
                                <w:r>
                                  <w:rPr>
                                    <w:rFonts w:ascii="Arial" w:hAnsi="Arial" w:cs="Arial"/>
                                    <w:b/>
                                    <w:bCs/>
                                    <w:sz w:val="20"/>
                                  </w:rPr>
                                  <w:t>2025</w:t>
                                </w:r>
                              </w:p>
                            </w:tc>
                            <w:tc>
                              <w:tcPr>
                                <w:tcW w:w="1023" w:type="dxa"/>
                              </w:tcPr>
                              <w:p>
                                <w:pPr>
                                  <w:jc w:val="center"/>
                                  <w:rPr>
                                    <w:rFonts w:ascii="Arial" w:hAnsi="Arial" w:cs="Arial"/>
                                    <w:b/>
                                    <w:bCs/>
                                    <w:sz w:val="20"/>
                                  </w:rPr>
                                </w:pPr>
                                <w:r>
                                  <w:rPr>
                                    <w:rFonts w:ascii="Arial" w:hAnsi="Arial" w:cs="Arial"/>
                                    <w:b/>
                                    <w:bCs/>
                                    <w:sz w:val="20"/>
                                  </w:rPr>
                                  <w:t>Namų skaičius</w:t>
                                </w:r>
                              </w:p>
                            </w:tc>
                            <w:tc>
                              <w:tcPr>
                                <w:tcW w:w="918" w:type="dxa"/>
                              </w:tcPr>
                              <w:p>
                                <w:pPr>
                                  <w:jc w:val="center"/>
                                  <w:rPr>
                                    <w:rFonts w:ascii="Arial" w:hAnsi="Arial" w:cs="Arial"/>
                                    <w:b/>
                                    <w:bCs/>
                                    <w:sz w:val="20"/>
                                  </w:rPr>
                                </w:pPr>
                                <w:r>
                                  <w:rPr>
                                    <w:rFonts w:ascii="Arial" w:hAnsi="Arial" w:cs="Arial"/>
                                    <w:b/>
                                    <w:bCs/>
                                    <w:sz w:val="20"/>
                                  </w:rPr>
                                  <w:t>Butų skaičius</w:t>
                                </w:r>
                              </w:p>
                            </w:tc>
                            <w:tc>
                              <w:tcPr>
                                <w:tcW w:w="1471" w:type="dxa"/>
                              </w:tcPr>
                              <w:p>
                                <w:pPr>
                                  <w:jc w:val="center"/>
                                  <w:rPr>
                                    <w:rFonts w:ascii="Arial" w:hAnsi="Arial" w:cs="Arial"/>
                                    <w:b/>
                                    <w:bCs/>
                                    <w:sz w:val="20"/>
                                  </w:rPr>
                                </w:pPr>
                                <w:r>
                                  <w:rPr>
                                    <w:rFonts w:ascii="Arial" w:hAnsi="Arial" w:cs="Arial"/>
                                    <w:b/>
                                    <w:bCs/>
                                    <w:sz w:val="20"/>
                                  </w:rPr>
                                  <w:t>Ketinamas renovuoti bendras plotas</w:t>
                                </w:r>
                              </w:p>
                            </w:tc>
                          </w:tr>
                          <w:tr>
                            <w:trPr>
                              <w:trHeight w:val="20"/>
                              <w:jc w:val="center"/>
                            </w:trPr>
                            <w:tc>
                              <w:tcPr>
                                <w:tcW w:w="1573" w:type="dxa"/>
                              </w:tcPr>
                              <w:p>
                                <w:pPr>
                                  <w:rPr>
                                    <w:rFonts w:ascii="Arial" w:hAnsi="Arial" w:cs="Arial"/>
                                    <w:sz w:val="20"/>
                                  </w:rPr>
                                </w:pPr>
                                <w:r>
                                  <w:rPr>
                                    <w:rFonts w:ascii="Arial" w:hAnsi="Arial" w:cs="Arial"/>
                                    <w:sz w:val="20"/>
                                  </w:rPr>
                                  <w:t>Namų skaičius</w:t>
                                </w:r>
                              </w:p>
                            </w:tc>
                            <w:tc>
                              <w:tcPr>
                                <w:tcW w:w="1030" w:type="dxa"/>
                              </w:tcPr>
                              <w:p>
                                <w:pPr>
                                  <w:jc w:val="center"/>
                                  <w:rPr>
                                    <w:rFonts w:ascii="Arial" w:hAnsi="Arial" w:cs="Arial"/>
                                    <w:sz w:val="20"/>
                                  </w:rPr>
                                </w:pPr>
                                <w:r>
                                  <w:rPr>
                                    <w:rFonts w:ascii="Arial" w:hAnsi="Arial" w:cs="Arial"/>
                                    <w:sz w:val="20"/>
                                  </w:rPr>
                                  <w:t>2</w:t>
                                </w:r>
                              </w:p>
                            </w:tc>
                            <w:tc>
                              <w:tcPr>
                                <w:tcW w:w="1021" w:type="dxa"/>
                              </w:tcPr>
                              <w:p>
                                <w:pPr>
                                  <w:jc w:val="center"/>
                                  <w:rPr>
                                    <w:rFonts w:ascii="Arial" w:hAnsi="Arial" w:cs="Arial"/>
                                    <w:sz w:val="20"/>
                                  </w:rPr>
                                </w:pPr>
                                <w:r>
                                  <w:rPr>
                                    <w:rFonts w:ascii="Arial" w:hAnsi="Arial" w:cs="Arial"/>
                                    <w:sz w:val="20"/>
                                  </w:rPr>
                                  <w:t>2</w:t>
                                </w:r>
                              </w:p>
                            </w:tc>
                            <w:tc>
                              <w:tcPr>
                                <w:tcW w:w="1021" w:type="dxa"/>
                              </w:tcPr>
                              <w:p>
                                <w:pPr>
                                  <w:jc w:val="center"/>
                                  <w:rPr>
                                    <w:rFonts w:ascii="Arial" w:hAnsi="Arial" w:cs="Arial"/>
                                    <w:sz w:val="20"/>
                                  </w:rPr>
                                </w:pPr>
                                <w:r>
                                  <w:rPr>
                                    <w:rFonts w:ascii="Arial" w:hAnsi="Arial" w:cs="Arial"/>
                                    <w:sz w:val="20"/>
                                  </w:rPr>
                                  <w:t>3</w:t>
                                </w:r>
                              </w:p>
                            </w:tc>
                            <w:tc>
                              <w:tcPr>
                                <w:tcW w:w="1021" w:type="dxa"/>
                              </w:tcPr>
                              <w:p>
                                <w:pPr>
                                  <w:jc w:val="center"/>
                                  <w:rPr>
                                    <w:rFonts w:ascii="Arial" w:hAnsi="Arial" w:cs="Arial"/>
                                    <w:sz w:val="20"/>
                                  </w:rPr>
                                </w:pPr>
                                <w:r>
                                  <w:rPr>
                                    <w:rFonts w:ascii="Arial" w:hAnsi="Arial" w:cs="Arial"/>
                                    <w:sz w:val="20"/>
                                  </w:rPr>
                                  <w:t>3</w:t>
                                </w:r>
                              </w:p>
                            </w:tc>
                            <w:tc>
                              <w:tcPr>
                                <w:tcW w:w="1023" w:type="dxa"/>
                                <w:vMerge w:val="restart"/>
                              </w:tcPr>
                              <w:p>
                                <w:pPr>
                                  <w:jc w:val="center"/>
                                  <w:rPr>
                                    <w:rFonts w:ascii="Arial" w:hAnsi="Arial" w:cs="Arial"/>
                                    <w:sz w:val="20"/>
                                  </w:rPr>
                                </w:pPr>
                                <w:r>
                                  <w:rPr>
                                    <w:rFonts w:ascii="Arial" w:hAnsi="Arial" w:cs="Arial"/>
                                    <w:sz w:val="20"/>
                                  </w:rPr>
                                  <w:t>10</w:t>
                                </w:r>
                              </w:p>
                            </w:tc>
                            <w:tc>
                              <w:tcPr>
                                <w:tcW w:w="918" w:type="dxa"/>
                                <w:vMerge w:val="restart"/>
                              </w:tcPr>
                              <w:p>
                                <w:pPr>
                                  <w:jc w:val="center"/>
                                  <w:rPr>
                                    <w:rFonts w:ascii="Arial" w:hAnsi="Arial" w:cs="Arial"/>
                                    <w:sz w:val="20"/>
                                  </w:rPr>
                                </w:pPr>
                                <w:r>
                                  <w:rPr>
                                    <w:rFonts w:ascii="Arial" w:hAnsi="Arial" w:cs="Arial"/>
                                    <w:sz w:val="20"/>
                                  </w:rPr>
                                  <w:t>260</w:t>
                                </w:r>
                              </w:p>
                            </w:tc>
                            <w:tc>
                              <w:tcPr>
                                <w:tcW w:w="1471" w:type="dxa"/>
                                <w:vMerge w:val="restart"/>
                              </w:tcPr>
                              <w:p>
                                <w:pPr>
                                  <w:jc w:val="center"/>
                                  <w:rPr>
                                    <w:rFonts w:ascii="Arial" w:hAnsi="Arial" w:cs="Arial"/>
                                    <w:sz w:val="20"/>
                                  </w:rPr>
                                </w:pPr>
                                <w:r>
                                  <w:rPr>
                                    <w:rFonts w:ascii="Arial" w:hAnsi="Arial" w:cs="Arial"/>
                                    <w:sz w:val="20"/>
                                  </w:rPr>
                                  <w:t>14 711,8</w:t>
                                </w:r>
                              </w:p>
                            </w:tc>
                          </w:tr>
                          <w:tr>
                            <w:trPr>
                              <w:trHeight w:val="20"/>
                              <w:jc w:val="center"/>
                            </w:trPr>
                            <w:tc>
                              <w:tcPr>
                                <w:tcW w:w="1573" w:type="dxa"/>
                              </w:tcPr>
                              <w:p>
                                <w:pPr>
                                  <w:rPr>
                                    <w:rFonts w:ascii="Arial" w:hAnsi="Arial" w:cs="Arial"/>
                                    <w:sz w:val="20"/>
                                    <w:vertAlign w:val="superscript"/>
                                  </w:rPr>
                                </w:pPr>
                                <w:r>
                                  <w:rPr>
                                    <w:rFonts w:ascii="Arial" w:hAnsi="Arial" w:cs="Arial"/>
                                    <w:sz w:val="20"/>
                                  </w:rPr>
                                  <w:t>Namų plotas, m</w:t>
                                </w:r>
                                <w:r>
                                  <w:rPr>
                                    <w:rFonts w:ascii="Arial" w:hAnsi="Arial" w:cs="Arial"/>
                                    <w:sz w:val="20"/>
                                    <w:vertAlign w:val="superscript"/>
                                  </w:rPr>
                                  <w:t>2</w:t>
                                </w:r>
                              </w:p>
                            </w:tc>
                            <w:tc>
                              <w:tcPr>
                                <w:tcW w:w="1030" w:type="dxa"/>
                              </w:tcPr>
                              <w:p>
                                <w:pPr>
                                  <w:jc w:val="center"/>
                                  <w:rPr>
                                    <w:rFonts w:ascii="Arial" w:hAnsi="Arial" w:cs="Arial"/>
                                    <w:sz w:val="20"/>
                                  </w:rPr>
                                </w:pPr>
                                <w:r>
                                  <w:rPr>
                                    <w:rFonts w:ascii="Arial" w:hAnsi="Arial" w:cs="Arial"/>
                                    <w:sz w:val="20"/>
                                  </w:rPr>
                                  <w:t>2 942,4</w:t>
                                </w:r>
                              </w:p>
                            </w:tc>
                            <w:tc>
                              <w:tcPr>
                                <w:tcW w:w="1021" w:type="dxa"/>
                              </w:tcPr>
                              <w:p>
                                <w:pPr>
                                  <w:jc w:val="center"/>
                                  <w:rPr>
                                    <w:rFonts w:ascii="Arial" w:hAnsi="Arial" w:cs="Arial"/>
                                    <w:sz w:val="20"/>
                                  </w:rPr>
                                </w:pPr>
                                <w:r>
                                  <w:rPr>
                                    <w:rFonts w:ascii="Arial" w:hAnsi="Arial" w:cs="Arial"/>
                                    <w:sz w:val="20"/>
                                  </w:rPr>
                                  <w:t>2 942,4</w:t>
                                </w:r>
                              </w:p>
                            </w:tc>
                            <w:tc>
                              <w:tcPr>
                                <w:tcW w:w="1021" w:type="dxa"/>
                              </w:tcPr>
                              <w:p>
                                <w:pPr>
                                  <w:jc w:val="center"/>
                                  <w:rPr>
                                    <w:rFonts w:ascii="Arial" w:hAnsi="Arial" w:cs="Arial"/>
                                    <w:sz w:val="20"/>
                                  </w:rPr>
                                </w:pPr>
                                <w:r>
                                  <w:rPr>
                                    <w:rFonts w:ascii="Arial" w:hAnsi="Arial" w:cs="Arial"/>
                                    <w:sz w:val="20"/>
                                  </w:rPr>
                                  <w:t>4 413,5</w:t>
                                </w:r>
                              </w:p>
                            </w:tc>
                            <w:tc>
                              <w:tcPr>
                                <w:tcW w:w="1021" w:type="dxa"/>
                              </w:tcPr>
                              <w:p>
                                <w:pPr>
                                  <w:jc w:val="center"/>
                                  <w:rPr>
                                    <w:rFonts w:ascii="Arial" w:hAnsi="Arial" w:cs="Arial"/>
                                    <w:sz w:val="20"/>
                                  </w:rPr>
                                </w:pPr>
                                <w:r>
                                  <w:rPr>
                                    <w:rFonts w:ascii="Arial" w:hAnsi="Arial" w:cs="Arial"/>
                                    <w:sz w:val="20"/>
                                  </w:rPr>
                                  <w:t>4 413,5</w:t>
                                </w:r>
                              </w:p>
                            </w:tc>
                            <w:tc>
                              <w:tcPr>
                                <w:tcW w:w="1023" w:type="dxa"/>
                                <w:vMerge/>
                              </w:tcPr>
                              <w:p>
                                <w:pPr>
                                  <w:jc w:val="center"/>
                                  <w:rPr>
                                    <w:rFonts w:ascii="Arial" w:hAnsi="Arial" w:cs="Arial"/>
                                    <w:sz w:val="20"/>
                                    <w:highlight w:val="yellow"/>
                                  </w:rPr>
                                </w:pPr>
                              </w:p>
                            </w:tc>
                            <w:tc>
                              <w:tcPr>
                                <w:tcW w:w="918" w:type="dxa"/>
                                <w:vMerge/>
                              </w:tcPr>
                              <w:p>
                                <w:pPr>
                                  <w:jc w:val="center"/>
                                  <w:rPr>
                                    <w:rFonts w:ascii="Arial" w:hAnsi="Arial" w:cs="Arial"/>
                                    <w:sz w:val="20"/>
                                    <w:highlight w:val="yellow"/>
                                  </w:rPr>
                                </w:pPr>
                              </w:p>
                            </w:tc>
                            <w:tc>
                              <w:tcPr>
                                <w:tcW w:w="1471" w:type="dxa"/>
                                <w:vMerge/>
                              </w:tcPr>
                              <w:p>
                                <w:pPr>
                                  <w:jc w:val="center"/>
                                  <w:rPr>
                                    <w:rFonts w:ascii="Arial" w:hAnsi="Arial" w:cs="Arial"/>
                                    <w:sz w:val="20"/>
                                    <w:highlight w:val="yellow"/>
                                  </w:rPr>
                                </w:pP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Remiantis Būsto energijos taupymo agentūros duomenimis, vertinama, kad renovuotuose namuose energijos poreikis šildymui yra 60 proc. mažesnis nei nerenovuotuose, o energijos sąnaudos būsto šildymui be renovacijos yra 140 kWh/m</w:t>
                          </w:r>
                          <w:r>
                            <w:rPr>
                              <w:rFonts w:ascii="Arial" w:hAnsi="Arial" w:cs="Arial"/>
                              <w:sz w:val="22"/>
                              <w:vertAlign w:val="superscript"/>
                            </w:rPr>
                            <w:t>2</w:t>
                          </w:r>
                          <w:r>
                            <w:rPr>
                              <w:rFonts w:ascii="Arial" w:hAnsi="Arial" w:cs="Arial"/>
                              <w:sz w:val="22"/>
                            </w:rPr>
                            <w:t xml:space="preserve"> per metus. Atlikus skaičiavimus gaunama, kad šilumos energijos sutaupymas renovuotuose namuose nuo 2025 metų bus </w:t>
                          </w:r>
                          <w:r>
                            <w:rPr>
                              <w:rFonts w:ascii="Arial" w:hAnsi="Arial" w:cs="Arial"/>
                              <w:b/>
                              <w:bCs/>
                              <w:sz w:val="22"/>
                            </w:rPr>
                            <w:t>1 235,8 MWh (106,3 tne)</w:t>
                          </w:r>
                          <w:r>
                            <w:rPr>
                              <w:rFonts w:ascii="Arial" w:hAnsi="Arial" w:cs="Arial"/>
                              <w:sz w:val="22"/>
                            </w:rPr>
                            <w:t xml:space="preserve"> per metus.</w:t>
                          </w:r>
                        </w:p>
                        <w:p>
                          <w:pPr>
                            <w:rPr>
                              <w:sz w:val="14"/>
                              <w:szCs w:val="14"/>
                            </w:rPr>
                          </w:pPr>
                        </w:p>
                        <w:p>
                          <w:pPr>
                            <w:spacing w:line="259" w:lineRule="auto"/>
                            <w:ind w:firstLine="567"/>
                            <w:jc w:val="both"/>
                            <w:rPr>
                              <w:rFonts w:ascii="Arial" w:hAnsi="Arial" w:cs="Arial"/>
                              <w:sz w:val="22"/>
                            </w:rPr>
                          </w:pPr>
                          <w:r>
                            <w:rPr>
                              <w:rFonts w:ascii="Arial" w:hAnsi="Arial" w:cs="Arial"/>
                              <w:sz w:val="22"/>
                            </w:rPr>
                            <w:t>Pagal Klimato kaitos programą, Joniškio rajono savivaldybės administracija ant savivaldybei pavaldžių įstaigų stogų diegia saulės fotomodulius. Įgyvendinant projektą, numatoma:</w:t>
                          </w:r>
                        </w:p>
                        <w:p>
                          <w:pPr>
                            <w:rPr>
                              <w:sz w:val="14"/>
                              <w:szCs w:val="14"/>
                            </w:rPr>
                          </w:pPr>
                        </w:p>
                        <w:p>
                          <w:pPr>
                            <w:tabs>
                              <w:tab w:val="left" w:pos="720"/>
                            </w:tabs>
                            <w:ind w:left="720" w:hanging="360"/>
                            <w:jc w:val="both"/>
                            <w:rPr>
                              <w:rFonts w:ascii="Arial" w:hAnsi="Arial" w:cs="Arial"/>
                              <w:sz w:val="22"/>
                              <w:szCs w:val="22"/>
                              <w:lang w:eastAsia="lt-LT"/>
                            </w:rPr>
                          </w:pPr>
                          <w:r>
                            <w:rPr>
                              <w:rFonts w:ascii="Symbol" w:hAnsi="Symbol" w:cs="Arial"/>
                              <w:sz w:val="20"/>
                              <w:szCs w:val="22"/>
                              <w:lang w:eastAsia="lt-LT"/>
                            </w:rPr>
                            <w:t></w:t>
                            <w:tab/>
                          </w:r>
                          <w:r>
                            <w:rPr>
                              <w:rFonts w:ascii="Arial" w:hAnsi="Arial" w:cs="Arial"/>
                              <w:sz w:val="22"/>
                              <w:szCs w:val="22"/>
                              <w:lang w:eastAsia="lt-LT"/>
                            </w:rPr>
                            <w:t>Joniškio „Saulės“ pagrindinėje mokykloje įrengti 153,4 kW saulės fotovoltinę elektrinę, kuri prognozuojama per metus pagamins apie 152 tūkst. kWh elektros energijos ir sumažins išmetamų ŠESD kiekį apie 63 t CO</w:t>
                          </w:r>
                          <w:r>
                            <w:rPr>
                              <w:rFonts w:ascii="Arial" w:hAnsi="Arial" w:cs="Arial"/>
                              <w:sz w:val="22"/>
                              <w:szCs w:val="22"/>
                              <w:vertAlign w:val="subscript"/>
                              <w:lang w:eastAsia="lt-LT"/>
                            </w:rPr>
                            <w:t>2e</w:t>
                          </w:r>
                          <w:r>
                            <w:rPr>
                              <w:rFonts w:ascii="Arial" w:hAnsi="Arial" w:cs="Arial"/>
                              <w:sz w:val="22"/>
                              <w:szCs w:val="22"/>
                              <w:lang w:eastAsia="lt-LT"/>
                            </w:rPr>
                            <w:t>/metus;</w:t>
                          </w:r>
                        </w:p>
                        <w:p>
                          <w:pPr>
                            <w:rPr>
                              <w:sz w:val="8"/>
                              <w:szCs w:val="8"/>
                            </w:rPr>
                          </w:pPr>
                        </w:p>
                        <w:p>
                          <w:pPr>
                            <w:tabs>
                              <w:tab w:val="left" w:pos="720"/>
                            </w:tabs>
                            <w:ind w:left="720" w:hanging="360"/>
                            <w:jc w:val="both"/>
                            <w:rPr>
                              <w:rFonts w:ascii="Arial" w:hAnsi="Arial" w:cs="Arial"/>
                              <w:sz w:val="22"/>
                              <w:szCs w:val="22"/>
                              <w:lang w:eastAsia="lt-LT"/>
                            </w:rPr>
                          </w:pPr>
                          <w:r>
                            <w:rPr>
                              <w:rFonts w:ascii="Symbol" w:hAnsi="Symbol" w:cs="Arial"/>
                              <w:sz w:val="20"/>
                              <w:szCs w:val="22"/>
                              <w:lang w:eastAsia="lt-LT"/>
                            </w:rPr>
                            <w:t></w:t>
                            <w:tab/>
                          </w:r>
                          <w:r>
                            <w:rPr>
                              <w:rFonts w:ascii="Arial" w:hAnsi="Arial" w:cs="Arial"/>
                              <w:sz w:val="22"/>
                              <w:szCs w:val="22"/>
                              <w:lang w:eastAsia="lt-LT"/>
                            </w:rPr>
                            <w:t>VšĮ Joniškio ligoninėje įrengti 136 kW saulės fotovoltinę elektrinę, kuri prognozuojama per metus pagamins apie 133 tūkst. kWh elektros energijos ir sumažins išmetamų ŠESD kiekį apie 55 t CO</w:t>
                          </w:r>
                          <w:r>
                            <w:rPr>
                              <w:rFonts w:ascii="Arial" w:hAnsi="Arial" w:cs="Arial"/>
                              <w:sz w:val="22"/>
                              <w:szCs w:val="22"/>
                              <w:vertAlign w:val="subscript"/>
                              <w:lang w:eastAsia="lt-LT"/>
                            </w:rPr>
                            <w:t>2e</w:t>
                          </w:r>
                          <w:r>
                            <w:rPr>
                              <w:rFonts w:ascii="Arial" w:hAnsi="Arial" w:cs="Arial"/>
                              <w:sz w:val="22"/>
                              <w:szCs w:val="22"/>
                              <w:lang w:eastAsia="lt-LT"/>
                            </w:rPr>
                            <w:t>/metus;</w:t>
                          </w:r>
                        </w:p>
                        <w:p>
                          <w:pPr>
                            <w:rPr>
                              <w:sz w:val="8"/>
                              <w:szCs w:val="8"/>
                            </w:rPr>
                          </w:pPr>
                        </w:p>
                        <w:p>
                          <w:pPr>
                            <w:tabs>
                              <w:tab w:val="left" w:pos="720"/>
                            </w:tabs>
                            <w:ind w:left="720" w:hanging="360"/>
                            <w:jc w:val="both"/>
                            <w:rPr>
                              <w:rFonts w:ascii="Arial" w:hAnsi="Arial" w:cs="Arial"/>
                              <w:sz w:val="22"/>
                              <w:szCs w:val="22"/>
                              <w:lang w:eastAsia="lt-LT"/>
                            </w:rPr>
                          </w:pPr>
                          <w:r>
                            <w:rPr>
                              <w:rFonts w:ascii="Symbol" w:hAnsi="Symbol" w:cs="Arial"/>
                              <w:sz w:val="20"/>
                              <w:szCs w:val="22"/>
                              <w:lang w:eastAsia="lt-LT"/>
                            </w:rPr>
                            <w:t></w:t>
                            <w:tab/>
                          </w:r>
                          <w:r>
                            <w:rPr>
                              <w:rFonts w:ascii="Arial" w:hAnsi="Arial" w:cs="Arial"/>
                              <w:sz w:val="22"/>
                              <w:szCs w:val="22"/>
                              <w:lang w:eastAsia="lt-LT"/>
                            </w:rPr>
                            <w:t>Joniškio M. Slančiausko progimnazijoje įrengti 35 kW saulės fotovoltinę elektrinę, kuri prognozuojama per metus pagamins apie 33 tūkst. kWh elektros energijos ir sumažins išmetamų ŠESD kiekį apie 14 t CO</w:t>
                          </w:r>
                          <w:r>
                            <w:rPr>
                              <w:rFonts w:ascii="Arial" w:hAnsi="Arial" w:cs="Arial"/>
                              <w:sz w:val="22"/>
                              <w:szCs w:val="22"/>
                              <w:vertAlign w:val="subscript"/>
                              <w:lang w:eastAsia="lt-LT"/>
                            </w:rPr>
                            <w:t>2e</w:t>
                          </w:r>
                          <w:r>
                            <w:rPr>
                              <w:rFonts w:ascii="Arial" w:hAnsi="Arial" w:cs="Arial"/>
                              <w:sz w:val="22"/>
                              <w:szCs w:val="22"/>
                              <w:lang w:eastAsia="lt-LT"/>
                            </w:rPr>
                            <w:t>/metus;</w:t>
                          </w:r>
                        </w:p>
                        <w:p>
                          <w:pPr>
                            <w:rPr>
                              <w:sz w:val="8"/>
                              <w:szCs w:val="8"/>
                            </w:rPr>
                          </w:pPr>
                        </w:p>
                        <w:p>
                          <w:pPr>
                            <w:tabs>
                              <w:tab w:val="left" w:pos="720"/>
                            </w:tabs>
                            <w:ind w:left="720" w:hanging="360"/>
                            <w:jc w:val="both"/>
                            <w:rPr>
                              <w:rFonts w:ascii="Arial" w:hAnsi="Arial" w:cs="Arial"/>
                              <w:sz w:val="22"/>
                              <w:szCs w:val="22"/>
                              <w:lang w:eastAsia="lt-LT"/>
                            </w:rPr>
                          </w:pPr>
                          <w:r>
                            <w:rPr>
                              <w:rFonts w:ascii="Symbol" w:hAnsi="Symbol" w:cs="Arial"/>
                              <w:sz w:val="20"/>
                              <w:szCs w:val="22"/>
                              <w:lang w:eastAsia="lt-LT"/>
                            </w:rPr>
                            <w:t></w:t>
                            <w:tab/>
                          </w:r>
                          <w:r>
                            <w:rPr>
                              <w:rFonts w:ascii="Arial" w:hAnsi="Arial" w:cs="Arial"/>
                              <w:sz w:val="22"/>
                              <w:szCs w:val="22"/>
                              <w:lang w:eastAsia="lt-LT"/>
                            </w:rPr>
                            <w:t>Joniškio rajono savivaldybės administracijoje įrengti 30 kW saulės fotovoltinę elektrinę, kuri prognozuojama per metus pagamins apie 28 tūkst. kWh elektros energijos ir sumažins išmetamų ŠESD kiekį apie 12 t CO</w:t>
                          </w:r>
                          <w:r>
                            <w:rPr>
                              <w:rFonts w:ascii="Arial" w:hAnsi="Arial" w:cs="Arial"/>
                              <w:sz w:val="22"/>
                              <w:szCs w:val="22"/>
                              <w:vertAlign w:val="subscript"/>
                              <w:lang w:eastAsia="lt-LT"/>
                            </w:rPr>
                            <w:t>2e</w:t>
                          </w:r>
                          <w:r>
                            <w:rPr>
                              <w:rFonts w:ascii="Arial" w:hAnsi="Arial" w:cs="Arial"/>
                              <w:sz w:val="22"/>
                              <w:szCs w:val="22"/>
                              <w:lang w:eastAsia="lt-LT"/>
                            </w:rPr>
                            <w:t>/metus;</w:t>
                          </w:r>
                        </w:p>
                        <w:p>
                          <w:pPr>
                            <w:rPr>
                              <w:sz w:val="8"/>
                              <w:szCs w:val="8"/>
                            </w:rPr>
                          </w:pPr>
                        </w:p>
                        <w:p>
                          <w:pPr>
                            <w:spacing w:line="259" w:lineRule="auto"/>
                            <w:ind w:firstLine="567"/>
                            <w:jc w:val="both"/>
                            <w:rPr>
                              <w:rFonts w:ascii="Arial" w:hAnsi="Arial" w:cs="Arial"/>
                              <w:sz w:val="22"/>
                            </w:rPr>
                          </w:pPr>
                          <w:r>
                            <w:rPr>
                              <w:rFonts w:ascii="Arial" w:hAnsi="Arial" w:cs="Arial"/>
                              <w:sz w:val="22"/>
                            </w:rPr>
                            <w:t>Numatoma, jog įgyvendinus projektą, bus sumažintos išlaidos už elektros energijos vartojimą, padidintas elektros energijos vartojimo efektyvumas, sumažintas šiltnamio efektą sukeliančių dujų kiekis bei didės AIE rodiklis bendrame energijos suvartojimo balanse.</w:t>
                          </w:r>
                        </w:p>
                        <w:p>
                          <w:pPr>
                            <w:rPr>
                              <w:sz w:val="14"/>
                              <w:szCs w:val="14"/>
                            </w:rPr>
                          </w:pPr>
                        </w:p>
                      </w:sdtContent>
                    </w:sdt>
                  </w:sdtContent>
                </w:sdt>
                <w:sdt>
                  <w:sdtPr>
                    <w:alias w:val="5.2 pp."/>
                    <w:tag w:val="part_5c0abd0ab7d948bead9f94e2194a53e9"/>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5c0abd0ab7d948bead9f94e2194a53e9"/>
                          <w:lock w:val="sdtLocked"/>
                          <w:richText/>
                        </w:sdtPr>
                        <w:sdtContent>
                          <w:r>
                            <w:rPr>
                              <w:rFonts w:ascii="Arial" w:eastAsia="SegoeUI" w:hAnsi="Arial" w:cs="Arial"/>
                              <w:b/>
                              <w:color w:val="002060"/>
                              <w:szCs w:val="26"/>
                            </w:rPr>
                            <w:t>5.2</w:t>
                          </w:r>
                        </w:sdtContent>
                      </w:sdt>
                      <w:r>
                        <w:rPr>
                          <w:rFonts w:ascii="Arial" w:eastAsia="SegoeUI" w:hAnsi="Arial" w:cs="Arial"/>
                          <w:b/>
                          <w:color w:val="002060"/>
                          <w:szCs w:val="26"/>
                        </w:rPr>
                        <w:t>. Centralizuoto šilumos tiekimo sistemos modernizavimas pereinant prie vietinių ir atsinaujinančių energijos išteklių</w:t>
                      </w:r>
                    </w:p>
                    <w:p>
                      <w:pPr>
                        <w:rPr>
                          <w:sz w:val="14"/>
                          <w:szCs w:val="14"/>
                        </w:rPr>
                      </w:pPr>
                    </w:p>
                    <w:p>
                      <w:pPr>
                        <w:spacing w:line="259" w:lineRule="auto"/>
                        <w:ind w:firstLine="567"/>
                        <w:jc w:val="both"/>
                        <w:rPr>
                          <w:rFonts w:ascii="Arial" w:hAnsi="Arial" w:cs="Arial"/>
                          <w:sz w:val="22"/>
                        </w:rPr>
                      </w:pPr>
                      <w:r>
                        <w:rPr>
                          <w:rFonts w:ascii="Arial" w:hAnsi="Arial" w:cs="Arial"/>
                          <w:sz w:val="22"/>
                        </w:rPr>
                        <w:t>Joniškio rajono savivaldybėje centralizuotos šilumos tiekėjas yra UAB „Gren Joniškis“, kuri visą šilumos energiją pagamina savo eksploatuojamose katilinėse. Plačiau centralizuotai tiekiamos šilumos kiekiai aprašyti 2.4. skyriuje. Šilumos tiekimo sistema jau naudoja atsinaujinančius išteklius (biokurą), kurie sudaro 83,3 proc. pagaminamos šiluminės energijos. Ateityje įstaiga yra numačiusi kuro rūšies keitimą Joniškio katilinėse, keičiant šiuo metu naudojamas gamtines dujas į atsinaujinančius išteklius.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Investicijos į modernias technologijas, atnaujinant energijos gamybos šaltinius ir plečiant šilumos gamybos iš atsinaujinančių energijos išteklių apimtis, buvo svarbus pasirinkimas įstaigos veiklos intensyvumui didinti ir siekiui tapti modernia, šilumos vartotojams kokybiškas paslaugas teikiančia įmone. Suformuotos investicijoms palankios aplinkos dėka įstaiga sėkmingai įgyvendino svarbius projektus, sugebėjo sumažinti palyginamąsias šilumos kainas, padidinti šilumos gamybos efektyvumą, sumažinti technologinius šilumos tiekimo nuostolius. </w:t>
                      </w:r>
                    </w:p>
                    <w:p>
                      <w:pPr>
                        <w:rPr>
                          <w:sz w:val="14"/>
                          <w:szCs w:val="14"/>
                        </w:rPr>
                      </w:pPr>
                    </w:p>
                  </w:sdtContent>
                </w:sdt>
                <w:sdt>
                  <w:sdtPr>
                    <w:alias w:val="5.3 pp."/>
                    <w:tag w:val="part_e330c76c112440859c07dc5282e2c88e"/>
                    <w:lock w:val="sdtLocked"/>
                    <w:richText/>
                  </w:sdtPr>
                  <w:sdtContent>
                    <w:p>
                      <w:pPr>
                        <w:keepNext/>
                        <w:keepLines/>
                        <w:spacing w:line="259" w:lineRule="auto"/>
                        <w:jc w:val="center"/>
                        <w:outlineLvl w:val="1"/>
                        <w:rPr>
                          <w:rFonts w:ascii="Arial" w:hAnsi="Arial" w:cs="Arial"/>
                          <w:b/>
                          <w:color w:val="002060"/>
                          <w:szCs w:val="26"/>
                        </w:rPr>
                      </w:pPr>
                      <w:sdt>
                        <w:sdtPr>
                          <w:alias w:val="Numeris"/>
                          <w:tag w:val="nr_e330c76c112440859c07dc5282e2c88e"/>
                          <w:lock w:val="sdtLocked"/>
                          <w:richText/>
                        </w:sdtPr>
                        <w:sdtContent>
                          <w:r>
                            <w:rPr>
                              <w:rFonts w:ascii="Arial" w:hAnsi="Arial" w:cs="Arial"/>
                              <w:b/>
                              <w:color w:val="002060"/>
                              <w:szCs w:val="26"/>
                            </w:rPr>
                            <w:t>5.3</w:t>
                          </w:r>
                        </w:sdtContent>
                      </w:sdt>
                      <w:r>
                        <w:rPr>
                          <w:rFonts w:ascii="Arial" w:hAnsi="Arial" w:cs="Arial"/>
                          <w:b/>
                          <w:color w:val="002060"/>
                          <w:szCs w:val="26"/>
                        </w:rPr>
                        <w:t>. Prognozuojamas kuro ir energijos balansas be papildomų priemonių įgyvendinimo</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Prognozuojamas kuro ir energijos balansas 2021–2030 m. be papildomų priemonių įgyvendinimo pavaizduotas paveiksluose žemiau. Prognozės sudarytos vertinant BVP ir gyventojų skaičiaus kitimą iki 2030 m.</w:t>
                      </w:r>
                    </w:p>
                    <w:p>
                      <w:pPr>
                        <w:rPr>
                          <w:sz w:val="14"/>
                          <w:szCs w:val="14"/>
                        </w:rPr>
                      </w:pPr>
                    </w:p>
                    <w:p>
                      <w:pPr>
                        <w:spacing w:line="259" w:lineRule="auto"/>
                        <w:jc w:val="center"/>
                        <w:rPr>
                          <w:rFonts w:ascii="Arial" w:hAnsi="Arial" w:cs="Arial"/>
                          <w:sz w:val="22"/>
                          <w:szCs w:val="22"/>
                        </w:rPr>
                      </w:pPr>
                      <w:r>
                        <w:rPr>
                          <w:rFonts w:ascii="Arial" w:hAnsi="Arial" w:cs="Arial"/>
                          <w:sz w:val="22"/>
                          <w:szCs w:val="22"/>
                          <w:lang w:val="en-US"/>
                        </w:rPr>
                        <w:drawing>
                          <wp:inline distT="0" distB="0" distL="0" distR="0" wp14:anchorId="6CDC6809" wp14:editId="5E39FB7F">
                            <wp:extent cx="4572000" cy="2751794"/>
                            <wp:effectExtent l="0" t="0" r="0" b="10795"/>
                            <wp:docPr id="1" name="Diagrama 1">
                              <a:extLst xmlns:a="http://schemas.openxmlformats.org/drawingml/2006/main">
                                <a:ext uri="{FF2B5EF4-FFF2-40B4-BE49-F238E27FC236}">
                                  <a16:creationId xmlns:a16="http://schemas.microsoft.com/office/drawing/2014/main" id="{74F4F1BD-DB51-4BF7-83C9-E2D406389408}"/>
                                </a:ext>
                              </a:extLst>
                            </wp:docPr>
                            <wp:cNvGraphicFramePr/>
                            <a:graphic xmlns:a="http://schemas.openxmlformats.org/drawingml/2006/main">
                              <a:graphicData uri="http://schemas.openxmlformats.org/drawingml/2006/chart">
                                <c:chart xmlns:c="http://schemas.openxmlformats.org/drawingml/2006/chart" r:id="rId27"/>
                              </a:graphicData>
                            </a:graphic>
                          </wp:inline>
                        </w:drawing>
                      </w:r>
                    </w:p>
                    <w:p>
                      <w:pPr>
                        <w:rPr>
                          <w:sz w:val="14"/>
                          <w:szCs w:val="14"/>
                        </w:rPr>
                      </w:pPr>
                    </w:p>
                    <w:sdt>
                      <w:sdtPr>
                        <w:alias w:val="5.3.1 pp."/>
                        <w:tag w:val="part_3f79d6dbed00448587c09b7c70180668"/>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3f79d6dbed00448587c09b7c70180668"/>
                              <w:lock w:val="sdtLocked"/>
                              <w:richText/>
                            </w:sdtPr>
                            <w:sdtContent>
                              <w:r>
                                <w:rPr>
                                  <w:rFonts w:ascii="Arial" w:eastAsia="Calibri" w:hAnsi="Arial" w:cs="Arial"/>
                                  <w:b/>
                                  <w:color w:val="002060"/>
                                  <w:sz w:val="22"/>
                                  <w:szCs w:val="22"/>
                                </w:rPr>
                                <w:t>5.3.1</w:t>
                              </w:r>
                            </w:sdtContent>
                          </w:sdt>
                          <w:r>
                            <w:rPr>
                              <w:rFonts w:ascii="Arial" w:eastAsia="Calibri" w:hAnsi="Arial" w:cs="Arial"/>
                              <w:b/>
                              <w:color w:val="002060"/>
                              <w:sz w:val="22"/>
                              <w:szCs w:val="22"/>
                            </w:rPr>
                            <w:t>. pav. Prognozuojamas kuro suvartojimas – transportas, tne</w:t>
                          </w:r>
                        </w:p>
                        <w:p>
                          <w:pPr>
                            <w:rPr>
                              <w:sz w:val="10"/>
                              <w:szCs w:val="10"/>
                            </w:rPr>
                          </w:pPr>
                        </w:p>
                        <w:p>
                          <w:pPr>
                            <w:jc w:val="center"/>
                            <w:rPr>
                              <w:rFonts w:ascii="Arial" w:hAnsi="Arial" w:cs="Arial"/>
                              <w:b/>
                              <w:bCs/>
                              <w:i/>
                              <w:iCs/>
                              <w:sz w:val="18"/>
                              <w:szCs w:val="18"/>
                            </w:rPr>
                          </w:pPr>
                          <w:r>
                            <w:rPr>
                              <w:rFonts w:ascii="Arial" w:hAnsi="Arial" w:cs="Arial"/>
                              <w:i/>
                              <w:iCs/>
                              <w:sz w:val="18"/>
                              <w:szCs w:val="18"/>
                            </w:rPr>
                            <w:t>Šaltinis: sudaryta darbo autorių</w:t>
                          </w:r>
                        </w:p>
                        <w:p>
                          <w:pPr>
                            <w:rPr>
                              <w:sz w:val="10"/>
                              <w:szCs w:val="10"/>
                            </w:rPr>
                          </w:pPr>
                        </w:p>
                        <w:p>
                          <w:pPr>
                            <w:spacing w:line="259" w:lineRule="auto"/>
                            <w:ind w:firstLine="567"/>
                            <w:jc w:val="both"/>
                            <w:rPr>
                              <w:rFonts w:ascii="Arial" w:hAnsi="Arial" w:cs="Arial"/>
                              <w:sz w:val="22"/>
                            </w:rPr>
                          </w:pPr>
                          <w:r>
                            <w:rPr>
                              <w:rFonts w:ascii="Arial" w:hAnsi="Arial" w:cs="Arial"/>
                              <w:sz w:val="22"/>
                            </w:rPr>
                            <w:t>Prognozuojama, kad transporto sektoriuje netaikant papildomų AIE naudojimo skatinimo priemonių kuro suvartojimas iki 2030 m. nuolat didės dėl didėjančio BVP rodiklio bei sąlyginai nedidelio gyventojų kasmetinio mažėjimo. Kuro suvartojimo pokytis, remiantis Lietuvos Respublikos finansų ministerijos duomenimis, lyginant 2020 m. ir 2030 m., bus 8,1 proc.</w:t>
                          </w:r>
                        </w:p>
                        <w:p>
                          <w:pPr>
                            <w:rPr>
                              <w:sz w:val="14"/>
                              <w:szCs w:val="14"/>
                            </w:rPr>
                          </w:pPr>
                        </w:p>
                        <w:p>
                          <w:pPr>
                            <w:spacing w:line="259" w:lineRule="auto"/>
                            <w:jc w:val="center"/>
                            <w:rPr>
                              <w:rFonts w:ascii="Arial" w:hAnsi="Arial" w:cs="Arial"/>
                              <w:sz w:val="22"/>
                            </w:rPr>
                          </w:pPr>
                          <w:r>
                            <w:rPr>
                              <w:rFonts w:ascii="Arial" w:hAnsi="Arial" w:cs="Arial"/>
                              <w:sz w:val="22"/>
                              <w:lang w:val="en-US"/>
                            </w:rPr>
                            <w:drawing>
                              <wp:inline distT="0" distB="0" distL="0" distR="0" wp14:anchorId="1F8256C3" wp14:editId="24A3EB88">
                                <wp:extent cx="4572000" cy="2642936"/>
                                <wp:effectExtent l="0" t="0" r="0" b="5080"/>
                                <wp:docPr id="4" name="Diagrama 4">
                                  <a:extLst xmlns:a="http://schemas.openxmlformats.org/drawingml/2006/main">
                                    <a:ext uri="{FF2B5EF4-FFF2-40B4-BE49-F238E27FC236}">
                                      <a16:creationId xmlns:a16="http://schemas.microsoft.com/office/drawing/2014/main" id="{EFEE510F-0D92-4C98-BB01-65C34F1D314D}"/>
                                    </a:ext>
                                  </a:extLst>
                                </wp:docPr>
                                <wp:cNvGraphicFramePr/>
                                <a:graphic xmlns:a="http://schemas.openxmlformats.org/drawingml/2006/main">
                                  <a:graphicData uri="http://schemas.openxmlformats.org/drawingml/2006/chart">
                                    <c:chart xmlns:c="http://schemas.openxmlformats.org/drawingml/2006/chart" r:id="rId28"/>
                                  </a:graphicData>
                                </a:graphic>
                              </wp:inline>
                            </w:drawing>
                          </w:r>
                        </w:p>
                        <w:p>
                          <w:pPr>
                            <w:rPr>
                              <w:sz w:val="14"/>
                              <w:szCs w:val="14"/>
                            </w:rPr>
                          </w:pPr>
                        </w:p>
                      </w:sdtContent>
                    </w:sdt>
                    <w:sdt>
                      <w:sdtPr>
                        <w:alias w:val="5.3.2 pp."/>
                        <w:tag w:val="part_3e3b491c84844e5aa783e053b5b63257"/>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3e3b491c84844e5aa783e053b5b63257"/>
                              <w:lock w:val="sdtLocked"/>
                              <w:richText/>
                            </w:sdtPr>
                            <w:sdtContent>
                              <w:r>
                                <w:rPr>
                                  <w:rFonts w:ascii="Arial" w:eastAsia="Calibri" w:hAnsi="Arial" w:cs="Arial"/>
                                  <w:b/>
                                  <w:color w:val="002060"/>
                                  <w:sz w:val="22"/>
                                  <w:szCs w:val="22"/>
                                </w:rPr>
                                <w:t>5.3.2</w:t>
                              </w:r>
                            </w:sdtContent>
                          </w:sdt>
                          <w:r>
                            <w:rPr>
                              <w:rFonts w:ascii="Arial" w:eastAsia="Calibri" w:hAnsi="Arial" w:cs="Arial"/>
                              <w:b/>
                              <w:color w:val="002060"/>
                              <w:sz w:val="22"/>
                              <w:szCs w:val="22"/>
                            </w:rPr>
                            <w:t>. pav. Prognozuojamas kuro suvartojimas – žemės ūkis, tne</w:t>
                          </w:r>
                        </w:p>
                        <w:p>
                          <w:pPr>
                            <w:rPr>
                              <w:sz w:val="10"/>
                              <w:szCs w:val="10"/>
                            </w:rPr>
                          </w:pPr>
                        </w:p>
                        <w:p>
                          <w:pPr>
                            <w:jc w:val="center"/>
                            <w:rPr>
                              <w:rFonts w:ascii="Arial" w:hAnsi="Arial" w:cs="Arial"/>
                              <w:b/>
                              <w:bCs/>
                              <w:i/>
                              <w:iCs/>
                              <w:sz w:val="18"/>
                              <w:szCs w:val="18"/>
                            </w:rPr>
                          </w:pPr>
                          <w:r>
                            <w:rPr>
                              <w:rFonts w:ascii="Arial" w:hAnsi="Arial" w:cs="Arial"/>
                              <w:i/>
                              <w:iCs/>
                              <w:sz w:val="18"/>
                              <w:szCs w:val="18"/>
                            </w:rPr>
                            <w:t>Šaltinis: sudaryta darbo autorių</w:t>
                          </w:r>
                        </w:p>
                        <w:p>
                          <w:pPr>
                            <w:rPr>
                              <w:sz w:val="10"/>
                              <w:szCs w:val="10"/>
                            </w:rPr>
                          </w:pPr>
                        </w:p>
                        <w:p>
                          <w:pPr>
                            <w:spacing w:line="259" w:lineRule="auto"/>
                            <w:ind w:firstLine="567"/>
                            <w:jc w:val="both"/>
                            <w:rPr>
                              <w:rFonts w:ascii="Arial" w:hAnsi="Arial" w:cs="Arial"/>
                              <w:sz w:val="22"/>
                            </w:rPr>
                          </w:pPr>
                          <w:r>
                            <w:rPr>
                              <w:rFonts w:ascii="Arial" w:hAnsi="Arial" w:cs="Arial"/>
                              <w:sz w:val="22"/>
                            </w:rPr>
                            <w:t>Prognozuojama, kad žemės ūkio sektoriuje kuro ir energijos vartojimas 2021–2030 m. padidės po 2,5 proc. kasmet. Energijos vartojimui žemės ūkyje daugiausia įtakos turi BVP rodiklio pasikeitimas, o gyventojų skaičius nėra lemiantis veiksnys. Bendras padidėjimas, lyginant 2020 m. ir 2030 m., bus 32,2 proc.</w:t>
                          </w:r>
                        </w:p>
                        <w:p>
                          <w:pPr>
                            <w:rPr>
                              <w:sz w:val="14"/>
                              <w:szCs w:val="14"/>
                            </w:rPr>
                          </w:pPr>
                        </w:p>
                        <w:p>
                          <w:pPr>
                            <w:spacing w:line="259" w:lineRule="auto"/>
                            <w:jc w:val="center"/>
                            <w:rPr>
                              <w:rFonts w:ascii="Arial" w:hAnsi="Arial" w:cs="Arial"/>
                              <w:sz w:val="22"/>
                            </w:rPr>
                          </w:pPr>
                          <w:r>
                            <w:rPr>
                              <w:rFonts w:ascii="Arial" w:hAnsi="Arial" w:cs="Arial"/>
                              <w:sz w:val="22"/>
                              <w:lang w:val="en-US"/>
                            </w:rPr>
                            <w:drawing>
                              <wp:inline distT="0" distB="0" distL="0" distR="0" wp14:anchorId="2C08CA78" wp14:editId="6D87835F">
                                <wp:extent cx="4581358" cy="2654969"/>
                                <wp:effectExtent l="0" t="0" r="10160" b="12065"/>
                                <wp:docPr id="11" name="Diagrama 11">
                                  <a:extLst xmlns:a="http://schemas.openxmlformats.org/drawingml/2006/main">
                                    <a:ext uri="{FF2B5EF4-FFF2-40B4-BE49-F238E27FC236}">
                                      <a16:creationId xmlns:a16="http://schemas.microsoft.com/office/drawing/2014/main" id="{7ADB0BA0-D5F6-42FA-9CD3-720372255DBD}"/>
                                    </a:ext>
                                  </a:extLst>
                                </wp:docPr>
                                <wp:cNvGraphicFramePr/>
                                <a:graphic xmlns:a="http://schemas.openxmlformats.org/drawingml/2006/main">
                                  <a:graphicData uri="http://schemas.openxmlformats.org/drawingml/2006/chart">
                                    <c:chart xmlns:c="http://schemas.openxmlformats.org/drawingml/2006/chart" r:id="rId29"/>
                                  </a:graphicData>
                                </a:graphic>
                              </wp:inline>
                            </w:drawing>
                          </w:r>
                        </w:p>
                        <w:p>
                          <w:pPr>
                            <w:rPr>
                              <w:sz w:val="14"/>
                              <w:szCs w:val="14"/>
                            </w:rPr>
                          </w:pPr>
                        </w:p>
                      </w:sdtContent>
                    </w:sdt>
                    <w:sdt>
                      <w:sdtPr>
                        <w:alias w:val="5.3.2 pp."/>
                        <w:tag w:val="part_12743ea7db034482a4df86b59f3891a7"/>
                        <w:lock w:val="sdtLocked"/>
                        <w:richText/>
                      </w:sdtPr>
                      <w:sdtContent>
                        <w:p>
                          <w:pPr>
                            <w:keepNext/>
                            <w:keepLines/>
                            <w:spacing w:line="259" w:lineRule="auto"/>
                            <w:jc w:val="center"/>
                            <w:outlineLvl w:val="3"/>
                            <w:rPr>
                              <w:rFonts w:ascii="Arial" w:hAnsi="Arial" w:cs="Arial"/>
                              <w:b/>
                              <w:iCs/>
                              <w:color w:val="219969"/>
                              <w:sz w:val="22"/>
                              <w:szCs w:val="22"/>
                            </w:rPr>
                          </w:pPr>
                          <w:sdt>
                            <w:sdtPr>
                              <w:alias w:val="Numeris"/>
                              <w:tag w:val="nr_12743ea7db034482a4df86b59f3891a7"/>
                              <w:lock w:val="sdtLocked"/>
                              <w:richText/>
                            </w:sdtPr>
                            <w:sdtContent>
                              <w:r>
                                <w:rPr>
                                  <w:rFonts w:ascii="Arial" w:hAnsi="Arial" w:cs="Arial"/>
                                  <w:b/>
                                  <w:iCs/>
                                  <w:color w:val="219969"/>
                                  <w:sz w:val="22"/>
                                  <w:szCs w:val="22"/>
                                </w:rPr>
                                <w:t>5.3.2</w:t>
                              </w:r>
                            </w:sdtContent>
                          </w:sdt>
                          <w:r>
                            <w:rPr>
                              <w:rFonts w:ascii="Arial" w:hAnsi="Arial" w:cs="Arial"/>
                              <w:b/>
                              <w:iCs/>
                              <w:color w:val="219969"/>
                              <w:sz w:val="22"/>
                              <w:szCs w:val="22"/>
                            </w:rPr>
                            <w:t>. pav. Prognozuojamas kuro suvartojimas – pramonė, tne</w:t>
                          </w:r>
                        </w:p>
                        <w:p>
                          <w:pPr>
                            <w:rPr>
                              <w:sz w:val="14"/>
                              <w:szCs w:val="14"/>
                            </w:rPr>
                          </w:pPr>
                        </w:p>
                        <w:p>
                          <w:pPr>
                            <w:jc w:val="center"/>
                            <w:rPr>
                              <w:rFonts w:ascii="Arial" w:hAnsi="Arial" w:cs="Arial"/>
                              <w:b/>
                              <w:bCs/>
                              <w:i/>
                              <w:iCs/>
                              <w:sz w:val="18"/>
                              <w:szCs w:val="18"/>
                            </w:rPr>
                          </w:pPr>
                          <w:r>
                            <w:rPr>
                              <w:rFonts w:ascii="Arial" w:hAnsi="Arial" w:cs="Arial"/>
                              <w:i/>
                              <w:iCs/>
                              <w:sz w:val="18"/>
                              <w:szCs w:val="18"/>
                            </w:rPr>
                            <w:t>Šaltinis: sudaryta darbo autorių</w:t>
                          </w:r>
                        </w:p>
                        <w:p>
                          <w:pPr>
                            <w:rPr>
                              <w:sz w:val="10"/>
                              <w:szCs w:val="10"/>
                            </w:rPr>
                          </w:pPr>
                        </w:p>
                        <w:p>
                          <w:pPr>
                            <w:spacing w:line="259" w:lineRule="auto"/>
                            <w:ind w:firstLine="567"/>
                            <w:jc w:val="both"/>
                            <w:rPr>
                              <w:rFonts w:ascii="Arial" w:eastAsia="SegoeUI" w:hAnsi="Arial" w:cs="Arial"/>
                              <w:sz w:val="22"/>
                            </w:rPr>
                          </w:pPr>
                          <w:r>
                            <w:rPr>
                              <w:rFonts w:ascii="Arial" w:hAnsi="Arial" w:cs="Arial"/>
                              <w:sz w:val="22"/>
                            </w:rPr>
                            <w:t xml:space="preserve">Prognozuojama, kad pramonės sektoriuje kuro ir energijos vartojimas padidės 2021 metais 2,3 proc. ir nuo 2022 metų po 1,7 proc. kasmet, dėl didėjančio BVP, kadangi energijos vartojimui pramonėje daugiausia įtakos turi BVP rodiklio pasikeitimas, o gyventojų skaičius nėra lemiantis veiksnys. Bendras padidėjimas, lyginant 2020 m. ir 2030 m., bus </w:t>
                          </w:r>
                          <w:r>
                            <w:rPr>
                              <w:rFonts w:ascii="Arial" w:eastAsia="SegoeUI" w:hAnsi="Arial" w:cs="Arial"/>
                              <w:sz w:val="22"/>
                            </w:rPr>
                            <w:t xml:space="preserve">28,8 proc. </w:t>
                          </w:r>
                        </w:p>
                        <w:p>
                          <w:pPr>
                            <w:rPr>
                              <w:sz w:val="14"/>
                              <w:szCs w:val="14"/>
                            </w:rPr>
                          </w:pPr>
                        </w:p>
                        <w:p>
                          <w:pPr>
                            <w:spacing w:line="259" w:lineRule="auto"/>
                            <w:jc w:val="center"/>
                            <w:rPr>
                              <w:rFonts w:ascii="Arial" w:eastAsia="SegoeUI" w:hAnsi="Arial" w:cs="Arial"/>
                              <w:sz w:val="22"/>
                            </w:rPr>
                          </w:pPr>
                          <w:r>
                            <w:rPr>
                              <w:rFonts w:ascii="Arial" w:hAnsi="Arial" w:cs="Arial"/>
                              <w:sz w:val="22"/>
                              <w:lang w:val="en-US"/>
                            </w:rPr>
                            <w:drawing>
                              <wp:inline distT="0" distB="0" distL="0" distR="0" wp14:anchorId="3A10AB5D" wp14:editId="584E07A6">
                                <wp:extent cx="4577080" cy="2734310"/>
                                <wp:effectExtent l="0" t="0" r="13970" b="8890"/>
                                <wp:docPr id="17" name="Diagrama 17">
                                  <a:extLst xmlns:a="http://schemas.openxmlformats.org/drawingml/2006/main">
                                    <a:ext uri="{FF2B5EF4-FFF2-40B4-BE49-F238E27FC236}">
                                      <a16:creationId xmlns:a16="http://schemas.microsoft.com/office/drawing/2014/main" id="{AD209B5E-4A70-45E4-8FF7-4894A80F9B72}"/>
                                    </a:ext>
                                  </a:extLst>
                                </wp:docPr>
                                <wp:cNvGraphicFramePr/>
                                <a:graphic xmlns:a="http://schemas.openxmlformats.org/drawingml/2006/main">
                                  <a:graphicData uri="http://schemas.openxmlformats.org/drawingml/2006/chart">
                                    <c:chart xmlns:c="http://schemas.openxmlformats.org/drawingml/2006/chart" r:id="rId30"/>
                                  </a:graphicData>
                                </a:graphic>
                              </wp:inline>
                            </w:drawing>
                          </w:r>
                        </w:p>
                        <w:p>
                          <w:pPr>
                            <w:rPr>
                              <w:sz w:val="14"/>
                              <w:szCs w:val="14"/>
                            </w:rPr>
                          </w:pPr>
                        </w:p>
                      </w:sdtContent>
                    </w:sdt>
                    <w:sdt>
                      <w:sdtPr>
                        <w:alias w:val="5.3.3 pp."/>
                        <w:tag w:val="part_141fa0bda5b2480f85f93017ffd4a35d"/>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141fa0bda5b2480f85f93017ffd4a35d"/>
                              <w:lock w:val="sdtLocked"/>
                              <w:richText/>
                            </w:sdtPr>
                            <w:sdtContent>
                              <w:r>
                                <w:rPr>
                                  <w:rFonts w:ascii="Arial" w:eastAsia="Calibri" w:hAnsi="Arial" w:cs="Arial"/>
                                  <w:b/>
                                  <w:color w:val="002060"/>
                                  <w:sz w:val="22"/>
                                  <w:szCs w:val="22"/>
                                </w:rPr>
                                <w:t>5.3.3</w:t>
                              </w:r>
                            </w:sdtContent>
                          </w:sdt>
                          <w:r>
                            <w:rPr>
                              <w:rFonts w:ascii="Arial" w:eastAsia="Calibri" w:hAnsi="Arial" w:cs="Arial"/>
                              <w:b/>
                              <w:color w:val="002060"/>
                              <w:sz w:val="22"/>
                              <w:szCs w:val="22"/>
                            </w:rPr>
                            <w:t>. pav. Prognozuojamas kuro suvartojimas – namų ūkiai, tne</w:t>
                          </w:r>
                        </w:p>
                        <w:p>
                          <w:pPr>
                            <w:rPr>
                              <w:sz w:val="10"/>
                              <w:szCs w:val="10"/>
                            </w:rPr>
                          </w:pPr>
                        </w:p>
                        <w:p>
                          <w:pPr>
                            <w:jc w:val="center"/>
                            <w:rPr>
                              <w:rFonts w:ascii="Arial" w:hAnsi="Arial" w:cs="Arial"/>
                              <w:b/>
                              <w:bCs/>
                              <w:i/>
                              <w:iCs/>
                              <w:sz w:val="18"/>
                              <w:szCs w:val="18"/>
                            </w:rPr>
                          </w:pPr>
                          <w:r>
                            <w:rPr>
                              <w:rFonts w:ascii="Arial" w:hAnsi="Arial" w:cs="Arial"/>
                              <w:i/>
                              <w:iCs/>
                              <w:sz w:val="18"/>
                              <w:szCs w:val="18"/>
                            </w:rPr>
                            <w:t>Šaltinis: sudaryta darbo autorių</w:t>
                          </w:r>
                        </w:p>
                        <w:p>
                          <w:pPr>
                            <w:rPr>
                              <w:sz w:val="10"/>
                              <w:szCs w:val="10"/>
                            </w:rPr>
                          </w:pPr>
                        </w:p>
                        <w:p>
                          <w:pPr>
                            <w:spacing w:line="259" w:lineRule="auto"/>
                            <w:ind w:firstLine="567"/>
                            <w:jc w:val="both"/>
                            <w:rPr>
                              <w:rFonts w:ascii="Arial" w:hAnsi="Arial" w:cs="Arial"/>
                              <w:sz w:val="22"/>
                              <w:szCs w:val="22"/>
                            </w:rPr>
                          </w:pPr>
                          <w:r>
                            <w:rPr>
                              <w:rFonts w:ascii="Arial" w:hAnsi="Arial" w:cs="Arial"/>
                              <w:sz w:val="22"/>
                            </w:rPr>
                            <w:t xml:space="preserve">Namų ūkių energijos vartojimui, skirtingai negu pramonei ar žemės ūkiui, labiausiai daro įtaką gyventojų pokytis savivaldybėje, o BVP įtaka yra žymiai mažesnė. Prognozuojama, kad 2021–2030 m. dėl gyventojų skaičiaus mažėjimo kuro suvartojimas mažės -0,4 proc. per metus, toks pats sumažėjimas bus fiksuojamas ir elektros energijos suvartojimo. Papildomai, energijos vartojimo mažėjimą lems daugiabučių renovacija 2022–2025 m. Dėl daugiabučių renovacijos 2022–2025 metais energijos išteklių poreikis mažės </w:t>
                          </w:r>
                          <w:r>
                            <w:rPr>
                              <w:rFonts w:ascii="Arial" w:hAnsi="Arial" w:cs="Arial"/>
                              <w:sz w:val="22"/>
                              <w:szCs w:val="22"/>
                            </w:rPr>
                            <w:t>po 106,3 tne kiekvienais metais ir Bendras sumažėjimas, lyginant 2020 m. ir 2030 m., bus -4,2 proc.</w:t>
                          </w:r>
                        </w:p>
                        <w:p>
                          <w:pPr>
                            <w:rPr>
                              <w:sz w:val="14"/>
                              <w:szCs w:val="14"/>
                            </w:rPr>
                          </w:pPr>
                        </w:p>
                        <w:p>
                          <w:pPr>
                            <w:spacing w:line="259" w:lineRule="auto"/>
                            <w:jc w:val="center"/>
                            <w:rPr>
                              <w:rFonts w:ascii="Arial" w:hAnsi="Arial" w:cs="Arial"/>
                              <w:sz w:val="22"/>
                              <w:szCs w:val="22"/>
                            </w:rPr>
                          </w:pPr>
                          <w:r>
                            <w:rPr>
                              <w:rFonts w:ascii="Arial" w:hAnsi="Arial" w:cs="Arial"/>
                              <w:sz w:val="22"/>
                              <w:lang w:val="en-US"/>
                            </w:rPr>
                            <w:drawing>
                              <wp:inline distT="0" distB="0" distL="0" distR="0" wp14:anchorId="0F4C53AB" wp14:editId="39231A79">
                                <wp:extent cx="4572000" cy="2743200"/>
                                <wp:effectExtent l="0" t="0" r="0" b="0"/>
                                <wp:docPr id="19" name="Diagrama 19">
                                  <a:extLst xmlns:a="http://schemas.openxmlformats.org/drawingml/2006/main">
                                    <a:ext uri="{FF2B5EF4-FFF2-40B4-BE49-F238E27FC236}">
                                      <a16:creationId xmlns:a16="http://schemas.microsoft.com/office/drawing/2014/main" id="{70445964-C1F6-4FCD-AE9D-3DCE09F07372}"/>
                                    </a:ext>
                                  </a:extLst>
                                </wp:docPr>
                                <wp:cNvGraphicFramePr/>
                                <a:graphic xmlns:a="http://schemas.openxmlformats.org/drawingml/2006/main">
                                  <a:graphicData uri="http://schemas.openxmlformats.org/drawingml/2006/chart">
                                    <c:chart xmlns:c="http://schemas.openxmlformats.org/drawingml/2006/chart" r:id="rId31"/>
                                  </a:graphicData>
                                </a:graphic>
                              </wp:inline>
                            </w:drawing>
                          </w:r>
                        </w:p>
                        <w:p>
                          <w:pPr>
                            <w:rPr>
                              <w:sz w:val="14"/>
                              <w:szCs w:val="14"/>
                            </w:rPr>
                          </w:pPr>
                        </w:p>
                      </w:sdtContent>
                    </w:sdt>
                    <w:sdt>
                      <w:sdtPr>
                        <w:alias w:val="5.3.4 pp."/>
                        <w:tag w:val="part_4e654de2d3444d1ea66e2c23fab5fe4d"/>
                        <w:lock w:val="sdtLocked"/>
                        <w:richText/>
                      </w:sdtPr>
                      <w:sdtContent>
                        <w:p>
                          <w:pPr>
                            <w:keepNext/>
                            <w:keepLines/>
                            <w:spacing w:line="259" w:lineRule="auto"/>
                            <w:jc w:val="center"/>
                            <w:outlineLvl w:val="3"/>
                            <w:rPr>
                              <w:rFonts w:ascii="Arial" w:hAnsi="Arial" w:cs="Arial"/>
                              <w:b/>
                              <w:iCs/>
                              <w:color w:val="219969"/>
                              <w:sz w:val="22"/>
                              <w:szCs w:val="22"/>
                            </w:rPr>
                          </w:pPr>
                          <w:sdt>
                            <w:sdtPr>
                              <w:alias w:val="Numeris"/>
                              <w:tag w:val="nr_4e654de2d3444d1ea66e2c23fab5fe4d"/>
                              <w:lock w:val="sdtLocked"/>
                              <w:richText/>
                            </w:sdtPr>
                            <w:sdtContent>
                              <w:r>
                                <w:rPr>
                                  <w:rFonts w:ascii="Arial" w:hAnsi="Arial" w:cs="Arial"/>
                                  <w:b/>
                                  <w:iCs/>
                                  <w:color w:val="219969"/>
                                  <w:sz w:val="22"/>
                                  <w:szCs w:val="22"/>
                                </w:rPr>
                                <w:t>5.3.4</w:t>
                              </w:r>
                            </w:sdtContent>
                          </w:sdt>
                          <w:r>
                            <w:rPr>
                              <w:rFonts w:ascii="Arial" w:hAnsi="Arial" w:cs="Arial"/>
                              <w:b/>
                              <w:iCs/>
                              <w:color w:val="219969"/>
                              <w:sz w:val="22"/>
                              <w:szCs w:val="22"/>
                            </w:rPr>
                            <w:t>. pav. Prognozuojamas kuro suvartojimas – paslaugų sektorius, tne</w:t>
                          </w:r>
                        </w:p>
                        <w:p>
                          <w:pPr>
                            <w:rPr>
                              <w:sz w:val="14"/>
                              <w:szCs w:val="14"/>
                            </w:rPr>
                          </w:pPr>
                        </w:p>
                        <w:p>
                          <w:pPr>
                            <w:jc w:val="center"/>
                            <w:rPr>
                              <w:rFonts w:ascii="Arial" w:hAnsi="Arial" w:cs="Arial"/>
                              <w:b/>
                              <w:bCs/>
                              <w:i/>
                              <w:iCs/>
                              <w:sz w:val="18"/>
                              <w:szCs w:val="18"/>
                            </w:rPr>
                          </w:pPr>
                          <w:r>
                            <w:rPr>
                              <w:rFonts w:ascii="Arial" w:hAnsi="Arial" w:cs="Arial"/>
                              <w:i/>
                              <w:iCs/>
                              <w:sz w:val="18"/>
                              <w:szCs w:val="18"/>
                            </w:rPr>
                            <w:t>Šaltinis: sudaryta darbo autorių</w:t>
                          </w:r>
                        </w:p>
                        <w:p>
                          <w:pPr>
                            <w:rPr>
                              <w:sz w:val="10"/>
                              <w:szCs w:val="10"/>
                            </w:rPr>
                          </w:pPr>
                        </w:p>
                        <w:p>
                          <w:pPr>
                            <w:spacing w:line="259" w:lineRule="auto"/>
                            <w:ind w:firstLine="567"/>
                            <w:jc w:val="both"/>
                            <w:rPr>
                              <w:rFonts w:ascii="Arial" w:hAnsi="Arial" w:cs="Arial"/>
                              <w:sz w:val="22"/>
                              <w:szCs w:val="22"/>
                            </w:rPr>
                          </w:pPr>
                          <w:r>
                            <w:rPr>
                              <w:rFonts w:ascii="Arial" w:hAnsi="Arial" w:cs="Arial"/>
                              <w:sz w:val="22"/>
                            </w:rPr>
                            <w:t>Numatoma, kad paslaugų sektoriuje netaikant jokių papildomų priemonių, energijos suvartojimas išliks labai panašus ir jos didėjimą tikėtinai lems BVP rodiklio augimas. Nors numatomu laikotarpiu gyventojų skaičius mažės, energijos suvartojimą didins BVP rodiklio augimas, pasėkoje ko energijos suvartojimas kasmet augs po 0,5 proc. Bendras padidėjimas 2021 – 2030 metais sieks 4,8 proc.</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 xml:space="preserve">Vertinant bendrai, nuo 2020 metų iki 2030 metų Joniškio rajono savivaldybėje energijos poreikis padidės 2,4 proc. </w:t>
                            <w:br w:type="page"/>
                          </w:r>
                        </w:p>
                        <w:p>
                          <w:pPr>
                            <w:rPr>
                              <w:sz w:val="14"/>
                              <w:szCs w:val="14"/>
                            </w:rPr>
                          </w:pPr>
                        </w:p>
                      </w:sdtContent>
                    </w:sdt>
                  </w:sdtContent>
                </w:sdt>
              </w:sdtContent>
            </w:sdt>
            <w:sdt>
              <w:sdtPr>
                <w:alias w:val="6 p."/>
                <w:tag w:val="part_096c2752cf6d44668f35e71361a25fc5"/>
                <w:lock w:val="sdtLocked"/>
                <w:richText/>
              </w:sdtPr>
              <w:sdtContent>
                <w:p>
                  <w:pPr>
                    <w:keepNext/>
                    <w:keepLines/>
                    <w:spacing w:line="259" w:lineRule="auto"/>
                    <w:jc w:val="center"/>
                    <w:rPr>
                      <w:rFonts w:ascii="Arial" w:hAnsi="Arial" w:cs="Arial"/>
                      <w:b/>
                      <w:caps/>
                      <w:color w:val="002060"/>
                      <w:sz w:val="28"/>
                      <w:szCs w:val="32"/>
                    </w:rPr>
                  </w:pPr>
                  <w:sdt>
                    <w:sdtPr>
                      <w:alias w:val="Numeris"/>
                      <w:tag w:val="nr_096c2752cf6d44668f35e71361a25fc5"/>
                      <w:lock w:val="sdtLocked"/>
                      <w:richText/>
                    </w:sdtPr>
                    <w:sdtContent>
                      <w:r>
                        <w:rPr>
                          <w:rFonts w:ascii="Arial" w:hAnsi="Arial" w:cs="Arial"/>
                          <w:b/>
                          <w:caps/>
                          <w:color w:val="002060"/>
                          <w:sz w:val="28"/>
                          <w:szCs w:val="32"/>
                        </w:rPr>
                        <w:t>6</w:t>
                      </w:r>
                    </w:sdtContent>
                  </w:sdt>
                  <w:r>
                    <w:rPr>
                      <w:rFonts w:ascii="Arial" w:hAnsi="Arial" w:cs="Arial"/>
                      <w:b/>
                      <w:caps/>
                      <w:color w:val="002060"/>
                      <w:sz w:val="28"/>
                      <w:szCs w:val="32"/>
                    </w:rPr>
                    <w:t>. Siektino AIE dalies galutiniame vartojime rodiklio nustatymas</w:t>
                  </w:r>
                </w:p>
                <w:p>
                  <w:pPr>
                    <w:rPr>
                      <w:sz w:val="14"/>
                      <w:szCs w:val="14"/>
                    </w:rPr>
                  </w:pPr>
                </w:p>
                <w:p>
                  <w:pPr>
                    <w:spacing w:line="259" w:lineRule="auto"/>
                    <w:ind w:firstLine="567"/>
                    <w:jc w:val="both"/>
                    <w:rPr>
                      <w:rFonts w:ascii="Arial" w:hAnsi="Arial" w:cs="Arial"/>
                      <w:sz w:val="22"/>
                    </w:rPr>
                  </w:pPr>
                  <w:r>
                    <w:rPr>
                      <w:rFonts w:ascii="Arial" w:hAnsi="Arial" w:cs="Arial"/>
                      <w:sz w:val="22"/>
                    </w:rPr>
                    <w:t>Energetikos srityje prioritetas teikiamas ekologiškiems sprendimams. Siekiant mažinti šilumos nuostolius, būtina organizuoti visuomeninių pastatų, daugiabučių namų renovacijas, ir centralizuotų katilinių pertvarkymą su tikslu pereiti prie mažiau taršios (ekologiškesnės) kuro rūšies. Aktualus atsinaujinančių energijos šaltinių panaudojimo galimybių studijos ir/ar specialiųjų planų parengimas. Taip pat akcentuojamas nusidėvėjusių elektros oro linijų keitimas į požeminius tinklus (teritorijų planavimo dokumentų ir techninių projektų pagalba).</w:t>
                  </w:r>
                </w:p>
                <w:p>
                  <w:pPr>
                    <w:rPr>
                      <w:sz w:val="14"/>
                      <w:szCs w:val="14"/>
                    </w:rPr>
                  </w:pPr>
                </w:p>
                <w:p>
                  <w:pPr>
                    <w:spacing w:line="259" w:lineRule="auto"/>
                    <w:ind w:firstLine="567"/>
                    <w:jc w:val="both"/>
                    <w:rPr>
                      <w:rFonts w:ascii="Arial" w:hAnsi="Arial" w:cs="Arial"/>
                      <w:sz w:val="22"/>
                    </w:rPr>
                  </w:pPr>
                  <w:r>
                    <w:rPr>
                      <w:rFonts w:ascii="Arial" w:hAnsi="Arial" w:cs="Arial"/>
                      <w:sz w:val="22"/>
                    </w:rPr>
                    <w:t>Atsižvelgiant į 8 skyriuje atliktą analizę, Joniškio rajono savivaldybei siūloma pasirinkti 3 koncepcinį scenarijų. Pagal šį scenarijų, remiantis ekspertų rekomendacijomis, pateikiami siektini rodikliai ir tarpinės jų reikšmės.</w:t>
                  </w:r>
                </w:p>
                <w:p>
                  <w:pPr>
                    <w:rPr>
                      <w:sz w:val="14"/>
                      <w:szCs w:val="14"/>
                    </w:rPr>
                  </w:pPr>
                </w:p>
                <w:p>
                  <w:pPr>
                    <w:widowControl w:val="0"/>
                    <w:spacing w:line="259" w:lineRule="auto"/>
                    <w:jc w:val="center"/>
                    <w:rPr>
                      <w:rFonts w:ascii="Arial" w:eastAsia="Calibri" w:hAnsi="Arial" w:cs="Arial"/>
                      <w:szCs w:val="23"/>
                    </w:rPr>
                  </w:pPr>
                  <w:r>
                    <w:rPr>
                      <w:rFonts w:ascii="Arial" w:eastAsia="Calibri" w:hAnsi="Arial" w:cs="Arial"/>
                      <w:szCs w:val="23"/>
                      <w:lang w:val="en-US"/>
                    </w:rPr>
                    <w:drawing>
                      <wp:inline distT="0" distB="0" distL="0" distR="0" wp14:anchorId="461038F7" wp14:editId="626B1115">
                        <wp:extent cx="6428105" cy="1315720"/>
                        <wp:effectExtent l="57150" t="0" r="48895" b="36830"/>
                        <wp:docPr id="29" name="Diagrama 29"/>
                        <wp:cNvGraphicFramePr/>
                        <a:graphic xmlns:a="http://schemas.openxmlformats.org/drawingml/2006/main">
                          <a:graphicData uri="http://schemas.openxmlformats.org/drawingml/2006/diagram">
                            <dgm:relIds xmlns:dgm="http://schemas.openxmlformats.org/drawingml/2006/diagram" r:dm="rId32" r:lo="rId33" r:qs="rId34" r:cs="rId35"/>
                          </a:graphicData>
                        </a:graphic>
                      </wp:inline>
                    </w:drawing>
                  </w:r>
                </w:p>
                <w:p>
                  <w:pPr>
                    <w:rPr>
                      <w:sz w:val="14"/>
                      <w:szCs w:val="14"/>
                    </w:rPr>
                  </w:pPr>
                </w:p>
                <w:sdt>
                  <w:sdtPr>
                    <w:alias w:val="6.1 pp."/>
                    <w:tag w:val="part_52ba61aa249946ddb63d36750bf2b6b9"/>
                    <w:lock w:val="sdtLocked"/>
                    <w:richText/>
                  </w:sdtPr>
                  <w:sdtContent>
                    <w:p>
                      <w:pPr>
                        <w:tabs>
                          <w:tab w:val="right" w:leader="dot" w:pos="10195"/>
                        </w:tabs>
                        <w:spacing w:line="259" w:lineRule="auto"/>
                        <w:jc w:val="center"/>
                        <w:rPr>
                          <w:rFonts w:ascii="Arial" w:eastAsia="Calibri" w:hAnsi="Arial" w:cs="Arial"/>
                          <w:b/>
                          <w:color w:val="002060"/>
                          <w:sz w:val="22"/>
                          <w:szCs w:val="22"/>
                        </w:rPr>
                      </w:pPr>
                      <w:sdt>
                        <w:sdtPr>
                          <w:alias w:val="Numeris"/>
                          <w:tag w:val="nr_52ba61aa249946ddb63d36750bf2b6b9"/>
                          <w:lock w:val="sdtLocked"/>
                          <w:richText/>
                        </w:sdtPr>
                        <w:sdtContent>
                          <w:r>
                            <w:rPr>
                              <w:rFonts w:ascii="Arial" w:eastAsia="Calibri" w:hAnsi="Arial" w:cs="Arial"/>
                              <w:b/>
                              <w:color w:val="002060"/>
                              <w:sz w:val="22"/>
                              <w:szCs w:val="22"/>
                            </w:rPr>
                            <w:t>6.1</w:t>
                          </w:r>
                        </w:sdtContent>
                      </w:sdt>
                      <w:r>
                        <w:rPr>
                          <w:rFonts w:ascii="Arial" w:eastAsia="Calibri" w:hAnsi="Arial" w:cs="Arial"/>
                          <w:b/>
                          <w:color w:val="002060"/>
                          <w:sz w:val="22"/>
                          <w:szCs w:val="22"/>
                        </w:rPr>
                        <w:t>. pav. AIE dalies bendrame kuro balanse planiniai rodikliai</w:t>
                      </w:r>
                    </w:p>
                    <w:p>
                      <w:pPr>
                        <w:rPr>
                          <w:sz w:val="10"/>
                          <w:szCs w:val="10"/>
                        </w:rPr>
                      </w:pPr>
                    </w:p>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Taikant papildomas skatinimo priemones namų ūkiams, kurie naudoja iškastinę energiją ir ant savivaldybės administracijos valdomų pastatų stogų įrengus saulės elektrines bei kolektorius realu pasiekti 73,2 proc. AIE dalį bendrame savivaldybės kuro balanse 2030 m.</w:t>
                      </w:r>
                    </w:p>
                    <w:p>
                      <w:pPr>
                        <w:rPr>
                          <w:sz w:val="14"/>
                          <w:szCs w:val="14"/>
                        </w:rPr>
                      </w:pPr>
                    </w:p>
                    <w:p>
                      <w:pPr>
                        <w:spacing w:line="259" w:lineRule="auto"/>
                        <w:rPr>
                          <w:rFonts w:ascii="Arial" w:hAnsi="Arial" w:cs="Arial"/>
                          <w:b/>
                          <w:caps/>
                          <w:color w:val="135587"/>
                          <w:szCs w:val="32"/>
                        </w:rPr>
                      </w:pPr>
                      <w:r>
                        <w:rPr>
                          <w:rFonts w:ascii="Arial" w:hAnsi="Arial" w:cs="Arial"/>
                          <w:sz w:val="22"/>
                          <w:szCs w:val="22"/>
                        </w:rPr>
                        <w:br w:type="page"/>
                      </w:r>
                    </w:p>
                    <w:p>
                      <w:pPr>
                        <w:rPr>
                          <w:sz w:val="14"/>
                          <w:szCs w:val="14"/>
                        </w:rPr>
                      </w:pPr>
                    </w:p>
                  </w:sdtContent>
                </w:sdt>
              </w:sdtContent>
            </w:sdt>
            <w:sdt>
              <w:sdtPr>
                <w:alias w:val="7 p."/>
                <w:tag w:val="part_bf07ce9a02f540afba69727f902890a8"/>
                <w:lock w:val="sdtLocked"/>
                <w:richText/>
              </w:sdtPr>
              <w:sdtContent>
                <w:p>
                  <w:pPr>
                    <w:keepNext/>
                    <w:keepLines/>
                    <w:spacing w:line="259" w:lineRule="auto"/>
                    <w:jc w:val="center"/>
                    <w:rPr>
                      <w:rFonts w:ascii="Arial" w:hAnsi="Arial" w:cs="Arial"/>
                      <w:b/>
                      <w:caps/>
                      <w:color w:val="002060"/>
                      <w:sz w:val="28"/>
                      <w:szCs w:val="32"/>
                    </w:rPr>
                  </w:pPr>
                  <w:sdt>
                    <w:sdtPr>
                      <w:alias w:val="Numeris"/>
                      <w:tag w:val="nr_bf07ce9a02f540afba69727f902890a8"/>
                      <w:lock w:val="sdtLocked"/>
                      <w:richText/>
                    </w:sdtPr>
                    <w:sdtContent>
                      <w:r>
                        <w:rPr>
                          <w:rFonts w:ascii="Arial" w:hAnsi="Arial" w:cs="Arial"/>
                          <w:b/>
                          <w:caps/>
                          <w:color w:val="002060"/>
                          <w:sz w:val="28"/>
                          <w:szCs w:val="32"/>
                        </w:rPr>
                        <w:t>7</w:t>
                      </w:r>
                    </w:sdtContent>
                  </w:sdt>
                  <w:r>
                    <w:rPr>
                      <w:rFonts w:ascii="Arial" w:hAnsi="Arial" w:cs="Arial"/>
                      <w:b/>
                      <w:caps/>
                      <w:color w:val="002060"/>
                      <w:sz w:val="28"/>
                      <w:szCs w:val="32"/>
                    </w:rPr>
                    <w:t>. AIE dalies galutiniame vartojime didinimo priemonės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Nacionalinis energetikos ir klimato kaitos veiksmų planas (NEKS iki 2030 m., AIE dalis bendrame galutiniame energijos suvartojime 2025 m. – 38 proc., 2030 m. – 45 proc.) numato pokyčius, susijusius su CŠT energijos efektyvumo didinimu. Pažymėtina, kad nebus investuojama į tradicinį centralizuoto šilumos tiekimo tinklų modernizavimą (vamzdžių keitimą) ir plėtrą, tačiau bus remiamos priemonės, susijusios su tinklo pritaikymu darbui žematemperatūriu režimu, priemonių diegimu efektyvumo didinimui, įvadinės pastatų šilumos apskaitos modernizavimu. Numatomos investicijos į centralizuoto vėsumos tiekimo tinklo plėtrą.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savivaldybės administracijai ir CŠT tiekėjams rekomenduojama rengti projektus integruotų centralizuoto šilumos ir vėsumos tiekimo bei trumpalaikių šilumos akumuliavimo sistemų kūrimui, išmaniųjų šilumos tinklų valdymo diegimui, šilumos, karšto vandens bei vėsumos duomenų nuotolinio nuskaitymo sistemų, įskaitant energijos apskaitos, vartojimo reguliavimo prietaisų ir sistemų diegimui. Taip pat siūloma neatsinaujinančius išteklius deginančių katilų keitimą į biokuro katilus arba katilus tinkančius deginti biokurą. Centralizuoto ir necentralizuoto šilumos tiekimo sektoriuje siūlomas saulės kolektorių įrengimas ant pastatų stogų. Joniškio rajono savivaldybės pavaldžių įstaigų ir įmonių (arba jų padaliniuose) pastatuose rekomenduotina keisti katilų kuro rūšį iš anglies į biokurą. Pažymėtina, kad kai kuriose katilinėse naudojamos mišrios kuro rūšys (biokuras ir anglis). Tokiose katilinėse daug paprasčiau pradėti naudoti vien biokurą. </w:t>
                  </w:r>
                </w:p>
                <w:p>
                  <w:pPr>
                    <w:rPr>
                      <w:sz w:val="14"/>
                      <w:szCs w:val="14"/>
                    </w:rPr>
                  </w:pPr>
                </w:p>
                <w:p>
                  <w:pPr>
                    <w:spacing w:line="259" w:lineRule="auto"/>
                    <w:ind w:firstLine="567"/>
                    <w:jc w:val="both"/>
                    <w:rPr>
                      <w:rFonts w:ascii="Arial" w:hAnsi="Arial" w:cs="Arial"/>
                      <w:i/>
                      <w:iCs/>
                      <w:sz w:val="22"/>
                    </w:rPr>
                  </w:pPr>
                  <w:r>
                    <w:rPr>
                      <w:rFonts w:ascii="Arial" w:hAnsi="Arial" w:cs="Arial"/>
                      <w:sz w:val="22"/>
                    </w:rPr>
                    <w:t>Joniškio rajono savivaldybėje centrinio šildymo paslaugas teikia įmonė UAB „Gren Joniškis“. Joniškio rajono savivaldybėje biokuro pagrindu patiekiama apie 83,3 proc. visos šilumos energijos. Bendrovės per paskutinius metus įgyvendino nemažai investicinių projektų, kurių pagrindinis tikslas – mažinti šilumos gamybos sąnaudas modernizuojant katilines ir šilumos perdavimo tinklus. Taip pat ir ateinančiam dešimtmečiui įstaigos yra nusimačiusi AIE naudojimo didinimo priemones CŠT sistemoje</w:t>
                  </w:r>
                  <w:r>
                    <w:rPr>
                      <w:rFonts w:ascii="Arial" w:hAnsi="Arial" w:cs="Arial"/>
                      <w:i/>
                      <w:iCs/>
                      <w:sz w:val="22"/>
                    </w:rPr>
                    <w:t>.</w:t>
                  </w:r>
                </w:p>
                <w:p>
                  <w:pPr>
                    <w:rPr>
                      <w:sz w:val="14"/>
                      <w:szCs w:val="14"/>
                    </w:rPr>
                  </w:pPr>
                </w:p>
                <w:p>
                  <w:pPr>
                    <w:spacing w:line="259" w:lineRule="auto"/>
                    <w:ind w:firstLine="567"/>
                    <w:jc w:val="both"/>
                    <w:rPr>
                      <w:rFonts w:ascii="Arial" w:hAnsi="Arial" w:cs="Arial"/>
                      <w:sz w:val="22"/>
                    </w:rPr>
                  </w:pPr>
                  <w:r>
                    <w:rPr>
                      <w:rFonts w:ascii="Arial" w:hAnsi="Arial" w:cs="Arial"/>
                      <w:sz w:val="22"/>
                    </w:rPr>
                    <w:t>Privačiame sektoriuje NEKS numato didinti energijos vartojimo efektyvumą namų ūkiuose, neprijungtuose prie centralizuoto šilumos tiekimo tinklų. Bus skatinamas katilų keitimas efektyvesnėmis AIE technologijomis (šilumos siurbliais, naujos kartos biokuro katilais, namų ūkių prijungimas prie CŠT). Individualiai šildomų namų ūkių iš atsinaujinančių energijos išteklių dalis 2030 m. sudarys 80 proc. visų namų ūkių.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Saulės energijos panaudojimas elektros energijos gamybai yra įtrauktas prie AIE dalies galutiniame vartojime didinimo priemonių. Saulės energijos potencialas numatytas </w:t>
                  </w:r>
                  <w:r>
                    <w:rPr>
                      <w:rFonts w:ascii="Arial" w:hAnsi="Arial" w:cs="Arial"/>
                      <w:i/>
                      <w:iCs/>
                      <w:sz w:val="22"/>
                    </w:rPr>
                    <w:t xml:space="preserve">4.7. skyriuje </w:t>
                  </w:r>
                  <w:r>
                    <w:rPr>
                      <w:rFonts w:ascii="Arial" w:hAnsi="Arial" w:cs="Arial"/>
                      <w:sz w:val="22"/>
                    </w:rPr>
                    <w:t>ir nustatyta, kad ant savivaldybei priklausančių pastatų stogų galima įrengti apie 5,6 MW galingumo fotomodulių elektrines, tačiau atsižvelgiant į tai, kad dalyje stogų bus montuojami saulės kolektoriai, o dalyje stogų dėl techninių savybių fotomodulių nebus galima įrengti, priimama, kad saulės elektrinių instaliuota galia sieks 2,8 MW (50 proc. stogų). 1 kW įrengimo kaina be paramos yra apie 1 300 Eur, tad bendra investicijų suma gali siekti apie 3 640 000,0 Eur.</w:t>
                  </w:r>
                </w:p>
                <w:p>
                  <w:pPr>
                    <w:rPr>
                      <w:sz w:val="14"/>
                      <w:szCs w:val="14"/>
                    </w:rPr>
                  </w:pPr>
                </w:p>
                <w:p>
                  <w:pPr>
                    <w:spacing w:line="259" w:lineRule="auto"/>
                    <w:ind w:firstLine="567"/>
                    <w:jc w:val="both"/>
                    <w:rPr>
                      <w:rFonts w:ascii="Arial" w:hAnsi="Arial" w:cs="Arial"/>
                      <w:sz w:val="22"/>
                    </w:rPr>
                  </w:pPr>
                  <w:r>
                    <w:rPr>
                      <w:rFonts w:ascii="Arial" w:hAnsi="Arial" w:cs="Arial"/>
                      <w:sz w:val="22"/>
                    </w:rPr>
                    <w:t>UAB „Joniškio butų ūkis“ yra paskirta daugiabučių atnaujinimo (modernizavimo) programos administratore. Įmonė numato, jog per metus pavyks atnaujinti po 2-3 daugiabučius. Taigi, per 2022-2025 metų laikotarpį atnaujinus 10 daugiabučių. Verta atkreipti dėmesį, jog atnaujinant daugiabučius yra siekiama pagerinti daugiabučių energetinę klasę, taip siekiant sumažinti sunaudojamą šiluminę energiją, tačiau vis dar nepanaudojamos kitos įmanomos technologijos, tokios kaip saulės kolektoriai ar fotovoltinės saulės elektrinės ant daugiabučių stogų, todėl ateityje siūloma daugiabučių administratoriui apsvarstyti ir šias priemones.</w:t>
                  </w:r>
                </w:p>
                <w:p>
                  <w:pPr>
                    <w:rPr>
                      <w:sz w:val="14"/>
                      <w:szCs w:val="14"/>
                    </w:rPr>
                  </w:pPr>
                </w:p>
                <w:sdt>
                  <w:sdtPr>
                    <w:alias w:val="4.7 pp."/>
                    <w:tag w:val="part_33150f072d2644bc9f3487715e6bffb4"/>
                    <w:lock w:val="sdtLocked"/>
                    <w:richText/>
                  </w:sdtPr>
                  <w:sdtContent>
                    <w:p>
                      <w:pPr>
                        <w:spacing w:line="259" w:lineRule="auto"/>
                        <w:ind w:firstLine="567"/>
                        <w:jc w:val="both"/>
                        <w:rPr>
                          <w:rFonts w:ascii="Arial" w:hAnsi="Arial" w:cs="Arial"/>
                          <w:sz w:val="22"/>
                        </w:rPr>
                      </w:pPr>
                      <w:sdt>
                        <w:sdtPr>
                          <w:alias w:val="Numeris"/>
                          <w:tag w:val="nr_33150f072d2644bc9f3487715e6bffb4"/>
                          <w:lock w:val="sdtLocked"/>
                          <w:richText/>
                        </w:sdtPr>
                        <w:sdtContent>
                          <w:r>
                            <w:rPr>
                              <w:rFonts w:ascii="Arial" w:hAnsi="Arial" w:cs="Arial"/>
                              <w:i/>
                              <w:iCs/>
                              <w:sz w:val="22"/>
                            </w:rPr>
                            <w:t>4.7</w:t>
                          </w:r>
                        </w:sdtContent>
                      </w:sdt>
                      <w:r>
                        <w:rPr>
                          <w:rFonts w:ascii="Arial" w:hAnsi="Arial" w:cs="Arial"/>
                          <w:i/>
                          <w:iCs/>
                          <w:sz w:val="22"/>
                        </w:rPr>
                        <w:t>. skyriuje</w:t>
                      </w:r>
                      <w:r>
                        <w:rPr>
                          <w:rFonts w:ascii="Arial" w:hAnsi="Arial" w:cs="Arial"/>
                          <w:sz w:val="22"/>
                        </w:rPr>
                        <w:t xml:space="preserve"> apskaičiuota, jog saulės kolektorius ant savivaldybės pastatų būtų galima įrengti apie 109 tūkts. m</w:t>
                      </w:r>
                      <w:r>
                        <w:rPr>
                          <w:rFonts w:ascii="Arial" w:hAnsi="Arial" w:cs="Arial"/>
                          <w:sz w:val="22"/>
                          <w:vertAlign w:val="superscript"/>
                        </w:rPr>
                        <w:t>2</w:t>
                      </w:r>
                      <w:r>
                        <w:rPr>
                          <w:rFonts w:ascii="Arial" w:hAnsi="Arial" w:cs="Arial"/>
                          <w:sz w:val="22"/>
                        </w:rPr>
                        <w:t xml:space="preserve">. Kolektoriai numatyti pastatuose, kurie nėra prijungti prie CŠT. Bendras savivaldybės valdomų pastatų skaičius – 202, pastatų stogų plotas – </w:t>
                      </w:r>
                      <w:r>
                        <w:rPr>
                          <w:rFonts w:ascii="Arial" w:hAnsi="Arial" w:cs="Arial"/>
                          <w:sz w:val="22"/>
                          <w:szCs w:val="22"/>
                        </w:rPr>
                        <w:t xml:space="preserve">111 913 </w:t>
                      </w:r>
                      <w:r>
                        <w:rPr>
                          <w:rFonts w:ascii="Arial" w:hAnsi="Arial" w:cs="Arial"/>
                          <w:sz w:val="22"/>
                        </w:rPr>
                        <w:t>m</w:t>
                      </w:r>
                      <w:r>
                        <w:rPr>
                          <w:rFonts w:ascii="Arial" w:hAnsi="Arial" w:cs="Arial"/>
                          <w:sz w:val="22"/>
                          <w:vertAlign w:val="superscript"/>
                        </w:rPr>
                        <w:t>2</w:t>
                      </w:r>
                      <w:r>
                        <w:rPr>
                          <w:rFonts w:ascii="Arial" w:hAnsi="Arial" w:cs="Arial"/>
                          <w:sz w:val="22"/>
                        </w:rPr>
                        <w:t>, 1 pastatui vidutiniškai tenka apie 554,0 m</w:t>
                      </w:r>
                      <w:r>
                        <w:rPr>
                          <w:rFonts w:ascii="Arial" w:hAnsi="Arial" w:cs="Arial"/>
                          <w:sz w:val="22"/>
                          <w:vertAlign w:val="superscript"/>
                        </w:rPr>
                        <w:t>2</w:t>
                      </w:r>
                      <w:r>
                        <w:rPr>
                          <w:rFonts w:ascii="Arial" w:hAnsi="Arial" w:cs="Arial"/>
                          <w:sz w:val="22"/>
                        </w:rPr>
                        <w:t xml:space="preserve"> stogo ploto. Neturint duomenų apie pastatų su plokščiu ar šlaitiniu stogu prijungimą prie CŠT, daroma prielaida, kad kolektoriai bus įrengiami ant 20 procentų pastatų (40 pastatų). Santykinis kolektorių plotas stogo ploto vienetui lygus 0,326, tad bendras įrengtas kolektorių plotas sudarys apie 7 224,2 m</w:t>
                      </w:r>
                      <w:r>
                        <w:rPr>
                          <w:rFonts w:ascii="Arial" w:hAnsi="Arial" w:cs="Arial"/>
                          <w:sz w:val="22"/>
                          <w:vertAlign w:val="superscript"/>
                        </w:rPr>
                        <w:t>2</w:t>
                      </w:r>
                      <w:r>
                        <w:rPr>
                          <w:rFonts w:ascii="Arial" w:hAnsi="Arial" w:cs="Arial"/>
                          <w:sz w:val="22"/>
                        </w:rPr>
                        <w:t>. Vieno kvadratinio metro saulės kolektorių įrengimo kaina siekia apie 150 Eur. Bendra investicijų suma saulės kolektoriams gali siekti apie 1 083 630,0 Eur.</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Privačiame sektoriuje per ateinančius penkis–dešimt metų bus ženklių pokyčių. 2021 m. sausio mėn. elektros energiją iš atsinaujinančių energijos išteklių gaminančių vartotojų skaičius Lietuvoje siekė 8 699. Gaminančių vartotojus skaičius išaugo beveik 2,5 karto, palyginus su praėjusių metų pradžia (2020 m. vasario mėn. – 3 565 gaminantys vartotojai), nuo 2019 m. pradžios – beveik 7,5 karto (2019 m. sausio mėn. – 1 168 gaminantys vartotojai). Augant gaminančių vartotojų skaičiui, didėja ir bendra įrengtoji elektrinių galia: 2021 m. sausio mėn. ji siekė 89,4 MW (atitinkamai 2020 m. vasarį – 31,9 MW, 2019 m. sausį – 9,9 MW). Šie pokyčiai neaplenks ir Joniškio rajono savivaldybėje esančių gyvenamųjų namų savininkų – prognozuojamas ženklus gaminančių vartotojų skaičiaus augimas. AB „ESO“ duomenimis, 2021 m. Joniškio rajono savivaldybėje elektros energiją gaminančių vartotojų įrenginių galia, tenkanti 1000-iui gyventojų, siekė 26,81 kW, ir tarp šešiasdešimties Lietuvos savivaldybių Joniškio rajono savivaldybė užėmė 54 vietą. Lyginant su 2020 metais, pokytis buvo +14,86 kW (2020 m. energiją gaminančių vartotojų įrenginių galia, tenkanti 1000-iui gyventojų siekė 11,95 kW). NEKS numato investuoti į AIE bendrijas, diegiančias mažos galios AIE elektrines. AIE bendrijos galės valdyti ir plėtoti atsinaujinančius išteklius energijos gamybai naudojančias elektrines – jose gaminti, vartoti, kaupti savo kaupimo įrenginiuose ir parduoti pasigamintą energiją. Šių bendrijų savininkais galės būti pavieniai žmonės kartu su smulkiomis ar vidutinėmis įmonėmis bei savivaldos organizacijomis, pavyzdžiui, savivaldybėmis ar seniūnijomis, tačiau fiziniai asmenys turės turėti bent 51 proc. balsų visuotiniame dalininkų susirinkime. </w:t>
                      </w:r>
                    </w:p>
                    <w:p>
                      <w:pPr>
                        <w:rPr>
                          <w:sz w:val="14"/>
                          <w:szCs w:val="14"/>
                        </w:rPr>
                      </w:pPr>
                    </w:p>
                    <w:p>
                      <w:pPr>
                        <w:spacing w:line="259" w:lineRule="auto"/>
                        <w:ind w:firstLine="567"/>
                        <w:jc w:val="both"/>
                        <w:rPr>
                          <w:rFonts w:ascii="Arial" w:hAnsi="Arial" w:cs="Arial"/>
                          <w:sz w:val="22"/>
                        </w:rPr>
                      </w:pPr>
                      <w:r>
                        <w:rPr>
                          <w:rFonts w:ascii="Arial" w:hAnsi="Arial" w:cs="Arial"/>
                          <w:sz w:val="22"/>
                        </w:rPr>
                        <w:t>Viena iš sričių, kurioje yra privaloma siekti pokyčių, siekiant prisidėti prie atsinaujinančių išteklių energetikos plėtros bei nacionalinių rodiklių – transportas. Vienas iš galimų būdų, siekiant sumažinti degalais varomų transporto priemonių skaičių mieste, yra elektra varomų transporto priemonių gausinimas. Pagal Lietuvos Respublikos alternatyviųjų degalų įstatymą</w:t>
                      </w:r>
                      <w:r>
                        <w:rPr>
                          <w:rFonts w:ascii="Arial" w:hAnsi="Arial" w:cs="Arial"/>
                          <w:sz w:val="22"/>
                          <w:vertAlign w:val="superscript"/>
                        </w:rPr>
                        <w:footnoteReference w:id="38"/>
                      </w:r>
                      <w:r>
                        <w:rPr>
                          <w:rFonts w:ascii="Arial" w:hAnsi="Arial" w:cs="Arial"/>
                          <w:sz w:val="22"/>
                        </w:rPr>
                        <w:t xml:space="preserve"> iki 2025 m. gruodžio 31 d. atliekamiems viešiesiems pirkimams keliami reikalavimai, palyginti su bendru perkančiosios organizacijos ar perkančiojo subjekto atliekamuose viešuosiuose pirkimuose įsigyjamu ir (ar) paslaugoms teikti naudojamu kelių transporto priemonių parku, išreiškiami procentinėmis dalimis:</w:t>
                      </w:r>
                    </w:p>
                    <w:p>
                      <w:pPr>
                        <w:rPr>
                          <w:sz w:val="14"/>
                          <w:szCs w:val="14"/>
                        </w:rPr>
                      </w:pPr>
                    </w:p>
                    <w:sdt>
                      <w:sdtPr>
                        <w:alias w:val="4.7 pp. 1 pp."/>
                        <w:tag w:val="part_b49713db50b04d919556bb5166e31252"/>
                        <w:lock w:val="sdtLocked"/>
                        <w:richText/>
                      </w:sdtPr>
                      <w:sdtContent>
                        <w:p>
                          <w:pPr>
                            <w:spacing w:line="259" w:lineRule="auto"/>
                            <w:ind w:left="426" w:hanging="426"/>
                            <w:jc w:val="both"/>
                            <w:rPr>
                              <w:rFonts w:ascii="Arial" w:hAnsi="Arial" w:cs="Arial"/>
                              <w:sz w:val="22"/>
                            </w:rPr>
                          </w:pPr>
                          <w:sdt>
                            <w:sdtPr>
                              <w:alias w:val="Numeris"/>
                              <w:tag w:val="nr_b49713db50b04d919556bb5166e31252"/>
                              <w:lock w:val="sdtLocked"/>
                              <w:richText/>
                            </w:sdtPr>
                            <w:sdtContent>
                              <w:r>
                                <w:rPr>
                                  <w:rFonts w:ascii="Arial" w:hAnsi="Arial" w:cs="Arial"/>
                                  <w:sz w:val="22"/>
                                </w:rPr>
                                <w:t>1</w:t>
                              </w:r>
                            </w:sdtContent>
                          </w:sdt>
                          <w:r>
                            <w:rPr>
                              <w:rFonts w:ascii="Arial" w:hAnsi="Arial" w:cs="Arial"/>
                              <w:sz w:val="22"/>
                            </w:rPr>
                            <w:t>)</w:t>
                            <w:tab/>
                            <w:t xml:space="preserve">netaršių M1, M2 arba N1 kategorijos transporto priemonių parkas, palyginti su bendru perkančiosios organizacijos ar perkančiojo subjekto atliekamuose viešuosiuose pirkimuose įsigyjamu ar paslaugoms teikti naudojamu tos pačios kategorijos kelių transporto priemonių skaičiumi, turi sudaryti ne mažiau kaip 60 procentų (nuo 2026 m. sausio 1 d. iki 2030 m. gruodžio 31 d. – 100 procentų); </w:t>
                          </w:r>
                        </w:p>
                        <w:p>
                          <w:pPr>
                            <w:rPr>
                              <w:sz w:val="14"/>
                              <w:szCs w:val="14"/>
                            </w:rPr>
                          </w:pPr>
                        </w:p>
                      </w:sdtContent>
                    </w:sdt>
                    <w:sdt>
                      <w:sdtPr>
                        <w:alias w:val="4.7 pp. 2 pp."/>
                        <w:tag w:val="part_4c4150f6fd2d492f8e7e1ceb66160183"/>
                        <w:lock w:val="sdtLocked"/>
                        <w:richText/>
                      </w:sdtPr>
                      <w:sdtContent>
                        <w:p>
                          <w:pPr>
                            <w:spacing w:line="259" w:lineRule="auto"/>
                            <w:ind w:left="426" w:hanging="426"/>
                            <w:jc w:val="both"/>
                            <w:rPr>
                              <w:rFonts w:ascii="Arial" w:hAnsi="Arial" w:cs="Arial"/>
                              <w:sz w:val="22"/>
                            </w:rPr>
                          </w:pPr>
                          <w:sdt>
                            <w:sdtPr>
                              <w:alias w:val="Numeris"/>
                              <w:tag w:val="nr_4c4150f6fd2d492f8e7e1ceb66160183"/>
                              <w:lock w:val="sdtLocked"/>
                              <w:richText/>
                            </w:sdtPr>
                            <w:sdtContent>
                              <w:r>
                                <w:rPr>
                                  <w:rFonts w:ascii="Arial" w:hAnsi="Arial" w:cs="Arial"/>
                                  <w:sz w:val="22"/>
                                </w:rPr>
                                <w:t>2</w:t>
                              </w:r>
                            </w:sdtContent>
                          </w:sdt>
                          <w:r>
                            <w:rPr>
                              <w:rFonts w:ascii="Arial" w:hAnsi="Arial" w:cs="Arial"/>
                              <w:sz w:val="22"/>
                            </w:rPr>
                            <w:t>)</w:t>
                            <w:tab/>
                            <w:t>netaršių N2 ir N3 kategorijų kelių transporto priemonių parkas, palyginti su bendru perkančiosios organizacijos ar perkančiojo subjekto atliekamuose viešuosiuose pirkimuose įsigyjamu ar paslaugoms teikti naudojamu tos pačios kategorijos kelių transporto priemonių skaičiumi, turi sudaryti ne mažiau kaip 8 procentus (nuo 2026 m. sausio 1 d. iki 2030 m. gruodžio 31 d. – 16 procentų);</w:t>
                          </w:r>
                        </w:p>
                        <w:p>
                          <w:pPr>
                            <w:rPr>
                              <w:sz w:val="14"/>
                              <w:szCs w:val="14"/>
                            </w:rPr>
                          </w:pPr>
                        </w:p>
                      </w:sdtContent>
                    </w:sdt>
                    <w:sdt>
                      <w:sdtPr>
                        <w:alias w:val="4.7 pp. 3 pp."/>
                        <w:tag w:val="part_0b1ce5f6434947b0b0160a75a0396b34"/>
                        <w:lock w:val="sdtLocked"/>
                        <w:richText/>
                      </w:sdtPr>
                      <w:sdtContent>
                        <w:p>
                          <w:pPr>
                            <w:spacing w:line="259" w:lineRule="auto"/>
                            <w:ind w:left="426" w:hanging="426"/>
                            <w:jc w:val="both"/>
                            <w:rPr>
                              <w:rFonts w:ascii="Arial" w:hAnsi="Arial" w:cs="Arial"/>
                              <w:sz w:val="22"/>
                            </w:rPr>
                          </w:pPr>
                          <w:sdt>
                            <w:sdtPr>
                              <w:alias w:val="Numeris"/>
                              <w:tag w:val="nr_0b1ce5f6434947b0b0160a75a0396b34"/>
                              <w:lock w:val="sdtLocked"/>
                              <w:richText/>
                            </w:sdtPr>
                            <w:sdtContent>
                              <w:r>
                                <w:rPr>
                                  <w:rFonts w:ascii="Arial" w:hAnsi="Arial" w:cs="Arial"/>
                                  <w:sz w:val="22"/>
                                </w:rPr>
                                <w:t>3</w:t>
                              </w:r>
                            </w:sdtContent>
                          </w:sdt>
                          <w:r>
                            <w:rPr>
                              <w:rFonts w:ascii="Arial" w:hAnsi="Arial" w:cs="Arial"/>
                              <w:sz w:val="22"/>
                            </w:rPr>
                            <w:t>)</w:t>
                            <w:tab/>
                            <w:t>netaršių M3 kategorijos kelių transporto priemonių parkas, palyginti su bendru perkančiosios organizacijos ar perkančiojo subjekto atliekamuose viešuosiuose pirkimuose įsigyjamu ar paslaugoms teikti naudojamu tos pačios kategorijos kelių transporto priemonių skaičiumi, turi sudaryti ne mažiau kaip 80 procentų (nuo 2026 m. sausio 1 d. iki 2030 m. gruodžio 31 d. – 100 procentų).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Transporto sektoriuje prisidedant prie Nacionalinėje energetinės nepriklausomybės strategijoje įtvirtintų tikslų iki 2030 metų siekiamybės, kad atsinaujinančių energijos išteklių dalis transporto sektoriuje sudarytų 15 procentų, reikalingos itin didelės investicijos. Šiai dienai, kai elektrinių transporto priemonių skaičius Joniškio rajono siekia tik 20 vnt., o bendras transporto priemonių skaičius siekia 15 951, norint pasiekti 15 proc. transporto priemonių parką varomų atsinaujinančiais ištekliais, tektų pakeisti virš 2,3 tūkst. transporto priemonių. Vertinant tik Joniškio rajono savivaldybės administracijos ir pavaldžių įstaigų/įmonių transporto priemones (neįskaitant krovininio transporto ir traktorių), atnaujinti tektų 8 transporto priemones iš 53. Tačiau, atsižvelgiant į Lietuvos Respublikos alternatyviųjų degalų įstatymą, kuriame nustatytos reikšmės dėl netaršių transporto priemonių dalies viešuosiuose pirkimuose ir, kad Joniškio rajono savivaldybės administracijos ir pavaldžių įstaigų/įmonių du trečdalius transporto priemonių sudaro M1 ir M2 kategorijų automobiliai bei per artimiausią dešimtmetį bus nudėvėta apie trečdalį jų arba 11 vnt., šios transporto priemonės bus keičiamos į elektromobilius. </w:t>
                          </w:r>
                        </w:p>
                        <w:p>
                          <w:pPr>
                            <w:rPr>
                              <w:sz w:val="14"/>
                              <w:szCs w:val="14"/>
                            </w:rPr>
                          </w:pPr>
                        </w:p>
                        <w:p>
                          <w:pPr>
                            <w:spacing w:line="259" w:lineRule="auto"/>
                            <w:ind w:firstLine="567"/>
                            <w:jc w:val="both"/>
                            <w:rPr>
                              <w:rFonts w:ascii="Arial" w:hAnsi="Arial" w:cs="Arial"/>
                              <w:sz w:val="22"/>
                            </w:rPr>
                          </w:pPr>
                          <w:r>
                            <w:rPr>
                              <w:rFonts w:ascii="Arial" w:hAnsi="Arial" w:cs="Arial"/>
                              <w:sz w:val="22"/>
                            </w:rPr>
                            <w:t>NEKS numato skatinti paramą įrengiant alternatyvių degalų užpildymo/įkrovimo infrastruktūrą, įsigyjant, pagaminant ir (ar) pritaikant transporto priemones, naudojančias alternatyvius degalus.</w:t>
                          </w:r>
                        </w:p>
                        <w:p>
                          <w:pPr>
                            <w:rPr>
                              <w:sz w:val="14"/>
                              <w:szCs w:val="14"/>
                            </w:rPr>
                          </w:pPr>
                        </w:p>
                        <w:p>
                          <w:pPr>
                            <w:spacing w:line="259" w:lineRule="auto"/>
                            <w:ind w:firstLine="567"/>
                            <w:jc w:val="both"/>
                            <w:rPr>
                              <w:rFonts w:ascii="Arial" w:hAnsi="Arial" w:cs="Arial"/>
                              <w:sz w:val="22"/>
                            </w:rPr>
                          </w:pPr>
                          <w:r>
                            <w:rPr>
                              <w:rFonts w:ascii="Arial" w:hAnsi="Arial" w:cs="Arial"/>
                              <w:sz w:val="22"/>
                            </w:rPr>
                            <w:t>Pagal „Viešosios elektromobilių įkrovimo infrastruktūros plėtros gaires“</w:t>
                          </w:r>
                          <w:r>
                            <w:rPr>
                              <w:rFonts w:ascii="Arial" w:hAnsi="Arial" w:cs="Arial"/>
                              <w:sz w:val="22"/>
                              <w:vertAlign w:val="superscript"/>
                            </w:rPr>
                            <w:footnoteReference w:id="39"/>
                          </w:r>
                          <w:r>
                            <w:rPr>
                              <w:rFonts w:ascii="Arial" w:hAnsi="Arial" w:cs="Arial"/>
                              <w:sz w:val="22"/>
                            </w:rPr>
                            <w:t xml:space="preserve"> savivaldybėms rekomenduojama: </w:t>
                          </w:r>
                        </w:p>
                        <w:p>
                          <w:pPr>
                            <w:rPr>
                              <w:sz w:val="14"/>
                              <w:szCs w:val="14"/>
                            </w:rPr>
                          </w:pPr>
                        </w:p>
                      </w:sdtContent>
                    </w:sdt>
                    <w:sdt>
                      <w:sdtPr>
                        <w:alias w:val="4.7 pp. 1 pp."/>
                        <w:tag w:val="part_aae4b4ba1ef4482b820587f0e5429cd7"/>
                        <w:lock w:val="sdtLocked"/>
                        <w:richText/>
                      </w:sdtPr>
                      <w:sdtContent>
                        <w:p>
                          <w:pPr>
                            <w:spacing w:line="259" w:lineRule="auto"/>
                            <w:ind w:left="426" w:hanging="426"/>
                            <w:jc w:val="both"/>
                            <w:rPr>
                              <w:rFonts w:ascii="Arial" w:hAnsi="Arial" w:cs="Arial"/>
                              <w:sz w:val="22"/>
                            </w:rPr>
                          </w:pPr>
                          <w:sdt>
                            <w:sdtPr>
                              <w:alias w:val="Numeris"/>
                              <w:tag w:val="nr_aae4b4ba1ef4482b820587f0e5429cd7"/>
                              <w:lock w:val="sdtLocked"/>
                              <w:richText/>
                            </w:sdtPr>
                            <w:sdtContent>
                              <w:r>
                                <w:rPr>
                                  <w:rFonts w:ascii="Arial" w:hAnsi="Arial" w:cs="Arial"/>
                                  <w:sz w:val="22"/>
                                </w:rPr>
                                <w:t>1</w:t>
                              </w:r>
                            </w:sdtContent>
                          </w:sdt>
                          <w:r>
                            <w:rPr>
                              <w:rFonts w:ascii="Arial" w:hAnsi="Arial" w:cs="Arial"/>
                              <w:sz w:val="22"/>
                            </w:rPr>
                            <w:t>)</w:t>
                            <w:tab/>
                            <w:t>įrengti viešąsias elektromobilių įkrovimo prieigas prie didžiausių traukos objektų (oro uostų, didelių prekybos centrų, mokymo įstaigų, kino teatrų, viešbučių, degalinių ir kt.);</w:t>
                          </w:r>
                        </w:p>
                        <w:p>
                          <w:pPr>
                            <w:rPr>
                              <w:sz w:val="14"/>
                              <w:szCs w:val="14"/>
                            </w:rPr>
                          </w:pPr>
                        </w:p>
                      </w:sdtContent>
                    </w:sdt>
                    <w:sdt>
                      <w:sdtPr>
                        <w:alias w:val="4.7 pp. 2 pp."/>
                        <w:tag w:val="part_11c506e19e714b03b9866da3f9f97b70"/>
                        <w:lock w:val="sdtLocked"/>
                        <w:richText/>
                      </w:sdtPr>
                      <w:sdtContent>
                        <w:p>
                          <w:pPr>
                            <w:spacing w:line="259" w:lineRule="auto"/>
                            <w:ind w:left="426" w:hanging="426"/>
                            <w:jc w:val="both"/>
                            <w:rPr>
                              <w:rFonts w:ascii="Arial" w:hAnsi="Arial" w:cs="Arial"/>
                              <w:sz w:val="22"/>
                            </w:rPr>
                          </w:pPr>
                          <w:sdt>
                            <w:sdtPr>
                              <w:alias w:val="Numeris"/>
                              <w:tag w:val="nr_11c506e19e714b03b9866da3f9f97b70"/>
                              <w:lock w:val="sdtLocked"/>
                              <w:richText/>
                            </w:sdtPr>
                            <w:sdtContent>
                              <w:r>
                                <w:rPr>
                                  <w:rFonts w:ascii="Arial" w:hAnsi="Arial" w:cs="Arial"/>
                                  <w:sz w:val="22"/>
                                </w:rPr>
                                <w:t>2</w:t>
                              </w:r>
                            </w:sdtContent>
                          </w:sdt>
                          <w:r>
                            <w:rPr>
                              <w:rFonts w:ascii="Arial" w:hAnsi="Arial" w:cs="Arial"/>
                              <w:sz w:val="22"/>
                            </w:rPr>
                            <w:t>)</w:t>
                            <w:tab/>
                            <w:t>centrinėje miesto dalyje automobilių stovėjimo aikštelėje, turinčioje ne mažiau kaip 10 stovėjimo vietų, rekomenduojama įrengti bent vieną viešąją elektromobilių įkrovimo prieigą;</w:t>
                          </w:r>
                        </w:p>
                        <w:p>
                          <w:pPr>
                            <w:rPr>
                              <w:sz w:val="14"/>
                              <w:szCs w:val="14"/>
                            </w:rPr>
                          </w:pPr>
                        </w:p>
                      </w:sdtContent>
                    </w:sdt>
                    <w:sdt>
                      <w:sdtPr>
                        <w:alias w:val="4.7 pp. 3 pp."/>
                        <w:tag w:val="part_23ed8a6def7740d0894a1f7fcb29d934"/>
                        <w:lock w:val="sdtLocked"/>
                        <w:richText/>
                      </w:sdtPr>
                      <w:sdtContent>
                        <w:p>
                          <w:pPr>
                            <w:spacing w:line="259" w:lineRule="auto"/>
                            <w:ind w:left="426" w:hanging="426"/>
                            <w:jc w:val="both"/>
                            <w:rPr>
                              <w:rFonts w:ascii="Arial" w:hAnsi="Arial" w:cs="Arial"/>
                              <w:sz w:val="22"/>
                            </w:rPr>
                          </w:pPr>
                          <w:sdt>
                            <w:sdtPr>
                              <w:alias w:val="Numeris"/>
                              <w:tag w:val="nr_23ed8a6def7740d0894a1f7fcb29d934"/>
                              <w:lock w:val="sdtLocked"/>
                              <w:richText/>
                            </w:sdtPr>
                            <w:sdtContent>
                              <w:r>
                                <w:rPr>
                                  <w:rFonts w:ascii="Arial" w:hAnsi="Arial" w:cs="Arial"/>
                                  <w:sz w:val="22"/>
                                </w:rPr>
                                <w:t>3</w:t>
                              </w:r>
                            </w:sdtContent>
                          </w:sdt>
                          <w:r>
                            <w:rPr>
                              <w:rFonts w:ascii="Arial" w:hAnsi="Arial" w:cs="Arial"/>
                              <w:sz w:val="22"/>
                            </w:rPr>
                            <w:t>)</w:t>
                            <w:tab/>
                            <w:t>rekomenduojama savivaldybėms, suderinus su Susisiekimo ministerija ir kitomis suinteresuotomis institucijomis, parengti vietinės reikšmės viešuosiuose keliuose planuojamų įrengti viešųjų elektromobilių įkrovimo prieigų planus;</w:t>
                          </w:r>
                        </w:p>
                        <w:p>
                          <w:pPr>
                            <w:rPr>
                              <w:sz w:val="14"/>
                              <w:szCs w:val="14"/>
                            </w:rPr>
                          </w:pPr>
                        </w:p>
                      </w:sdtContent>
                    </w:sdt>
                    <w:sdt>
                      <w:sdtPr>
                        <w:alias w:val="4.7 pp. 4 pp."/>
                        <w:tag w:val="part_688099047da44dc7af0cd74fc8a17ef5"/>
                        <w:lock w:val="sdtLocked"/>
                        <w:richText/>
                      </w:sdtPr>
                      <w:sdtContent>
                        <w:p>
                          <w:pPr>
                            <w:spacing w:line="259" w:lineRule="auto"/>
                            <w:ind w:left="426" w:hanging="426"/>
                            <w:jc w:val="both"/>
                            <w:rPr>
                              <w:rFonts w:ascii="Arial" w:hAnsi="Arial" w:cs="Arial"/>
                              <w:sz w:val="22"/>
                            </w:rPr>
                          </w:pPr>
                          <w:sdt>
                            <w:sdtPr>
                              <w:alias w:val="Numeris"/>
                              <w:tag w:val="nr_688099047da44dc7af0cd74fc8a17ef5"/>
                              <w:lock w:val="sdtLocked"/>
                              <w:richText/>
                            </w:sdtPr>
                            <w:sdtContent>
                              <w:r>
                                <w:rPr>
                                  <w:rFonts w:ascii="Arial" w:hAnsi="Arial" w:cs="Arial"/>
                                  <w:sz w:val="22"/>
                                </w:rPr>
                                <w:t>4</w:t>
                              </w:r>
                            </w:sdtContent>
                          </w:sdt>
                          <w:r>
                            <w:rPr>
                              <w:rFonts w:ascii="Arial" w:hAnsi="Arial" w:cs="Arial"/>
                              <w:sz w:val="22"/>
                            </w:rPr>
                            <w:t>)</w:t>
                            <w:tab/>
                            <w:t>savivaldybėms siūloma pagal galimybes taikyti įvairias elektromobilių ir jų infrastruktūros plėtros miestuose ir priemiesčių aglomeracijose, kuriose gyvena daugiau kaip 25 tūkst. gyventojų, skatinimo priemones (leidimas naudotis maršrutinio transporto juostomis, elektromobilių eismo riboto eismo zonose galimybė, vietinių rinkliavų lengvatos, žaliųjų pirkimų ir bandomųjų projektų skatinimas, lengvai randamos ir aiškios informacijos apie elektromobilių viešąsias įkrovimo prieigas pateikimas ir kt.).</w:t>
                          </w:r>
                        </w:p>
                        <w:p>
                          <w:pPr>
                            <w:rPr>
                              <w:sz w:val="14"/>
                              <w:szCs w:val="14"/>
                            </w:rPr>
                          </w:pPr>
                        </w:p>
                        <w:p>
                          <w:pPr>
                            <w:spacing w:line="259" w:lineRule="auto"/>
                            <w:ind w:firstLine="567"/>
                            <w:jc w:val="both"/>
                            <w:rPr>
                              <w:rFonts w:ascii="Arial" w:hAnsi="Arial" w:cs="Arial"/>
                              <w:sz w:val="22"/>
                            </w:rPr>
                          </w:pPr>
                          <w:r>
                            <w:rPr>
                              <w:rFonts w:ascii="Arial" w:hAnsi="Arial" w:cs="Arial"/>
                              <w:sz w:val="22"/>
                            </w:rPr>
                            <w:t>Iki 2030 m. Lietuvoje turi būti įrengta 60 tūkst. elektromobilių įkrovimo prieigų, iš kurių 6 tūkst. – viešosios arba pusiau viešosios elektromobilių įkrovimo prieigos. Šalia valstybinės reikšmės kelių iki 2025 m. pagal poreikį turėtų būti įrengta apie 200, iki 2030 m. apie 1 tūkst. viešųjų elektromobilių įkrovimo prieigų.</w:t>
                          </w:r>
                        </w:p>
                        <w:p>
                          <w:pPr>
                            <w:rPr>
                              <w:sz w:val="14"/>
                              <w:szCs w:val="14"/>
                            </w:rPr>
                          </w:pPr>
                        </w:p>
                        <w:p>
                          <w:pPr>
                            <w:spacing w:line="259" w:lineRule="auto"/>
                            <w:ind w:firstLine="567"/>
                            <w:jc w:val="both"/>
                            <w:rPr>
                              <w:rFonts w:ascii="Arial" w:hAnsi="Arial" w:cs="Arial"/>
                              <w:sz w:val="22"/>
                            </w:rPr>
                          </w:pPr>
                          <w:r>
                            <w:rPr>
                              <w:rFonts w:ascii="Arial" w:hAnsi="Arial" w:cs="Arial"/>
                              <w:sz w:val="22"/>
                            </w:rPr>
                            <w:t>Savivaldybės, suderinusios su Susisiekimo ministerija, iki 2022 m. parengia arba atnaujina savivaldybės teritorijoje esančiuose vietinės reikšmės keliuose iki 2030 metų numatomų įrengti viešųjų ir pusiau viešųjų elektromobilių įkrovimo prieigų planus, kurie turi būti atnaujinami ne rečiau kaip kas trejus metus ir skelbiami viešai. Joniškio rajono savivaldybė yra padariusi pažangą šioje srityje. Siekiant tolygios elektromobilių įkrovos vietų plėtros, pagal Savivaldybės elektromobilių įkrovimo stotelių plėtros planą yra numatoma iki 2030 metų įrengti 13 elektromobilių įkrovimo stotelių (nuo 70 iki 140 kW galios). Lokacijų pasirinkimai ir visa susijusi informacija yra detalizuojama Joniškio rajono savivaldybės elektromobilių įkrovimo stotelių plėtros plane, kuriuo remiantis iki 2030 metų bus kuriamas viešai prieinamas elektromobilių įkrovimo prieigų tinklas. Kurti elektromobilių įkrovimo prieigų infrastruktūrą paskatino tiek šalyje, tiek mieste kasmet didėjantis elektrinių automobilių skaičius. Joniškio rajono savivaldybė, kurdama minėtą infrastruktūrą, turi ne vieną tikslą: siekia prisidėti prie elektromobilių infrastruktūros plėtros Lietuvoje, paskatinti Joniškio rajono gyventojus įsigyti daugiau elektromobilių, sumažinti aplinkos taršą bei naftos produktų vartojimą transporto sektoriuje. Tačiau norint pasiekti didžiausią elektromobilių naudą aplinkai, bei padidinti AIE dalį, rekomenduojama įrengti, elektrinėms transporto priemonės įkrauti reikalingas stoteles, kuriose elektra būtų gaunama iš atsinaujinančių išteklių. Tokiu atveju siūlytinas sprendimas yra elektromobilių įkrovimo stotelių kompleksas, kurį energija aprūpina saulės elektrinė ir tik nepakankamas energijos kiekis būtų kompensuojamas iš bendro elektros tinklo.</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Siekiant paskatinti naudoti elektromobilius, įkrovimo stotelių tinklas turėtų būti panašus į esamą degalinių tinklą. Taip pat, svarbus aspektas yra įkrovimo stotelės pajėgumas, t.y. prie prekybos centrų, parduotuvių bei judrių vietų (tarpmiestiniai bei tarprajoniniai keliai) turi būti statomos greitojo įkrovimo stotelės, jog ilgas įkrovimo laikas nesukeltų vairuotojams nepatogumų. Prie gyvenamųjų namų gali būti įrenginėjamos ir paprastosios (lėto įkrovimo) stotelės, nes gyventojai šiose stotelėse galėtų palikti krauti elektromobilį per naktį. Remiantis ekspertų nuomonėmis, daugelyje Europos šalių yra siekiama, jog 10 elektromobilių tektų bent viena elektromobilių įkrovimo stotelė. Nagrinėjant elektromobilių įkrovimo stotelių vietas, verta remtis gerąja užsienio patirtimi. Jungtinėse Amerikos Valstijose iki 2030 m. numatoma įrengti 2,4 mln. įkrovimo stotelių (prognozuojama, jog 2030 m. elektromobilių skaičius Jungtinėse Amerikos Valstijose sieks apie 24 mln. vienetų), iš kurių didžioji dalis – 55 proc. bus įkurtos prie darboviečių. 35 proc. visų stotelių bus įrengiamos gyvenamuosiuose kvartaluose bei 10 proc. elektromobilių stotelių (greitųjų) bus įrenginėjamos keliuose. </w:t>
                          </w:r>
                        </w:p>
                        <w:p>
                          <w:pPr>
                            <w:rPr>
                              <w:sz w:val="14"/>
                              <w:szCs w:val="14"/>
                            </w:rPr>
                          </w:pPr>
                        </w:p>
                        <w:p>
                          <w:pPr>
                            <w:spacing w:line="259" w:lineRule="auto"/>
                            <w:ind w:firstLine="567"/>
                            <w:jc w:val="both"/>
                            <w:rPr>
                              <w:rFonts w:ascii="Arial" w:hAnsi="Arial" w:cs="Arial"/>
                              <w:sz w:val="22"/>
                            </w:rPr>
                          </w:pPr>
                          <w:r>
                            <w:rPr>
                              <w:rFonts w:ascii="Arial" w:hAnsi="Arial" w:cs="Arial"/>
                              <w:sz w:val="22"/>
                            </w:rPr>
                            <w:t>Taip pat, viena iš AIE dalies galutiniame suvartojime skatinimo priemonių turėtų būti gyventojų bei ūkio subjektų informavimas apie AIE plėtros galimybes. Šiuo metu Joniškio rajono savivaldybė neturi pasirengusi nuoseklaus energijos vartotojų informavimo apie AIE galimybes plano, todėl ateityje rekomenduojama tai padaryti. Į planą turėtų būti įtraukiamos tokios priemonės kaip vienkartiniai renginiai viešose erdvėse apie AIE įsirengimo galimybes, taip pat paskaitos apie AIE teikiamą naudą. Joniškio rajono savivaldybės administracijai rekomenduojama pasirengti rinkodaros planą, kaip AIE plėtrą skatinti internete, t.y. savo oficialiame internetiniame puslapyje bei socialiniuose tinkluose. Be šių priemonių Joniškio rajono savivaldybė rengs mokymus apie AIE administracijos darbuotojams, kadangi dažnu atveju gyventojai kreipiasi būtent į šiuos asmenis dėl AIE įrenginių įsirengimo.</w:t>
                          </w:r>
                        </w:p>
                        <w:p>
                          <w:pPr>
                            <w:rPr>
                              <w:sz w:val="14"/>
                              <w:szCs w:val="14"/>
                            </w:rPr>
                          </w:pPr>
                        </w:p>
                      </w:sdtContent>
                    </w:sdt>
                  </w:sdtContent>
                </w:sdt>
                <w:sdt>
                  <w:sdtPr>
                    <w:alias w:val="7.1 pp."/>
                    <w:tag w:val="part_d92a7edb870d4b52a4b499675db6a1aa"/>
                    <w:lock w:val="sdtLocked"/>
                    <w:richText/>
                  </w:sdtPr>
                  <w:sdtContent>
                    <w:p>
                      <w:pPr>
                        <w:spacing w:line="259" w:lineRule="auto"/>
                        <w:ind w:firstLine="567"/>
                        <w:jc w:val="both"/>
                        <w:rPr>
                          <w:rFonts w:ascii="Arial" w:hAnsi="Arial" w:cs="Arial"/>
                          <w:sz w:val="22"/>
                        </w:rPr>
                      </w:pPr>
                      <w:sdt>
                        <w:sdtPr>
                          <w:alias w:val="Numeris"/>
                          <w:tag w:val="nr_d92a7edb870d4b52a4b499675db6a1aa"/>
                          <w:lock w:val="sdtLocked"/>
                          <w:richText/>
                        </w:sdtPr>
                        <w:sdtContent>
                          <w:r>
                            <w:rPr>
                              <w:rFonts w:ascii="Arial" w:hAnsi="Arial" w:cs="Arial"/>
                              <w:sz w:val="22"/>
                            </w:rPr>
                            <w:t>7.1</w:t>
                          </w:r>
                        </w:sdtContent>
                      </w:sdt>
                      <w:r>
                        <w:rPr>
                          <w:rFonts w:ascii="Arial" w:hAnsi="Arial" w:cs="Arial"/>
                          <w:sz w:val="22"/>
                        </w:rPr>
                        <w:t>. lentelėje pateikiamos kitos priemonės, kurios, daro įtaką AIE dalies galutiniame vartojime planiniam rodikliui, ir priemonės, kurios neturi ženklios įtakos AIE daliai, tačiau prisideda prie AIE naudojimo skatinimo.</w:t>
                      </w:r>
                    </w:p>
                    <w:p>
                      <w:pPr>
                        <w:rPr>
                          <w:sz w:val="14"/>
                          <w:szCs w:val="14"/>
                        </w:rPr>
                      </w:pPr>
                    </w:p>
                    <w:p>
                      <w:pPr>
                        <w:spacing w:line="259" w:lineRule="auto"/>
                        <w:rPr>
                          <w:rFonts w:ascii="Arial" w:hAnsi="Arial" w:cs="Arial"/>
                          <w:sz w:val="22"/>
                        </w:rPr>
                      </w:pPr>
                      <w:r>
                        <w:rPr>
                          <w:rFonts w:ascii="Arial" w:hAnsi="Arial" w:cs="Arial"/>
                          <w:sz w:val="22"/>
                          <w:szCs w:val="22"/>
                        </w:rPr>
                        <w:br w:type="page"/>
                      </w:r>
                    </w:p>
                    <w:p>
                      <w:pPr>
                        <w:rPr>
                          <w:sz w:val="14"/>
                          <w:szCs w:val="14"/>
                        </w:rPr>
                      </w:pPr>
                    </w:p>
                    <w:p>
                      <w:pPr>
                        <w:spacing w:line="259" w:lineRule="auto"/>
                        <w:ind w:firstLine="567"/>
                        <w:jc w:val="both"/>
                        <w:rPr>
                          <w:rFonts w:ascii="Arial" w:hAnsi="Arial" w:cs="Arial"/>
                          <w:sz w:val="22"/>
                        </w:rPr>
                        <w:sectPr>
                          <w:headerReference w:type="even" r:id="rId37"/>
                          <w:headerReference w:type="default" r:id="rId38"/>
                          <w:footerReference w:type="even" r:id="rId39"/>
                          <w:footerReference w:type="default" r:id="rId40"/>
                          <w:headerReference w:type="first" r:id="rId41"/>
                          <w:footerReference w:type="first" r:id="rId42"/>
                          <w:pgSz w:w="11906" w:h="16838"/>
                          <w:pgMar w:top="993" w:right="567" w:bottom="1134" w:left="1134" w:header="283" w:footer="283" w:gutter="0"/>
                          <w:cols w:space="1296"/>
                          <w:titlePg/>
                          <w:docGrid w:linePitch="360"/>
                        </w:sectPr>
                      </w:pPr>
                    </w:p>
                    <w:p>
                      <w:pPr>
                        <w:rPr>
                          <w:sz w:val="14"/>
                          <w:szCs w:val="14"/>
                        </w:rPr>
                      </w:pPr>
                    </w:p>
                  </w:sdtContent>
                </w:sdt>
              </w:sdtContent>
            </w:sdt>
          </w:sdtContent>
        </w:sdt>
        <w:sdt>
          <w:sdtPr>
            <w:alias w:val="skirsnis"/>
            <w:tag w:val="part_13bf7fcb924d425fa97b0906107c216b"/>
            <w:lock w:val="sdtLocked"/>
            <w:richText/>
          </w:sdtPr>
          <w:sdtContent>
            <w:p>
              <w:pPr>
                <w:tabs>
                  <w:tab w:val="center" w:pos="4819"/>
                  <w:tab w:val="right" w:pos="9638"/>
                </w:tabs>
                <w:jc w:val="center"/>
                <w:rPr>
                  <w:rFonts w:ascii="Arial" w:hAnsi="Arial" w:cs="Arial"/>
                  <w:b/>
                  <w:bCs/>
                  <w:color w:val="002060"/>
                  <w:sz w:val="22"/>
                  <w:szCs w:val="22"/>
                </w:rPr>
              </w:pPr>
              <w:sdt>
                <w:sdtPr>
                  <w:alias w:val="Pavadinimas"/>
                  <w:tag w:val="title_13bf7fcb924d425fa97b0906107c216b"/>
                  <w:lock w:val="sdtLocked"/>
                  <w:richText/>
                </w:sdtPr>
                <w:sdtContent>
                  <w:r>
                    <w:rPr>
                      <w:rFonts w:ascii="Arial" w:hAnsi="Arial" w:cs="Arial"/>
                      <w:b/>
                      <w:bCs/>
                      <w:color w:val="002060"/>
                      <w:sz w:val="22"/>
                      <w:szCs w:val="22"/>
                    </w:rPr>
                    <w:t>Joniškio rajono savivaldybės atsinaujinančių išteklių energijos naudojimo plėtros veiksmų planas iki 2030 m.</w:t>
                  </w:r>
                </w:sdtContent>
              </w:sdt>
            </w:p>
            <w:p>
              <w:pPr>
                <w:rPr>
                  <w:sz w:val="10"/>
                  <w:szCs w:val="10"/>
                </w:rPr>
              </w:pPr>
            </w:p>
            <w:p>
              <w:pPr>
                <w:tabs>
                  <w:tab w:val="center" w:pos="4819"/>
                  <w:tab w:val="right" w:pos="9638"/>
                </w:tabs>
                <w:ind w:firstLine="567"/>
                <w:jc w:val="both"/>
                <w:rPr>
                  <w:sz w:val="22"/>
                  <w:szCs w:val="22"/>
                </w:rPr>
              </w:pPr>
            </w:p>
            <w:p>
              <w:pPr>
                <w:rPr>
                  <w:sz w:val="10"/>
                  <w:szCs w:val="10"/>
                </w:rPr>
              </w:pPr>
            </w:p>
            <w:sdt>
              <w:sdtPr>
                <w:alias w:val="7.1 pp."/>
                <w:tag w:val="part_2de5ac8c507047889a0fcf332224afe1"/>
                <w:lock w:val="sdtLocked"/>
                <w:richText/>
              </w:sdtPr>
              <w:sdtContent>
                <w:p>
                  <w:pPr>
                    <w:spacing w:line="259" w:lineRule="auto"/>
                    <w:jc w:val="center"/>
                    <w:rPr>
                      <w:rFonts w:ascii="Arial" w:eastAsia="Calibri" w:hAnsi="Arial" w:cs="Arial"/>
                      <w:b/>
                      <w:color w:val="002060"/>
                      <w:sz w:val="22"/>
                      <w:szCs w:val="32"/>
                    </w:rPr>
                  </w:pPr>
                  <w:sdt>
                    <w:sdtPr>
                      <w:alias w:val="Numeris"/>
                      <w:tag w:val="nr_2de5ac8c507047889a0fcf332224afe1"/>
                      <w:lock w:val="sdtLocked"/>
                      <w:richText/>
                    </w:sdtPr>
                    <w:sdtContent>
                      <w:r>
                        <w:rPr>
                          <w:rFonts w:ascii="Arial" w:eastAsia="Calibri" w:hAnsi="Arial" w:cs="Arial"/>
                          <w:b/>
                          <w:color w:val="002060"/>
                          <w:sz w:val="22"/>
                          <w:szCs w:val="32"/>
                        </w:rPr>
                        <w:t>7.1</w:t>
                      </w:r>
                    </w:sdtContent>
                  </w:sdt>
                  <w:r>
                    <w:rPr>
                      <w:rFonts w:ascii="Arial" w:eastAsia="Calibri" w:hAnsi="Arial" w:cs="Arial"/>
                      <w:b/>
                      <w:color w:val="002060"/>
                      <w:sz w:val="22"/>
                      <w:szCs w:val="32"/>
                    </w:rPr>
                    <w:t>. lentelė. AIE dalies galutiniame vartojime didinimo priemonės</w:t>
                  </w:r>
                </w:p>
                <w:p>
                  <w:pPr>
                    <w:rPr>
                      <w:sz w:val="10"/>
                      <w:szCs w:val="10"/>
                    </w:rPr>
                  </w:pPr>
                </w:p>
                <w:tbl>
                  <w:tblPr>
                    <w:tblW w:w="15594" w:type="dxa"/>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5671"/>
                    <w:gridCol w:w="2126"/>
                    <w:gridCol w:w="4962"/>
                    <w:gridCol w:w="1275"/>
                    <w:gridCol w:w="1560"/>
                  </w:tblGrid>
                  <w:tr>
                    <w:trPr>
                      <w:jc w:val="center"/>
                    </w:trPr>
                    <w:tc>
                      <w:tcPr>
                        <w:tcW w:w="5671" w:type="dxa"/>
                      </w:tcPr>
                      <w:p>
                        <w:pPr>
                          <w:spacing w:line="259" w:lineRule="auto"/>
                          <w:jc w:val="center"/>
                          <w:rPr>
                            <w:rFonts w:ascii="Arial" w:hAnsi="Arial" w:cs="Arial"/>
                            <w:sz w:val="20"/>
                            <w:szCs w:val="16"/>
                          </w:rPr>
                        </w:pPr>
                        <w:r>
                          <w:rPr>
                            <w:rFonts w:ascii="Arial" w:hAnsi="Arial" w:cs="Arial"/>
                            <w:sz w:val="20"/>
                            <w:szCs w:val="16"/>
                          </w:rPr>
                          <w:t>Priemonė</w:t>
                        </w:r>
                      </w:p>
                    </w:tc>
                    <w:tc>
                      <w:tcPr>
                        <w:tcW w:w="2126" w:type="dxa"/>
                      </w:tcPr>
                      <w:p>
                        <w:pPr>
                          <w:spacing w:line="259" w:lineRule="auto"/>
                          <w:jc w:val="center"/>
                          <w:rPr>
                            <w:rFonts w:ascii="Arial" w:hAnsi="Arial" w:cs="Arial"/>
                            <w:sz w:val="20"/>
                            <w:szCs w:val="16"/>
                          </w:rPr>
                        </w:pPr>
                        <w:r>
                          <w:rPr>
                            <w:rFonts w:ascii="Arial" w:hAnsi="Arial" w:cs="Arial"/>
                            <w:sz w:val="20"/>
                            <w:szCs w:val="16"/>
                          </w:rPr>
                          <w:t>Lėšų poreikis, Eur</w:t>
                        </w:r>
                        <w:r>
                          <w:rPr>
                            <w:rFonts w:ascii="Arial" w:hAnsi="Arial" w:cs="Arial"/>
                            <w:sz w:val="20"/>
                            <w:szCs w:val="16"/>
                            <w:vertAlign w:val="superscript"/>
                          </w:rPr>
                          <w:footnoteReference w:id="40"/>
                        </w:r>
                      </w:p>
                    </w:tc>
                    <w:tc>
                      <w:tcPr>
                        <w:tcW w:w="4962" w:type="dxa"/>
                      </w:tcPr>
                      <w:p>
                        <w:pPr>
                          <w:spacing w:line="259" w:lineRule="auto"/>
                          <w:jc w:val="center"/>
                          <w:rPr>
                            <w:rFonts w:ascii="Arial" w:hAnsi="Arial" w:cs="Arial"/>
                            <w:sz w:val="20"/>
                            <w:szCs w:val="16"/>
                          </w:rPr>
                        </w:pPr>
                        <w:r>
                          <w:rPr>
                            <w:rFonts w:ascii="Arial" w:hAnsi="Arial" w:cs="Arial"/>
                            <w:sz w:val="20"/>
                            <w:szCs w:val="16"/>
                          </w:rPr>
                          <w:t>Stebėsenos rodiklis</w:t>
                        </w:r>
                      </w:p>
                    </w:tc>
                    <w:tc>
                      <w:tcPr>
                        <w:tcW w:w="1275" w:type="dxa"/>
                      </w:tcPr>
                      <w:p>
                        <w:pPr>
                          <w:spacing w:line="259" w:lineRule="auto"/>
                          <w:jc w:val="center"/>
                          <w:rPr>
                            <w:rFonts w:ascii="Arial" w:hAnsi="Arial" w:cs="Arial"/>
                            <w:sz w:val="20"/>
                            <w:szCs w:val="16"/>
                          </w:rPr>
                        </w:pPr>
                        <w:r>
                          <w:rPr>
                            <w:rFonts w:ascii="Arial" w:hAnsi="Arial" w:cs="Arial"/>
                            <w:sz w:val="20"/>
                            <w:szCs w:val="16"/>
                          </w:rPr>
                          <w:t>Pasiekimo laikas</w:t>
                        </w:r>
                      </w:p>
                    </w:tc>
                    <w:tc>
                      <w:tcPr>
                        <w:tcW w:w="1560" w:type="dxa"/>
                      </w:tcPr>
                      <w:p>
                        <w:pPr>
                          <w:spacing w:line="259" w:lineRule="auto"/>
                          <w:jc w:val="center"/>
                          <w:rPr>
                            <w:rFonts w:ascii="Arial" w:hAnsi="Arial" w:cs="Arial"/>
                            <w:sz w:val="20"/>
                            <w:szCs w:val="16"/>
                          </w:rPr>
                        </w:pPr>
                        <w:r>
                          <w:rPr>
                            <w:rFonts w:ascii="Arial" w:hAnsi="Arial" w:cs="Arial"/>
                            <w:sz w:val="20"/>
                            <w:szCs w:val="16"/>
                          </w:rPr>
                          <w:t>Atsakinga institucija</w:t>
                        </w:r>
                      </w:p>
                    </w:tc>
                  </w:tr>
                  <w:tr>
                    <w:trPr>
                      <w:trHeight w:val="20"/>
                      <w:jc w:val="center"/>
                    </w:trPr>
                    <w:tc>
                      <w:tcPr>
                        <w:tcW w:w="15594" w:type="dxa"/>
                        <w:gridSpan w:val="5"/>
                      </w:tcPr>
                      <w:p>
                        <w:pPr>
                          <w:spacing w:line="259" w:lineRule="auto"/>
                          <w:jc w:val="center"/>
                          <w:rPr>
                            <w:rFonts w:ascii="Arial" w:hAnsi="Arial" w:cs="Arial"/>
                            <w:b/>
                            <w:bCs/>
                            <w:sz w:val="20"/>
                          </w:rPr>
                        </w:pPr>
                        <w:r>
                          <w:rPr>
                            <w:rFonts w:ascii="Arial" w:hAnsi="Arial" w:cs="Arial"/>
                            <w:b/>
                            <w:bCs/>
                            <w:sz w:val="20"/>
                          </w:rPr>
                          <w:t>Priemonės, kurių poveikis tiesiogiai priskaičiuotas prie planinio rodiklio įgyvendinimo</w:t>
                        </w:r>
                      </w:p>
                    </w:tc>
                  </w:tr>
                  <w:tr>
                    <w:trPr>
                      <w:trHeight w:val="20"/>
                      <w:jc w:val="center"/>
                    </w:trPr>
                    <w:tc>
                      <w:tcPr>
                        <w:tcW w:w="5671" w:type="dxa"/>
                      </w:tcPr>
                      <w:p>
                        <w:pPr>
                          <w:spacing w:line="259" w:lineRule="auto"/>
                          <w:rPr>
                            <w:rFonts w:ascii="Arial" w:hAnsi="Arial" w:cs="Arial"/>
                            <w:sz w:val="20"/>
                          </w:rPr>
                        </w:pPr>
                        <w:r>
                          <w:rPr>
                            <w:rFonts w:ascii="Arial" w:hAnsi="Arial" w:cs="Arial"/>
                            <w:sz w:val="20"/>
                          </w:rPr>
                          <w:t>Fotomodulių įrengimas ant pastatų stogų (2,8 MW)</w:t>
                        </w:r>
                      </w:p>
                    </w:tc>
                    <w:tc>
                      <w:tcPr>
                        <w:tcW w:w="2126" w:type="dxa"/>
                      </w:tcPr>
                      <w:p>
                        <w:pPr>
                          <w:spacing w:line="259" w:lineRule="auto"/>
                          <w:jc w:val="center"/>
                          <w:rPr>
                            <w:rFonts w:ascii="Arial" w:hAnsi="Arial" w:cs="Arial"/>
                            <w:sz w:val="20"/>
                            <w:highlight w:val="yellow"/>
                          </w:rPr>
                        </w:pPr>
                        <w:r>
                          <w:rPr>
                            <w:rFonts w:ascii="Arial" w:hAnsi="Arial" w:cs="Arial"/>
                            <w:sz w:val="20"/>
                          </w:rPr>
                          <w:t>3 640 000,0</w:t>
                        </w:r>
                      </w:p>
                    </w:tc>
                    <w:tc>
                      <w:tcPr>
                        <w:tcW w:w="4962" w:type="dxa"/>
                      </w:tcPr>
                      <w:p>
                        <w:pPr>
                          <w:spacing w:line="259" w:lineRule="auto"/>
                          <w:jc w:val="center"/>
                          <w:rPr>
                            <w:rFonts w:ascii="Arial" w:hAnsi="Arial" w:cs="Arial"/>
                            <w:sz w:val="20"/>
                          </w:rPr>
                        </w:pPr>
                        <w:r>
                          <w:rPr>
                            <w:rFonts w:ascii="Arial" w:hAnsi="Arial" w:cs="Arial"/>
                            <w:sz w:val="20"/>
                          </w:rPr>
                          <w:t>Numatoma AIE gamyba kWh/metus</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Saulės kolektorių įrengimas ant pastatų stogų (7</w:t>
                        </w:r>
                        <w:r>
                          <w:rPr>
                            <w:rFonts w:ascii="Arial" w:hAnsi="Arial" w:cs="Arial"/>
                            <w:sz w:val="20"/>
                            <w:szCs w:val="22"/>
                          </w:rPr>
                          <w:t>,2</w:t>
                        </w:r>
                        <w:r>
                          <w:rPr>
                            <w:rFonts w:ascii="Arial" w:hAnsi="Arial" w:cs="Arial"/>
                            <w:sz w:val="20"/>
                          </w:rPr>
                          <w:t xml:space="preserve"> tūkst. m</w:t>
                        </w:r>
                        <w:r>
                          <w:rPr>
                            <w:rFonts w:ascii="Arial" w:hAnsi="Arial" w:cs="Arial"/>
                            <w:sz w:val="20"/>
                            <w:vertAlign w:val="superscript"/>
                          </w:rPr>
                          <w:t>2</w:t>
                        </w:r>
                        <w:r>
                          <w:rPr>
                            <w:rFonts w:ascii="Arial" w:hAnsi="Arial" w:cs="Arial"/>
                            <w:sz w:val="20"/>
                          </w:rPr>
                          <w:t>)</w:t>
                        </w:r>
                      </w:p>
                    </w:tc>
                    <w:tc>
                      <w:tcPr>
                        <w:tcW w:w="2126" w:type="dxa"/>
                      </w:tcPr>
                      <w:p>
                        <w:pPr>
                          <w:spacing w:line="259" w:lineRule="auto"/>
                          <w:jc w:val="center"/>
                          <w:rPr>
                            <w:rFonts w:ascii="Arial" w:hAnsi="Arial" w:cs="Arial"/>
                            <w:sz w:val="20"/>
                            <w:highlight w:val="yellow"/>
                          </w:rPr>
                        </w:pPr>
                        <w:r>
                          <w:rPr>
                            <w:rFonts w:ascii="Arial" w:hAnsi="Arial" w:cs="Arial"/>
                            <w:sz w:val="20"/>
                          </w:rPr>
                          <w:t>1 083 630,0</w:t>
                        </w:r>
                      </w:p>
                    </w:tc>
                    <w:tc>
                      <w:tcPr>
                        <w:tcW w:w="4962" w:type="dxa"/>
                      </w:tcPr>
                      <w:p>
                        <w:pPr>
                          <w:spacing w:line="259" w:lineRule="auto"/>
                          <w:jc w:val="center"/>
                          <w:rPr>
                            <w:rFonts w:ascii="Arial" w:hAnsi="Arial" w:cs="Arial"/>
                            <w:sz w:val="20"/>
                          </w:rPr>
                        </w:pPr>
                        <w:r>
                          <w:rPr>
                            <w:rFonts w:ascii="Arial" w:hAnsi="Arial" w:cs="Arial"/>
                            <w:sz w:val="20"/>
                          </w:rPr>
                          <w:t>Numatoma AIE gamyba kWh/metus</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491"/>
                      <w:jc w:val="center"/>
                    </w:trPr>
                    <w:tc>
                      <w:tcPr>
                        <w:tcW w:w="5671" w:type="dxa"/>
                      </w:tcPr>
                      <w:p>
                        <w:pPr>
                          <w:spacing w:line="259" w:lineRule="auto"/>
                          <w:jc w:val="both"/>
                          <w:rPr>
                            <w:rFonts w:ascii="Arial" w:hAnsi="Arial" w:cs="Arial"/>
                            <w:sz w:val="20"/>
                          </w:rPr>
                        </w:pPr>
                        <w:r>
                          <w:rPr>
                            <w:rFonts w:ascii="Arial" w:hAnsi="Arial" w:cs="Arial"/>
                            <w:sz w:val="20"/>
                          </w:rPr>
                          <w:t>Įrengiama saulės elektrinės ant savivaldybės įstaigų stogų</w:t>
                        </w:r>
                      </w:p>
                    </w:tc>
                    <w:tc>
                      <w:tcPr>
                        <w:tcW w:w="2126" w:type="dxa"/>
                      </w:tcPr>
                      <w:p>
                        <w:pPr>
                          <w:spacing w:line="259" w:lineRule="auto"/>
                          <w:jc w:val="center"/>
                          <w:rPr>
                            <w:rFonts w:ascii="Arial" w:hAnsi="Arial" w:cs="Arial"/>
                            <w:sz w:val="20"/>
                          </w:rPr>
                        </w:pPr>
                        <w:r>
                          <w:rPr>
                            <w:rFonts w:ascii="Arial" w:hAnsi="Arial" w:cs="Arial"/>
                            <w:sz w:val="20"/>
                          </w:rPr>
                          <w:t>Projektas įgyvendinamas</w:t>
                        </w:r>
                      </w:p>
                    </w:tc>
                    <w:tc>
                      <w:tcPr>
                        <w:tcW w:w="4962" w:type="dxa"/>
                      </w:tcPr>
                      <w:p>
                        <w:pPr>
                          <w:spacing w:line="259" w:lineRule="auto"/>
                          <w:ind w:firstLine="567"/>
                          <w:jc w:val="center"/>
                          <w:rPr>
                            <w:rFonts w:ascii="Arial" w:hAnsi="Arial" w:cs="Arial"/>
                            <w:sz w:val="20"/>
                          </w:rPr>
                        </w:pPr>
                        <w:r>
                          <w:rPr>
                            <w:rFonts w:ascii="Arial" w:hAnsi="Arial" w:cs="Arial"/>
                            <w:sz w:val="20"/>
                          </w:rPr>
                          <w:t xml:space="preserve">Numatoma AIE gamyba kWh/metus </w:t>
                        </w:r>
                      </w:p>
                    </w:tc>
                    <w:tc>
                      <w:tcPr>
                        <w:tcW w:w="1275" w:type="dxa"/>
                      </w:tcPr>
                      <w:p>
                        <w:pPr>
                          <w:spacing w:line="259" w:lineRule="auto"/>
                          <w:jc w:val="center"/>
                          <w:rPr>
                            <w:rFonts w:ascii="Arial" w:hAnsi="Arial" w:cs="Arial"/>
                            <w:sz w:val="20"/>
                          </w:rPr>
                        </w:pPr>
                        <w:r>
                          <w:rPr>
                            <w:rFonts w:ascii="Arial" w:hAnsi="Arial" w:cs="Arial"/>
                            <w:sz w:val="20"/>
                          </w:rPr>
                          <w:t>2020-2022</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Modernizuojami 10 daugiabučių</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Sutaupomas šiluminės energijos kiekis (106,3 tne)</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Namų ūkiai</w:t>
                        </w:r>
                      </w:p>
                    </w:tc>
                  </w:tr>
                  <w:tr>
                    <w:trPr>
                      <w:trHeight w:val="20"/>
                      <w:jc w:val="center"/>
                    </w:trPr>
                    <w:tc>
                      <w:tcPr>
                        <w:tcW w:w="15594" w:type="dxa"/>
                        <w:gridSpan w:val="5"/>
                      </w:tcPr>
                      <w:p>
                        <w:pPr>
                          <w:spacing w:line="259" w:lineRule="auto"/>
                          <w:jc w:val="center"/>
                          <w:rPr>
                            <w:rFonts w:ascii="Arial" w:hAnsi="Arial" w:cs="Arial"/>
                            <w:b/>
                            <w:bCs/>
                            <w:sz w:val="20"/>
                          </w:rPr>
                        </w:pPr>
                        <w:r>
                          <w:rPr>
                            <w:rFonts w:ascii="Arial" w:hAnsi="Arial" w:cs="Arial"/>
                            <w:b/>
                            <w:bCs/>
                            <w:sz w:val="20"/>
                          </w:rPr>
                          <w:t>Priemonės, kurių poveikis planiniam rodikliui nevertintas</w:t>
                        </w:r>
                      </w:p>
                    </w:tc>
                  </w:tr>
                  <w:tr>
                    <w:trPr>
                      <w:trHeight w:val="20"/>
                      <w:jc w:val="center"/>
                    </w:trPr>
                    <w:tc>
                      <w:tcPr>
                        <w:tcW w:w="5671" w:type="dxa"/>
                      </w:tcPr>
                      <w:p>
                        <w:pPr>
                          <w:spacing w:line="259" w:lineRule="auto"/>
                          <w:rPr>
                            <w:rFonts w:ascii="Arial" w:hAnsi="Arial" w:cs="Arial"/>
                            <w:sz w:val="20"/>
                          </w:rPr>
                        </w:pPr>
                        <w:r>
                          <w:rPr>
                            <w:rFonts w:ascii="Arial" w:hAnsi="Arial" w:cs="Arial"/>
                            <w:color w:val="000000"/>
                            <w:sz w:val="20"/>
                          </w:rPr>
                          <w:t>Parengti CŠT modernizavimo galimybių nustatymo studiją (tyrimą)</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Parengta studija</w:t>
                        </w:r>
                      </w:p>
                    </w:tc>
                    <w:tc>
                      <w:tcPr>
                        <w:tcW w:w="1275" w:type="dxa"/>
                      </w:tcPr>
                      <w:p>
                        <w:pPr>
                          <w:spacing w:line="259" w:lineRule="auto"/>
                          <w:jc w:val="center"/>
                          <w:rPr>
                            <w:rFonts w:ascii="Arial" w:hAnsi="Arial" w:cs="Arial"/>
                            <w:sz w:val="20"/>
                          </w:rPr>
                        </w:pPr>
                        <w:r>
                          <w:rPr>
                            <w:rFonts w:ascii="Arial" w:hAnsi="Arial" w:cs="Arial"/>
                            <w:sz w:val="20"/>
                          </w:rPr>
                          <w:t>2021-2024</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color w:val="000000"/>
                            <w:sz w:val="20"/>
                          </w:rPr>
                        </w:pPr>
                        <w:r>
                          <w:rPr>
                            <w:rFonts w:ascii="Arial" w:hAnsi="Arial" w:cs="Arial"/>
                            <w:color w:val="000000"/>
                            <w:sz w:val="20"/>
                          </w:rPr>
                          <w:t>Naujų vartotojų pajungimas prie CŠT</w:t>
                        </w:r>
                      </w:p>
                    </w:tc>
                    <w:tc>
                      <w:tcPr>
                        <w:tcW w:w="2126" w:type="dxa"/>
                      </w:tcPr>
                      <w:p>
                        <w:pPr>
                          <w:spacing w:line="259" w:lineRule="auto"/>
                          <w:jc w:val="center"/>
                          <w:rPr>
                            <w:rFonts w:ascii="Arial" w:hAnsi="Arial" w:cs="Arial"/>
                            <w:color w:val="000000"/>
                            <w:sz w:val="20"/>
                          </w:rPr>
                        </w:pPr>
                        <w:r>
                          <w:rPr>
                            <w:rFonts w:ascii="Arial" w:hAnsi="Arial" w:cs="Arial"/>
                            <w:color w:val="000000"/>
                            <w:sz w:val="20"/>
                          </w:rPr>
                          <w:t>Nenustatyta</w:t>
                        </w:r>
                      </w:p>
                    </w:tc>
                    <w:tc>
                      <w:tcPr>
                        <w:tcW w:w="4962" w:type="dxa"/>
                      </w:tcPr>
                      <w:p>
                        <w:pPr>
                          <w:spacing w:line="259" w:lineRule="auto"/>
                          <w:jc w:val="center"/>
                          <w:rPr>
                            <w:rFonts w:ascii="Arial" w:hAnsi="Arial" w:cs="Arial"/>
                            <w:sz w:val="20"/>
                          </w:rPr>
                        </w:pPr>
                        <w:r>
                          <w:rPr>
                            <w:rFonts w:ascii="Arial" w:hAnsi="Arial" w:cs="Arial"/>
                            <w:sz w:val="20"/>
                          </w:rPr>
                          <w:t>Prijungtų vartotojų skaičius</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color w:val="000000"/>
                            <w:sz w:val="20"/>
                          </w:rPr>
                        </w:pPr>
                        <w:r>
                          <w:rPr>
                            <w:rFonts w:ascii="Arial" w:hAnsi="Arial" w:cs="Arial"/>
                            <w:color w:val="000000"/>
                            <w:sz w:val="20"/>
                          </w:rPr>
                          <w:t>Atsinaujinančių energijos šaltinių pritaikymas gamyboje ir perdavime</w:t>
                        </w:r>
                      </w:p>
                    </w:tc>
                    <w:tc>
                      <w:tcPr>
                        <w:tcW w:w="2126" w:type="dxa"/>
                      </w:tcPr>
                      <w:p>
                        <w:pPr>
                          <w:spacing w:line="259" w:lineRule="auto"/>
                          <w:jc w:val="center"/>
                          <w:rPr>
                            <w:rFonts w:ascii="Arial" w:hAnsi="Arial" w:cs="Arial"/>
                            <w:color w:val="000000"/>
                            <w:sz w:val="20"/>
                          </w:rPr>
                        </w:pPr>
                        <w:r>
                          <w:rPr>
                            <w:rFonts w:ascii="Arial" w:hAnsi="Arial" w:cs="Arial"/>
                            <w:color w:val="000000"/>
                            <w:sz w:val="20"/>
                          </w:rPr>
                          <w:t>Nenustatyta</w:t>
                        </w:r>
                      </w:p>
                    </w:tc>
                    <w:tc>
                      <w:tcPr>
                        <w:tcW w:w="4962" w:type="dxa"/>
                      </w:tcPr>
                      <w:p>
                        <w:pPr>
                          <w:spacing w:line="259" w:lineRule="auto"/>
                          <w:jc w:val="center"/>
                          <w:rPr>
                            <w:rFonts w:ascii="Arial" w:hAnsi="Arial" w:cs="Arial"/>
                            <w:sz w:val="20"/>
                          </w:rPr>
                        </w:pPr>
                        <w:r>
                          <w:rPr>
                            <w:rFonts w:ascii="Arial" w:hAnsi="Arial" w:cs="Arial"/>
                            <w:sz w:val="20"/>
                          </w:rPr>
                          <w:t>Numatoma AIE gamyba kWh/metus</w:t>
                        </w:r>
                      </w:p>
                    </w:tc>
                    <w:tc>
                      <w:tcPr>
                        <w:tcW w:w="1275" w:type="dxa"/>
                      </w:tcPr>
                      <w:p>
                        <w:pPr>
                          <w:spacing w:line="259" w:lineRule="auto"/>
                          <w:jc w:val="center"/>
                          <w:rPr>
                            <w:rFonts w:ascii="Arial" w:hAnsi="Arial" w:cs="Arial"/>
                            <w:sz w:val="20"/>
                          </w:rPr>
                        </w:pPr>
                        <w:r>
                          <w:rPr>
                            <w:rFonts w:ascii="Arial" w:hAnsi="Arial" w:cs="Arial"/>
                            <w:sz w:val="20"/>
                          </w:rPr>
                          <w:t>2022–2023</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color w:val="000000"/>
                            <w:sz w:val="20"/>
                          </w:rPr>
                        </w:pPr>
                        <w:r>
                          <w:rPr>
                            <w:rFonts w:ascii="Arial" w:hAnsi="Arial" w:cs="Arial"/>
                            <w:color w:val="000000"/>
                            <w:sz w:val="20"/>
                          </w:rPr>
                          <w:t>Savivaldybės įstaigų energijos poreikių patenkinimas iš saulės jėgainių parkų</w:t>
                        </w:r>
                      </w:p>
                    </w:tc>
                    <w:tc>
                      <w:tcPr>
                        <w:tcW w:w="2126" w:type="dxa"/>
                      </w:tcPr>
                      <w:p>
                        <w:pPr>
                          <w:spacing w:line="259" w:lineRule="auto"/>
                          <w:jc w:val="center"/>
                          <w:rPr>
                            <w:rFonts w:ascii="Arial" w:hAnsi="Arial" w:cs="Arial"/>
                            <w:color w:val="000000"/>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Savivaldybės įstaigų/įmonių skaičius</w:t>
                        </w:r>
                      </w:p>
                    </w:tc>
                    <w:tc>
                      <w:tcPr>
                        <w:tcW w:w="1275" w:type="dxa"/>
                      </w:tcPr>
                      <w:p>
                        <w:pPr>
                          <w:spacing w:line="259" w:lineRule="auto"/>
                          <w:jc w:val="center"/>
                          <w:rPr>
                            <w:rFonts w:ascii="Arial" w:hAnsi="Arial" w:cs="Arial"/>
                            <w:sz w:val="20"/>
                          </w:rPr>
                        </w:pPr>
                        <w:r>
                          <w:rPr>
                            <w:rFonts w:ascii="Arial" w:hAnsi="Arial" w:cs="Arial"/>
                            <w:sz w:val="20"/>
                          </w:rPr>
                          <w:t>2022–2023</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Prie CŠT neprijungtų katilinių rekonstrukcija pritaikant jose naudoti biokurą vietoje iškastinio kuro (įrengimas rekonstruojamose ar naujai statomose katilinėse)</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Parengti projektai ir naujai įrengta arba rekonstruota infrastruktūra</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Bendros elektros ir šilumos gamybos CŠT sektoriuje plėtra, pirmenybę teikiant elektros energijos ir šilumos gamybai iš atsinaujinančių energijos išteklių</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Parengti projektai ir įgyvendinti sprendimai</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color w:val="000000"/>
                            <w:sz w:val="20"/>
                          </w:rPr>
                          <w:t>S</w:t>
                        </w:r>
                        <w:r>
                          <w:rPr>
                            <w:rFonts w:ascii="Arial" w:hAnsi="Arial" w:cs="Arial"/>
                            <w:sz w:val="20"/>
                          </w:rPr>
                          <w:t>aulės kolektorių naudojimas šildymui ir karštam vandeniui ruošti CŠT sistemose</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Parengti projektai ir įrengta infrastruktūra</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Skatinimas gaminti elektros ir šilumos energiją naudojant saulės, vėjo energiją ir šilumos siurblius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Skatinimo priemonių skaičius</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color w:val="000000"/>
                            <w:sz w:val="20"/>
                          </w:rPr>
                          <w:t>Modernizuoti nusidėvėjusius šilumos energijos perdavimo tinklus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Modernizuotų šilumos tinklų ilgis</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Vystyti infrastruktūrą pritaikytą alternatyvioms transporto rūšims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Nutiestų kelių (dviračių takų) ilgis (km.)</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Saulės energijos panaudojimas elektromobilių įkrovimo stotelių, gatvių, parkavimo aikštelių ir kt. viešų vietų apšvietimui (įkrovimui)</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Parengti projektai ir įrengti infrastruktūros objektai</w:t>
                        </w:r>
                      </w:p>
                    </w:tc>
                    <w:tc>
                      <w:tcPr>
                        <w:tcW w:w="1275" w:type="dxa"/>
                      </w:tcPr>
                      <w:p>
                        <w:pPr>
                          <w:spacing w:line="259" w:lineRule="auto"/>
                          <w:jc w:val="center"/>
                          <w:rPr>
                            <w:rFonts w:ascii="Arial" w:hAnsi="Arial" w:cs="Arial"/>
                            <w:sz w:val="20"/>
                          </w:rPr>
                        </w:pPr>
                        <w:r>
                          <w:rPr>
                            <w:rFonts w:ascii="Arial" w:hAnsi="Arial" w:cs="Arial"/>
                            <w:sz w:val="20"/>
                          </w:rPr>
                          <w:t>2021-2030</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Žaliųjų pirkimų taikymas viešuosiuose pirkimuose</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Pirkimų skaičius</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Vienkartinės savivaldybės gyventojų informavimo akcijos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Parengtos ir įgyvendintos akcijos/renginiai</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Skatinti gyventojus pasirinkti alternatyvias transporto rūšis arba skatinti naudotis viešuoju transportu</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Informacija paviešinta savivaldybės tinklalapyje</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Skatinti naudoti elektra varomas transporto priemones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Informacija paviešinta savivaldybės tinklalapyje</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Informacijos apie valstybės ir savivaldybės paramos schemas, taikomas atsinaujinančių energijos išteklių naudojimui ir gamybai, parengimas ir viešas paskelbimas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Informacija paviešinta savivaldybės tinklalapyje</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Savivaldybės ir jai priklausančių įstaigų ir įmonių darbuotojų mokymai AIE platesnio panaudojimo klausimais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Apmokytų asmenų skaičius, mokymų skaičius</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r>
                    <w:trPr>
                      <w:trHeight w:val="20"/>
                      <w:jc w:val="center"/>
                    </w:trPr>
                    <w:tc>
                      <w:tcPr>
                        <w:tcW w:w="5671" w:type="dxa"/>
                      </w:tcPr>
                      <w:p>
                        <w:pPr>
                          <w:spacing w:line="259" w:lineRule="auto"/>
                          <w:rPr>
                            <w:rFonts w:ascii="Arial" w:hAnsi="Arial" w:cs="Arial"/>
                            <w:sz w:val="20"/>
                          </w:rPr>
                        </w:pPr>
                        <w:r>
                          <w:rPr>
                            <w:rFonts w:ascii="Arial" w:hAnsi="Arial" w:cs="Arial"/>
                            <w:sz w:val="20"/>
                          </w:rPr>
                          <w:t>AIE bendrijų steigimo skatinimas</w:t>
                        </w:r>
                      </w:p>
                    </w:tc>
                    <w:tc>
                      <w:tcPr>
                        <w:tcW w:w="2126" w:type="dxa"/>
                      </w:tcPr>
                      <w:p>
                        <w:pPr>
                          <w:spacing w:line="259" w:lineRule="auto"/>
                          <w:jc w:val="center"/>
                          <w:rPr>
                            <w:rFonts w:ascii="Arial" w:hAnsi="Arial" w:cs="Arial"/>
                            <w:sz w:val="20"/>
                          </w:rPr>
                        </w:pPr>
                        <w:r>
                          <w:rPr>
                            <w:rFonts w:ascii="Arial" w:hAnsi="Arial" w:cs="Arial"/>
                            <w:sz w:val="20"/>
                          </w:rPr>
                          <w:t>Nenustatyta</w:t>
                        </w:r>
                      </w:p>
                    </w:tc>
                    <w:tc>
                      <w:tcPr>
                        <w:tcW w:w="4962" w:type="dxa"/>
                      </w:tcPr>
                      <w:p>
                        <w:pPr>
                          <w:spacing w:line="259" w:lineRule="auto"/>
                          <w:jc w:val="center"/>
                          <w:rPr>
                            <w:rFonts w:ascii="Arial" w:hAnsi="Arial" w:cs="Arial"/>
                            <w:sz w:val="20"/>
                          </w:rPr>
                        </w:pPr>
                        <w:r>
                          <w:rPr>
                            <w:rFonts w:ascii="Arial" w:hAnsi="Arial" w:cs="Arial"/>
                            <w:sz w:val="20"/>
                          </w:rPr>
                          <w:t>Įsteigtų bendrijų skaičius</w:t>
                        </w:r>
                      </w:p>
                    </w:tc>
                    <w:tc>
                      <w:tcPr>
                        <w:tcW w:w="1275" w:type="dxa"/>
                      </w:tcPr>
                      <w:p>
                        <w:pPr>
                          <w:spacing w:line="259" w:lineRule="auto"/>
                          <w:jc w:val="center"/>
                          <w:rPr>
                            <w:rFonts w:ascii="Arial" w:hAnsi="Arial" w:cs="Arial"/>
                            <w:sz w:val="20"/>
                          </w:rPr>
                        </w:pPr>
                        <w:r>
                          <w:rPr>
                            <w:rFonts w:ascii="Arial" w:hAnsi="Arial" w:cs="Arial"/>
                            <w:sz w:val="20"/>
                          </w:rPr>
                          <w:t>Kasmet</w:t>
                        </w:r>
                      </w:p>
                    </w:tc>
                    <w:tc>
                      <w:tcPr>
                        <w:tcW w:w="1560" w:type="dxa"/>
                      </w:tcPr>
                      <w:p>
                        <w:pPr>
                          <w:spacing w:line="259" w:lineRule="auto"/>
                          <w:jc w:val="center"/>
                          <w:rPr>
                            <w:rFonts w:ascii="Arial" w:hAnsi="Arial" w:cs="Arial"/>
                            <w:sz w:val="20"/>
                          </w:rPr>
                        </w:pPr>
                        <w:r>
                          <w:rPr>
                            <w:rFonts w:ascii="Arial" w:hAnsi="Arial" w:cs="Arial"/>
                            <w:sz w:val="20"/>
                          </w:rPr>
                          <w:t>Savivaldybė</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sectPr>
                      <w:headerReference w:type="default" r:id="rId43"/>
                      <w:headerReference w:type="first" r:id="rId44"/>
                      <w:pgSz w:w="16838" w:h="11906" w:orient="landscape"/>
                      <w:pgMar w:top="1134" w:right="1134" w:bottom="567" w:left="1134" w:header="397" w:footer="567" w:gutter="0"/>
                      <w:cols w:space="1296"/>
                      <w:titlePg/>
                      <w:docGrid w:linePitch="360"/>
                    </w:sectPr>
                  </w:pPr>
                </w:p>
                <w:p>
                  <w:pPr>
                    <w:rPr>
                      <w:sz w:val="14"/>
                      <w:szCs w:val="14"/>
                    </w:rPr>
                  </w:pPr>
                </w:p>
              </w:sdtContent>
            </w:sdt>
          </w:sdtContent>
        </w:sdt>
        <w:sdt>
          <w:sdtPr>
            <w:alias w:val="skirsnis"/>
            <w:tag w:val="part_f08f166313844a9fa5a4d0371502a2de"/>
            <w:lock w:val="sdtLocked"/>
            <w:richText/>
          </w:sdtPr>
          <w:sdtContent>
            <w:p>
              <w:pPr>
                <w:tabs>
                  <w:tab w:val="center" w:pos="4819"/>
                  <w:tab w:val="right" w:pos="9638"/>
                </w:tabs>
                <w:jc w:val="both"/>
                <w:rPr>
                  <w:rFonts w:ascii="Arial" w:hAnsi="Arial" w:cs="Arial"/>
                  <w:b/>
                  <w:bCs/>
                  <w:color w:val="002060"/>
                  <w:sz w:val="22"/>
                  <w:szCs w:val="22"/>
                </w:rPr>
              </w:pPr>
              <w:sdt>
                <w:sdtPr>
                  <w:alias w:val="Pavadinimas"/>
                  <w:tag w:val="title_f08f166313844a9fa5a4d0371502a2de"/>
                  <w:lock w:val="sdtLocked"/>
                  <w:richText/>
                </w:sdtPr>
                <w:sdtContent>
                  <w:r>
                    <w:rPr>
                      <w:rFonts w:ascii="Arial" w:hAnsi="Arial" w:cs="Arial"/>
                      <w:b/>
                      <w:bCs/>
                      <w:color w:val="002060"/>
                      <w:sz w:val="22"/>
                      <w:szCs w:val="22"/>
                    </w:rPr>
                    <w:t>Joniškio rajono savivaldybės atsinaujinančių išteklių energijos naudojimo plėtros veiksmų planas iki 2030 m.</w:t>
                  </w:r>
                </w:sdtContent>
              </w:sdt>
            </w:p>
            <w:p>
              <w:pPr>
                <w:rPr>
                  <w:sz w:val="10"/>
                  <w:szCs w:val="10"/>
                </w:rPr>
              </w:pPr>
            </w:p>
            <w:p>
              <w:pPr>
                <w:tabs>
                  <w:tab w:val="center" w:pos="4819"/>
                  <w:tab w:val="right" w:pos="9638"/>
                </w:tabs>
                <w:ind w:firstLine="567"/>
                <w:jc w:val="both"/>
                <w:rPr>
                  <w:sz w:val="22"/>
                  <w:szCs w:val="22"/>
                </w:rPr>
              </w:pPr>
            </w:p>
            <w:sdt>
              <w:sdtPr>
                <w:alias w:val="8 p."/>
                <w:tag w:val="part_be6ecffe544f4953841ee6f76edb20aa"/>
                <w:lock w:val="sdtLocked"/>
                <w:richText/>
              </w:sdtPr>
              <w:sdtContent>
                <w:p>
                  <w:pPr>
                    <w:keepNext/>
                    <w:keepLines/>
                    <w:spacing w:line="259" w:lineRule="auto"/>
                    <w:jc w:val="center"/>
                    <w:rPr>
                      <w:rFonts w:ascii="Arial" w:hAnsi="Arial" w:cs="Arial"/>
                      <w:b/>
                      <w:caps/>
                      <w:color w:val="002060"/>
                      <w:sz w:val="28"/>
                      <w:szCs w:val="32"/>
                    </w:rPr>
                  </w:pPr>
                  <w:sdt>
                    <w:sdtPr>
                      <w:alias w:val="Numeris"/>
                      <w:tag w:val="nr_be6ecffe544f4953841ee6f76edb20aa"/>
                      <w:lock w:val="sdtLocked"/>
                      <w:richText/>
                    </w:sdtPr>
                    <w:sdtContent>
                      <w:r>
                        <w:rPr>
                          <w:rFonts w:ascii="Arial" w:hAnsi="Arial" w:cs="Arial"/>
                          <w:b/>
                          <w:caps/>
                          <w:color w:val="002060"/>
                          <w:sz w:val="28"/>
                          <w:szCs w:val="32"/>
                        </w:rPr>
                        <w:t>8</w:t>
                      </w:r>
                    </w:sdtContent>
                  </w:sdt>
                  <w:r>
                    <w:rPr>
                      <w:rFonts w:ascii="Arial" w:hAnsi="Arial" w:cs="Arial"/>
                      <w:b/>
                      <w:caps/>
                      <w:color w:val="002060"/>
                      <w:sz w:val="28"/>
                      <w:szCs w:val="32"/>
                    </w:rPr>
                    <w:t>. Savivaldybei siūlomi AIE koncepciniai scenarijai, vertinimo kriterijai, lyginamosios analizės rodikliai</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AIE plėtros koncepciniai scenarijai parengiami atsižvelgiant į esamos būklės analizės metu surinktą informaciją, daugiausiai dėmesio skiriant sektoriams, kurie šiuo metų turi mažiausią indėlį į AIE dalį ir kur gali būti įdiegiamos ekonomiškai pagrįstos AIE naudojimą didinančios priemonės.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savivaldybėje formuojami 3 scenarijai: </w:t>
                  </w:r>
                </w:p>
                <w:p>
                  <w:pPr>
                    <w:rPr>
                      <w:sz w:val="14"/>
                      <w:szCs w:val="14"/>
                    </w:rPr>
                  </w:pPr>
                </w:p>
              </w:sdtContent>
            </w:sdt>
            <w:sdt>
              <w:sdtPr>
                <w:alias w:val="1 p."/>
                <w:tag w:val="part_4df84b91157a4590b5c2ae486299851e"/>
                <w:lock w:val="sdtLocked"/>
                <w:richText/>
              </w:sdtPr>
              <w:sdtContent>
                <w:p>
                  <w:pPr>
                    <w:spacing w:line="259" w:lineRule="auto"/>
                    <w:ind w:left="426" w:hanging="426"/>
                    <w:jc w:val="both"/>
                    <w:rPr>
                      <w:rFonts w:ascii="Arial" w:hAnsi="Arial" w:cs="Arial"/>
                      <w:sz w:val="22"/>
                    </w:rPr>
                  </w:pPr>
                  <w:sdt>
                    <w:sdtPr>
                      <w:alias w:val="Numeris"/>
                      <w:tag w:val="nr_4df84b91157a4590b5c2ae486299851e"/>
                      <w:lock w:val="sdtLocked"/>
                      <w:richText/>
                    </w:sdtPr>
                    <w:sdtContent>
                      <w:r>
                        <w:rPr>
                          <w:rFonts w:ascii="Arial" w:hAnsi="Arial" w:cs="Arial"/>
                          <w:sz w:val="22"/>
                        </w:rPr>
                        <w:t>1</w:t>
                      </w:r>
                    </w:sdtContent>
                  </w:sdt>
                  <w:r>
                    <w:rPr>
                      <w:rFonts w:ascii="Arial" w:hAnsi="Arial" w:cs="Arial"/>
                      <w:sz w:val="22"/>
                    </w:rPr>
                    <w:t>.</w:t>
                    <w:tab/>
                  </w:r>
                  <w:r>
                    <w:rPr>
                      <w:rFonts w:ascii="Arial" w:hAnsi="Arial" w:cs="Arial"/>
                      <w:b/>
                      <w:bCs/>
                      <w:sz w:val="22"/>
                    </w:rPr>
                    <w:t>Scenarijus be papildomų priemonių</w:t>
                  </w:r>
                  <w:r>
                    <w:rPr>
                      <w:rFonts w:ascii="Arial" w:hAnsi="Arial" w:cs="Arial"/>
                      <w:sz w:val="22"/>
                    </w:rPr>
                    <w:t xml:space="preserve"> („veiklos kaip įprasta“). Pažymėtina, kad šio scenarijaus atveju, jei savivaldybėje auga energijos vartojimas, tačiau AIE dalis nedidėja (nėra suplanuota jokių konkrečių priemonių), AIE dalis bus mažesnė, nei apskaičiuota ankstesniuose skyriuose. </w:t>
                  </w:r>
                </w:p>
                <w:p>
                  <w:pPr>
                    <w:rPr>
                      <w:sz w:val="14"/>
                      <w:szCs w:val="14"/>
                    </w:rPr>
                  </w:pPr>
                </w:p>
              </w:sdtContent>
            </w:sdt>
            <w:sdt>
              <w:sdtPr>
                <w:alias w:val="2 p."/>
                <w:tag w:val="part_593abd392fad44a48e155edafb878db2"/>
                <w:lock w:val="sdtLocked"/>
                <w:richText/>
              </w:sdtPr>
              <w:sdtContent>
                <w:p>
                  <w:pPr>
                    <w:spacing w:line="259" w:lineRule="auto"/>
                    <w:ind w:left="426" w:hanging="426"/>
                    <w:jc w:val="both"/>
                    <w:rPr>
                      <w:rFonts w:ascii="Arial" w:hAnsi="Arial" w:cs="Arial"/>
                      <w:sz w:val="22"/>
                    </w:rPr>
                  </w:pPr>
                  <w:sdt>
                    <w:sdtPr>
                      <w:alias w:val="Numeris"/>
                      <w:tag w:val="nr_593abd392fad44a48e155edafb878db2"/>
                      <w:lock w:val="sdtLocked"/>
                      <w:richText/>
                    </w:sdtPr>
                    <w:sdtContent>
                      <w:r>
                        <w:rPr>
                          <w:rFonts w:ascii="Arial" w:hAnsi="Arial" w:cs="Arial"/>
                          <w:sz w:val="22"/>
                        </w:rPr>
                        <w:t>2</w:t>
                      </w:r>
                    </w:sdtContent>
                  </w:sdt>
                  <w:r>
                    <w:rPr>
                      <w:rFonts w:ascii="Arial" w:hAnsi="Arial" w:cs="Arial"/>
                      <w:sz w:val="22"/>
                    </w:rPr>
                    <w:t>.</w:t>
                    <w:tab/>
                  </w:r>
                  <w:r>
                    <w:rPr>
                      <w:rFonts w:ascii="Arial" w:hAnsi="Arial" w:cs="Arial"/>
                      <w:b/>
                      <w:bCs/>
                      <w:sz w:val="22"/>
                    </w:rPr>
                    <w:t>Antrojo scenarijaus</w:t>
                  </w:r>
                  <w:r>
                    <w:rPr>
                      <w:rFonts w:ascii="Arial" w:hAnsi="Arial" w:cs="Arial"/>
                      <w:sz w:val="22"/>
                    </w:rPr>
                    <w:t xml:space="preserve"> atveju vertinamos tokios priemonės, kurias savivaldybė gali įgyvendinti pati savo jėgomis. Vertinamas AIE energijos panaudojimas savivaldybės įmonėms ir įstaigoms priklausančiuose pastatuose. </w:t>
                  </w:r>
                </w:p>
                <w:p>
                  <w:pPr>
                    <w:rPr>
                      <w:sz w:val="14"/>
                      <w:szCs w:val="14"/>
                    </w:rPr>
                  </w:pPr>
                </w:p>
              </w:sdtContent>
            </w:sdt>
            <w:sdt>
              <w:sdtPr>
                <w:alias w:val="3 p."/>
                <w:tag w:val="part_067a5e43217b4a218e08e7d70a34b2de"/>
                <w:lock w:val="sdtLocked"/>
                <w:richText/>
              </w:sdtPr>
              <w:sdtContent>
                <w:p>
                  <w:pPr>
                    <w:spacing w:line="259" w:lineRule="auto"/>
                    <w:ind w:left="426" w:hanging="426"/>
                    <w:jc w:val="both"/>
                    <w:rPr>
                      <w:rFonts w:ascii="Arial" w:hAnsi="Arial" w:cs="Arial"/>
                      <w:sz w:val="22"/>
                    </w:rPr>
                  </w:pPr>
                  <w:sdt>
                    <w:sdtPr>
                      <w:alias w:val="Numeris"/>
                      <w:tag w:val="nr_067a5e43217b4a218e08e7d70a34b2de"/>
                      <w:lock w:val="sdtLocked"/>
                      <w:richText/>
                    </w:sdtPr>
                    <w:sdtContent>
                      <w:r>
                        <w:rPr>
                          <w:rFonts w:ascii="Arial" w:hAnsi="Arial" w:cs="Arial"/>
                          <w:sz w:val="22"/>
                        </w:rPr>
                        <w:t>3</w:t>
                      </w:r>
                    </w:sdtContent>
                  </w:sdt>
                  <w:r>
                    <w:rPr>
                      <w:rFonts w:ascii="Arial" w:hAnsi="Arial" w:cs="Arial"/>
                      <w:sz w:val="22"/>
                    </w:rPr>
                    <w:t>.</w:t>
                    <w:tab/>
                  </w:r>
                  <w:r>
                    <w:rPr>
                      <w:rFonts w:ascii="Arial" w:hAnsi="Arial" w:cs="Arial"/>
                      <w:b/>
                      <w:bCs/>
                      <w:sz w:val="22"/>
                    </w:rPr>
                    <w:t>Trečiojo scenarijaus</w:t>
                  </w:r>
                  <w:r>
                    <w:rPr>
                      <w:rFonts w:ascii="Arial" w:hAnsi="Arial" w:cs="Arial"/>
                      <w:sz w:val="22"/>
                    </w:rPr>
                    <w:t xml:space="preserve"> atveju vertinamos tokios priemonės, kad būtų pasiekta 73,2 proc. AIE galutiniame suvartojime.</w:t>
                  </w:r>
                </w:p>
                <w:p>
                  <w:pPr>
                    <w:rPr>
                      <w:sz w:val="14"/>
                      <w:szCs w:val="14"/>
                    </w:rPr>
                  </w:pPr>
                </w:p>
                <w:sdt>
                  <w:sdtPr>
                    <w:alias w:val="8.1 pp."/>
                    <w:tag w:val="part_008bfb01293e49f39feacfc4db9e23cf"/>
                    <w:lock w:val="sdtLocked"/>
                    <w:richText/>
                  </w:sdtPr>
                  <w:sdtContent>
                    <w:p>
                      <w:pPr>
                        <w:keepNext/>
                        <w:keepLines/>
                        <w:spacing w:line="259" w:lineRule="auto"/>
                        <w:jc w:val="center"/>
                        <w:outlineLvl w:val="1"/>
                        <w:rPr>
                          <w:rFonts w:ascii="Arial" w:hAnsi="Arial" w:cs="Arial"/>
                          <w:b/>
                          <w:color w:val="002060"/>
                          <w:szCs w:val="26"/>
                        </w:rPr>
                      </w:pPr>
                      <w:sdt>
                        <w:sdtPr>
                          <w:alias w:val="Numeris"/>
                          <w:tag w:val="nr_008bfb01293e49f39feacfc4db9e23cf"/>
                          <w:lock w:val="sdtLocked"/>
                          <w:richText/>
                        </w:sdtPr>
                        <w:sdtContent>
                          <w:r>
                            <w:rPr>
                              <w:rFonts w:ascii="Arial" w:hAnsi="Arial" w:cs="Arial"/>
                              <w:b/>
                              <w:color w:val="002060"/>
                              <w:szCs w:val="26"/>
                            </w:rPr>
                            <w:t>8.1</w:t>
                          </w:r>
                        </w:sdtContent>
                      </w:sdt>
                      <w:r>
                        <w:rPr>
                          <w:rFonts w:ascii="Arial" w:hAnsi="Arial" w:cs="Arial"/>
                          <w:b/>
                          <w:color w:val="002060"/>
                          <w:szCs w:val="26"/>
                        </w:rPr>
                        <w:t>. Scenarijų vertinimo kriterijai</w:t>
                      </w:r>
                    </w:p>
                    <w:p>
                      <w:pPr>
                        <w:rPr>
                          <w:sz w:val="14"/>
                          <w:szCs w:val="14"/>
                        </w:rPr>
                      </w:pPr>
                    </w:p>
                    <w:p>
                      <w:pPr>
                        <w:spacing w:line="259" w:lineRule="auto"/>
                        <w:ind w:firstLine="567"/>
                        <w:jc w:val="both"/>
                        <w:rPr>
                          <w:rFonts w:ascii="Arial" w:hAnsi="Arial" w:cs="Arial"/>
                          <w:sz w:val="22"/>
                        </w:rPr>
                      </w:pPr>
                      <w:r>
                        <w:rPr>
                          <w:rFonts w:ascii="Arial" w:hAnsi="Arial" w:cs="Arial"/>
                          <w:b/>
                          <w:bCs/>
                          <w:sz w:val="22"/>
                        </w:rPr>
                        <w:t>Antrojo scenarijaus</w:t>
                      </w:r>
                      <w:r>
                        <w:rPr>
                          <w:rFonts w:ascii="Arial" w:hAnsi="Arial" w:cs="Arial"/>
                          <w:sz w:val="22"/>
                        </w:rPr>
                        <w:t xml:space="preserve"> atveju nagrinėjamas AIE dalies padidėjimas, kai savivaldybei priklausančiuose pastatuose numatoma įdiegti AIE technologijas. Savivaldybių pastatams AIE technologijų įdiegimo apimtis skaičiuojama tokia tvarka:</w:t>
                      </w:r>
                    </w:p>
                    <w:p>
                      <w:pPr>
                        <w:rPr>
                          <w:sz w:val="14"/>
                          <w:szCs w:val="14"/>
                        </w:rPr>
                      </w:pPr>
                    </w:p>
                  </w:sdtContent>
                </w:sdt>
              </w:sdtContent>
            </w:sdt>
            <w:sdt>
              <w:sdtPr>
                <w:alias w:val="1 p."/>
                <w:tag w:val="part_3aedc30a9ee74331a913adbfca110f11"/>
                <w:lock w:val="sdtLocked"/>
                <w:richText/>
              </w:sdtPr>
              <w:sdtContent>
                <w:p>
                  <w:pPr>
                    <w:spacing w:line="259" w:lineRule="auto"/>
                    <w:ind w:firstLine="567"/>
                    <w:jc w:val="both"/>
                    <w:rPr>
                      <w:rFonts w:ascii="Arial" w:hAnsi="Arial" w:cs="Arial"/>
                      <w:sz w:val="22"/>
                    </w:rPr>
                  </w:pPr>
                  <w:sdt>
                    <w:sdtPr>
                      <w:alias w:val="Numeris"/>
                      <w:tag w:val="nr_3aedc30a9ee74331a913adbfca110f11"/>
                      <w:lock w:val="sdtLocked"/>
                      <w:richText/>
                    </w:sdtPr>
                    <w:sdtContent>
                      <w:r>
                        <w:rPr>
                          <w:rFonts w:ascii="Arial" w:hAnsi="Arial" w:cs="Arial"/>
                          <w:sz w:val="22"/>
                        </w:rPr>
                        <w:t>1</w:t>
                      </w:r>
                    </w:sdtContent>
                  </w:sdt>
                  <w:r>
                    <w:rPr>
                      <w:rFonts w:ascii="Arial" w:hAnsi="Arial" w:cs="Arial"/>
                      <w:sz w:val="22"/>
                    </w:rPr>
                    <w:t>. Saulės kolektoriai karštam vandeniui ruošti montuojami ant savivaldybei priklausančių pastatų stogų. Pagal 7 skyriuje išdėstytas prielaidas, numatoma, jog ant savivaldybei priklausančių pastatų stogų bus įrengta 7 224,2 m</w:t>
                  </w:r>
                  <w:r>
                    <w:rPr>
                      <w:rFonts w:ascii="Arial" w:hAnsi="Arial" w:cs="Arial"/>
                      <w:sz w:val="22"/>
                      <w:vertAlign w:val="superscript"/>
                    </w:rPr>
                    <w:t>2</w:t>
                  </w:r>
                  <w:r>
                    <w:rPr>
                      <w:rFonts w:ascii="Arial" w:hAnsi="Arial" w:cs="Arial"/>
                      <w:sz w:val="22"/>
                    </w:rPr>
                    <w:t xml:space="preserve"> saulės kolektorių. Šį plotą padauginus iš saulės spinduliuotės intensyvumo (1 047 kWh/ m</w:t>
                  </w:r>
                  <w:r>
                    <w:rPr>
                      <w:rFonts w:ascii="Arial" w:hAnsi="Arial" w:cs="Arial"/>
                      <w:sz w:val="22"/>
                      <w:vertAlign w:val="superscript"/>
                    </w:rPr>
                    <w:t>2</w:t>
                  </w:r>
                  <w:r>
                    <w:rPr>
                      <w:rFonts w:ascii="Arial" w:hAnsi="Arial" w:cs="Arial"/>
                      <w:sz w:val="22"/>
                    </w:rPr>
                    <w:t>) ir energijos konversijos efektyvumo rodiklio (0,45), gaunamas saulės šilumos energijos techninis potencialas – 3 403,7 MWh energijos per metus.</w:t>
                  </w:r>
                </w:p>
                <w:p>
                  <w:pPr>
                    <w:rPr>
                      <w:sz w:val="14"/>
                      <w:szCs w:val="14"/>
                    </w:rPr>
                  </w:pPr>
                </w:p>
              </w:sdtContent>
            </w:sdt>
            <w:sdt>
              <w:sdtPr>
                <w:alias w:val="2 p."/>
                <w:tag w:val="part_bb43ca07c1f542c5ab98c4354fee69ed"/>
                <w:lock w:val="sdtLocked"/>
                <w:richText/>
              </w:sdtPr>
              <w:sdtContent>
                <w:p>
                  <w:pPr>
                    <w:spacing w:line="259" w:lineRule="auto"/>
                    <w:ind w:firstLine="567"/>
                    <w:jc w:val="both"/>
                    <w:rPr>
                      <w:rFonts w:ascii="Arial" w:hAnsi="Arial" w:cs="Arial"/>
                      <w:sz w:val="22"/>
                    </w:rPr>
                  </w:pPr>
                  <w:sdt>
                    <w:sdtPr>
                      <w:alias w:val="Numeris"/>
                      <w:tag w:val="nr_bb43ca07c1f542c5ab98c4354fee69ed"/>
                      <w:lock w:val="sdtLocked"/>
                      <w:richText/>
                    </w:sdtPr>
                    <w:sdtContent>
                      <w:r>
                        <w:rPr>
                          <w:rFonts w:ascii="Arial" w:hAnsi="Arial" w:cs="Arial"/>
                          <w:sz w:val="22"/>
                        </w:rPr>
                        <w:t>2</w:t>
                      </w:r>
                    </w:sdtContent>
                  </w:sdt>
                  <w:r>
                    <w:rPr>
                      <w:rFonts w:ascii="Arial" w:hAnsi="Arial" w:cs="Arial"/>
                      <w:sz w:val="22"/>
                    </w:rPr>
                    <w:t>. Elektros energija, gaminama ant savivaldybei priklausančių pastatų stogų įrengtose saulės šviesos elektrinėse, naudojama savo reikmėms, perteklių atiduodant į tinklą. Pagal 7. skyriuje pateiktus paskaičiavimus, ant savivaldybės pastatų būtų galima įrengti fotomodulius, kurių instaliuota galia siektų 2,8 MW. 1 kW galingumo saulės fotovoltinė elektrinė gamina apie 935 kWh per metus, tad apskaičiuojama, kad per metus bus pagaminama 2 618,00 MWh elektros energijos.</w:t>
                  </w:r>
                </w:p>
                <w:p>
                  <w:pPr>
                    <w:rPr>
                      <w:sz w:val="14"/>
                      <w:szCs w:val="14"/>
                    </w:rPr>
                  </w:pPr>
                </w:p>
              </w:sdtContent>
            </w:sdt>
            <w:sdt>
              <w:sdtPr>
                <w:alias w:val="3 p."/>
                <w:tag w:val="part_1a9c03c51e42480fa1b2d777f0d8271e"/>
                <w:lock w:val="sdtLocked"/>
                <w:richText/>
              </w:sdtPr>
              <w:sdtContent>
                <w:p>
                  <w:pPr>
                    <w:spacing w:line="259" w:lineRule="auto"/>
                    <w:ind w:firstLine="720"/>
                    <w:jc w:val="both"/>
                    <w:rPr>
                      <w:rFonts w:ascii="Arial" w:eastAsia="SegoeUI" w:hAnsi="Arial" w:cs="Arial"/>
                      <w:sz w:val="22"/>
                      <w:szCs w:val="22"/>
                    </w:rPr>
                  </w:pPr>
                  <w:sdt>
                    <w:sdtPr>
                      <w:alias w:val="Numeris"/>
                      <w:tag w:val="nr_1a9c03c51e42480fa1b2d777f0d8271e"/>
                      <w:lock w:val="sdtLocked"/>
                      <w:richText/>
                    </w:sdtPr>
                    <w:sdtContent>
                      <w:r>
                        <w:rPr>
                          <w:rFonts w:ascii="Arial" w:eastAsia="SegoeUI" w:hAnsi="Arial" w:cs="Arial"/>
                          <w:sz w:val="22"/>
                          <w:szCs w:val="22"/>
                        </w:rPr>
                        <w:t>3</w:t>
                      </w:r>
                    </w:sdtContent>
                  </w:sdt>
                  <w:r>
                    <w:rPr>
                      <w:rFonts w:ascii="Arial" w:eastAsia="SegoeUI" w:hAnsi="Arial" w:cs="Arial"/>
                      <w:sz w:val="22"/>
                      <w:szCs w:val="22"/>
                    </w:rPr>
                    <w:t xml:space="preserve">. </w:t>
                  </w:r>
                  <w:r>
                    <w:rPr>
                      <w:rFonts w:ascii="Arial" w:hAnsi="Arial" w:cs="Arial"/>
                      <w:sz w:val="22"/>
                    </w:rPr>
                    <w:t>Apskaičiuojama AIE dalis 2030 m., diegiant šias numatytas priemones savivaldybei priklausančiuose pastatuose.</w:t>
                  </w:r>
                </w:p>
                <w:p>
                  <w:pPr>
                    <w:rPr>
                      <w:sz w:val="14"/>
                      <w:szCs w:val="14"/>
                    </w:rPr>
                  </w:pPr>
                </w:p>
                <w:p>
                  <w:pPr>
                    <w:spacing w:line="259" w:lineRule="auto"/>
                    <w:ind w:firstLine="567"/>
                    <w:jc w:val="both"/>
                    <w:rPr>
                      <w:rFonts w:ascii="Arial" w:hAnsi="Arial" w:cs="Arial"/>
                      <w:sz w:val="22"/>
                    </w:rPr>
                  </w:pPr>
                  <w:r>
                    <w:rPr>
                      <w:rFonts w:ascii="Arial" w:hAnsi="Arial" w:cs="Arial"/>
                      <w:sz w:val="22"/>
                    </w:rPr>
                    <w:t>Trečiojo scenarijaus siektinas rodiklis 73,2 proc. Priemonės parenkamos atsižvelgiant į savivaldybėje esančias galimybes skatinti ir diegti AIE technologijas skirtinguose ūkio sektoriuose:</w:t>
                  </w:r>
                </w:p>
                <w:p>
                  <w:pPr>
                    <w:rPr>
                      <w:sz w:val="14"/>
                      <w:szCs w:val="14"/>
                    </w:rPr>
                  </w:pPr>
                </w:p>
              </w:sdtContent>
            </w:sdt>
            <w:sdt>
              <w:sdtPr>
                <w:alias w:val="1 p."/>
                <w:tag w:val="part_0dd1dd187ad4405a850d7150183210c1"/>
                <w:lock w:val="sdtLocked"/>
                <w:richText/>
              </w:sdtPr>
              <w:sdtContent>
                <w:p>
                  <w:pPr>
                    <w:spacing w:line="259" w:lineRule="auto"/>
                    <w:ind w:left="426" w:hanging="426"/>
                    <w:jc w:val="both"/>
                    <w:rPr>
                      <w:rFonts w:ascii="Arial" w:hAnsi="Arial" w:cs="Arial"/>
                      <w:sz w:val="22"/>
                    </w:rPr>
                  </w:pPr>
                  <w:sdt>
                    <w:sdtPr>
                      <w:alias w:val="Numeris"/>
                      <w:tag w:val="nr_0dd1dd187ad4405a850d7150183210c1"/>
                      <w:lock w:val="sdtLocked"/>
                      <w:richText/>
                    </w:sdtPr>
                    <w:sdtContent>
                      <w:r>
                        <w:rPr>
                          <w:rFonts w:ascii="Arial" w:hAnsi="Arial" w:cs="Arial"/>
                          <w:sz w:val="22"/>
                        </w:rPr>
                        <w:t>1</w:t>
                      </w:r>
                    </w:sdtContent>
                  </w:sdt>
                  <w:r>
                    <w:rPr>
                      <w:rFonts w:ascii="Arial" w:hAnsi="Arial" w:cs="Arial"/>
                      <w:sz w:val="22"/>
                    </w:rPr>
                    <w:t>.</w:t>
                    <w:tab/>
                    <w:t>Pasirenkamos energijos rūšys, kuriomis yra galimybė didinti AIE dalį (pirmiausia vertinama elektros energijos gamyba savivaldybės teritorijoje);</w:t>
                  </w:r>
                </w:p>
                <w:p>
                  <w:pPr>
                    <w:rPr>
                      <w:sz w:val="14"/>
                      <w:szCs w:val="14"/>
                    </w:rPr>
                  </w:pPr>
                </w:p>
              </w:sdtContent>
            </w:sdt>
            <w:sdt>
              <w:sdtPr>
                <w:alias w:val="2 p."/>
                <w:tag w:val="part_57515baad2aa4e19a40727a7318e26f5"/>
                <w:lock w:val="sdtLocked"/>
                <w:richText/>
              </w:sdtPr>
              <w:sdtContent>
                <w:p>
                  <w:pPr>
                    <w:spacing w:line="259" w:lineRule="auto"/>
                    <w:ind w:left="426" w:hanging="426"/>
                    <w:jc w:val="both"/>
                    <w:rPr>
                      <w:rFonts w:ascii="Arial" w:hAnsi="Arial" w:cs="Arial"/>
                      <w:sz w:val="22"/>
                    </w:rPr>
                  </w:pPr>
                  <w:sdt>
                    <w:sdtPr>
                      <w:alias w:val="Numeris"/>
                      <w:tag w:val="nr_57515baad2aa4e19a40727a7318e26f5"/>
                      <w:lock w:val="sdtLocked"/>
                      <w:richText/>
                    </w:sdtPr>
                    <w:sdtContent>
                      <w:r>
                        <w:rPr>
                          <w:rFonts w:ascii="Arial" w:hAnsi="Arial" w:cs="Arial"/>
                          <w:sz w:val="22"/>
                        </w:rPr>
                        <w:t>2</w:t>
                      </w:r>
                    </w:sdtContent>
                  </w:sdt>
                  <w:r>
                    <w:rPr>
                      <w:rFonts w:ascii="Arial" w:hAnsi="Arial" w:cs="Arial"/>
                      <w:sz w:val="22"/>
                    </w:rPr>
                    <w:t>.</w:t>
                    <w:tab/>
                    <w:t>Pasirenkami ūkio sektoriai, kuriuose yra galimybė skatinti ar tiesiogiai įtakoti AIE dalies didinimą (pvz., paslaugų sektorius);</w:t>
                  </w:r>
                </w:p>
                <w:p>
                  <w:pPr>
                    <w:rPr>
                      <w:sz w:val="14"/>
                      <w:szCs w:val="14"/>
                    </w:rPr>
                  </w:pPr>
                </w:p>
              </w:sdtContent>
            </w:sdt>
            <w:sdt>
              <w:sdtPr>
                <w:alias w:val="3 p."/>
                <w:tag w:val="part_56926a94748f426e976e72e2261f15ff"/>
                <w:lock w:val="sdtLocked"/>
                <w:richText/>
              </w:sdtPr>
              <w:sdtContent>
                <w:p>
                  <w:pPr>
                    <w:spacing w:line="259" w:lineRule="auto"/>
                    <w:ind w:left="426" w:hanging="426"/>
                    <w:jc w:val="both"/>
                    <w:rPr>
                      <w:rFonts w:ascii="Arial" w:hAnsi="Arial" w:cs="Arial"/>
                      <w:sz w:val="22"/>
                    </w:rPr>
                  </w:pPr>
                  <w:sdt>
                    <w:sdtPr>
                      <w:alias w:val="Numeris"/>
                      <w:tag w:val="nr_56926a94748f426e976e72e2261f15ff"/>
                      <w:lock w:val="sdtLocked"/>
                      <w:richText/>
                    </w:sdtPr>
                    <w:sdtContent>
                      <w:r>
                        <w:rPr>
                          <w:rFonts w:ascii="Arial" w:hAnsi="Arial" w:cs="Arial"/>
                          <w:sz w:val="22"/>
                        </w:rPr>
                        <w:t>3</w:t>
                      </w:r>
                    </w:sdtContent>
                  </w:sdt>
                  <w:r>
                    <w:rPr>
                      <w:rFonts w:ascii="Arial" w:hAnsi="Arial" w:cs="Arial"/>
                      <w:sz w:val="22"/>
                    </w:rPr>
                    <w:t>.</w:t>
                    <w:tab/>
                    <w:t>Pasirenkami kiti ūkio sektoriai, kuriems savivaldybė gali netiesiogiai daryti įtaką (pvz., pramonė, savivaldybei nepriklausantys viešieji pastatai);</w:t>
                  </w:r>
                </w:p>
                <w:p>
                  <w:pPr>
                    <w:rPr>
                      <w:sz w:val="14"/>
                      <w:szCs w:val="14"/>
                    </w:rPr>
                  </w:pPr>
                </w:p>
              </w:sdtContent>
            </w:sdt>
            <w:sdt>
              <w:sdtPr>
                <w:alias w:val="4 p."/>
                <w:tag w:val="part_3610805be32c4d5694a40c7c90fd21c8"/>
                <w:lock w:val="sdtLocked"/>
                <w:richText/>
              </w:sdtPr>
              <w:sdtContent>
                <w:p>
                  <w:pPr>
                    <w:spacing w:line="259" w:lineRule="auto"/>
                    <w:ind w:left="426" w:hanging="426"/>
                    <w:jc w:val="both"/>
                    <w:rPr>
                      <w:rFonts w:ascii="Arial" w:hAnsi="Arial" w:cs="Arial"/>
                      <w:sz w:val="22"/>
                    </w:rPr>
                  </w:pPr>
                  <w:sdt>
                    <w:sdtPr>
                      <w:alias w:val="Numeris"/>
                      <w:tag w:val="nr_3610805be32c4d5694a40c7c90fd21c8"/>
                      <w:lock w:val="sdtLocked"/>
                      <w:richText/>
                    </w:sdtPr>
                    <w:sdtContent>
                      <w:r>
                        <w:rPr>
                          <w:rFonts w:ascii="Arial" w:hAnsi="Arial" w:cs="Arial"/>
                          <w:sz w:val="22"/>
                        </w:rPr>
                        <w:t>4</w:t>
                      </w:r>
                    </w:sdtContent>
                  </w:sdt>
                  <w:r>
                    <w:rPr>
                      <w:rFonts w:ascii="Arial" w:hAnsi="Arial" w:cs="Arial"/>
                      <w:sz w:val="22"/>
                    </w:rPr>
                    <w:t>.</w:t>
                    <w:tab/>
                    <w:t>Apskaičiuojama AIE dalis galutiniame energijos suvartojime 2030 m., įdiegiant anksčiau pasirinktas priemones.</w:t>
                  </w:r>
                </w:p>
                <w:p>
                  <w:pPr>
                    <w:rPr>
                      <w:sz w:val="14"/>
                      <w:szCs w:val="14"/>
                    </w:rPr>
                  </w:pPr>
                </w:p>
                <w:p>
                  <w:pPr>
                    <w:spacing w:line="259" w:lineRule="auto"/>
                    <w:ind w:firstLine="567"/>
                    <w:jc w:val="both"/>
                    <w:rPr>
                      <w:rFonts w:ascii="Arial" w:hAnsi="Arial" w:cs="Arial"/>
                      <w:sz w:val="22"/>
                    </w:rPr>
                  </w:pPr>
                  <w:r>
                    <w:rPr>
                      <w:rFonts w:ascii="Arial" w:hAnsi="Arial" w:cs="Arial"/>
                      <w:sz w:val="22"/>
                    </w:rPr>
                    <w:t>Smulkios priemonės, tokios kaip fotomoduliai ant apšvietimo stulpų, nevertinamos dėl mažo jų poveikio bendram savivaldybės AIE dalies pokyčiui.</w:t>
                  </w:r>
                </w:p>
                <w:p>
                  <w:pPr>
                    <w:rPr>
                      <w:sz w:val="14"/>
                      <w:szCs w:val="14"/>
                    </w:rPr>
                  </w:pPr>
                </w:p>
                <w:sdt>
                  <w:sdtPr>
                    <w:alias w:val="8.2 pp."/>
                    <w:tag w:val="part_82332a2854bc4022b90b8036b73e429e"/>
                    <w:lock w:val="sdtLocked"/>
                    <w:richText/>
                  </w:sdtPr>
                  <w:sdtContent>
                    <w:p>
                      <w:pPr>
                        <w:keepNext/>
                        <w:keepLines/>
                        <w:spacing w:line="259" w:lineRule="auto"/>
                        <w:jc w:val="center"/>
                        <w:outlineLvl w:val="1"/>
                        <w:rPr>
                          <w:rFonts w:ascii="Arial" w:hAnsi="Arial" w:cs="Arial"/>
                          <w:b/>
                          <w:color w:val="002060"/>
                          <w:szCs w:val="26"/>
                        </w:rPr>
                      </w:pPr>
                      <w:sdt>
                        <w:sdtPr>
                          <w:alias w:val="Numeris"/>
                          <w:tag w:val="nr_82332a2854bc4022b90b8036b73e429e"/>
                          <w:lock w:val="sdtLocked"/>
                          <w:richText/>
                        </w:sdtPr>
                        <w:sdtContent>
                          <w:r>
                            <w:rPr>
                              <w:rFonts w:ascii="Arial" w:hAnsi="Arial" w:cs="Arial"/>
                              <w:b/>
                              <w:color w:val="002060"/>
                              <w:szCs w:val="26"/>
                            </w:rPr>
                            <w:t>8.2</w:t>
                          </w:r>
                        </w:sdtContent>
                      </w:sdt>
                      <w:r>
                        <w:rPr>
                          <w:rFonts w:ascii="Arial" w:hAnsi="Arial" w:cs="Arial"/>
                          <w:b/>
                          <w:color w:val="002060"/>
                          <w:szCs w:val="26"/>
                        </w:rPr>
                        <w:t>. Savivaldybės AIE 1 koncepcinis scenarijus</w:t>
                      </w:r>
                    </w:p>
                    <w:p>
                      <w:pPr>
                        <w:rPr>
                          <w:sz w:val="14"/>
                          <w:szCs w:val="14"/>
                        </w:rPr>
                      </w:pPr>
                    </w:p>
                    <w:p>
                      <w:pPr>
                        <w:spacing w:line="259" w:lineRule="auto"/>
                        <w:ind w:firstLine="567"/>
                        <w:jc w:val="both"/>
                        <w:rPr>
                          <w:rFonts w:ascii="Arial" w:hAnsi="Arial" w:cs="Arial"/>
                          <w:sz w:val="22"/>
                        </w:rPr>
                      </w:pPr>
                      <w:r>
                        <w:rPr>
                          <w:rFonts w:ascii="Arial" w:hAnsi="Arial" w:cs="Arial"/>
                          <w:sz w:val="22"/>
                        </w:rPr>
                        <w:t>Tai scenarijus be papildomų priemonių („veiklos kaip įprasta“). Pagal 2030 m. apskaičiuotas prognozes sudaromas galutinis energijos suvartojimo Joniškio rajono savivaldybėje vartojimo balansas.</w:t>
                      </w:r>
                    </w:p>
                    <w:p>
                      <w:pPr>
                        <w:rPr>
                          <w:sz w:val="14"/>
                          <w:szCs w:val="14"/>
                        </w:rPr>
                      </w:pPr>
                    </w:p>
                    <w:p>
                      <w:pPr>
                        <w:spacing w:line="259" w:lineRule="auto"/>
                        <w:ind w:firstLine="567"/>
                        <w:jc w:val="both"/>
                        <w:rPr>
                          <w:rFonts w:ascii="Arial" w:hAnsi="Arial" w:cs="Arial"/>
                          <w:sz w:val="22"/>
                        </w:rPr>
                      </w:pPr>
                      <w:r>
                        <w:rPr>
                          <w:rFonts w:ascii="Arial" w:hAnsi="Arial" w:cs="Arial"/>
                          <w:sz w:val="22"/>
                        </w:rPr>
                        <w:t>Prognozuojamų poreikių atskiruose vartojimo sektoriuose skaičiavimai pateikti 5.3 skyriuje, o jų skaičiavimo metodika – 6 skyriuje. AIE dalis šiame scenarijuje nustatoma ekspertiniu vertinimu, ji lieka tokia pati kaip esamoje situacijoje, t. y. jei energijos vartojimo kiekiai padidėjo ar sumažėjo pagal atliktus prognozės skaičiavimus, tai AIE dalis lieka tokia pati. Energijos nuostolių proporcijos taip pat lieka nepakitę.</w:t>
                      </w:r>
                    </w:p>
                    <w:p>
                      <w:pPr>
                        <w:rPr>
                          <w:sz w:val="14"/>
                          <w:szCs w:val="14"/>
                        </w:rPr>
                      </w:pPr>
                    </w:p>
                    <w:sdt>
                      <w:sdtPr>
                        <w:alias w:val="8.2.1 pp."/>
                        <w:tag w:val="part_c3698fef359749c6aaf2649aa495d70a"/>
                        <w:lock w:val="sdtLocked"/>
                        <w:richText/>
                      </w:sdtPr>
                      <w:sdtContent>
                        <w:p>
                          <w:pPr>
                            <w:spacing w:line="259" w:lineRule="auto"/>
                            <w:jc w:val="center"/>
                            <w:rPr>
                              <w:rFonts w:ascii="Arial" w:eastAsia="Calibri" w:hAnsi="Arial" w:cs="Arial"/>
                              <w:b/>
                              <w:color w:val="002060"/>
                              <w:sz w:val="22"/>
                              <w:szCs w:val="32"/>
                            </w:rPr>
                          </w:pPr>
                          <w:sdt>
                            <w:sdtPr>
                              <w:alias w:val="Numeris"/>
                              <w:tag w:val="nr_c3698fef359749c6aaf2649aa495d70a"/>
                              <w:lock w:val="sdtLocked"/>
                              <w:richText/>
                            </w:sdtPr>
                            <w:sdtContent>
                              <w:r>
                                <w:rPr>
                                  <w:rFonts w:ascii="Arial" w:eastAsia="Calibri" w:hAnsi="Arial" w:cs="Arial"/>
                                  <w:b/>
                                  <w:color w:val="002060"/>
                                  <w:sz w:val="22"/>
                                  <w:szCs w:val="32"/>
                                </w:rPr>
                                <w:t>8.2.1</w:t>
                              </w:r>
                            </w:sdtContent>
                          </w:sdt>
                          <w:r>
                            <w:rPr>
                              <w:rFonts w:ascii="Arial" w:eastAsia="Calibri" w:hAnsi="Arial" w:cs="Arial"/>
                              <w:b/>
                              <w:color w:val="002060"/>
                              <w:sz w:val="22"/>
                              <w:szCs w:val="32"/>
                            </w:rPr>
                            <w:t>. lentelė. Galutinis energijos vartojimas savivaldybėje (AIE 1 scenarijus), tne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4129"/>
                            <w:gridCol w:w="995"/>
                            <w:gridCol w:w="995"/>
                          </w:tblGrid>
                          <w:tr>
                            <w:trPr>
                              <w:trHeight w:val="20"/>
                              <w:jc w:val="center"/>
                            </w:trPr>
                            <w:tc>
                              <w:tcPr>
                                <w:tcW w:w="0" w:type="auto"/>
                                <w:hideMark/>
                              </w:tcPr>
                              <w:p>
                                <w:pPr>
                                  <w:jc w:val="center"/>
                                  <w:rPr>
                                    <w:rFonts w:ascii="Arial" w:hAnsi="Arial" w:cs="Arial"/>
                                    <w:sz w:val="22"/>
                                    <w:szCs w:val="18"/>
                                    <w:lang w:eastAsia="lt-LT"/>
                                  </w:rPr>
                                </w:pPr>
                                <w:r>
                                  <w:rPr>
                                    <w:rFonts w:ascii="Arial" w:hAnsi="Arial" w:cs="Arial"/>
                                    <w:sz w:val="22"/>
                                    <w:szCs w:val="18"/>
                                    <w:lang w:eastAsia="lt-LT"/>
                                  </w:rPr>
                                  <w:t>Energijos išteklių rūšis</w:t>
                                </w:r>
                              </w:p>
                            </w:tc>
                            <w:tc>
                              <w:tcPr>
                                <w:tcW w:w="0" w:type="auto"/>
                                <w:hideMark/>
                              </w:tcPr>
                              <w:p>
                                <w:pPr>
                                  <w:jc w:val="center"/>
                                  <w:rPr>
                                    <w:rFonts w:ascii="Arial" w:hAnsi="Arial" w:cs="Arial"/>
                                    <w:sz w:val="22"/>
                                    <w:szCs w:val="18"/>
                                    <w:lang w:eastAsia="lt-LT"/>
                                  </w:rPr>
                                </w:pPr>
                                <w:r>
                                  <w:rPr>
                                    <w:rFonts w:ascii="Arial" w:hAnsi="Arial" w:cs="Arial"/>
                                    <w:sz w:val="22"/>
                                    <w:szCs w:val="18"/>
                                    <w:lang w:eastAsia="lt-LT"/>
                                  </w:rPr>
                                  <w:t>Iš viso</w:t>
                                </w:r>
                              </w:p>
                            </w:tc>
                            <w:tc>
                              <w:tcPr>
                                <w:tcW w:w="0" w:type="auto"/>
                                <w:hideMark/>
                              </w:tcPr>
                              <w:p>
                                <w:pPr>
                                  <w:jc w:val="center"/>
                                  <w:rPr>
                                    <w:rFonts w:ascii="Arial" w:hAnsi="Arial" w:cs="Arial"/>
                                    <w:sz w:val="22"/>
                                    <w:szCs w:val="18"/>
                                    <w:lang w:eastAsia="lt-LT"/>
                                  </w:rPr>
                                </w:pPr>
                                <w:r>
                                  <w:rPr>
                                    <w:rFonts w:ascii="Arial" w:hAnsi="Arial" w:cs="Arial"/>
                                    <w:sz w:val="22"/>
                                    <w:szCs w:val="18"/>
                                    <w:lang w:eastAsia="lt-LT"/>
                                  </w:rPr>
                                  <w:t>AIE</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Benzinas</w:t>
                                </w:r>
                              </w:p>
                            </w:tc>
                            <w:tc>
                              <w:tcPr>
                                <w:tcW w:w="0" w:type="auto"/>
                              </w:tcPr>
                              <w:p>
                                <w:pPr>
                                  <w:jc w:val="center"/>
                                  <w:rPr>
                                    <w:rFonts w:ascii="Arial" w:hAnsi="Arial" w:cs="Arial"/>
                                    <w:color w:val="000000"/>
                                    <w:sz w:val="20"/>
                                    <w:lang w:eastAsia="lt-LT"/>
                                  </w:rPr>
                                </w:pPr>
                                <w:r>
                                  <w:rPr>
                                    <w:rFonts w:ascii="Arial" w:hAnsi="Arial" w:cs="Arial"/>
                                    <w:sz w:val="20"/>
                                  </w:rPr>
                                  <w:t>447,7</w:t>
                                </w:r>
                              </w:p>
                            </w:tc>
                            <w:tc>
                              <w:tcPr>
                                <w:tcW w:w="0" w:type="auto"/>
                              </w:tcPr>
                              <w:p>
                                <w:pPr>
                                  <w:jc w:val="center"/>
                                  <w:rPr>
                                    <w:rFonts w:ascii="Arial" w:hAnsi="Arial" w:cs="Arial"/>
                                    <w:color w:val="000000"/>
                                    <w:sz w:val="20"/>
                                    <w:lang w:eastAsia="lt-LT"/>
                                  </w:rPr>
                                </w:pPr>
                                <w:r>
                                  <w:rPr>
                                    <w:rFonts w:ascii="Arial" w:hAnsi="Arial" w:cs="Arial"/>
                                    <w:sz w:val="20"/>
                                  </w:rPr>
                                  <w:t>29,5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Dyzelinas</w:t>
                                </w:r>
                              </w:p>
                            </w:tc>
                            <w:tc>
                              <w:tcPr>
                                <w:tcW w:w="0" w:type="auto"/>
                              </w:tcPr>
                              <w:p>
                                <w:pPr>
                                  <w:jc w:val="center"/>
                                  <w:rPr>
                                    <w:rFonts w:ascii="Arial" w:hAnsi="Arial" w:cs="Arial"/>
                                    <w:color w:val="000000"/>
                                    <w:sz w:val="20"/>
                                    <w:lang w:eastAsia="lt-LT"/>
                                  </w:rPr>
                                </w:pPr>
                                <w:r>
                                  <w:rPr>
                                    <w:rFonts w:ascii="Arial" w:hAnsi="Arial" w:cs="Arial"/>
                                    <w:sz w:val="20"/>
                                  </w:rPr>
                                  <w:t>43,9</w:t>
                                </w:r>
                              </w:p>
                            </w:tc>
                            <w:tc>
                              <w:tcPr>
                                <w:tcW w:w="0" w:type="auto"/>
                              </w:tcPr>
                              <w:p>
                                <w:pPr>
                                  <w:jc w:val="center"/>
                                  <w:rPr>
                                    <w:rFonts w:ascii="Arial" w:hAnsi="Arial" w:cs="Arial"/>
                                    <w:color w:val="000000"/>
                                    <w:sz w:val="20"/>
                                    <w:lang w:eastAsia="lt-LT"/>
                                  </w:rPr>
                                </w:pPr>
                                <w:r>
                                  <w:rPr>
                                    <w:rFonts w:ascii="Arial" w:hAnsi="Arial" w:cs="Arial"/>
                                    <w:sz w:val="20"/>
                                  </w:rPr>
                                  <w:t>2,7</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Suskystintos naftos dujos</w:t>
                                </w:r>
                              </w:p>
                            </w:tc>
                            <w:tc>
                              <w:tcPr>
                                <w:tcW w:w="0" w:type="auto"/>
                              </w:tcPr>
                              <w:p>
                                <w:pPr>
                                  <w:jc w:val="center"/>
                                  <w:rPr>
                                    <w:rFonts w:ascii="Arial" w:hAnsi="Arial" w:cs="Arial"/>
                                    <w:color w:val="000000"/>
                                    <w:sz w:val="20"/>
                                    <w:lang w:eastAsia="lt-LT"/>
                                  </w:rPr>
                                </w:pPr>
                                <w:r>
                                  <w:rPr>
                                    <w:rFonts w:ascii="Arial" w:hAnsi="Arial" w:cs="Arial"/>
                                    <w:sz w:val="20"/>
                                  </w:rPr>
                                  <w:t>57,1</w:t>
                                </w:r>
                              </w:p>
                            </w:tc>
                            <w:tc>
                              <w:tcPr>
                                <w:tcW w:w="0" w:type="auto"/>
                              </w:tcPr>
                              <w:p>
                                <w:pPr>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Skystas kuras</w:t>
                                </w:r>
                              </w:p>
                            </w:tc>
                            <w:tc>
                              <w:tcPr>
                                <w:tcW w:w="0" w:type="auto"/>
                              </w:tcPr>
                              <w:p>
                                <w:pPr>
                                  <w:jc w:val="center"/>
                                  <w:rPr>
                                    <w:rFonts w:ascii="Arial" w:hAnsi="Arial" w:cs="Arial"/>
                                    <w:color w:val="000000"/>
                                    <w:sz w:val="20"/>
                                    <w:lang w:eastAsia="lt-LT"/>
                                  </w:rPr>
                                </w:pPr>
                                <w:r>
                                  <w:rPr>
                                    <w:rFonts w:ascii="Arial" w:hAnsi="Arial" w:cs="Arial"/>
                                    <w:sz w:val="20"/>
                                  </w:rPr>
                                  <w:t>335,5</w:t>
                                </w:r>
                              </w:p>
                            </w:tc>
                            <w:tc>
                              <w:tcPr>
                                <w:tcW w:w="0" w:type="auto"/>
                              </w:tcPr>
                              <w:p>
                                <w:pPr>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Anglys ir durpės</w:t>
                                </w:r>
                              </w:p>
                            </w:tc>
                            <w:tc>
                              <w:tcPr>
                                <w:tcW w:w="0" w:type="auto"/>
                              </w:tcPr>
                              <w:p>
                                <w:pPr>
                                  <w:jc w:val="center"/>
                                  <w:rPr>
                                    <w:rFonts w:ascii="Arial" w:hAnsi="Arial" w:cs="Arial"/>
                                    <w:color w:val="000000"/>
                                    <w:sz w:val="20"/>
                                    <w:lang w:eastAsia="lt-LT"/>
                                  </w:rPr>
                                </w:pPr>
                                <w:r>
                                  <w:rPr>
                                    <w:rFonts w:ascii="Arial" w:hAnsi="Arial" w:cs="Arial"/>
                                    <w:sz w:val="20"/>
                                  </w:rPr>
                                  <w:t>663,8</w:t>
                                </w:r>
                              </w:p>
                            </w:tc>
                            <w:tc>
                              <w:tcPr>
                                <w:tcW w:w="0" w:type="auto"/>
                              </w:tcPr>
                              <w:p>
                                <w:pPr>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Gamtinės dujos</w:t>
                                </w:r>
                              </w:p>
                            </w:tc>
                            <w:tc>
                              <w:tcPr>
                                <w:tcW w:w="0" w:type="auto"/>
                              </w:tcPr>
                              <w:p>
                                <w:pPr>
                                  <w:jc w:val="center"/>
                                  <w:rPr>
                                    <w:rFonts w:ascii="Arial" w:hAnsi="Arial" w:cs="Arial"/>
                                    <w:color w:val="000000"/>
                                    <w:sz w:val="20"/>
                                    <w:lang w:eastAsia="lt-LT"/>
                                  </w:rPr>
                                </w:pPr>
                                <w:r>
                                  <w:rPr>
                                    <w:rFonts w:ascii="Arial" w:hAnsi="Arial" w:cs="Arial"/>
                                    <w:sz w:val="20"/>
                                  </w:rPr>
                                  <w:t>1418,6</w:t>
                                </w:r>
                              </w:p>
                            </w:tc>
                            <w:tc>
                              <w:tcPr>
                                <w:tcW w:w="0" w:type="auto"/>
                              </w:tcPr>
                              <w:p>
                                <w:pPr>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Biokuras (mediena)</w:t>
                                </w:r>
                              </w:p>
                            </w:tc>
                            <w:tc>
                              <w:tcPr>
                                <w:tcW w:w="0" w:type="auto"/>
                              </w:tcPr>
                              <w:p>
                                <w:pPr>
                                  <w:jc w:val="center"/>
                                  <w:rPr>
                                    <w:rFonts w:ascii="Arial" w:hAnsi="Arial" w:cs="Arial"/>
                                    <w:color w:val="000000"/>
                                    <w:sz w:val="20"/>
                                    <w:lang w:eastAsia="lt-LT"/>
                                  </w:rPr>
                                </w:pPr>
                                <w:r>
                                  <w:rPr>
                                    <w:rFonts w:ascii="Arial" w:hAnsi="Arial" w:cs="Arial"/>
                                    <w:sz w:val="20"/>
                                  </w:rPr>
                                  <w:t>8790,8</w:t>
                                </w:r>
                              </w:p>
                            </w:tc>
                            <w:tc>
                              <w:tcPr>
                                <w:tcW w:w="0" w:type="auto"/>
                              </w:tcPr>
                              <w:p>
                                <w:pPr>
                                  <w:jc w:val="center"/>
                                  <w:rPr>
                                    <w:rFonts w:ascii="Arial" w:hAnsi="Arial" w:cs="Arial"/>
                                    <w:color w:val="000000"/>
                                    <w:sz w:val="20"/>
                                    <w:lang w:eastAsia="lt-LT"/>
                                  </w:rPr>
                                </w:pPr>
                                <w:r>
                                  <w:rPr>
                                    <w:rFonts w:ascii="Arial" w:hAnsi="Arial" w:cs="Arial"/>
                                    <w:sz w:val="20"/>
                                  </w:rPr>
                                  <w:t>8790,8</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Elektros energija</w:t>
                                </w:r>
                              </w:p>
                            </w:tc>
                            <w:tc>
                              <w:tcPr>
                                <w:tcW w:w="0" w:type="auto"/>
                              </w:tcPr>
                              <w:p>
                                <w:pPr>
                                  <w:jc w:val="center"/>
                                  <w:rPr>
                                    <w:rFonts w:ascii="Arial" w:hAnsi="Arial" w:cs="Arial"/>
                                    <w:color w:val="000000"/>
                                    <w:sz w:val="20"/>
                                    <w:lang w:eastAsia="lt-LT"/>
                                  </w:rPr>
                                </w:pPr>
                                <w:r>
                                  <w:rPr>
                                    <w:rFonts w:ascii="Arial" w:hAnsi="Arial" w:cs="Arial"/>
                                    <w:sz w:val="20"/>
                                  </w:rPr>
                                  <w:t>6082,0</w:t>
                                </w:r>
                              </w:p>
                            </w:tc>
                            <w:tc>
                              <w:tcPr>
                                <w:tcW w:w="0" w:type="auto"/>
                              </w:tcPr>
                              <w:p>
                                <w:pPr>
                                  <w:jc w:val="center"/>
                                  <w:rPr>
                                    <w:rFonts w:ascii="Arial" w:hAnsi="Arial" w:cs="Arial"/>
                                    <w:color w:val="000000"/>
                                    <w:sz w:val="20"/>
                                    <w:lang w:eastAsia="lt-LT"/>
                                  </w:rPr>
                                </w:pPr>
                                <w:r>
                                  <w:rPr>
                                    <w:rFonts w:ascii="Arial" w:hAnsi="Arial" w:cs="Arial"/>
                                    <w:sz w:val="20"/>
                                  </w:rPr>
                                  <w:t>1652,5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Aplinkos šiluminė energija (šilumos siurbliai)</w:t>
                                </w:r>
                              </w:p>
                            </w:tc>
                            <w:tc>
                              <w:tcPr>
                                <w:tcW w:w="0" w:type="auto"/>
                              </w:tcPr>
                              <w:p>
                                <w:pPr>
                                  <w:jc w:val="center"/>
                                  <w:rPr>
                                    <w:rFonts w:ascii="Arial" w:hAnsi="Arial" w:cs="Arial"/>
                                    <w:color w:val="000000"/>
                                    <w:sz w:val="20"/>
                                    <w:lang w:eastAsia="lt-LT"/>
                                  </w:rPr>
                                </w:pPr>
                                <w:r>
                                  <w:rPr>
                                    <w:rFonts w:ascii="Arial" w:hAnsi="Arial" w:cs="Arial"/>
                                    <w:sz w:val="20"/>
                                  </w:rPr>
                                  <w:t>377,5</w:t>
                                </w:r>
                              </w:p>
                            </w:tc>
                            <w:tc>
                              <w:tcPr>
                                <w:tcW w:w="0" w:type="auto"/>
                              </w:tcPr>
                              <w:p>
                                <w:pPr>
                                  <w:jc w:val="center"/>
                                  <w:rPr>
                                    <w:rFonts w:ascii="Arial" w:hAnsi="Arial" w:cs="Arial"/>
                                    <w:color w:val="000000"/>
                                    <w:sz w:val="20"/>
                                    <w:lang w:eastAsia="lt-LT"/>
                                  </w:rPr>
                                </w:pPr>
                                <w:r>
                                  <w:rPr>
                                    <w:rFonts w:ascii="Arial" w:hAnsi="Arial" w:cs="Arial"/>
                                    <w:sz w:val="20"/>
                                  </w:rPr>
                                  <w:t>377,5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Kitos kuro ir energijos rūšys</w:t>
                                </w:r>
                              </w:p>
                            </w:tc>
                            <w:tc>
                              <w:tcPr>
                                <w:tcW w:w="0" w:type="auto"/>
                              </w:tcPr>
                              <w:p>
                                <w:pPr>
                                  <w:jc w:val="center"/>
                                  <w:rPr>
                                    <w:rFonts w:ascii="Arial" w:hAnsi="Arial" w:cs="Arial"/>
                                    <w:b/>
                                    <w:bCs/>
                                    <w:color w:val="000000"/>
                                    <w:sz w:val="20"/>
                                    <w:lang w:eastAsia="lt-LT"/>
                                  </w:rPr>
                                </w:pPr>
                                <w:r>
                                  <w:rPr>
                                    <w:rFonts w:ascii="Arial" w:hAnsi="Arial" w:cs="Arial"/>
                                    <w:sz w:val="20"/>
                                  </w:rPr>
                                  <w:t>283,1</w:t>
                                </w:r>
                              </w:p>
                            </w:tc>
                            <w:tc>
                              <w:tcPr>
                                <w:tcW w:w="0" w:type="auto"/>
                              </w:tcPr>
                              <w:p>
                                <w:pPr>
                                  <w:jc w:val="center"/>
                                  <w:rPr>
                                    <w:rFonts w:ascii="Arial" w:hAnsi="Arial" w:cs="Arial"/>
                                    <w:color w:val="000000"/>
                                    <w:sz w:val="20"/>
                                    <w:lang w:eastAsia="lt-LT"/>
                                  </w:rPr>
                                </w:pP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Šilumos energija (CŠT)</w:t>
                                </w:r>
                              </w:p>
                            </w:tc>
                            <w:tc>
                              <w:tcPr>
                                <w:tcW w:w="0" w:type="auto"/>
                              </w:tcPr>
                              <w:p>
                                <w:pPr>
                                  <w:jc w:val="center"/>
                                  <w:rPr>
                                    <w:rFonts w:ascii="Arial" w:hAnsi="Arial" w:cs="Arial"/>
                                    <w:b/>
                                    <w:bCs/>
                                    <w:color w:val="000000"/>
                                    <w:sz w:val="20"/>
                                  </w:rPr>
                                </w:pPr>
                                <w:r>
                                  <w:rPr>
                                    <w:rFonts w:ascii="Arial" w:hAnsi="Arial" w:cs="Arial"/>
                                    <w:sz w:val="20"/>
                                  </w:rPr>
                                  <w:t>1630,6</w:t>
                                </w:r>
                              </w:p>
                            </w:tc>
                            <w:tc>
                              <w:tcPr>
                                <w:tcW w:w="0" w:type="auto"/>
                              </w:tcPr>
                              <w:p>
                                <w:pPr>
                                  <w:jc w:val="center"/>
                                  <w:rPr>
                                    <w:rFonts w:ascii="Arial" w:hAnsi="Arial" w:cs="Arial"/>
                                    <w:b/>
                                    <w:bCs/>
                                    <w:color w:val="000000"/>
                                    <w:sz w:val="20"/>
                                  </w:rPr>
                                </w:pPr>
                                <w:r>
                                  <w:rPr>
                                    <w:rFonts w:ascii="Arial" w:hAnsi="Arial" w:cs="Arial"/>
                                    <w:sz w:val="20"/>
                                  </w:rPr>
                                  <w:t>1358,3</w:t>
                                </w:r>
                              </w:p>
                            </w:tc>
                          </w:tr>
                          <w:tr>
                            <w:trPr>
                              <w:trHeight w:val="20"/>
                              <w:jc w:val="center"/>
                            </w:trPr>
                            <w:tc>
                              <w:tcPr>
                                <w:tcW w:w="0" w:type="auto"/>
                              </w:tcPr>
                              <w:p>
                                <w:pPr>
                                  <w:jc w:val="right"/>
                                  <w:rPr>
                                    <w:rFonts w:ascii="Arial" w:hAnsi="Arial" w:cs="Arial"/>
                                    <w:color w:val="000000"/>
                                    <w:sz w:val="20"/>
                                    <w:lang w:eastAsia="lt-LT"/>
                                  </w:rPr>
                                </w:pPr>
                                <w:r>
                                  <w:rPr>
                                    <w:rFonts w:ascii="Arial" w:hAnsi="Arial" w:cs="Arial"/>
                                    <w:color w:val="000000"/>
                                    <w:sz w:val="20"/>
                                    <w:lang w:eastAsia="lt-LT"/>
                                  </w:rPr>
                                  <w:t>Iš viso</w:t>
                                </w:r>
                              </w:p>
                            </w:tc>
                            <w:tc>
                              <w:tcPr>
                                <w:tcW w:w="0" w:type="auto"/>
                              </w:tcPr>
                              <w:p>
                                <w:pPr>
                                  <w:jc w:val="center"/>
                                  <w:rPr>
                                    <w:rFonts w:ascii="Arial" w:hAnsi="Arial" w:cs="Arial"/>
                                    <w:b/>
                                    <w:bCs/>
                                    <w:color w:val="000000"/>
                                    <w:sz w:val="20"/>
                                  </w:rPr>
                                </w:pPr>
                                <w:r>
                                  <w:rPr>
                                    <w:rFonts w:ascii="Arial" w:hAnsi="Arial" w:cs="Arial"/>
                                    <w:b/>
                                    <w:bCs/>
                                    <w:sz w:val="20"/>
                                  </w:rPr>
                                  <w:t>20 130,6</w:t>
                                </w:r>
                              </w:p>
                            </w:tc>
                            <w:tc>
                              <w:tcPr>
                                <w:tcW w:w="0" w:type="auto"/>
                              </w:tcPr>
                              <w:p>
                                <w:pPr>
                                  <w:jc w:val="center"/>
                                  <w:rPr>
                                    <w:rFonts w:ascii="Arial" w:hAnsi="Arial" w:cs="Arial"/>
                                    <w:b/>
                                    <w:bCs/>
                                    <w:color w:val="000000"/>
                                    <w:sz w:val="20"/>
                                  </w:rPr>
                                </w:pPr>
                                <w:r>
                                  <w:rPr>
                                    <w:rFonts w:ascii="Arial" w:hAnsi="Arial" w:cs="Arial"/>
                                    <w:b/>
                                    <w:bCs/>
                                    <w:sz w:val="20"/>
                                  </w:rPr>
                                  <w:t>12 211,3</w:t>
                                </w:r>
                              </w:p>
                            </w:tc>
                          </w:tr>
                          <w:tr>
                            <w:trPr>
                              <w:trHeight w:val="20"/>
                              <w:jc w:val="center"/>
                            </w:trPr>
                            <w:tc>
                              <w:tcPr>
                                <w:tcW w:w="0" w:type="auto"/>
                                <w:gridSpan w:val="2"/>
                                <w:hideMark/>
                              </w:tcPr>
                              <w:p>
                                <w:pPr>
                                  <w:jc w:val="right"/>
                                  <w:rPr>
                                    <w:rFonts w:ascii="Arial" w:hAnsi="Arial" w:cs="Arial"/>
                                    <w:color w:val="000000"/>
                                    <w:sz w:val="20"/>
                                    <w:lang w:eastAsia="lt-LT"/>
                                  </w:rPr>
                                </w:pPr>
                                <w:r>
                                  <w:rPr>
                                    <w:rFonts w:ascii="Arial" w:hAnsi="Arial" w:cs="Arial"/>
                                    <w:color w:val="000000"/>
                                    <w:sz w:val="20"/>
                                    <w:lang w:eastAsia="lt-LT"/>
                                  </w:rPr>
                                  <w:t>AIE dalis, proc.</w:t>
                                </w:r>
                              </w:p>
                            </w:tc>
                            <w:tc>
                              <w:tcPr>
                                <w:tcW w:w="0" w:type="auto"/>
                                <w:hideMark/>
                              </w:tcPr>
                              <w:p>
                                <w:pPr>
                                  <w:jc w:val="center"/>
                                  <w:rPr>
                                    <w:rFonts w:ascii="Arial" w:hAnsi="Arial" w:cs="Arial"/>
                                    <w:b/>
                                    <w:bCs/>
                                    <w:color w:val="000000"/>
                                    <w:sz w:val="20"/>
                                    <w:lang w:eastAsia="lt-LT"/>
                                  </w:rPr>
                                </w:pPr>
                                <w:r>
                                  <w:rPr>
                                    <w:rFonts w:ascii="Arial" w:hAnsi="Arial" w:cs="Arial"/>
                                    <w:b/>
                                    <w:bCs/>
                                    <w:color w:val="000000"/>
                                    <w:sz w:val="20"/>
                                    <w:lang w:eastAsia="lt-LT"/>
                                  </w:rPr>
                                  <w:t>60,7</w:t>
                                </w:r>
                              </w:p>
                            </w:tc>
                          </w:tr>
                        </w:tbl>
                        <w:p>
                          <w:pPr>
                            <w:spacing w:line="259" w:lineRule="auto"/>
                            <w:jc w:val="center"/>
                            <w:rPr>
                              <w:rFonts w:ascii="Arial" w:eastAsia="SegoeUI" w:hAnsi="Arial" w:cs="Arial"/>
                              <w:i/>
                              <w:iCs/>
                              <w:sz w:val="18"/>
                              <w:szCs w:val="18"/>
                            </w:rPr>
                          </w:pPr>
                          <w:r>
                            <w:rPr>
                              <w:rFonts w:ascii="Arial" w:eastAsia="SegoeUI"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Pažymėtina, kad šio scenarijaus atveju savivaldybėje bendras energijos vartojimas didėja (pagrinde dėl didėjančio BVP rodiklio), todėl AIE dalis šio scenarijaus atveju, be papildomų suplanuotų priemonių, 2030 m. padidės tik iki 60,7 proc., kai 2021 m. AIE dalis siekė 60,6 proc. </w:t>
                          </w:r>
                        </w:p>
                        <w:p>
                          <w:pPr>
                            <w:rPr>
                              <w:sz w:val="14"/>
                              <w:szCs w:val="14"/>
                            </w:rPr>
                          </w:pPr>
                        </w:p>
                      </w:sdtContent>
                    </w:sdt>
                  </w:sdtContent>
                </w:sdt>
                <w:sdt>
                  <w:sdtPr>
                    <w:alias w:val="8.3 pp."/>
                    <w:tag w:val="part_173d93fb1c0d43a88c2c44fc9f12693b"/>
                    <w:lock w:val="sdtLocked"/>
                    <w:richText/>
                  </w:sdtPr>
                  <w:sdtContent>
                    <w:p>
                      <w:pPr>
                        <w:keepNext/>
                        <w:keepLines/>
                        <w:spacing w:line="259" w:lineRule="auto"/>
                        <w:jc w:val="center"/>
                        <w:outlineLvl w:val="1"/>
                        <w:rPr>
                          <w:rFonts w:ascii="Arial" w:hAnsi="Arial" w:cs="Arial"/>
                          <w:b/>
                          <w:color w:val="002060"/>
                          <w:szCs w:val="26"/>
                        </w:rPr>
                      </w:pPr>
                      <w:sdt>
                        <w:sdtPr>
                          <w:alias w:val="Numeris"/>
                          <w:tag w:val="nr_173d93fb1c0d43a88c2c44fc9f12693b"/>
                          <w:lock w:val="sdtLocked"/>
                          <w:richText/>
                        </w:sdtPr>
                        <w:sdtContent>
                          <w:r>
                            <w:rPr>
                              <w:rFonts w:ascii="Arial" w:hAnsi="Arial" w:cs="Arial"/>
                              <w:b/>
                              <w:color w:val="002060"/>
                              <w:szCs w:val="26"/>
                            </w:rPr>
                            <w:t>8.3</w:t>
                          </w:r>
                        </w:sdtContent>
                      </w:sdt>
                      <w:r>
                        <w:rPr>
                          <w:rFonts w:ascii="Arial" w:hAnsi="Arial" w:cs="Arial"/>
                          <w:b/>
                          <w:color w:val="002060"/>
                          <w:szCs w:val="26"/>
                        </w:rPr>
                        <w:t>. Savivaldybės AIE 2 koncepcinis scenarijus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Ankstesniame skyriuje buvo prognozuojami energijos poreikiai iki 2030 m. be papildomų priemonių. Gauti rezultatai rodo, kad neinvestuojant į jokias papildomas priemones, 2030 m. AIE dalis savivaldybėje padidės iki 60,7 proc.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Antrasis scenarijus apima AIE technologijų integravimą savivaldybei priklausančiuose pastatuose. AIE technologijų diegimas nagrinėjamas tokia tvarka: </w:t>
                      </w:r>
                    </w:p>
                    <w:p>
                      <w:pPr>
                        <w:rPr>
                          <w:sz w:val="14"/>
                          <w:szCs w:val="14"/>
                        </w:rPr>
                      </w:pPr>
                    </w:p>
                  </w:sdtContent>
                </w:sdt>
              </w:sdtContent>
            </w:sdt>
            <w:sdt>
              <w:sdtPr>
                <w:alias w:val="1 p."/>
                <w:tag w:val="part_2a1b43d91c764ad682ebe50f90f29983"/>
                <w:lock w:val="sdtLocked"/>
                <w:richText/>
              </w:sdtPr>
              <w:sdtContent>
                <w:p>
                  <w:pPr>
                    <w:spacing w:line="259" w:lineRule="auto"/>
                    <w:ind w:left="567" w:hanging="567"/>
                    <w:jc w:val="both"/>
                    <w:rPr>
                      <w:rFonts w:ascii="Arial" w:hAnsi="Arial" w:cs="Arial"/>
                      <w:sz w:val="22"/>
                    </w:rPr>
                  </w:pPr>
                  <w:sdt>
                    <w:sdtPr>
                      <w:alias w:val="Numeris"/>
                      <w:tag w:val="nr_2a1b43d91c764ad682ebe50f90f29983"/>
                      <w:lock w:val="sdtLocked"/>
                      <w:richText/>
                    </w:sdtPr>
                    <w:sdtContent>
                      <w:r>
                        <w:rPr>
                          <w:rFonts w:ascii="Arial" w:hAnsi="Arial" w:cs="Arial"/>
                          <w:sz w:val="22"/>
                        </w:rPr>
                        <w:t>1</w:t>
                      </w:r>
                    </w:sdtContent>
                  </w:sdt>
                  <w:r>
                    <w:rPr>
                      <w:rFonts w:ascii="Arial" w:hAnsi="Arial" w:cs="Arial"/>
                      <w:sz w:val="22"/>
                    </w:rPr>
                    <w:t>.</w:t>
                    <w:tab/>
                    <w:t>Saulės kolektoriai karštam vandeniui diegiami pastatuose, kur kompensuotų visą pastato poreikį ir būtų montuojami ant pastato stogo. Prognozuojama, kad iš visų savivaldybės valdomų pastatų skaičiaus kolektoriai bus įrengiami ant 20 proc. pastatų. Bendras įrengtas kolektorių plotas sudarys apie 7 224,2 m</w:t>
                  </w:r>
                  <w:r>
                    <w:rPr>
                      <w:rFonts w:ascii="Arial" w:hAnsi="Arial" w:cs="Arial"/>
                      <w:sz w:val="22"/>
                      <w:vertAlign w:val="superscript"/>
                    </w:rPr>
                    <w:t>2</w:t>
                  </w:r>
                  <w:r>
                    <w:rPr>
                      <w:rFonts w:ascii="Arial" w:hAnsi="Arial" w:cs="Arial"/>
                      <w:sz w:val="22"/>
                    </w:rPr>
                    <w:t>. Šį plotą padauginus iš saulės spinduliuotės intensyvumo (1 047 kWh/m2) ir energijos konversijos efektyvumo rodiklio (0,45), gaunamas saulės šilumos energijos techninis potencialas – 3 403,7 MWh energijos per metus.</w:t>
                  </w:r>
                </w:p>
                <w:p>
                  <w:pPr>
                    <w:rPr>
                      <w:sz w:val="14"/>
                      <w:szCs w:val="14"/>
                    </w:rPr>
                  </w:pPr>
                </w:p>
              </w:sdtContent>
            </w:sdt>
            <w:sdt>
              <w:sdtPr>
                <w:alias w:val="2 p."/>
                <w:tag w:val="part_a262fb08df5a41d2b96eb82ae6dd72f2"/>
                <w:lock w:val="sdtLocked"/>
                <w:richText/>
              </w:sdtPr>
              <w:sdtContent>
                <w:p>
                  <w:pPr>
                    <w:spacing w:line="259" w:lineRule="auto"/>
                    <w:ind w:left="567" w:hanging="567"/>
                    <w:jc w:val="both"/>
                    <w:rPr>
                      <w:rFonts w:ascii="Arial" w:hAnsi="Arial" w:cs="Arial"/>
                      <w:sz w:val="22"/>
                    </w:rPr>
                  </w:pPr>
                  <w:sdt>
                    <w:sdtPr>
                      <w:alias w:val="Numeris"/>
                      <w:tag w:val="nr_a262fb08df5a41d2b96eb82ae6dd72f2"/>
                      <w:lock w:val="sdtLocked"/>
                      <w:richText/>
                    </w:sdtPr>
                    <w:sdtContent>
                      <w:r>
                        <w:rPr>
                          <w:rFonts w:ascii="Arial" w:hAnsi="Arial" w:cs="Arial"/>
                          <w:sz w:val="22"/>
                        </w:rPr>
                        <w:t>2</w:t>
                      </w:r>
                    </w:sdtContent>
                  </w:sdt>
                  <w:r>
                    <w:rPr>
                      <w:rFonts w:ascii="Arial" w:hAnsi="Arial" w:cs="Arial"/>
                      <w:sz w:val="22"/>
                    </w:rPr>
                    <w:t>.</w:t>
                    <w:tab/>
                    <w:t>Saulės šviesos elektrinės ant savivaldybei priklausančių pastatų stogų gamins elektros energiją. Atlikus skaičiavimus, nurodoma, kad instaliuota saulės šviesos elektrinių galia siektų 2,8 MW. 1 kW galingumo saulės fotovoltinė elektrinė gamina apie 935 kWh per metus, tad apskaičiuojama, kad per metus bus pagaminama 2 618,0 MWh elektros energijos.</w:t>
                  </w:r>
                </w:p>
                <w:p>
                  <w:pPr>
                    <w:rPr>
                      <w:sz w:val="14"/>
                      <w:szCs w:val="14"/>
                    </w:rPr>
                  </w:pPr>
                </w:p>
                <w:p>
                  <w:pPr>
                    <w:spacing w:line="259" w:lineRule="auto"/>
                    <w:ind w:firstLine="567"/>
                    <w:jc w:val="both"/>
                    <w:rPr>
                      <w:rFonts w:ascii="Arial" w:hAnsi="Arial" w:cs="Arial"/>
                      <w:sz w:val="22"/>
                    </w:rPr>
                  </w:pPr>
                  <w:r>
                    <w:rPr>
                      <w:rFonts w:ascii="Arial" w:hAnsi="Arial" w:cs="Arial"/>
                      <w:sz w:val="22"/>
                    </w:rPr>
                    <w:t>Atlikus skaičiavimus, kiek galima pagaminti energijos iš fotomodulių ir kolektorių, kurie diegiami ant pastatų stogų, įvertinamos konkrečios priemonės, jų AIE dalis bendrame energijos vartojime ir reikalingos investicijos joms įgyvendinti.</w:t>
                  </w:r>
                </w:p>
                <w:p>
                  <w:pPr>
                    <w:rPr>
                      <w:sz w:val="14"/>
                      <w:szCs w:val="14"/>
                    </w:rPr>
                  </w:pPr>
                </w:p>
                <w:sdt>
                  <w:sdtPr>
                    <w:alias w:val="8.3.1 pp."/>
                    <w:tag w:val="part_88d391b7b1ac4851a5cecc9596ceaef4"/>
                    <w:lock w:val="sdtLocked"/>
                    <w:richText/>
                  </w:sdtPr>
                  <w:sdtContent>
                    <w:p>
                      <w:pPr>
                        <w:spacing w:line="259" w:lineRule="auto"/>
                        <w:jc w:val="center"/>
                        <w:rPr>
                          <w:rFonts w:ascii="Arial" w:eastAsia="Calibri" w:hAnsi="Arial" w:cs="Arial"/>
                          <w:b/>
                          <w:color w:val="002060"/>
                          <w:sz w:val="22"/>
                          <w:szCs w:val="32"/>
                        </w:rPr>
                      </w:pPr>
                      <w:sdt>
                        <w:sdtPr>
                          <w:alias w:val="Numeris"/>
                          <w:tag w:val="nr_88d391b7b1ac4851a5cecc9596ceaef4"/>
                          <w:lock w:val="sdtLocked"/>
                          <w:richText/>
                        </w:sdtPr>
                        <w:sdtContent>
                          <w:r>
                            <w:rPr>
                              <w:rFonts w:ascii="Arial" w:eastAsia="Calibri" w:hAnsi="Arial" w:cs="Arial"/>
                              <w:b/>
                              <w:color w:val="002060"/>
                              <w:sz w:val="22"/>
                              <w:szCs w:val="32"/>
                            </w:rPr>
                            <w:t>8.3.1</w:t>
                          </w:r>
                        </w:sdtContent>
                      </w:sdt>
                      <w:r>
                        <w:rPr>
                          <w:rFonts w:ascii="Arial" w:eastAsia="Calibri" w:hAnsi="Arial" w:cs="Arial"/>
                          <w:b/>
                          <w:color w:val="002060"/>
                          <w:sz w:val="22"/>
                          <w:szCs w:val="32"/>
                        </w:rPr>
                        <w:t>. lentelė. Gaminti energija iš fotomodulių ir kolektorių</w:t>
                      </w:r>
                    </w:p>
                    <w:p>
                      <w:pPr>
                        <w:rPr>
                          <w:sz w:val="10"/>
                          <w:szCs w:val="10"/>
                        </w:rPr>
                      </w:pPr>
                    </w:p>
                    <w:tbl>
                      <w:tblPr>
                        <w:tblW w:w="4238"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2263"/>
                        <w:gridCol w:w="1276"/>
                        <w:gridCol w:w="1134"/>
                        <w:gridCol w:w="852"/>
                        <w:gridCol w:w="1275"/>
                        <w:gridCol w:w="1841"/>
                      </w:tblGrid>
                      <w:tr>
                        <w:trPr>
                          <w:trHeight w:val="342"/>
                          <w:jc w:val="center"/>
                        </w:trPr>
                        <w:tc>
                          <w:tcPr>
                            <w:tcW w:w="1309" w:type="pct"/>
                            <w:vMerge w:val="restart"/>
                          </w:tcPr>
                          <w:p>
                            <w:pPr>
                              <w:jc w:val="center"/>
                              <w:rPr>
                                <w:rFonts w:ascii="Arial" w:hAnsi="Arial" w:cs="Arial"/>
                                <w:sz w:val="20"/>
                                <w:szCs w:val="16"/>
                              </w:rPr>
                            </w:pPr>
                            <w:r>
                              <w:rPr>
                                <w:rFonts w:ascii="Arial" w:hAnsi="Arial" w:cs="Arial"/>
                                <w:sz w:val="20"/>
                                <w:szCs w:val="16"/>
                              </w:rPr>
                              <w:t>Investicija</w:t>
                            </w:r>
                          </w:p>
                        </w:tc>
                        <w:tc>
                          <w:tcPr>
                            <w:tcW w:w="738" w:type="pct"/>
                            <w:vMerge w:val="restart"/>
                          </w:tcPr>
                          <w:p>
                            <w:pPr>
                              <w:jc w:val="center"/>
                              <w:rPr>
                                <w:rFonts w:ascii="Arial" w:hAnsi="Arial" w:cs="Arial"/>
                                <w:sz w:val="20"/>
                                <w:szCs w:val="16"/>
                                <w:highlight w:val="yellow"/>
                              </w:rPr>
                            </w:pPr>
                            <w:r>
                              <w:rPr>
                                <w:rFonts w:ascii="Arial" w:hAnsi="Arial" w:cs="Arial"/>
                                <w:sz w:val="20"/>
                                <w:szCs w:val="16"/>
                              </w:rPr>
                              <w:t>Parametrai</w:t>
                            </w:r>
                          </w:p>
                        </w:tc>
                        <w:tc>
                          <w:tcPr>
                            <w:tcW w:w="1149" w:type="pct"/>
                            <w:gridSpan w:val="2"/>
                          </w:tcPr>
                          <w:p>
                            <w:pPr>
                              <w:jc w:val="center"/>
                              <w:rPr>
                                <w:rFonts w:ascii="Arial" w:hAnsi="Arial" w:cs="Arial"/>
                                <w:sz w:val="20"/>
                                <w:szCs w:val="16"/>
                              </w:rPr>
                            </w:pPr>
                            <w:r>
                              <w:rPr>
                                <w:rFonts w:ascii="Arial" w:hAnsi="Arial" w:cs="Arial"/>
                                <w:sz w:val="20"/>
                                <w:szCs w:val="16"/>
                              </w:rPr>
                              <w:t>Gaminamos energijos kiekis</w:t>
                            </w:r>
                          </w:p>
                        </w:tc>
                        <w:tc>
                          <w:tcPr>
                            <w:tcW w:w="738" w:type="pct"/>
                            <w:vMerge w:val="restart"/>
                          </w:tcPr>
                          <w:p>
                            <w:pPr>
                              <w:jc w:val="center"/>
                              <w:rPr>
                                <w:rFonts w:ascii="Arial" w:hAnsi="Arial" w:cs="Arial"/>
                                <w:sz w:val="20"/>
                                <w:szCs w:val="16"/>
                              </w:rPr>
                            </w:pPr>
                            <w:r>
                              <w:rPr>
                                <w:rFonts w:ascii="Arial" w:hAnsi="Arial" w:cs="Arial"/>
                                <w:sz w:val="20"/>
                                <w:szCs w:val="16"/>
                              </w:rPr>
                              <w:t>Investicija, mln. Eur</w:t>
                            </w:r>
                          </w:p>
                        </w:tc>
                        <w:tc>
                          <w:tcPr>
                            <w:tcW w:w="1065" w:type="pct"/>
                            <w:vMerge w:val="restart"/>
                          </w:tcPr>
                          <w:p>
                            <w:pPr>
                              <w:jc w:val="center"/>
                              <w:rPr>
                                <w:rFonts w:ascii="Arial" w:hAnsi="Arial" w:cs="Arial"/>
                                <w:sz w:val="20"/>
                                <w:szCs w:val="16"/>
                              </w:rPr>
                            </w:pPr>
                            <w:r>
                              <w:rPr>
                                <w:rFonts w:ascii="Arial" w:hAnsi="Arial" w:cs="Arial"/>
                                <w:sz w:val="20"/>
                                <w:szCs w:val="16"/>
                              </w:rPr>
                              <w:t>Keičiama energijos rūšis</w:t>
                            </w:r>
                          </w:p>
                        </w:tc>
                      </w:tr>
                      <w:tr>
                        <w:trPr>
                          <w:trHeight w:val="205"/>
                          <w:jc w:val="center"/>
                        </w:trPr>
                        <w:tc>
                          <w:tcPr>
                            <w:tcW w:w="1309" w:type="pct"/>
                            <w:vMerge/>
                          </w:tcPr>
                          <w:p>
                            <w:pPr>
                              <w:jc w:val="both"/>
                              <w:rPr>
                                <w:rFonts w:ascii="Arial" w:hAnsi="Arial" w:cs="Arial"/>
                                <w:sz w:val="20"/>
                              </w:rPr>
                            </w:pPr>
                          </w:p>
                        </w:tc>
                        <w:tc>
                          <w:tcPr>
                            <w:tcW w:w="738" w:type="pct"/>
                            <w:vMerge/>
                          </w:tcPr>
                          <w:p>
                            <w:pPr>
                              <w:jc w:val="both"/>
                              <w:rPr>
                                <w:rFonts w:ascii="Arial" w:hAnsi="Arial" w:cs="Arial"/>
                                <w:sz w:val="20"/>
                              </w:rPr>
                            </w:pPr>
                          </w:p>
                        </w:tc>
                        <w:tc>
                          <w:tcPr>
                            <w:tcW w:w="656"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MWh</w:t>
                            </w:r>
                          </w:p>
                        </w:tc>
                        <w:tc>
                          <w:tcPr>
                            <w:tcW w:w="493" w:type="pct"/>
                          </w:tcPr>
                          <w:p>
                            <w:pPr>
                              <w:jc w:val="center"/>
                              <w:rPr>
                                <w:rFonts w:ascii="Arial" w:hAnsi="Arial" w:cs="Arial"/>
                                <w:sz w:val="20"/>
                              </w:rPr>
                            </w:pPr>
                            <w:r>
                              <w:rPr>
                                <w:rFonts w:ascii="Arial" w:hAnsi="Arial" w:cs="Arial"/>
                                <w:sz w:val="20"/>
                              </w:rPr>
                              <w:t>Tne</w:t>
                            </w:r>
                          </w:p>
                        </w:tc>
                        <w:tc>
                          <w:tcPr>
                            <w:tcW w:w="738" w:type="pct"/>
                            <w:vMerge/>
                          </w:tcPr>
                          <w:p>
                            <w:pPr>
                              <w:jc w:val="center"/>
                              <w:rPr>
                                <w:rFonts w:ascii="Arial" w:hAnsi="Arial" w:cs="Arial"/>
                                <w:sz w:val="20"/>
                              </w:rPr>
                            </w:pPr>
                          </w:p>
                        </w:tc>
                        <w:tc>
                          <w:tcPr>
                            <w:tcW w:w="1065" w:type="pct"/>
                            <w:vMerge/>
                          </w:tcPr>
                          <w:p>
                            <w:pPr>
                              <w:jc w:val="center"/>
                              <w:rPr>
                                <w:rFonts w:ascii="Arial" w:hAnsi="Arial" w:cs="Arial"/>
                                <w:sz w:val="20"/>
                              </w:rPr>
                            </w:pPr>
                          </w:p>
                        </w:tc>
                      </w:tr>
                      <w:tr>
                        <w:trPr>
                          <w:trHeight w:val="20"/>
                          <w:jc w:val="center"/>
                        </w:trPr>
                        <w:tc>
                          <w:tcPr>
                            <w:tcW w:w="1309" w:type="pct"/>
                          </w:tcPr>
                          <w:p>
                            <w:pPr>
                              <w:rPr>
                                <w:rFonts w:ascii="Arial" w:hAnsi="Arial" w:cs="Arial"/>
                                <w:sz w:val="20"/>
                              </w:rPr>
                            </w:pPr>
                            <w:r>
                              <w:rPr>
                                <w:rFonts w:ascii="Arial" w:hAnsi="Arial" w:cs="Arial"/>
                                <w:sz w:val="20"/>
                              </w:rPr>
                              <w:t>Fotomodulių įrengimas ant pastatų stogų</w:t>
                            </w:r>
                          </w:p>
                        </w:tc>
                        <w:tc>
                          <w:tcPr>
                            <w:tcW w:w="738" w:type="pct"/>
                          </w:tcPr>
                          <w:p>
                            <w:pPr>
                              <w:jc w:val="center"/>
                              <w:rPr>
                                <w:rFonts w:ascii="Arial" w:hAnsi="Arial" w:cs="Arial"/>
                                <w:sz w:val="20"/>
                              </w:rPr>
                            </w:pPr>
                            <w:r>
                              <w:rPr>
                                <w:rFonts w:ascii="Arial" w:hAnsi="Arial" w:cs="Arial"/>
                                <w:sz w:val="20"/>
                              </w:rPr>
                              <w:t>2,8 MW</w:t>
                            </w:r>
                          </w:p>
                        </w:tc>
                        <w:tc>
                          <w:tcPr>
                            <w:tcW w:w="656"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2 618,0</w:t>
                            </w:r>
                          </w:p>
                        </w:tc>
                        <w:tc>
                          <w:tcPr>
                            <w:tcW w:w="493"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225,2</w:t>
                            </w:r>
                          </w:p>
                        </w:tc>
                        <w:tc>
                          <w:tcPr>
                            <w:tcW w:w="738" w:type="pct"/>
                          </w:tcPr>
                          <w:p>
                            <w:pPr>
                              <w:jc w:val="center"/>
                              <w:rPr>
                                <w:rFonts w:ascii="Arial" w:hAnsi="Arial" w:cs="Arial"/>
                                <w:sz w:val="20"/>
                              </w:rPr>
                            </w:pPr>
                            <w:r>
                              <w:rPr>
                                <w:rFonts w:ascii="Arial" w:hAnsi="Arial" w:cs="Arial"/>
                                <w:sz w:val="20"/>
                              </w:rPr>
                              <w:t>3,64</w:t>
                            </w:r>
                          </w:p>
                        </w:tc>
                        <w:tc>
                          <w:tcPr>
                            <w:tcW w:w="1065" w:type="pct"/>
                          </w:tcPr>
                          <w:p>
                            <w:pPr>
                              <w:jc w:val="center"/>
                              <w:rPr>
                                <w:rFonts w:ascii="Arial" w:hAnsi="Arial" w:cs="Arial"/>
                                <w:sz w:val="20"/>
                              </w:rPr>
                            </w:pPr>
                            <w:r>
                              <w:rPr>
                                <w:rFonts w:ascii="Arial" w:hAnsi="Arial" w:cs="Arial"/>
                                <w:sz w:val="20"/>
                              </w:rPr>
                              <w:t>El. energija iš tinklo</w:t>
                            </w:r>
                          </w:p>
                        </w:tc>
                      </w:tr>
                      <w:tr>
                        <w:trPr>
                          <w:trHeight w:val="514"/>
                          <w:jc w:val="center"/>
                        </w:trPr>
                        <w:tc>
                          <w:tcPr>
                            <w:tcW w:w="1309" w:type="pct"/>
                          </w:tcPr>
                          <w:p>
                            <w:pPr>
                              <w:rPr>
                                <w:rFonts w:ascii="Arial" w:hAnsi="Arial" w:cs="Arial"/>
                                <w:sz w:val="20"/>
                              </w:rPr>
                            </w:pPr>
                            <w:r>
                              <w:rPr>
                                <w:rFonts w:ascii="Arial" w:hAnsi="Arial" w:cs="Arial"/>
                                <w:sz w:val="20"/>
                              </w:rPr>
                              <w:t>Kolektorių įrengimas ant pastatų stogų</w:t>
                            </w:r>
                          </w:p>
                        </w:tc>
                        <w:tc>
                          <w:tcPr>
                            <w:tcW w:w="738" w:type="pct"/>
                          </w:tcPr>
                          <w:p>
                            <w:pPr>
                              <w:jc w:val="center"/>
                              <w:rPr>
                                <w:rFonts w:ascii="Arial" w:hAnsi="Arial" w:cs="Arial"/>
                                <w:sz w:val="20"/>
                              </w:rPr>
                            </w:pPr>
                            <w:r>
                              <w:rPr>
                                <w:rFonts w:ascii="Arial" w:hAnsi="Arial" w:cs="Arial"/>
                                <w:sz w:val="20"/>
                              </w:rPr>
                              <w:t>7 224,2 m</w:t>
                            </w:r>
                            <w:r>
                              <w:rPr>
                                <w:rFonts w:ascii="Arial" w:hAnsi="Arial" w:cs="Arial"/>
                                <w:sz w:val="20"/>
                                <w:vertAlign w:val="superscript"/>
                              </w:rPr>
                              <w:t>2</w:t>
                            </w:r>
                          </w:p>
                        </w:tc>
                        <w:tc>
                          <w:tcPr>
                            <w:tcW w:w="656"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3 403,7</w:t>
                            </w:r>
                          </w:p>
                        </w:tc>
                        <w:tc>
                          <w:tcPr>
                            <w:tcW w:w="493"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sz w:val="20"/>
                              </w:rPr>
                            </w:pPr>
                            <w:r>
                              <w:rPr>
                                <w:rFonts w:ascii="Arial" w:hAnsi="Arial" w:cs="Arial"/>
                                <w:sz w:val="20"/>
                              </w:rPr>
                              <w:t>292,7</w:t>
                            </w:r>
                          </w:p>
                        </w:tc>
                        <w:tc>
                          <w:tcPr>
                            <w:tcW w:w="738" w:type="pct"/>
                          </w:tcPr>
                          <w:p>
                            <w:pPr>
                              <w:jc w:val="center"/>
                              <w:rPr>
                                <w:rFonts w:ascii="Arial" w:hAnsi="Arial" w:cs="Arial"/>
                                <w:sz w:val="20"/>
                              </w:rPr>
                            </w:pPr>
                            <w:r>
                              <w:rPr>
                                <w:rFonts w:ascii="Arial" w:hAnsi="Arial" w:cs="Arial"/>
                                <w:sz w:val="20"/>
                              </w:rPr>
                              <w:t>1,08</w:t>
                            </w:r>
                          </w:p>
                        </w:tc>
                        <w:tc>
                          <w:tcPr>
                            <w:tcW w:w="1065" w:type="pct"/>
                          </w:tcPr>
                          <w:p>
                            <w:pPr>
                              <w:jc w:val="center"/>
                              <w:rPr>
                                <w:rFonts w:ascii="Arial" w:hAnsi="Arial" w:cs="Arial"/>
                                <w:sz w:val="20"/>
                              </w:rPr>
                            </w:pPr>
                            <w:r>
                              <w:rPr>
                                <w:rFonts w:ascii="Arial" w:hAnsi="Arial" w:cs="Arial"/>
                                <w:sz w:val="20"/>
                              </w:rPr>
                              <w:t>Anglys ir durpės bei gamtinės dujos</w:t>
                            </w:r>
                          </w:p>
                        </w:tc>
                      </w:tr>
                      <w:tr>
                        <w:trPr>
                          <w:trHeight w:val="20"/>
                          <w:jc w:val="center"/>
                        </w:trPr>
                        <w:tc>
                          <w:tcPr>
                            <w:tcW w:w="2047" w:type="pct"/>
                            <w:gridSpan w:val="2"/>
                          </w:tcPr>
                          <w:p>
                            <w:pPr>
                              <w:jc w:val="right"/>
                              <w:rPr>
                                <w:rFonts w:ascii="Arial" w:hAnsi="Arial" w:cs="Arial"/>
                                <w:b/>
                                <w:bCs/>
                                <w:sz w:val="20"/>
                              </w:rPr>
                            </w:pPr>
                            <w:r>
                              <w:rPr>
                                <w:rFonts w:ascii="Arial" w:hAnsi="Arial" w:cs="Arial"/>
                                <w:b/>
                                <w:bCs/>
                                <w:sz w:val="20"/>
                              </w:rPr>
                              <w:t>Iš viso</w:t>
                            </w:r>
                          </w:p>
                        </w:tc>
                        <w:tc>
                          <w:tcPr>
                            <w:tcW w:w="656" w:type="pct"/>
                          </w:tcPr>
                          <w:p>
                            <w:pPr>
                              <w:pBdr>
                                <w:top w:val="none" w:sz="4" w:space="0" w:color="auto"/>
                                <w:left w:val="none" w:sz="4" w:space="0" w:color="auto"/>
                                <w:bottom w:val="none" w:sz="4" w:space="0" w:color="auto"/>
                                <w:right w:val="none" w:sz="4" w:space="0" w:color="auto"/>
                                <w:between w:val="none" w:sz="4" w:space="0" w:color="auto"/>
                              </w:pBdr>
                              <w:jc w:val="center"/>
                              <w:rPr>
                                <w:rFonts w:ascii="Arial" w:hAnsi="Arial" w:cs="Arial"/>
                                <w:b/>
                                <w:bCs/>
                                <w:sz w:val="20"/>
                              </w:rPr>
                            </w:pPr>
                            <w:r>
                              <w:rPr>
                                <w:rFonts w:ascii="Arial" w:hAnsi="Arial" w:cs="Arial"/>
                                <w:b/>
                                <w:bCs/>
                                <w:sz w:val="20"/>
                              </w:rPr>
                              <w:t>6 021,7</w:t>
                            </w:r>
                          </w:p>
                        </w:tc>
                        <w:tc>
                          <w:tcPr>
                            <w:tcW w:w="493" w:type="pct"/>
                          </w:tcPr>
                          <w:p>
                            <w:pPr>
                              <w:jc w:val="center"/>
                              <w:rPr>
                                <w:rFonts w:ascii="Arial" w:hAnsi="Arial" w:cs="Arial"/>
                                <w:b/>
                                <w:bCs/>
                                <w:sz w:val="20"/>
                              </w:rPr>
                            </w:pPr>
                            <w:r>
                              <w:rPr>
                                <w:rFonts w:ascii="Arial" w:hAnsi="Arial" w:cs="Arial"/>
                                <w:b/>
                                <w:bCs/>
                                <w:sz w:val="20"/>
                              </w:rPr>
                              <w:t>517,9</w:t>
                            </w:r>
                          </w:p>
                        </w:tc>
                        <w:tc>
                          <w:tcPr>
                            <w:tcW w:w="738" w:type="pct"/>
                          </w:tcPr>
                          <w:p>
                            <w:pPr>
                              <w:jc w:val="center"/>
                              <w:rPr>
                                <w:rFonts w:ascii="Arial" w:hAnsi="Arial" w:cs="Arial"/>
                                <w:b/>
                                <w:bCs/>
                                <w:sz w:val="20"/>
                              </w:rPr>
                            </w:pPr>
                            <w:r>
                              <w:rPr>
                                <w:rFonts w:ascii="Arial" w:hAnsi="Arial" w:cs="Arial"/>
                                <w:b/>
                                <w:bCs/>
                                <w:sz w:val="20"/>
                              </w:rPr>
                              <w:t>4,72</w:t>
                            </w:r>
                          </w:p>
                        </w:tc>
                        <w:tc>
                          <w:tcPr>
                            <w:tcW w:w="1065" w:type="pct"/>
                          </w:tcPr>
                          <w:p>
                            <w:pPr>
                              <w:jc w:val="center"/>
                              <w:rPr>
                                <w:rFonts w:ascii="Arial" w:hAnsi="Arial" w:cs="Arial"/>
                                <w:b/>
                                <w:bCs/>
                                <w:sz w:val="20"/>
                              </w:rPr>
                            </w:pP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Nagrinėjant AIE 2 koncepcinį scenarijų tampa aišku, kad kolektorių įrengimas ant pastatų stogų prisidėtų prie didesnės AIE dalies, jei kolektorių įrengimas būtų vykdomas ant tų įstaigų stogų, kurios šildymui naudoja iškastinį kurą naudojančius įrenginius. Taip pat įtaką darys fotomodulių įrengimas ant pastatų stogų, kadangi ne visa elektros energija Joniškio rajono savivaldybėje yra iš AIE. Apskaičiuota, kad bendra fotomodulių ir kolektorių įrengimo įtaka AIE balansui sieks apie 2,5 proc.</w:t>
                      </w:r>
                    </w:p>
                    <w:p>
                      <w:pPr>
                        <w:rPr>
                          <w:sz w:val="14"/>
                          <w:szCs w:val="14"/>
                        </w:rPr>
                      </w:pPr>
                    </w:p>
                  </w:sdtContent>
                </w:sdt>
                <w:sdt>
                  <w:sdtPr>
                    <w:alias w:val="8.3.2 pp."/>
                    <w:tag w:val="part_bf00e728babd4416863eac7cb23d9156"/>
                    <w:lock w:val="sdtLocked"/>
                    <w:richText/>
                  </w:sdtPr>
                  <w:sdtContent>
                    <w:p>
                      <w:pPr>
                        <w:spacing w:line="259" w:lineRule="auto"/>
                        <w:jc w:val="center"/>
                        <w:rPr>
                          <w:rFonts w:ascii="Arial" w:eastAsia="Calibri" w:hAnsi="Arial" w:cs="Arial"/>
                          <w:b/>
                          <w:color w:val="002060"/>
                          <w:sz w:val="22"/>
                          <w:szCs w:val="32"/>
                        </w:rPr>
                      </w:pPr>
                      <w:sdt>
                        <w:sdtPr>
                          <w:alias w:val="Numeris"/>
                          <w:tag w:val="nr_bf00e728babd4416863eac7cb23d9156"/>
                          <w:lock w:val="sdtLocked"/>
                          <w:richText/>
                        </w:sdtPr>
                        <w:sdtContent>
                          <w:r>
                            <w:rPr>
                              <w:rFonts w:ascii="Arial" w:eastAsia="Calibri" w:hAnsi="Arial" w:cs="Arial"/>
                              <w:b/>
                              <w:color w:val="002060"/>
                              <w:sz w:val="22"/>
                              <w:szCs w:val="32"/>
                            </w:rPr>
                            <w:t>8.3.2</w:t>
                          </w:r>
                        </w:sdtContent>
                      </w:sdt>
                      <w:r>
                        <w:rPr>
                          <w:rFonts w:ascii="Arial" w:eastAsia="Calibri" w:hAnsi="Arial" w:cs="Arial"/>
                          <w:b/>
                          <w:color w:val="002060"/>
                          <w:sz w:val="22"/>
                          <w:szCs w:val="32"/>
                        </w:rPr>
                        <w:t>. lentelė. Galutinis energijos vartojimas savivaldybėje (AIE 2 scenarijus), tne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4129"/>
                        <w:gridCol w:w="995"/>
                        <w:gridCol w:w="995"/>
                      </w:tblGrid>
                      <w:tr>
                        <w:trPr>
                          <w:trHeight w:val="20"/>
                          <w:jc w:val="center"/>
                        </w:trPr>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Energijos išteklių rūšis</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Iš viso</w:t>
                            </w:r>
                          </w:p>
                        </w:tc>
                        <w:tc>
                          <w:tcPr>
                            <w:tcW w:w="0" w:type="auto"/>
                            <w:hideMark/>
                          </w:tcPr>
                          <w:p>
                            <w:pPr>
                              <w:spacing w:line="259" w:lineRule="auto"/>
                              <w:jc w:val="center"/>
                              <w:rPr>
                                <w:rFonts w:ascii="Arial" w:hAnsi="Arial" w:cs="Arial"/>
                                <w:sz w:val="20"/>
                                <w:szCs w:val="16"/>
                                <w:lang w:eastAsia="lt-LT"/>
                              </w:rPr>
                            </w:pPr>
                            <w:r>
                              <w:rPr>
                                <w:rFonts w:ascii="Arial" w:hAnsi="Arial" w:cs="Arial"/>
                                <w:sz w:val="20"/>
                                <w:szCs w:val="16"/>
                                <w:lang w:eastAsia="lt-LT"/>
                              </w:rPr>
                              <w:t>AIE</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Benzinas</w:t>
                            </w:r>
                          </w:p>
                        </w:tc>
                        <w:tc>
                          <w:tcPr>
                            <w:tcW w:w="0" w:type="auto"/>
                          </w:tcPr>
                          <w:p>
                            <w:pPr>
                              <w:spacing w:line="259" w:lineRule="auto"/>
                              <w:jc w:val="center"/>
                              <w:rPr>
                                <w:rFonts w:ascii="Arial" w:hAnsi="Arial" w:cs="Arial"/>
                                <w:color w:val="000000"/>
                                <w:sz w:val="20"/>
                                <w:lang w:eastAsia="lt-LT"/>
                              </w:rPr>
                            </w:pPr>
                            <w:r>
                              <w:rPr>
                                <w:rFonts w:ascii="Arial" w:hAnsi="Arial" w:cs="Arial"/>
                                <w:sz w:val="20"/>
                              </w:rPr>
                              <w:t>447,7</w:t>
                            </w:r>
                          </w:p>
                        </w:tc>
                        <w:tc>
                          <w:tcPr>
                            <w:tcW w:w="0" w:type="auto"/>
                          </w:tcPr>
                          <w:p>
                            <w:pPr>
                              <w:spacing w:line="259" w:lineRule="auto"/>
                              <w:jc w:val="center"/>
                              <w:rPr>
                                <w:rFonts w:ascii="Arial" w:hAnsi="Arial" w:cs="Arial"/>
                                <w:color w:val="000000"/>
                                <w:sz w:val="20"/>
                                <w:lang w:eastAsia="lt-LT"/>
                              </w:rPr>
                            </w:pPr>
                            <w:r>
                              <w:rPr>
                                <w:rFonts w:ascii="Arial" w:hAnsi="Arial" w:cs="Arial"/>
                                <w:sz w:val="20"/>
                              </w:rPr>
                              <w:t>29,5</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Dyzelinas</w:t>
                            </w:r>
                          </w:p>
                        </w:tc>
                        <w:tc>
                          <w:tcPr>
                            <w:tcW w:w="0" w:type="auto"/>
                          </w:tcPr>
                          <w:p>
                            <w:pPr>
                              <w:spacing w:line="259" w:lineRule="auto"/>
                              <w:jc w:val="center"/>
                              <w:rPr>
                                <w:rFonts w:ascii="Arial" w:hAnsi="Arial" w:cs="Arial"/>
                                <w:color w:val="000000"/>
                                <w:sz w:val="20"/>
                                <w:lang w:eastAsia="lt-LT"/>
                              </w:rPr>
                            </w:pPr>
                            <w:r>
                              <w:rPr>
                                <w:rFonts w:ascii="Arial" w:hAnsi="Arial" w:cs="Arial"/>
                                <w:sz w:val="20"/>
                              </w:rPr>
                              <w:t>43,9</w:t>
                            </w:r>
                          </w:p>
                        </w:tc>
                        <w:tc>
                          <w:tcPr>
                            <w:tcW w:w="0" w:type="auto"/>
                          </w:tcPr>
                          <w:p>
                            <w:pPr>
                              <w:spacing w:line="259" w:lineRule="auto"/>
                              <w:jc w:val="center"/>
                              <w:rPr>
                                <w:rFonts w:ascii="Arial" w:hAnsi="Arial" w:cs="Arial"/>
                                <w:color w:val="000000"/>
                                <w:sz w:val="20"/>
                                <w:lang w:eastAsia="lt-LT"/>
                              </w:rPr>
                            </w:pPr>
                            <w:r>
                              <w:rPr>
                                <w:rFonts w:ascii="Arial" w:hAnsi="Arial" w:cs="Arial"/>
                                <w:sz w:val="20"/>
                              </w:rPr>
                              <w:t>2,7</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Suskystintos naftos dujos</w:t>
                            </w:r>
                          </w:p>
                        </w:tc>
                        <w:tc>
                          <w:tcPr>
                            <w:tcW w:w="0" w:type="auto"/>
                          </w:tcPr>
                          <w:p>
                            <w:pPr>
                              <w:spacing w:line="259" w:lineRule="auto"/>
                              <w:jc w:val="center"/>
                              <w:rPr>
                                <w:rFonts w:ascii="Arial" w:hAnsi="Arial" w:cs="Arial"/>
                                <w:color w:val="000000"/>
                                <w:sz w:val="20"/>
                                <w:lang w:eastAsia="lt-LT"/>
                              </w:rPr>
                            </w:pPr>
                            <w:r>
                              <w:rPr>
                                <w:rFonts w:ascii="Arial" w:hAnsi="Arial" w:cs="Arial"/>
                                <w:sz w:val="20"/>
                              </w:rPr>
                              <w:t>57,1</w:t>
                            </w:r>
                          </w:p>
                        </w:tc>
                        <w:tc>
                          <w:tcPr>
                            <w:tcW w:w="0" w:type="auto"/>
                          </w:tcPr>
                          <w:p>
                            <w:pPr>
                              <w:spacing w:line="259" w:lineRule="auto"/>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Skystas kuras</w:t>
                            </w:r>
                          </w:p>
                        </w:tc>
                        <w:tc>
                          <w:tcPr>
                            <w:tcW w:w="0" w:type="auto"/>
                          </w:tcPr>
                          <w:p>
                            <w:pPr>
                              <w:spacing w:line="259" w:lineRule="auto"/>
                              <w:jc w:val="center"/>
                              <w:rPr>
                                <w:rFonts w:ascii="Arial" w:hAnsi="Arial" w:cs="Arial"/>
                                <w:color w:val="000000"/>
                                <w:sz w:val="20"/>
                                <w:lang w:eastAsia="lt-LT"/>
                              </w:rPr>
                            </w:pPr>
                            <w:r>
                              <w:rPr>
                                <w:rFonts w:ascii="Arial" w:hAnsi="Arial" w:cs="Arial"/>
                                <w:sz w:val="20"/>
                              </w:rPr>
                              <w:t>335,5</w:t>
                            </w:r>
                          </w:p>
                        </w:tc>
                        <w:tc>
                          <w:tcPr>
                            <w:tcW w:w="0" w:type="auto"/>
                          </w:tcPr>
                          <w:p>
                            <w:pPr>
                              <w:spacing w:line="259" w:lineRule="auto"/>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Anglys ir durpės</w:t>
                            </w:r>
                          </w:p>
                        </w:tc>
                        <w:tc>
                          <w:tcPr>
                            <w:tcW w:w="0" w:type="auto"/>
                          </w:tcPr>
                          <w:p>
                            <w:pPr>
                              <w:spacing w:line="259" w:lineRule="auto"/>
                              <w:jc w:val="center"/>
                              <w:rPr>
                                <w:rFonts w:ascii="Arial" w:hAnsi="Arial" w:cs="Arial"/>
                                <w:color w:val="000000"/>
                                <w:sz w:val="20"/>
                                <w:lang w:eastAsia="lt-LT"/>
                              </w:rPr>
                            </w:pPr>
                            <w:r>
                              <w:rPr>
                                <w:rFonts w:ascii="Arial" w:hAnsi="Arial" w:cs="Arial"/>
                                <w:sz w:val="20"/>
                              </w:rPr>
                              <w:t>663,8</w:t>
                            </w:r>
                          </w:p>
                        </w:tc>
                        <w:tc>
                          <w:tcPr>
                            <w:tcW w:w="0" w:type="auto"/>
                          </w:tcPr>
                          <w:p>
                            <w:pPr>
                              <w:spacing w:line="259" w:lineRule="auto"/>
                              <w:jc w:val="center"/>
                              <w:rPr>
                                <w:rFonts w:ascii="Arial" w:hAnsi="Arial" w:cs="Arial"/>
                                <w:color w:val="000000"/>
                                <w:sz w:val="20"/>
                                <w:lang w:eastAsia="lt-LT"/>
                              </w:rPr>
                            </w:pPr>
                            <w:r>
                              <w:rPr>
                                <w:rFonts w:ascii="Arial" w:hAnsi="Arial" w:cs="Arial"/>
                                <w:sz w:val="20"/>
                              </w:rPr>
                              <w:t>517,9</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Gamtinės dujos</w:t>
                            </w:r>
                          </w:p>
                        </w:tc>
                        <w:tc>
                          <w:tcPr>
                            <w:tcW w:w="0" w:type="auto"/>
                          </w:tcPr>
                          <w:p>
                            <w:pPr>
                              <w:spacing w:line="259" w:lineRule="auto"/>
                              <w:jc w:val="center"/>
                              <w:rPr>
                                <w:rFonts w:ascii="Arial" w:hAnsi="Arial" w:cs="Arial"/>
                                <w:color w:val="000000"/>
                                <w:sz w:val="20"/>
                                <w:lang w:eastAsia="lt-LT"/>
                              </w:rPr>
                            </w:pPr>
                            <w:r>
                              <w:rPr>
                                <w:rFonts w:ascii="Arial" w:hAnsi="Arial" w:cs="Arial"/>
                                <w:sz w:val="20"/>
                              </w:rPr>
                              <w:t>1 418,6</w:t>
                            </w:r>
                          </w:p>
                        </w:tc>
                        <w:tc>
                          <w:tcPr>
                            <w:tcW w:w="0" w:type="auto"/>
                          </w:tcPr>
                          <w:p>
                            <w:pPr>
                              <w:spacing w:line="259" w:lineRule="auto"/>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Biokuras (mediena)</w:t>
                            </w:r>
                          </w:p>
                        </w:tc>
                        <w:tc>
                          <w:tcPr>
                            <w:tcW w:w="0" w:type="auto"/>
                          </w:tcPr>
                          <w:p>
                            <w:pPr>
                              <w:spacing w:line="259" w:lineRule="auto"/>
                              <w:jc w:val="center"/>
                              <w:rPr>
                                <w:rFonts w:ascii="Arial" w:hAnsi="Arial" w:cs="Arial"/>
                                <w:color w:val="000000"/>
                                <w:sz w:val="20"/>
                                <w:lang w:eastAsia="lt-LT"/>
                              </w:rPr>
                            </w:pPr>
                            <w:r>
                              <w:rPr>
                                <w:rFonts w:ascii="Arial" w:hAnsi="Arial" w:cs="Arial"/>
                                <w:sz w:val="20"/>
                              </w:rPr>
                              <w:t>8 790,8</w:t>
                            </w:r>
                          </w:p>
                        </w:tc>
                        <w:tc>
                          <w:tcPr>
                            <w:tcW w:w="0" w:type="auto"/>
                          </w:tcPr>
                          <w:p>
                            <w:pPr>
                              <w:spacing w:line="259" w:lineRule="auto"/>
                              <w:jc w:val="center"/>
                              <w:rPr>
                                <w:rFonts w:ascii="Arial" w:hAnsi="Arial" w:cs="Arial"/>
                                <w:color w:val="000000"/>
                                <w:sz w:val="20"/>
                                <w:lang w:eastAsia="lt-LT"/>
                              </w:rPr>
                            </w:pPr>
                            <w:r>
                              <w:rPr>
                                <w:rFonts w:ascii="Arial" w:hAnsi="Arial" w:cs="Arial"/>
                                <w:sz w:val="20"/>
                              </w:rPr>
                              <w:t>8 790,8</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Elektros energija</w:t>
                            </w:r>
                          </w:p>
                        </w:tc>
                        <w:tc>
                          <w:tcPr>
                            <w:tcW w:w="0" w:type="auto"/>
                          </w:tcPr>
                          <w:p>
                            <w:pPr>
                              <w:spacing w:line="259" w:lineRule="auto"/>
                              <w:jc w:val="center"/>
                              <w:rPr>
                                <w:rFonts w:ascii="Arial" w:hAnsi="Arial" w:cs="Arial"/>
                                <w:color w:val="000000"/>
                                <w:sz w:val="20"/>
                                <w:lang w:eastAsia="lt-LT"/>
                              </w:rPr>
                            </w:pPr>
                            <w:r>
                              <w:rPr>
                                <w:rFonts w:ascii="Arial" w:hAnsi="Arial" w:cs="Arial"/>
                                <w:sz w:val="20"/>
                              </w:rPr>
                              <w:t>6 082,0</w:t>
                            </w:r>
                          </w:p>
                        </w:tc>
                        <w:tc>
                          <w:tcPr>
                            <w:tcW w:w="0" w:type="auto"/>
                          </w:tcPr>
                          <w:p>
                            <w:pPr>
                              <w:spacing w:line="259" w:lineRule="auto"/>
                              <w:jc w:val="center"/>
                              <w:rPr>
                                <w:rFonts w:ascii="Arial" w:hAnsi="Arial" w:cs="Arial"/>
                                <w:color w:val="000000"/>
                                <w:sz w:val="20"/>
                                <w:lang w:eastAsia="lt-LT"/>
                              </w:rPr>
                            </w:pPr>
                            <w:r>
                              <w:rPr>
                                <w:rFonts w:ascii="Arial" w:hAnsi="Arial" w:cs="Arial"/>
                                <w:sz w:val="20"/>
                              </w:rPr>
                              <w:t>1 652,5</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Aplinkos šiluminė energija (šilumos siurbliai)</w:t>
                            </w:r>
                          </w:p>
                        </w:tc>
                        <w:tc>
                          <w:tcPr>
                            <w:tcW w:w="0" w:type="auto"/>
                          </w:tcPr>
                          <w:p>
                            <w:pPr>
                              <w:spacing w:line="259" w:lineRule="auto"/>
                              <w:jc w:val="center"/>
                              <w:rPr>
                                <w:rFonts w:ascii="Arial" w:hAnsi="Arial" w:cs="Arial"/>
                                <w:color w:val="000000"/>
                                <w:sz w:val="20"/>
                                <w:lang w:eastAsia="lt-LT"/>
                              </w:rPr>
                            </w:pPr>
                            <w:r>
                              <w:rPr>
                                <w:rFonts w:ascii="Arial" w:hAnsi="Arial" w:cs="Arial"/>
                                <w:sz w:val="20"/>
                              </w:rPr>
                              <w:t>377,5</w:t>
                            </w:r>
                          </w:p>
                        </w:tc>
                        <w:tc>
                          <w:tcPr>
                            <w:tcW w:w="0" w:type="auto"/>
                          </w:tcPr>
                          <w:p>
                            <w:pPr>
                              <w:spacing w:line="259" w:lineRule="auto"/>
                              <w:jc w:val="center"/>
                              <w:rPr>
                                <w:rFonts w:ascii="Arial" w:hAnsi="Arial" w:cs="Arial"/>
                                <w:color w:val="000000"/>
                                <w:sz w:val="20"/>
                                <w:lang w:eastAsia="lt-LT"/>
                              </w:rPr>
                            </w:pPr>
                            <w:r>
                              <w:rPr>
                                <w:rFonts w:ascii="Arial" w:hAnsi="Arial" w:cs="Arial"/>
                                <w:sz w:val="20"/>
                              </w:rPr>
                              <w:t>377,5</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Kitos kuro ir energijos rūšys</w:t>
                            </w:r>
                          </w:p>
                        </w:tc>
                        <w:tc>
                          <w:tcPr>
                            <w:tcW w:w="0" w:type="auto"/>
                          </w:tcPr>
                          <w:p>
                            <w:pPr>
                              <w:spacing w:line="259" w:lineRule="auto"/>
                              <w:jc w:val="center"/>
                              <w:rPr>
                                <w:rFonts w:ascii="Arial" w:hAnsi="Arial" w:cs="Arial"/>
                                <w:b/>
                                <w:bCs/>
                                <w:color w:val="000000"/>
                                <w:sz w:val="20"/>
                                <w:lang w:eastAsia="lt-LT"/>
                              </w:rPr>
                            </w:pPr>
                            <w:r>
                              <w:rPr>
                                <w:rFonts w:ascii="Arial" w:hAnsi="Arial" w:cs="Arial"/>
                                <w:sz w:val="20"/>
                              </w:rPr>
                              <w:t>283,1</w:t>
                            </w:r>
                          </w:p>
                        </w:tc>
                        <w:tc>
                          <w:tcPr>
                            <w:tcW w:w="0" w:type="auto"/>
                          </w:tcPr>
                          <w:p>
                            <w:pPr>
                              <w:spacing w:line="259" w:lineRule="auto"/>
                              <w:jc w:val="center"/>
                              <w:rPr>
                                <w:rFonts w:ascii="Arial" w:hAnsi="Arial" w:cs="Arial"/>
                                <w:b/>
                                <w:bCs/>
                                <w:color w:val="000000"/>
                                <w:sz w:val="20"/>
                                <w:lang w:eastAsia="lt-LT"/>
                              </w:rPr>
                            </w:pPr>
                            <w:r>
                              <w:rPr>
                                <w:rFonts w:ascii="Arial" w:hAnsi="Arial" w:cs="Arial"/>
                                <w:sz w:val="20"/>
                              </w:rPr>
                              <w:t>0,0</w:t>
                            </w:r>
                          </w:p>
                        </w:tc>
                      </w:tr>
                      <w:tr>
                        <w:trPr>
                          <w:trHeight w:val="20"/>
                          <w:jc w:val="center"/>
                        </w:trPr>
                        <w:tc>
                          <w:tcPr>
                            <w:tcW w:w="0" w:type="auto"/>
                          </w:tcPr>
                          <w:p>
                            <w:pPr>
                              <w:spacing w:line="259" w:lineRule="auto"/>
                              <w:jc w:val="both"/>
                              <w:rPr>
                                <w:rFonts w:ascii="Arial" w:hAnsi="Arial" w:cs="Arial"/>
                                <w:color w:val="000000"/>
                                <w:sz w:val="20"/>
                                <w:lang w:eastAsia="lt-LT"/>
                              </w:rPr>
                            </w:pPr>
                            <w:r>
                              <w:rPr>
                                <w:rFonts w:ascii="Arial" w:hAnsi="Arial" w:cs="Arial"/>
                                <w:color w:val="000000"/>
                                <w:sz w:val="20"/>
                              </w:rPr>
                              <w:t>Šilumos energija (CŠT)</w:t>
                            </w:r>
                          </w:p>
                        </w:tc>
                        <w:tc>
                          <w:tcPr>
                            <w:tcW w:w="0" w:type="auto"/>
                          </w:tcPr>
                          <w:p>
                            <w:pPr>
                              <w:spacing w:line="259" w:lineRule="auto"/>
                              <w:jc w:val="center"/>
                              <w:rPr>
                                <w:rFonts w:ascii="Arial" w:hAnsi="Arial" w:cs="Arial"/>
                                <w:b/>
                                <w:bCs/>
                                <w:color w:val="000000"/>
                                <w:sz w:val="20"/>
                              </w:rPr>
                            </w:pPr>
                            <w:r>
                              <w:rPr>
                                <w:rFonts w:ascii="Arial" w:hAnsi="Arial" w:cs="Arial"/>
                                <w:sz w:val="20"/>
                              </w:rPr>
                              <w:t>1 630,6</w:t>
                            </w:r>
                          </w:p>
                        </w:tc>
                        <w:tc>
                          <w:tcPr>
                            <w:tcW w:w="0" w:type="auto"/>
                          </w:tcPr>
                          <w:p>
                            <w:pPr>
                              <w:spacing w:line="259" w:lineRule="auto"/>
                              <w:jc w:val="center"/>
                              <w:rPr>
                                <w:rFonts w:ascii="Arial" w:hAnsi="Arial" w:cs="Arial"/>
                                <w:b/>
                                <w:bCs/>
                                <w:color w:val="000000"/>
                                <w:sz w:val="20"/>
                              </w:rPr>
                            </w:pPr>
                            <w:r>
                              <w:rPr>
                                <w:rFonts w:ascii="Arial" w:hAnsi="Arial" w:cs="Arial"/>
                                <w:sz w:val="20"/>
                              </w:rPr>
                              <w:t>1 358,3</w:t>
                            </w:r>
                          </w:p>
                        </w:tc>
                      </w:tr>
                      <w:tr>
                        <w:trPr>
                          <w:trHeight w:val="20"/>
                          <w:jc w:val="center"/>
                        </w:trPr>
                        <w:tc>
                          <w:tcPr>
                            <w:tcW w:w="0" w:type="auto"/>
                          </w:tcPr>
                          <w:p>
                            <w:pPr>
                              <w:spacing w:line="259" w:lineRule="auto"/>
                              <w:jc w:val="right"/>
                              <w:rPr>
                                <w:rFonts w:ascii="Arial" w:hAnsi="Arial" w:cs="Arial"/>
                                <w:color w:val="000000"/>
                                <w:sz w:val="20"/>
                                <w:lang w:eastAsia="lt-LT"/>
                              </w:rPr>
                            </w:pPr>
                            <w:r>
                              <w:rPr>
                                <w:rFonts w:ascii="Arial" w:hAnsi="Arial" w:cs="Arial"/>
                                <w:color w:val="000000"/>
                                <w:sz w:val="20"/>
                                <w:lang w:eastAsia="lt-LT"/>
                              </w:rPr>
                              <w:t>Iš viso</w:t>
                            </w:r>
                          </w:p>
                        </w:tc>
                        <w:tc>
                          <w:tcPr>
                            <w:tcW w:w="0" w:type="auto"/>
                          </w:tcPr>
                          <w:p>
                            <w:pPr>
                              <w:spacing w:line="259" w:lineRule="auto"/>
                              <w:jc w:val="center"/>
                              <w:rPr>
                                <w:rFonts w:ascii="Arial" w:hAnsi="Arial" w:cs="Arial"/>
                                <w:b/>
                                <w:bCs/>
                                <w:color w:val="000000"/>
                                <w:sz w:val="20"/>
                              </w:rPr>
                            </w:pPr>
                            <w:r>
                              <w:rPr>
                                <w:rFonts w:ascii="Arial" w:hAnsi="Arial" w:cs="Arial"/>
                                <w:b/>
                                <w:bCs/>
                                <w:sz w:val="20"/>
                              </w:rPr>
                              <w:t>20 130,6</w:t>
                            </w:r>
                          </w:p>
                        </w:tc>
                        <w:tc>
                          <w:tcPr>
                            <w:tcW w:w="0" w:type="auto"/>
                          </w:tcPr>
                          <w:p>
                            <w:pPr>
                              <w:spacing w:line="259" w:lineRule="auto"/>
                              <w:jc w:val="center"/>
                              <w:rPr>
                                <w:rFonts w:ascii="Arial" w:hAnsi="Arial" w:cs="Arial"/>
                                <w:b/>
                                <w:bCs/>
                                <w:color w:val="000000"/>
                                <w:sz w:val="20"/>
                              </w:rPr>
                            </w:pPr>
                            <w:r>
                              <w:rPr>
                                <w:rFonts w:ascii="Arial" w:hAnsi="Arial" w:cs="Arial"/>
                                <w:b/>
                                <w:bCs/>
                                <w:sz w:val="20"/>
                              </w:rPr>
                              <w:t>12 729,2</w:t>
                            </w:r>
                          </w:p>
                        </w:tc>
                      </w:tr>
                      <w:tr>
                        <w:trPr>
                          <w:trHeight w:val="20"/>
                          <w:jc w:val="center"/>
                        </w:trPr>
                        <w:tc>
                          <w:tcPr>
                            <w:tcW w:w="0" w:type="auto"/>
                            <w:gridSpan w:val="2"/>
                            <w:hideMark/>
                          </w:tcPr>
                          <w:p>
                            <w:pPr>
                              <w:spacing w:line="259" w:lineRule="auto"/>
                              <w:jc w:val="right"/>
                              <w:rPr>
                                <w:rFonts w:ascii="Arial" w:hAnsi="Arial" w:cs="Arial"/>
                                <w:color w:val="000000"/>
                                <w:sz w:val="20"/>
                                <w:lang w:eastAsia="lt-LT"/>
                              </w:rPr>
                            </w:pPr>
                            <w:r>
                              <w:rPr>
                                <w:rFonts w:ascii="Arial" w:hAnsi="Arial" w:cs="Arial"/>
                                <w:color w:val="000000"/>
                                <w:sz w:val="20"/>
                                <w:lang w:eastAsia="lt-LT"/>
                              </w:rPr>
                              <w:t>AIE dalis, proc.</w:t>
                            </w:r>
                          </w:p>
                        </w:tc>
                        <w:tc>
                          <w:tcPr>
                            <w:tcW w:w="0" w:type="auto"/>
                            <w:hideMark/>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63,2</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Taigi, antro koncepcinio scenarijaus atveju, įdiegus numatytas priemones, AIE dalis 2030 m. bus </w:t>
                      </w:r>
                      <w:r>
                        <w:rPr>
                          <w:rFonts w:ascii="Arial" w:hAnsi="Arial" w:cs="Arial"/>
                          <w:b/>
                          <w:bCs/>
                          <w:sz w:val="22"/>
                        </w:rPr>
                        <w:t xml:space="preserve">63,2 proc., </w:t>
                      </w:r>
                      <w:r>
                        <w:rPr>
                          <w:rFonts w:ascii="Arial" w:hAnsi="Arial" w:cs="Arial"/>
                          <w:sz w:val="22"/>
                        </w:rPr>
                        <w:t>t. y.</w:t>
                      </w:r>
                      <w:r>
                        <w:rPr>
                          <w:rFonts w:ascii="Arial" w:hAnsi="Arial" w:cs="Arial"/>
                          <w:b/>
                          <w:bCs/>
                          <w:sz w:val="22"/>
                        </w:rPr>
                        <w:t xml:space="preserve"> </w:t>
                      </w:r>
                      <w:r>
                        <w:rPr>
                          <w:rFonts w:ascii="Arial" w:hAnsi="Arial" w:cs="Arial"/>
                          <w:sz w:val="22"/>
                        </w:rPr>
                        <w:t>apie 2,5 proc. daugiau nei pirmojo scenarijaus atveju (nieko nedarant).</w:t>
                      </w:r>
                    </w:p>
                    <w:p>
                      <w:pPr>
                        <w:rPr>
                          <w:sz w:val="14"/>
                          <w:szCs w:val="14"/>
                        </w:rPr>
                      </w:pPr>
                    </w:p>
                  </w:sdtContent>
                </w:sdt>
                <w:sdt>
                  <w:sdtPr>
                    <w:alias w:val="8.4 pp."/>
                    <w:tag w:val="part_73811d305abe4ed3a99f0bfe7250c602"/>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73811d305abe4ed3a99f0bfe7250c602"/>
                          <w:lock w:val="sdtLocked"/>
                          <w:richText/>
                        </w:sdtPr>
                        <w:sdtContent>
                          <w:r>
                            <w:rPr>
                              <w:rFonts w:ascii="Arial" w:eastAsia="SegoeUI" w:hAnsi="Arial" w:cs="Arial"/>
                              <w:b/>
                              <w:color w:val="002060"/>
                              <w:szCs w:val="26"/>
                            </w:rPr>
                            <w:t>8.4</w:t>
                          </w:r>
                        </w:sdtContent>
                      </w:sdt>
                      <w:r>
                        <w:rPr>
                          <w:rFonts w:ascii="Arial" w:eastAsia="SegoeUI" w:hAnsi="Arial" w:cs="Arial"/>
                          <w:b/>
                          <w:color w:val="002060"/>
                          <w:szCs w:val="26"/>
                        </w:rPr>
                        <w:t>. Savivaldybės AIE 3 koncepcinis scenarijus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Trečiojo scenarijaus atveju AIE didinimas nagrinėjamas tokia tvarka: </w:t>
                      </w:r>
                    </w:p>
                    <w:p>
                      <w:pPr>
                        <w:rPr>
                          <w:sz w:val="14"/>
                          <w:szCs w:val="14"/>
                        </w:rPr>
                      </w:pPr>
                    </w:p>
                  </w:sdtContent>
                </w:sdt>
              </w:sdtContent>
            </w:sdt>
            <w:sdt>
              <w:sdtPr>
                <w:alias w:val="1 p."/>
                <w:tag w:val="part_a17c3eea1b394ce1a8a9821d4a5f54cd"/>
                <w:lock w:val="sdtLocked"/>
                <w:richText/>
              </w:sdtPr>
              <w:sdtContent>
                <w:p>
                  <w:pPr>
                    <w:spacing w:line="259" w:lineRule="auto"/>
                    <w:ind w:left="426" w:hanging="426"/>
                    <w:jc w:val="both"/>
                    <w:rPr>
                      <w:rFonts w:ascii="Arial" w:hAnsi="Arial" w:cs="Arial"/>
                      <w:sz w:val="22"/>
                    </w:rPr>
                  </w:pPr>
                  <w:sdt>
                    <w:sdtPr>
                      <w:alias w:val="Numeris"/>
                      <w:tag w:val="nr_a17c3eea1b394ce1a8a9821d4a5f54cd"/>
                      <w:lock w:val="sdtLocked"/>
                      <w:richText/>
                    </w:sdtPr>
                    <w:sdtContent>
                      <w:r>
                        <w:rPr>
                          <w:rFonts w:ascii="Arial" w:hAnsi="Arial" w:cs="Arial"/>
                          <w:sz w:val="22"/>
                        </w:rPr>
                        <w:t>1</w:t>
                      </w:r>
                    </w:sdtContent>
                  </w:sdt>
                  <w:r>
                    <w:rPr>
                      <w:rFonts w:ascii="Arial" w:hAnsi="Arial" w:cs="Arial"/>
                      <w:sz w:val="22"/>
                    </w:rPr>
                    <w:t>.</w:t>
                    <w:tab/>
                    <w:t xml:space="preserve">Saulės kolektoriai – karštam vandeniui (ant pastatų stogų), namų ūkio ir paslaugų sektoriuose. Reikalingas pastatų skaičius su saulės kolektoriais nustatomas ekspertiniu vertinimu. </w:t>
                  </w:r>
                </w:p>
                <w:p>
                  <w:pPr>
                    <w:rPr>
                      <w:sz w:val="14"/>
                      <w:szCs w:val="14"/>
                    </w:rPr>
                  </w:pPr>
                </w:p>
              </w:sdtContent>
            </w:sdt>
            <w:sdt>
              <w:sdtPr>
                <w:alias w:val="2 p."/>
                <w:tag w:val="part_5a0b6f0925234f12b78c27f6533ccbcc"/>
                <w:lock w:val="sdtLocked"/>
                <w:richText/>
              </w:sdtPr>
              <w:sdtContent>
                <w:p>
                  <w:pPr>
                    <w:spacing w:line="259" w:lineRule="auto"/>
                    <w:ind w:left="426" w:hanging="426"/>
                    <w:jc w:val="both"/>
                    <w:rPr>
                      <w:rFonts w:ascii="Arial" w:hAnsi="Arial" w:cs="Arial"/>
                      <w:sz w:val="22"/>
                    </w:rPr>
                  </w:pPr>
                  <w:sdt>
                    <w:sdtPr>
                      <w:alias w:val="Numeris"/>
                      <w:tag w:val="nr_5a0b6f0925234f12b78c27f6533ccbcc"/>
                      <w:lock w:val="sdtLocked"/>
                      <w:richText/>
                    </w:sdtPr>
                    <w:sdtContent>
                      <w:r>
                        <w:rPr>
                          <w:rFonts w:ascii="Arial" w:hAnsi="Arial" w:cs="Arial"/>
                          <w:sz w:val="22"/>
                        </w:rPr>
                        <w:t>2</w:t>
                      </w:r>
                    </w:sdtContent>
                  </w:sdt>
                  <w:r>
                    <w:rPr>
                      <w:rFonts w:ascii="Arial" w:hAnsi="Arial" w:cs="Arial"/>
                      <w:sz w:val="22"/>
                    </w:rPr>
                    <w:t>.</w:t>
                    <w:tab/>
                    <w:t xml:space="preserve">Fotomoduliai – elektros energijai (įrengiami ant pastatų stogų), namų ūkio, paslaugų ir pramonės sektoriuose. Reikalingi kiekiai parenkami taip pat ekspertiniu vertinimu. </w:t>
                  </w:r>
                </w:p>
                <w:p>
                  <w:pPr>
                    <w:rPr>
                      <w:sz w:val="14"/>
                      <w:szCs w:val="14"/>
                    </w:rPr>
                  </w:pPr>
                </w:p>
              </w:sdtContent>
            </w:sdt>
            <w:sdt>
              <w:sdtPr>
                <w:alias w:val="3 p."/>
                <w:tag w:val="part_fb55f64a5b5745a0bebfb4c2b5b861d8"/>
                <w:lock w:val="sdtLocked"/>
                <w:richText/>
              </w:sdtPr>
              <w:sdtContent>
                <w:p>
                  <w:pPr>
                    <w:spacing w:line="259" w:lineRule="auto"/>
                    <w:ind w:left="426" w:hanging="426"/>
                    <w:jc w:val="both"/>
                    <w:rPr>
                      <w:rFonts w:ascii="Arial" w:hAnsi="Arial" w:cs="Arial"/>
                      <w:sz w:val="22"/>
                    </w:rPr>
                  </w:pPr>
                  <w:sdt>
                    <w:sdtPr>
                      <w:alias w:val="Numeris"/>
                      <w:tag w:val="nr_fb55f64a5b5745a0bebfb4c2b5b861d8"/>
                      <w:lock w:val="sdtLocked"/>
                      <w:richText/>
                    </w:sdtPr>
                    <w:sdtContent>
                      <w:r>
                        <w:rPr>
                          <w:rFonts w:ascii="Arial" w:hAnsi="Arial" w:cs="Arial"/>
                          <w:sz w:val="22"/>
                        </w:rPr>
                        <w:t>3</w:t>
                      </w:r>
                    </w:sdtContent>
                  </w:sdt>
                  <w:r>
                    <w:rPr>
                      <w:rFonts w:ascii="Arial" w:hAnsi="Arial" w:cs="Arial"/>
                      <w:sz w:val="22"/>
                    </w:rPr>
                    <w:t>.</w:t>
                    <w:tab/>
                    <w:t xml:space="preserve">Biokuras – karštam vandeniui ir šildymui, namų ūkio ir paslaugų sektoriuose. </w:t>
                  </w:r>
                </w:p>
                <w:p>
                  <w:pPr>
                    <w:rPr>
                      <w:sz w:val="14"/>
                      <w:szCs w:val="14"/>
                    </w:rPr>
                  </w:pPr>
                </w:p>
                <w:sdt>
                  <w:sdtPr>
                    <w:alias w:val="1.5.2 pp."/>
                    <w:tag w:val="part_4f23b5466d924a83bff2c96693719f18"/>
                    <w:lock w:val="sdtLocked"/>
                    <w:richText/>
                  </w:sdtPr>
                  <w:sdtContent>
                    <w:p>
                      <w:pPr>
                        <w:spacing w:line="259" w:lineRule="auto"/>
                        <w:ind w:firstLine="567"/>
                        <w:jc w:val="both"/>
                        <w:rPr>
                          <w:rFonts w:ascii="Arial" w:hAnsi="Arial" w:cs="Arial"/>
                          <w:sz w:val="22"/>
                        </w:rPr>
                      </w:pPr>
                      <w:sdt>
                        <w:sdtPr>
                          <w:alias w:val="Numeris"/>
                          <w:tag w:val="nr_4f23b5466d924a83bff2c96693719f18"/>
                          <w:lock w:val="sdtLocked"/>
                          <w:richText/>
                        </w:sdtPr>
                        <w:sdtContent>
                          <w:r>
                            <w:rPr>
                              <w:rFonts w:ascii="Arial" w:eastAsia="Calibri" w:hAnsi="Arial" w:cs="Arial"/>
                              <w:sz w:val="22"/>
                              <w:szCs w:val="23"/>
                            </w:rPr>
                            <w:t>1.5.2</w:t>
                          </w:r>
                        </w:sdtContent>
                      </w:sdt>
                      <w:r>
                        <w:rPr>
                          <w:rFonts w:ascii="Arial" w:eastAsia="Calibri" w:hAnsi="Arial" w:cs="Arial"/>
                          <w:sz w:val="22"/>
                          <w:szCs w:val="23"/>
                        </w:rPr>
                        <w:t xml:space="preserve">. skyriuje nustatyta, kad </w:t>
                      </w:r>
                      <w:r>
                        <w:rPr>
                          <w:rFonts w:ascii="Arial" w:hAnsi="Arial" w:cs="Arial"/>
                          <w:sz w:val="22"/>
                        </w:rPr>
                        <w:t>Joniškio rajono savivaldybėje prie CŠT tinklų neprijungtų namų ūkių šildomas plotas sudaro: 1-2 būtų gyvenamųjų namų – 597 504,4 m</w:t>
                      </w:r>
                      <w:r>
                        <w:rPr>
                          <w:rFonts w:ascii="Arial" w:hAnsi="Arial" w:cs="Arial"/>
                          <w:sz w:val="22"/>
                          <w:vertAlign w:val="superscript"/>
                        </w:rPr>
                        <w:t>2</w:t>
                      </w:r>
                      <w:r>
                        <w:rPr>
                          <w:rFonts w:ascii="Arial" w:hAnsi="Arial" w:cs="Arial"/>
                          <w:sz w:val="22"/>
                        </w:rPr>
                        <w:t xml:space="preserve"> daugiabučių namų – 112 566,4 m</w:t>
                      </w:r>
                      <w:r>
                        <w:rPr>
                          <w:rFonts w:ascii="Arial" w:hAnsi="Arial" w:cs="Arial"/>
                          <w:sz w:val="22"/>
                          <w:vertAlign w:val="superscript"/>
                        </w:rPr>
                        <w:t>2</w:t>
                      </w:r>
                      <w:r>
                        <w:rPr>
                          <w:rFonts w:ascii="Arial" w:hAnsi="Arial" w:cs="Arial"/>
                          <w:sz w:val="22"/>
                        </w:rPr>
                        <w:t>, gyvenamųjų namų įvairioms socialinėms grupėms – 15 612,5 m</w:t>
                      </w:r>
                      <w:r>
                        <w:rPr>
                          <w:rFonts w:ascii="Arial" w:hAnsi="Arial" w:cs="Arial"/>
                          <w:sz w:val="22"/>
                          <w:vertAlign w:val="superscript"/>
                        </w:rPr>
                        <w:t>2</w:t>
                      </w:r>
                      <w:r>
                        <w:rPr>
                          <w:rFonts w:ascii="Arial" w:hAnsi="Arial" w:cs="Arial"/>
                          <w:sz w:val="22"/>
                        </w:rPr>
                        <w:t xml:space="preserve">. Atitinkamai įvertinama, kad prie CŠT tinklų neprijungtuose namų ūkiuose šildymo poreikis (įskaitant ir karšto vandens ruošimą) per metus sudaro </w:t>
                      </w:r>
                      <w:r>
                        <w:rPr>
                          <w:rFonts w:ascii="Arial" w:hAnsi="Arial" w:cs="Arial"/>
                          <w:b/>
                          <w:bCs/>
                          <w:sz w:val="22"/>
                        </w:rPr>
                        <w:t>126 864,4 MWh (10 908,4 tne)</w:t>
                      </w:r>
                      <w:r>
                        <w:rPr>
                          <w:rFonts w:ascii="Arial" w:hAnsi="Arial" w:cs="Arial"/>
                          <w:sz w:val="22"/>
                        </w:rPr>
                        <w:t>.</w:t>
                      </w:r>
                    </w:p>
                    <w:p>
                      <w:pPr>
                        <w:rPr>
                          <w:sz w:val="14"/>
                          <w:szCs w:val="14"/>
                        </w:rPr>
                      </w:pPr>
                    </w:p>
                    <w:p>
                      <w:pPr>
                        <w:spacing w:line="259" w:lineRule="auto"/>
                        <w:ind w:firstLine="567"/>
                        <w:jc w:val="both"/>
                        <w:rPr>
                          <w:rFonts w:ascii="Arial" w:hAnsi="Arial" w:cs="Arial"/>
                          <w:sz w:val="22"/>
                        </w:rPr>
                      </w:pPr>
                      <w:r>
                        <w:rPr>
                          <w:rFonts w:ascii="Arial" w:hAnsi="Arial" w:cs="Arial"/>
                          <w:sz w:val="22"/>
                        </w:rPr>
                        <w:t>Remiantis atliktais skaičiavimais vertinama, kad Joniškio rajono savivaldybėje prie CŠT sistemos neprijungtų namų ūkių šildymui bei karštam vandeniui ruošti suvartojama apie 10 908,4 tne kuro energijos, kurios 8 298,0 tne (76,07 proc.) sudaro energija iš AIE.</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Siekiant didinti AIE dalį galutiniame energijos vartojime, Joniškio rajono savivaldybėje būtina skatinti namų ūkius pereiti prie AIE. Dalis šių namų ūkių persiorientuos į AIE dėl palankios valstybės politikos, tačiau Joniškio rajono savivaldybės administracija taip pat turi imtis aktyvaus vaidmens ir informacinėmis bei finansinėmis priemonėmis skatinti gyventojus diegti inovatyvias technologijas. </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AIE 3 koncepcinio scenarijaus atveju nustatoma, kad iki 2030 metų 70 proc. iš iškastinį kurą naudojančių namų ūkių, šiluma bus aprūpinami iš AIE. Iš transformacijos priemonių paminėtinos šios – biokuras, elektros energiją gaminantis vartotojas, šilumos siurbliai, saulės kolektoriai. Bendrame balanse iškastinio kuro kiekis sumažės </w:t>
                      </w:r>
                      <w:r>
                        <w:rPr>
                          <w:rFonts w:ascii="Arial" w:eastAsia="Calibri" w:hAnsi="Arial" w:cs="Arial"/>
                          <w:b/>
                          <w:bCs/>
                          <w:sz w:val="22"/>
                          <w:szCs w:val="23"/>
                        </w:rPr>
                        <w:t>1 827,3 tne</w:t>
                      </w:r>
                      <w:r>
                        <w:rPr>
                          <w:rFonts w:ascii="Arial" w:eastAsia="Calibri" w:hAnsi="Arial" w:cs="Arial"/>
                          <w:sz w:val="22"/>
                          <w:szCs w:val="23"/>
                        </w:rPr>
                        <w:t xml:space="preserve"> (nuo 2 610,4 tne iki 783,1 tne).</w:t>
                      </w:r>
                    </w:p>
                    <w:p>
                      <w:pPr>
                        <w:rPr>
                          <w:sz w:val="14"/>
                          <w:szCs w:val="14"/>
                        </w:rPr>
                      </w:pPr>
                    </w:p>
                    <w:p>
                      <w:pPr>
                        <w:spacing w:line="259" w:lineRule="auto"/>
                        <w:ind w:firstLine="567"/>
                        <w:jc w:val="both"/>
                        <w:rPr>
                          <w:rFonts w:ascii="Arial" w:eastAsia="Calibri" w:hAnsi="Arial" w:cs="Arial"/>
                          <w:sz w:val="22"/>
                          <w:szCs w:val="23"/>
                        </w:rPr>
                      </w:pPr>
                      <w:r>
                        <w:rPr>
                          <w:rFonts w:ascii="Arial" w:eastAsia="Calibri" w:hAnsi="Arial" w:cs="Arial"/>
                          <w:sz w:val="22"/>
                          <w:szCs w:val="23"/>
                        </w:rPr>
                        <w:t xml:space="preserve">Taip pat į 3 koncepcinį scenarijų įtraukiamos priemonės, kurios numatytos ir 2 koncepciniame scenarijuje – </w:t>
                      </w:r>
                      <w:r>
                        <w:rPr>
                          <w:rFonts w:ascii="Arial" w:eastAsia="Calibri" w:hAnsi="Arial" w:cs="Arial"/>
                          <w:color w:val="000000"/>
                          <w:sz w:val="22"/>
                          <w:szCs w:val="23"/>
                        </w:rPr>
                        <w:t xml:space="preserve">saulės kolektorių ir </w:t>
                      </w:r>
                      <w:r>
                        <w:rPr>
                          <w:rFonts w:ascii="Arial" w:eastAsia="Calibri" w:hAnsi="Arial" w:cs="Arial"/>
                          <w:sz w:val="22"/>
                          <w:szCs w:val="23"/>
                        </w:rPr>
                        <w:t>fotomodulių įrengimas ant savivaldybės pastatų stogų. Sudaromas AIE 3 koncepcinio scenarijaus kuro balansas 2030 m.</w:t>
                      </w:r>
                    </w:p>
                    <w:p>
                      <w:pPr>
                        <w:rPr>
                          <w:sz w:val="14"/>
                          <w:szCs w:val="14"/>
                        </w:rPr>
                      </w:pPr>
                    </w:p>
                  </w:sdtContent>
                </w:sdt>
                <w:sdt>
                  <w:sdtPr>
                    <w:alias w:val="8.4.1 pp."/>
                    <w:tag w:val="part_67cad4308d554885b17913624e907c42"/>
                    <w:lock w:val="sdtLocked"/>
                    <w:richText/>
                  </w:sdtPr>
                  <w:sdtContent>
                    <w:p>
                      <w:pPr>
                        <w:spacing w:line="259" w:lineRule="auto"/>
                        <w:jc w:val="center"/>
                        <w:rPr>
                          <w:rFonts w:ascii="Arial" w:eastAsia="Calibri" w:hAnsi="Arial" w:cs="Arial"/>
                          <w:b/>
                          <w:color w:val="002060"/>
                          <w:sz w:val="22"/>
                          <w:szCs w:val="32"/>
                        </w:rPr>
                      </w:pPr>
                      <w:sdt>
                        <w:sdtPr>
                          <w:alias w:val="Numeris"/>
                          <w:tag w:val="nr_67cad4308d554885b17913624e907c42"/>
                          <w:lock w:val="sdtLocked"/>
                          <w:richText/>
                        </w:sdtPr>
                        <w:sdtContent>
                          <w:r>
                            <w:rPr>
                              <w:rFonts w:ascii="Arial" w:eastAsia="Calibri" w:hAnsi="Arial" w:cs="Arial"/>
                              <w:b/>
                              <w:color w:val="002060"/>
                              <w:sz w:val="22"/>
                              <w:szCs w:val="32"/>
                            </w:rPr>
                            <w:t>8.4.1</w:t>
                          </w:r>
                        </w:sdtContent>
                      </w:sdt>
                      <w:r>
                        <w:rPr>
                          <w:rFonts w:ascii="Arial" w:eastAsia="Calibri" w:hAnsi="Arial" w:cs="Arial"/>
                          <w:b/>
                          <w:color w:val="002060"/>
                          <w:sz w:val="22"/>
                          <w:szCs w:val="32"/>
                        </w:rPr>
                        <w:t>. lentelė. Galutinis energijos vartojimas savivaldybėje (AIE 3 scenarijus), tne</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4129"/>
                        <w:gridCol w:w="995"/>
                        <w:gridCol w:w="995"/>
                      </w:tblGrid>
                      <w:tr>
                        <w:trPr>
                          <w:trHeight w:val="20"/>
                          <w:jc w:val="center"/>
                        </w:trPr>
                        <w:tc>
                          <w:tcPr>
                            <w:tcW w:w="0" w:type="auto"/>
                            <w:hideMark/>
                          </w:tcPr>
                          <w:p>
                            <w:pPr>
                              <w:jc w:val="center"/>
                              <w:rPr>
                                <w:rFonts w:ascii="Arial" w:hAnsi="Arial" w:cs="Arial"/>
                                <w:sz w:val="20"/>
                                <w:szCs w:val="16"/>
                                <w:lang w:eastAsia="lt-LT"/>
                              </w:rPr>
                            </w:pPr>
                            <w:r>
                              <w:rPr>
                                <w:rFonts w:ascii="Arial" w:hAnsi="Arial" w:cs="Arial"/>
                                <w:sz w:val="20"/>
                                <w:szCs w:val="16"/>
                                <w:lang w:eastAsia="lt-LT"/>
                              </w:rPr>
                              <w:t>Energijos išteklių rūšis</w:t>
                            </w:r>
                          </w:p>
                        </w:tc>
                        <w:tc>
                          <w:tcPr>
                            <w:tcW w:w="0" w:type="auto"/>
                            <w:hideMark/>
                          </w:tcPr>
                          <w:p>
                            <w:pPr>
                              <w:jc w:val="center"/>
                              <w:rPr>
                                <w:rFonts w:ascii="Arial" w:hAnsi="Arial" w:cs="Arial"/>
                                <w:sz w:val="20"/>
                                <w:szCs w:val="16"/>
                                <w:lang w:eastAsia="lt-LT"/>
                              </w:rPr>
                            </w:pPr>
                            <w:r>
                              <w:rPr>
                                <w:rFonts w:ascii="Arial" w:hAnsi="Arial" w:cs="Arial"/>
                                <w:sz w:val="20"/>
                                <w:szCs w:val="16"/>
                                <w:lang w:eastAsia="lt-LT"/>
                              </w:rPr>
                              <w:t>Iš viso</w:t>
                            </w:r>
                          </w:p>
                        </w:tc>
                        <w:tc>
                          <w:tcPr>
                            <w:tcW w:w="0" w:type="auto"/>
                            <w:hideMark/>
                          </w:tcPr>
                          <w:p>
                            <w:pPr>
                              <w:jc w:val="center"/>
                              <w:rPr>
                                <w:rFonts w:ascii="Arial" w:hAnsi="Arial" w:cs="Arial"/>
                                <w:sz w:val="20"/>
                                <w:szCs w:val="16"/>
                                <w:lang w:eastAsia="lt-LT"/>
                              </w:rPr>
                            </w:pPr>
                            <w:r>
                              <w:rPr>
                                <w:rFonts w:ascii="Arial" w:hAnsi="Arial" w:cs="Arial"/>
                                <w:sz w:val="20"/>
                                <w:szCs w:val="16"/>
                                <w:lang w:eastAsia="lt-LT"/>
                              </w:rPr>
                              <w:t>AIE</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Benzinas</w:t>
                            </w:r>
                          </w:p>
                        </w:tc>
                        <w:tc>
                          <w:tcPr>
                            <w:tcW w:w="0" w:type="auto"/>
                          </w:tcPr>
                          <w:p>
                            <w:pPr>
                              <w:jc w:val="center"/>
                              <w:rPr>
                                <w:rFonts w:ascii="Arial" w:hAnsi="Arial" w:cs="Arial"/>
                                <w:color w:val="000000"/>
                                <w:sz w:val="20"/>
                                <w:lang w:eastAsia="lt-LT"/>
                              </w:rPr>
                            </w:pPr>
                            <w:r>
                              <w:rPr>
                                <w:rFonts w:ascii="Arial" w:hAnsi="Arial" w:cs="Arial"/>
                                <w:sz w:val="20"/>
                              </w:rPr>
                              <w:t>447,7</w:t>
                            </w:r>
                          </w:p>
                        </w:tc>
                        <w:tc>
                          <w:tcPr>
                            <w:tcW w:w="0" w:type="auto"/>
                          </w:tcPr>
                          <w:p>
                            <w:pPr>
                              <w:jc w:val="center"/>
                              <w:rPr>
                                <w:rFonts w:ascii="Arial" w:hAnsi="Arial" w:cs="Arial"/>
                                <w:color w:val="000000"/>
                                <w:sz w:val="20"/>
                                <w:lang w:eastAsia="lt-LT"/>
                              </w:rPr>
                            </w:pPr>
                            <w:r>
                              <w:rPr>
                                <w:rFonts w:ascii="Arial" w:hAnsi="Arial" w:cs="Arial"/>
                                <w:sz w:val="20"/>
                              </w:rPr>
                              <w:t>29,5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Dyzelinas</w:t>
                            </w:r>
                          </w:p>
                        </w:tc>
                        <w:tc>
                          <w:tcPr>
                            <w:tcW w:w="0" w:type="auto"/>
                          </w:tcPr>
                          <w:p>
                            <w:pPr>
                              <w:jc w:val="center"/>
                              <w:rPr>
                                <w:rFonts w:ascii="Arial" w:hAnsi="Arial" w:cs="Arial"/>
                                <w:color w:val="000000"/>
                                <w:sz w:val="20"/>
                                <w:lang w:eastAsia="lt-LT"/>
                              </w:rPr>
                            </w:pPr>
                            <w:r>
                              <w:rPr>
                                <w:rFonts w:ascii="Arial" w:hAnsi="Arial" w:cs="Arial"/>
                                <w:sz w:val="20"/>
                              </w:rPr>
                              <w:t>43,9</w:t>
                            </w:r>
                          </w:p>
                        </w:tc>
                        <w:tc>
                          <w:tcPr>
                            <w:tcW w:w="0" w:type="auto"/>
                          </w:tcPr>
                          <w:p>
                            <w:pPr>
                              <w:jc w:val="center"/>
                              <w:rPr>
                                <w:rFonts w:ascii="Arial" w:hAnsi="Arial" w:cs="Arial"/>
                                <w:color w:val="000000"/>
                                <w:sz w:val="20"/>
                                <w:lang w:eastAsia="lt-LT"/>
                              </w:rPr>
                            </w:pPr>
                            <w:r>
                              <w:rPr>
                                <w:rFonts w:ascii="Arial" w:hAnsi="Arial" w:cs="Arial"/>
                                <w:sz w:val="20"/>
                              </w:rPr>
                              <w:t>2,7</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Suskystintos naftos dujos</w:t>
                            </w:r>
                          </w:p>
                        </w:tc>
                        <w:tc>
                          <w:tcPr>
                            <w:tcW w:w="0" w:type="auto"/>
                          </w:tcPr>
                          <w:p>
                            <w:pPr>
                              <w:jc w:val="center"/>
                              <w:rPr>
                                <w:rFonts w:ascii="Arial" w:hAnsi="Arial" w:cs="Arial"/>
                                <w:color w:val="000000"/>
                                <w:sz w:val="20"/>
                                <w:lang w:eastAsia="lt-LT"/>
                              </w:rPr>
                            </w:pPr>
                            <w:r>
                              <w:rPr>
                                <w:rFonts w:ascii="Arial" w:hAnsi="Arial" w:cs="Arial"/>
                                <w:sz w:val="20"/>
                              </w:rPr>
                              <w:t>57,1</w:t>
                            </w:r>
                          </w:p>
                        </w:tc>
                        <w:tc>
                          <w:tcPr>
                            <w:tcW w:w="0" w:type="auto"/>
                          </w:tcPr>
                          <w:p>
                            <w:pPr>
                              <w:jc w:val="center"/>
                              <w:rPr>
                                <w:rFonts w:ascii="Arial" w:hAnsi="Arial" w:cs="Arial"/>
                                <w:color w:val="000000"/>
                                <w:sz w:val="20"/>
                                <w:lang w:eastAsia="lt-LT"/>
                              </w:rPr>
                            </w:pPr>
                            <w:r>
                              <w:rPr>
                                <w:rFonts w:ascii="Arial" w:hAnsi="Arial" w:cs="Arial"/>
                                <w:sz w:val="20"/>
                              </w:rPr>
                              <w:t>-</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Skystas kuras</w:t>
                            </w:r>
                          </w:p>
                        </w:tc>
                        <w:tc>
                          <w:tcPr>
                            <w:tcW w:w="0" w:type="auto"/>
                          </w:tcPr>
                          <w:p>
                            <w:pPr>
                              <w:jc w:val="center"/>
                              <w:rPr>
                                <w:rFonts w:ascii="Arial" w:hAnsi="Arial" w:cs="Arial"/>
                                <w:color w:val="000000"/>
                                <w:sz w:val="20"/>
                                <w:lang w:eastAsia="lt-LT"/>
                              </w:rPr>
                            </w:pPr>
                            <w:r>
                              <w:rPr>
                                <w:rFonts w:ascii="Arial" w:hAnsi="Arial" w:cs="Arial"/>
                                <w:sz w:val="20"/>
                              </w:rPr>
                              <w:t>335,5</w:t>
                            </w:r>
                          </w:p>
                        </w:tc>
                        <w:tc>
                          <w:tcPr>
                            <w:tcW w:w="0" w:type="auto"/>
                          </w:tcPr>
                          <w:p>
                            <w:pPr>
                              <w:jc w:val="center"/>
                              <w:rPr>
                                <w:rFonts w:ascii="Arial" w:hAnsi="Arial" w:cs="Arial"/>
                                <w:color w:val="000000"/>
                                <w:sz w:val="20"/>
                                <w:lang w:eastAsia="lt-LT"/>
                              </w:rPr>
                            </w:pPr>
                            <w:r>
                              <w:rPr>
                                <w:rFonts w:ascii="Arial" w:hAnsi="Arial" w:cs="Arial"/>
                                <w:sz w:val="20"/>
                              </w:rPr>
                              <w:t>335,5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Anglys ir durpės</w:t>
                            </w:r>
                          </w:p>
                        </w:tc>
                        <w:tc>
                          <w:tcPr>
                            <w:tcW w:w="0" w:type="auto"/>
                          </w:tcPr>
                          <w:p>
                            <w:pPr>
                              <w:jc w:val="center"/>
                              <w:rPr>
                                <w:rFonts w:ascii="Arial" w:hAnsi="Arial" w:cs="Arial"/>
                                <w:color w:val="000000"/>
                                <w:sz w:val="20"/>
                                <w:lang w:eastAsia="lt-LT"/>
                              </w:rPr>
                            </w:pPr>
                            <w:r>
                              <w:rPr>
                                <w:rFonts w:ascii="Arial" w:hAnsi="Arial" w:cs="Arial"/>
                                <w:sz w:val="20"/>
                              </w:rPr>
                              <w:t>663,8</w:t>
                            </w:r>
                          </w:p>
                        </w:tc>
                        <w:tc>
                          <w:tcPr>
                            <w:tcW w:w="0" w:type="auto"/>
                          </w:tcPr>
                          <w:p>
                            <w:pPr>
                              <w:jc w:val="center"/>
                              <w:rPr>
                                <w:rFonts w:ascii="Arial" w:hAnsi="Arial" w:cs="Arial"/>
                                <w:color w:val="000000"/>
                                <w:sz w:val="20"/>
                                <w:lang w:eastAsia="lt-LT"/>
                              </w:rPr>
                            </w:pPr>
                            <w:r>
                              <w:rPr>
                                <w:rFonts w:ascii="Arial" w:hAnsi="Arial" w:cs="Arial"/>
                                <w:sz w:val="20"/>
                              </w:rPr>
                              <w:t>591,1</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Gamtinės dujos</w:t>
                            </w:r>
                          </w:p>
                        </w:tc>
                        <w:tc>
                          <w:tcPr>
                            <w:tcW w:w="0" w:type="auto"/>
                          </w:tcPr>
                          <w:p>
                            <w:pPr>
                              <w:jc w:val="center"/>
                              <w:rPr>
                                <w:rFonts w:ascii="Arial" w:hAnsi="Arial" w:cs="Arial"/>
                                <w:color w:val="000000"/>
                                <w:sz w:val="20"/>
                                <w:lang w:eastAsia="lt-LT"/>
                              </w:rPr>
                            </w:pPr>
                            <w:r>
                              <w:rPr>
                                <w:rFonts w:ascii="Arial" w:hAnsi="Arial" w:cs="Arial"/>
                                <w:sz w:val="20"/>
                              </w:rPr>
                              <w:t>1 418,6</w:t>
                            </w:r>
                          </w:p>
                        </w:tc>
                        <w:tc>
                          <w:tcPr>
                            <w:tcW w:w="0" w:type="auto"/>
                          </w:tcPr>
                          <w:p>
                            <w:pPr>
                              <w:jc w:val="center"/>
                              <w:rPr>
                                <w:rFonts w:ascii="Arial" w:hAnsi="Arial" w:cs="Arial"/>
                                <w:color w:val="000000"/>
                                <w:sz w:val="20"/>
                                <w:lang w:eastAsia="lt-LT"/>
                              </w:rPr>
                            </w:pPr>
                            <w:r>
                              <w:rPr>
                                <w:rFonts w:ascii="Arial" w:hAnsi="Arial" w:cs="Arial"/>
                                <w:sz w:val="20"/>
                              </w:rPr>
                              <w:t>1 418,6</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Biokuras (mediena)</w:t>
                            </w:r>
                          </w:p>
                        </w:tc>
                        <w:tc>
                          <w:tcPr>
                            <w:tcW w:w="0" w:type="auto"/>
                          </w:tcPr>
                          <w:p>
                            <w:pPr>
                              <w:jc w:val="center"/>
                              <w:rPr>
                                <w:rFonts w:ascii="Arial" w:hAnsi="Arial" w:cs="Arial"/>
                                <w:color w:val="000000"/>
                                <w:sz w:val="20"/>
                                <w:lang w:eastAsia="lt-LT"/>
                              </w:rPr>
                            </w:pPr>
                            <w:r>
                              <w:rPr>
                                <w:rFonts w:ascii="Arial" w:hAnsi="Arial" w:cs="Arial"/>
                                <w:sz w:val="20"/>
                              </w:rPr>
                              <w:t>8 790,8</w:t>
                            </w:r>
                          </w:p>
                        </w:tc>
                        <w:tc>
                          <w:tcPr>
                            <w:tcW w:w="0" w:type="auto"/>
                          </w:tcPr>
                          <w:p>
                            <w:pPr>
                              <w:jc w:val="center"/>
                              <w:rPr>
                                <w:rFonts w:ascii="Arial" w:hAnsi="Arial" w:cs="Arial"/>
                                <w:color w:val="000000"/>
                                <w:sz w:val="20"/>
                                <w:lang w:eastAsia="lt-LT"/>
                              </w:rPr>
                            </w:pPr>
                            <w:r>
                              <w:rPr>
                                <w:rFonts w:ascii="Arial" w:hAnsi="Arial" w:cs="Arial"/>
                                <w:sz w:val="20"/>
                              </w:rPr>
                              <w:t>8 790,8</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Elektros energija</w:t>
                            </w:r>
                          </w:p>
                        </w:tc>
                        <w:tc>
                          <w:tcPr>
                            <w:tcW w:w="0" w:type="auto"/>
                          </w:tcPr>
                          <w:p>
                            <w:pPr>
                              <w:jc w:val="center"/>
                              <w:rPr>
                                <w:rFonts w:ascii="Arial" w:hAnsi="Arial" w:cs="Arial"/>
                                <w:color w:val="000000"/>
                                <w:sz w:val="20"/>
                                <w:lang w:eastAsia="lt-LT"/>
                              </w:rPr>
                            </w:pPr>
                            <w:r>
                              <w:rPr>
                                <w:rFonts w:ascii="Arial" w:hAnsi="Arial" w:cs="Arial"/>
                                <w:sz w:val="20"/>
                              </w:rPr>
                              <w:t>6 082,0</w:t>
                            </w:r>
                          </w:p>
                        </w:tc>
                        <w:tc>
                          <w:tcPr>
                            <w:tcW w:w="0" w:type="auto"/>
                          </w:tcPr>
                          <w:p>
                            <w:pPr>
                              <w:jc w:val="center"/>
                              <w:rPr>
                                <w:rFonts w:ascii="Arial" w:hAnsi="Arial" w:cs="Arial"/>
                                <w:color w:val="000000"/>
                                <w:sz w:val="20"/>
                                <w:lang w:eastAsia="lt-LT"/>
                              </w:rPr>
                            </w:pPr>
                            <w:r>
                              <w:rPr>
                                <w:rFonts w:ascii="Arial" w:hAnsi="Arial" w:cs="Arial"/>
                                <w:sz w:val="20"/>
                              </w:rPr>
                              <w:t>1 652,5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Aplinkos šiluminė energija (šilumos siurbliai)</w:t>
                            </w:r>
                          </w:p>
                        </w:tc>
                        <w:tc>
                          <w:tcPr>
                            <w:tcW w:w="0" w:type="auto"/>
                          </w:tcPr>
                          <w:p>
                            <w:pPr>
                              <w:jc w:val="center"/>
                              <w:rPr>
                                <w:rFonts w:ascii="Arial" w:hAnsi="Arial" w:cs="Arial"/>
                                <w:color w:val="000000"/>
                                <w:sz w:val="20"/>
                                <w:lang w:eastAsia="lt-LT"/>
                              </w:rPr>
                            </w:pPr>
                            <w:r>
                              <w:rPr>
                                <w:rFonts w:ascii="Arial" w:hAnsi="Arial" w:cs="Arial"/>
                                <w:sz w:val="20"/>
                              </w:rPr>
                              <w:t>377,5</w:t>
                            </w:r>
                          </w:p>
                        </w:tc>
                        <w:tc>
                          <w:tcPr>
                            <w:tcW w:w="0" w:type="auto"/>
                          </w:tcPr>
                          <w:p>
                            <w:pPr>
                              <w:jc w:val="center"/>
                              <w:rPr>
                                <w:rFonts w:ascii="Arial" w:hAnsi="Arial" w:cs="Arial"/>
                                <w:color w:val="000000"/>
                                <w:sz w:val="20"/>
                                <w:lang w:eastAsia="lt-LT"/>
                              </w:rPr>
                            </w:pPr>
                            <w:r>
                              <w:rPr>
                                <w:rFonts w:ascii="Arial" w:hAnsi="Arial" w:cs="Arial"/>
                                <w:sz w:val="20"/>
                              </w:rPr>
                              <w:t>377,5</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Kitos kuro ir energijos rūšys</w:t>
                            </w:r>
                          </w:p>
                        </w:tc>
                        <w:tc>
                          <w:tcPr>
                            <w:tcW w:w="0" w:type="auto"/>
                          </w:tcPr>
                          <w:p>
                            <w:pPr>
                              <w:jc w:val="center"/>
                              <w:rPr>
                                <w:rFonts w:ascii="Arial" w:hAnsi="Arial" w:cs="Arial"/>
                                <w:b/>
                                <w:bCs/>
                                <w:color w:val="000000"/>
                                <w:sz w:val="20"/>
                                <w:lang w:eastAsia="lt-LT"/>
                              </w:rPr>
                            </w:pPr>
                            <w:r>
                              <w:rPr>
                                <w:rFonts w:ascii="Arial" w:hAnsi="Arial" w:cs="Arial"/>
                                <w:sz w:val="20"/>
                              </w:rPr>
                              <w:t>283,1</w:t>
                            </w:r>
                          </w:p>
                        </w:tc>
                        <w:tc>
                          <w:tcPr>
                            <w:tcW w:w="0" w:type="auto"/>
                          </w:tcPr>
                          <w:p>
                            <w:pPr>
                              <w:jc w:val="center"/>
                              <w:rPr>
                                <w:rFonts w:ascii="Arial" w:hAnsi="Arial" w:cs="Arial"/>
                                <w:b/>
                                <w:bCs/>
                                <w:color w:val="000000"/>
                                <w:sz w:val="20"/>
                                <w:lang w:eastAsia="lt-LT"/>
                              </w:rPr>
                            </w:pPr>
                            <w:r>
                              <w:rPr>
                                <w:rFonts w:ascii="Arial" w:hAnsi="Arial" w:cs="Arial"/>
                                <w:sz w:val="20"/>
                              </w:rPr>
                              <w:t>0,0</w:t>
                            </w:r>
                          </w:p>
                        </w:tc>
                      </w:tr>
                      <w:tr>
                        <w:trPr>
                          <w:trHeight w:val="20"/>
                          <w:jc w:val="center"/>
                        </w:trPr>
                        <w:tc>
                          <w:tcPr>
                            <w:tcW w:w="0" w:type="auto"/>
                          </w:tcPr>
                          <w:p>
                            <w:pPr>
                              <w:jc w:val="both"/>
                              <w:rPr>
                                <w:rFonts w:ascii="Arial" w:hAnsi="Arial" w:cs="Arial"/>
                                <w:color w:val="000000"/>
                                <w:sz w:val="20"/>
                                <w:lang w:eastAsia="lt-LT"/>
                              </w:rPr>
                            </w:pPr>
                            <w:r>
                              <w:rPr>
                                <w:rFonts w:ascii="Arial" w:hAnsi="Arial" w:cs="Arial"/>
                                <w:color w:val="000000"/>
                                <w:sz w:val="20"/>
                              </w:rPr>
                              <w:t>Šilumos energija (CŠT)</w:t>
                            </w:r>
                          </w:p>
                        </w:tc>
                        <w:tc>
                          <w:tcPr>
                            <w:tcW w:w="0" w:type="auto"/>
                          </w:tcPr>
                          <w:p>
                            <w:pPr>
                              <w:jc w:val="center"/>
                              <w:rPr>
                                <w:rFonts w:ascii="Arial" w:hAnsi="Arial" w:cs="Arial"/>
                                <w:b/>
                                <w:bCs/>
                                <w:color w:val="000000"/>
                                <w:sz w:val="20"/>
                              </w:rPr>
                            </w:pPr>
                            <w:r>
                              <w:rPr>
                                <w:rFonts w:ascii="Arial" w:hAnsi="Arial" w:cs="Arial"/>
                                <w:sz w:val="20"/>
                              </w:rPr>
                              <w:t>1 630,6</w:t>
                            </w:r>
                          </w:p>
                        </w:tc>
                        <w:tc>
                          <w:tcPr>
                            <w:tcW w:w="0" w:type="auto"/>
                          </w:tcPr>
                          <w:p>
                            <w:pPr>
                              <w:jc w:val="center"/>
                              <w:rPr>
                                <w:rFonts w:ascii="Arial" w:hAnsi="Arial" w:cs="Arial"/>
                                <w:b/>
                                <w:bCs/>
                                <w:color w:val="000000"/>
                                <w:sz w:val="20"/>
                              </w:rPr>
                            </w:pPr>
                            <w:r>
                              <w:rPr>
                                <w:rFonts w:ascii="Arial" w:hAnsi="Arial" w:cs="Arial"/>
                                <w:sz w:val="20"/>
                              </w:rPr>
                              <w:t>1 358,3</w:t>
                            </w:r>
                          </w:p>
                        </w:tc>
                      </w:tr>
                      <w:tr>
                        <w:trPr>
                          <w:trHeight w:val="20"/>
                          <w:jc w:val="center"/>
                        </w:trPr>
                        <w:tc>
                          <w:tcPr>
                            <w:tcW w:w="0" w:type="auto"/>
                          </w:tcPr>
                          <w:p>
                            <w:pPr>
                              <w:jc w:val="right"/>
                              <w:rPr>
                                <w:rFonts w:ascii="Arial" w:hAnsi="Arial" w:cs="Arial"/>
                                <w:color w:val="000000"/>
                                <w:sz w:val="20"/>
                                <w:lang w:eastAsia="lt-LT"/>
                              </w:rPr>
                            </w:pPr>
                            <w:r>
                              <w:rPr>
                                <w:rFonts w:ascii="Arial" w:hAnsi="Arial" w:cs="Arial"/>
                                <w:color w:val="000000"/>
                                <w:sz w:val="20"/>
                                <w:lang w:eastAsia="lt-LT"/>
                              </w:rPr>
                              <w:t>Iš viso</w:t>
                            </w:r>
                          </w:p>
                        </w:tc>
                        <w:tc>
                          <w:tcPr>
                            <w:tcW w:w="0" w:type="auto"/>
                          </w:tcPr>
                          <w:p>
                            <w:pPr>
                              <w:jc w:val="center"/>
                              <w:rPr>
                                <w:rFonts w:ascii="Arial" w:hAnsi="Arial" w:cs="Arial"/>
                                <w:b/>
                                <w:bCs/>
                                <w:color w:val="000000"/>
                                <w:sz w:val="20"/>
                              </w:rPr>
                            </w:pPr>
                            <w:r>
                              <w:rPr>
                                <w:rFonts w:ascii="Arial" w:hAnsi="Arial" w:cs="Arial"/>
                                <w:b/>
                                <w:bCs/>
                                <w:sz w:val="20"/>
                              </w:rPr>
                              <w:t>20 130,6</w:t>
                            </w:r>
                          </w:p>
                        </w:tc>
                        <w:tc>
                          <w:tcPr>
                            <w:tcW w:w="0" w:type="auto"/>
                          </w:tcPr>
                          <w:p>
                            <w:pPr>
                              <w:jc w:val="center"/>
                              <w:rPr>
                                <w:rFonts w:ascii="Arial" w:hAnsi="Arial" w:cs="Arial"/>
                                <w:b/>
                                <w:bCs/>
                                <w:color w:val="000000"/>
                                <w:sz w:val="20"/>
                              </w:rPr>
                            </w:pPr>
                            <w:r>
                              <w:rPr>
                                <w:rFonts w:ascii="Arial" w:hAnsi="Arial" w:cs="Arial"/>
                                <w:b/>
                                <w:bCs/>
                                <w:sz w:val="20"/>
                              </w:rPr>
                              <w:t>14 556,5</w:t>
                            </w:r>
                          </w:p>
                        </w:tc>
                      </w:tr>
                      <w:tr>
                        <w:trPr>
                          <w:trHeight w:val="20"/>
                          <w:jc w:val="center"/>
                        </w:trPr>
                        <w:tc>
                          <w:tcPr>
                            <w:tcW w:w="0" w:type="auto"/>
                            <w:gridSpan w:val="2"/>
                            <w:hideMark/>
                          </w:tcPr>
                          <w:p>
                            <w:pPr>
                              <w:jc w:val="right"/>
                              <w:rPr>
                                <w:rFonts w:ascii="Arial" w:hAnsi="Arial" w:cs="Arial"/>
                                <w:color w:val="000000"/>
                                <w:sz w:val="20"/>
                                <w:lang w:eastAsia="lt-LT"/>
                              </w:rPr>
                            </w:pPr>
                            <w:r>
                              <w:rPr>
                                <w:rFonts w:ascii="Arial" w:hAnsi="Arial" w:cs="Arial"/>
                                <w:color w:val="000000"/>
                                <w:sz w:val="20"/>
                                <w:lang w:eastAsia="lt-LT"/>
                              </w:rPr>
                              <w:t>AIE dalis, proc.</w:t>
                            </w:r>
                          </w:p>
                        </w:tc>
                        <w:tc>
                          <w:tcPr>
                            <w:tcW w:w="0" w:type="auto"/>
                            <w:hideMark/>
                          </w:tcPr>
                          <w:p>
                            <w:pPr>
                              <w:jc w:val="center"/>
                              <w:rPr>
                                <w:rFonts w:ascii="Arial" w:hAnsi="Arial" w:cs="Arial"/>
                                <w:b/>
                                <w:bCs/>
                                <w:color w:val="000000"/>
                                <w:sz w:val="20"/>
                                <w:lang w:eastAsia="lt-LT"/>
                              </w:rPr>
                            </w:pPr>
                            <w:r>
                              <w:rPr>
                                <w:rFonts w:ascii="Arial" w:hAnsi="Arial" w:cs="Arial"/>
                                <w:b/>
                                <w:bCs/>
                                <w:color w:val="000000"/>
                                <w:sz w:val="20"/>
                                <w:lang w:eastAsia="lt-LT"/>
                              </w:rPr>
                              <w:t>72,3</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b/>
                          <w:bCs/>
                          <w:sz w:val="22"/>
                        </w:rPr>
                      </w:pPr>
                      <w:r>
                        <w:rPr>
                          <w:rFonts w:ascii="Arial" w:hAnsi="Arial" w:cs="Arial"/>
                          <w:sz w:val="22"/>
                        </w:rPr>
                        <w:t xml:space="preserve">Trečiojo koncepcinio scenarijaus atveju, įdiegus numatytas priemones, AIE dalis 2030 m. bus </w:t>
                      </w:r>
                      <w:r>
                        <w:rPr>
                          <w:rFonts w:ascii="Arial" w:hAnsi="Arial" w:cs="Arial"/>
                          <w:b/>
                          <w:bCs/>
                          <w:sz w:val="22"/>
                        </w:rPr>
                        <w:t xml:space="preserve">72,3 proc., </w:t>
                      </w:r>
                      <w:r>
                        <w:rPr>
                          <w:rFonts w:ascii="Arial" w:hAnsi="Arial" w:cs="Arial"/>
                          <w:sz w:val="22"/>
                        </w:rPr>
                        <w:t>t. y. 11,6 proc. daugiau nei pirmojo scenarijaus atveju (nieko nedarant).</w:t>
                      </w:r>
                    </w:p>
                    <w:p>
                      <w:pPr>
                        <w:rPr>
                          <w:sz w:val="14"/>
                          <w:szCs w:val="14"/>
                        </w:rPr>
                      </w:pPr>
                    </w:p>
                    <w:p>
                      <w:pPr>
                        <w:spacing w:line="259" w:lineRule="auto"/>
                        <w:ind w:firstLine="567"/>
                        <w:jc w:val="both"/>
                        <w:rPr>
                          <w:rFonts w:ascii="Arial" w:hAnsi="Arial" w:cs="Arial"/>
                          <w:sz w:val="22"/>
                        </w:rPr>
                      </w:pPr>
                      <w:r>
                        <w:rPr>
                          <w:rFonts w:ascii="Arial" w:hAnsi="Arial" w:cs="Arial"/>
                          <w:sz w:val="22"/>
                        </w:rPr>
                        <w:t>Atsižvelgiant į tai, kad prie CŠT tinklų neprijungtų namų ūkių šildomas plotas sudaro – 725 683,4 m</w:t>
                      </w:r>
                      <w:r>
                        <w:rPr>
                          <w:rFonts w:ascii="Arial" w:hAnsi="Arial" w:cs="Arial"/>
                          <w:sz w:val="22"/>
                          <w:vertAlign w:val="superscript"/>
                        </w:rPr>
                        <w:t xml:space="preserve">2 </w:t>
                      </w:r>
                      <w:r>
                        <w:rPr>
                          <w:rFonts w:ascii="Arial" w:hAnsi="Arial" w:cs="Arial"/>
                          <w:sz w:val="22"/>
                        </w:rPr>
                        <w:t>ir 23,93 proc. namų ūkių naudoja iškastinę energiją, iki 2030 m. šio koncepcinio scenarijaus atveju prie AIE pereis apie 70 proc. namų ūkių (121 559,2 m</w:t>
                      </w:r>
                      <w:r>
                        <w:rPr>
                          <w:rFonts w:ascii="Arial" w:hAnsi="Arial" w:cs="Arial"/>
                          <w:sz w:val="22"/>
                          <w:vertAlign w:val="superscript"/>
                        </w:rPr>
                        <w:t>2</w:t>
                      </w:r>
                      <w:r>
                        <w:rPr>
                          <w:rFonts w:ascii="Arial" w:hAnsi="Arial" w:cs="Arial"/>
                          <w:sz w:val="22"/>
                        </w:rPr>
                        <w:t>). Pagal Lietuvos statistikos departamento duomenis, 2021 m. vidutinis būsto dydis Joniškio rajono savivaldybėje siekė 61,2 m</w:t>
                      </w:r>
                      <w:r>
                        <w:rPr>
                          <w:rFonts w:ascii="Arial" w:hAnsi="Arial" w:cs="Arial"/>
                          <w:sz w:val="22"/>
                          <w:vertAlign w:val="superscript"/>
                        </w:rPr>
                        <w:t>2</w:t>
                      </w:r>
                      <w:r>
                        <w:rPr>
                          <w:rFonts w:ascii="Arial" w:hAnsi="Arial" w:cs="Arial"/>
                          <w:sz w:val="22"/>
                        </w:rPr>
                        <w:t>. Perėjimas prie AIE Joniškio rajono savivaldybėje paliestų apie 1 986 namų ūkus. Jei vieno namų ūkio vidutinės investicijos į AIE sudarytų iki 5 000 Eur, gautume, kad bendros investicijos siektų apie 9 930 000 Eur.</w:t>
                      </w:r>
                    </w:p>
                    <w:p>
                      <w:pPr>
                        <w:rPr>
                          <w:sz w:val="14"/>
                          <w:szCs w:val="14"/>
                        </w:rPr>
                      </w:pPr>
                    </w:p>
                    <w:p>
                      <w:pPr>
                        <w:spacing w:line="259" w:lineRule="auto"/>
                        <w:ind w:firstLine="567"/>
                        <w:jc w:val="both"/>
                        <w:rPr>
                          <w:rFonts w:ascii="Arial" w:hAnsi="Arial" w:cs="Arial"/>
                          <w:sz w:val="22"/>
                        </w:rPr>
                      </w:pPr>
                    </w:p>
                    <w:p>
                      <w:pPr>
                        <w:rPr>
                          <w:sz w:val="14"/>
                          <w:szCs w:val="14"/>
                        </w:rPr>
                      </w:pPr>
                    </w:p>
                    <w:p>
                      <w:pPr>
                        <w:spacing w:line="259" w:lineRule="auto"/>
                        <w:ind w:firstLine="567"/>
                        <w:jc w:val="both"/>
                        <w:rPr>
                          <w:rFonts w:ascii="Arial" w:hAnsi="Arial" w:cs="Arial"/>
                          <w:sz w:val="22"/>
                        </w:rPr>
                      </w:pPr>
                    </w:p>
                    <w:p>
                      <w:pPr>
                        <w:rPr>
                          <w:sz w:val="14"/>
                          <w:szCs w:val="14"/>
                        </w:rPr>
                      </w:pPr>
                    </w:p>
                    <w:p>
                      <w:pPr>
                        <w:spacing w:line="259" w:lineRule="auto"/>
                        <w:ind w:firstLine="567"/>
                        <w:jc w:val="both"/>
                        <w:rPr>
                          <w:rFonts w:ascii="Arial" w:hAnsi="Arial" w:cs="Arial"/>
                          <w:sz w:val="22"/>
                        </w:rPr>
                      </w:pPr>
                    </w:p>
                    <w:p>
                      <w:pPr>
                        <w:rPr>
                          <w:sz w:val="14"/>
                          <w:szCs w:val="14"/>
                        </w:rPr>
                      </w:pPr>
                    </w:p>
                    <w:p>
                      <w:pPr>
                        <w:spacing w:line="259" w:lineRule="auto"/>
                        <w:ind w:firstLine="567"/>
                        <w:jc w:val="both"/>
                        <w:rPr>
                          <w:rFonts w:ascii="Arial" w:hAnsi="Arial" w:cs="Arial"/>
                          <w:sz w:val="22"/>
                        </w:rPr>
                      </w:pPr>
                    </w:p>
                    <w:p>
                      <w:pPr>
                        <w:rPr>
                          <w:sz w:val="14"/>
                          <w:szCs w:val="14"/>
                        </w:rPr>
                      </w:pPr>
                    </w:p>
                  </w:sdtContent>
                </w:sdt>
                <w:sdt>
                  <w:sdtPr>
                    <w:alias w:val="8.5 pp."/>
                    <w:tag w:val="part_460bd4f24aa646a9972f81b2d753dab8"/>
                    <w:lock w:val="sdtLocked"/>
                    <w:richText/>
                  </w:sdtPr>
                  <w:sdtContent>
                    <w:p>
                      <w:pPr>
                        <w:keepNext/>
                        <w:keepLines/>
                        <w:spacing w:line="259" w:lineRule="auto"/>
                        <w:jc w:val="center"/>
                        <w:outlineLvl w:val="1"/>
                        <w:rPr>
                          <w:rFonts w:ascii="Arial" w:hAnsi="Arial" w:cs="Arial"/>
                          <w:b/>
                          <w:color w:val="002060"/>
                          <w:szCs w:val="26"/>
                        </w:rPr>
                      </w:pPr>
                      <w:sdt>
                        <w:sdtPr>
                          <w:alias w:val="Numeris"/>
                          <w:tag w:val="nr_460bd4f24aa646a9972f81b2d753dab8"/>
                          <w:lock w:val="sdtLocked"/>
                          <w:richText/>
                        </w:sdtPr>
                        <w:sdtContent>
                          <w:r>
                            <w:rPr>
                              <w:rFonts w:ascii="Arial" w:hAnsi="Arial" w:cs="Arial"/>
                              <w:b/>
                              <w:color w:val="002060"/>
                              <w:szCs w:val="26"/>
                            </w:rPr>
                            <w:t>8.5</w:t>
                          </w:r>
                        </w:sdtContent>
                      </w:sdt>
                      <w:r>
                        <w:rPr>
                          <w:rFonts w:ascii="Arial" w:hAnsi="Arial" w:cs="Arial"/>
                          <w:b/>
                          <w:color w:val="002060"/>
                          <w:szCs w:val="26"/>
                        </w:rPr>
                        <w:t>. Savivaldybės AIE koncepcinių scenarijų palyginimas</w:t>
                      </w:r>
                    </w:p>
                    <w:p>
                      <w:pPr>
                        <w:rPr>
                          <w:sz w:val="14"/>
                          <w:szCs w:val="14"/>
                        </w:rPr>
                      </w:pPr>
                    </w:p>
                    <w:p>
                      <w:pPr>
                        <w:spacing w:line="259" w:lineRule="auto"/>
                        <w:ind w:firstLine="567"/>
                        <w:jc w:val="both"/>
                        <w:rPr>
                          <w:rFonts w:ascii="Arial" w:hAnsi="Arial" w:cs="Arial"/>
                          <w:sz w:val="22"/>
                          <w:szCs w:val="22"/>
                        </w:rPr>
                      </w:pPr>
                      <w:r>
                        <w:rPr>
                          <w:rFonts w:ascii="Arial" w:hAnsi="Arial" w:cs="Arial"/>
                          <w:sz w:val="22"/>
                          <w:szCs w:val="22"/>
                        </w:rPr>
                        <w:t>Šioje plano dalyje yra pateikiamas AIE koncepcinių scenarijų palyginimas.</w:t>
                      </w:r>
                    </w:p>
                    <w:p>
                      <w:pPr>
                        <w:rPr>
                          <w:sz w:val="14"/>
                          <w:szCs w:val="14"/>
                        </w:rPr>
                      </w:pPr>
                    </w:p>
                    <w:sdt>
                      <w:sdtPr>
                        <w:alias w:val="8.5.1 pp."/>
                        <w:tag w:val="part_4c3b0f8725084c81861edcc2f9fd4c51"/>
                        <w:lock w:val="sdtLocked"/>
                        <w:richText/>
                      </w:sdtPr>
                      <w:sdtContent>
                        <w:p>
                          <w:pPr>
                            <w:spacing w:line="259" w:lineRule="auto"/>
                            <w:jc w:val="center"/>
                            <w:rPr>
                              <w:rFonts w:ascii="Arial" w:eastAsia="Calibri" w:hAnsi="Arial" w:cs="Arial"/>
                              <w:b/>
                              <w:color w:val="002060"/>
                              <w:sz w:val="22"/>
                              <w:szCs w:val="32"/>
                            </w:rPr>
                          </w:pPr>
                          <w:sdt>
                            <w:sdtPr>
                              <w:alias w:val="Numeris"/>
                              <w:tag w:val="nr_4c3b0f8725084c81861edcc2f9fd4c51"/>
                              <w:lock w:val="sdtLocked"/>
                              <w:richText/>
                            </w:sdtPr>
                            <w:sdtContent>
                              <w:r>
                                <w:rPr>
                                  <w:rFonts w:ascii="Arial" w:eastAsia="Calibri" w:hAnsi="Arial" w:cs="Arial"/>
                                  <w:b/>
                                  <w:color w:val="002060"/>
                                  <w:sz w:val="22"/>
                                  <w:szCs w:val="32"/>
                                </w:rPr>
                                <w:t>8.5.1</w:t>
                              </w:r>
                            </w:sdtContent>
                          </w:sdt>
                          <w:r>
                            <w:rPr>
                              <w:rFonts w:ascii="Arial" w:eastAsia="Calibri" w:hAnsi="Arial" w:cs="Arial"/>
                              <w:b/>
                              <w:color w:val="002060"/>
                              <w:sz w:val="22"/>
                              <w:szCs w:val="32"/>
                            </w:rPr>
                            <w:t>. lentelė. Koncepcinių scenarijų palyginimas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2548"/>
                            <w:gridCol w:w="1275"/>
                            <w:gridCol w:w="1258"/>
                            <w:gridCol w:w="1310"/>
                            <w:gridCol w:w="1247"/>
                            <w:gridCol w:w="1310"/>
                            <w:gridCol w:w="1247"/>
                          </w:tblGrid>
                          <w:tr>
                            <w:trPr>
                              <w:trHeight w:val="288"/>
                              <w:jc w:val="center"/>
                            </w:trPr>
                            <w:tc>
                              <w:tcPr>
                                <w:tcW w:w="2548" w:type="dxa"/>
                                <w:noWrap/>
                                <w:hideMark/>
                              </w:tcPr>
                              <w:p>
                                <w:pPr>
                                  <w:spacing w:line="259" w:lineRule="auto"/>
                                  <w:rPr>
                                    <w:rFonts w:ascii="Arial" w:hAnsi="Arial" w:cs="Arial"/>
                                    <w:sz w:val="20"/>
                                    <w:lang w:eastAsia="lt-LT"/>
                                  </w:rPr>
                                </w:pPr>
                                <w:r>
                                  <w:rPr>
                                    <w:rFonts w:ascii="Arial" w:eastAsia="Calibri" w:hAnsi="Arial" w:cs="Arial"/>
                                    <w:sz w:val="20"/>
                                  </w:rPr>
                                  <w:br w:type="page"/>
                                </w:r>
                              </w:p>
                            </w:tc>
                            <w:tc>
                              <w:tcPr>
                                <w:tcW w:w="2533" w:type="dxa"/>
                                <w:gridSpan w:val="2"/>
                                <w:noWrap/>
                                <w:hideMark/>
                              </w:tcPr>
                              <w:p>
                                <w:pPr>
                                  <w:spacing w:line="259" w:lineRule="auto"/>
                                  <w:jc w:val="center"/>
                                  <w:rPr>
                                    <w:rFonts w:ascii="Arial" w:hAnsi="Arial" w:cs="Arial"/>
                                    <w:sz w:val="20"/>
                                    <w:lang w:eastAsia="lt-LT"/>
                                  </w:rPr>
                                </w:pPr>
                                <w:r>
                                  <w:rPr>
                                    <w:rFonts w:ascii="Arial" w:hAnsi="Arial" w:cs="Arial"/>
                                    <w:sz w:val="20"/>
                                    <w:lang w:eastAsia="lt-LT"/>
                                  </w:rPr>
                                  <w:t>1 Scenarijus</w:t>
                                </w:r>
                              </w:p>
                            </w:tc>
                            <w:tc>
                              <w:tcPr>
                                <w:tcW w:w="0" w:type="auto"/>
                                <w:gridSpan w:val="2"/>
                                <w:noWrap/>
                                <w:hideMark/>
                              </w:tcPr>
                              <w:p>
                                <w:pPr>
                                  <w:spacing w:line="259" w:lineRule="auto"/>
                                  <w:jc w:val="center"/>
                                  <w:rPr>
                                    <w:rFonts w:ascii="Arial" w:hAnsi="Arial" w:cs="Arial"/>
                                    <w:sz w:val="20"/>
                                    <w:lang w:eastAsia="lt-LT"/>
                                  </w:rPr>
                                </w:pPr>
                                <w:r>
                                  <w:rPr>
                                    <w:rFonts w:ascii="Arial" w:hAnsi="Arial" w:cs="Arial"/>
                                    <w:sz w:val="20"/>
                                    <w:lang w:eastAsia="lt-LT"/>
                                  </w:rPr>
                                  <w:t>2 Scenarijus</w:t>
                                </w:r>
                              </w:p>
                            </w:tc>
                            <w:tc>
                              <w:tcPr>
                                <w:tcW w:w="0" w:type="auto"/>
                                <w:gridSpan w:val="2"/>
                                <w:noWrap/>
                                <w:hideMark/>
                              </w:tcPr>
                              <w:p>
                                <w:pPr>
                                  <w:spacing w:line="259" w:lineRule="auto"/>
                                  <w:jc w:val="center"/>
                                  <w:rPr>
                                    <w:rFonts w:ascii="Arial" w:hAnsi="Arial" w:cs="Arial"/>
                                    <w:sz w:val="20"/>
                                    <w:lang w:eastAsia="lt-LT"/>
                                  </w:rPr>
                                </w:pPr>
                                <w:r>
                                  <w:rPr>
                                    <w:rFonts w:ascii="Arial" w:hAnsi="Arial" w:cs="Arial"/>
                                    <w:sz w:val="20"/>
                                    <w:lang w:eastAsia="lt-LT"/>
                                  </w:rPr>
                                  <w:t>3 Scenarijus</w:t>
                                </w:r>
                              </w:p>
                            </w:tc>
                          </w:tr>
                          <w:tr>
                            <w:trPr>
                              <w:trHeight w:val="452"/>
                              <w:jc w:val="center"/>
                            </w:trPr>
                            <w:tc>
                              <w:tcPr>
                                <w:tcW w:w="2548" w:type="dxa"/>
                                <w:hideMark/>
                              </w:tcPr>
                              <w:p>
                                <w:pPr>
                                  <w:spacing w:line="259" w:lineRule="auto"/>
                                  <w:jc w:val="center"/>
                                  <w:rPr>
                                    <w:rFonts w:ascii="Arial" w:hAnsi="Arial" w:cs="Arial"/>
                                    <w:sz w:val="20"/>
                                    <w:lang w:eastAsia="lt-LT"/>
                                  </w:rPr>
                                </w:pPr>
                                <w:r>
                                  <w:rPr>
                                    <w:rFonts w:ascii="Arial" w:hAnsi="Arial" w:cs="Arial"/>
                                    <w:sz w:val="20"/>
                                    <w:lang w:eastAsia="lt-LT"/>
                                  </w:rPr>
                                  <w:t>Energijos išteklių rūšis</w:t>
                                </w:r>
                              </w:p>
                            </w:tc>
                            <w:tc>
                              <w:tcPr>
                                <w:tcW w:w="1275" w:type="dxa"/>
                                <w:hideMark/>
                              </w:tcPr>
                              <w:p>
                                <w:pPr>
                                  <w:spacing w:line="259" w:lineRule="auto"/>
                                  <w:jc w:val="center"/>
                                  <w:rPr>
                                    <w:rFonts w:ascii="Arial" w:hAnsi="Arial" w:cs="Arial"/>
                                    <w:b/>
                                    <w:bCs/>
                                    <w:sz w:val="20"/>
                                    <w:lang w:eastAsia="lt-LT"/>
                                  </w:rPr>
                                </w:pPr>
                                <w:r>
                                  <w:rPr>
                                    <w:rFonts w:ascii="Arial" w:hAnsi="Arial" w:cs="Arial"/>
                                    <w:b/>
                                    <w:bCs/>
                                    <w:sz w:val="20"/>
                                    <w:lang w:eastAsia="lt-LT"/>
                                  </w:rPr>
                                  <w:t>Energija, tne</w:t>
                                </w:r>
                              </w:p>
                            </w:tc>
                            <w:tc>
                              <w:tcPr>
                                <w:tcW w:w="1258" w:type="dxa"/>
                                <w:hideMark/>
                              </w:tcPr>
                              <w:p>
                                <w:pPr>
                                  <w:spacing w:line="259" w:lineRule="auto"/>
                                  <w:jc w:val="center"/>
                                  <w:rPr>
                                    <w:rFonts w:ascii="Arial" w:hAnsi="Arial" w:cs="Arial"/>
                                    <w:b/>
                                    <w:bCs/>
                                    <w:sz w:val="20"/>
                                    <w:lang w:eastAsia="lt-LT"/>
                                  </w:rPr>
                                </w:pPr>
                                <w:r>
                                  <w:rPr>
                                    <w:rFonts w:ascii="Arial" w:hAnsi="Arial" w:cs="Arial"/>
                                    <w:b/>
                                    <w:bCs/>
                                    <w:sz w:val="20"/>
                                    <w:lang w:eastAsia="lt-LT"/>
                                  </w:rPr>
                                  <w:t>AIE dalis, tne</w:t>
                                </w:r>
                              </w:p>
                            </w:tc>
                            <w:tc>
                              <w:tcPr>
                                <w:tcW w:w="0" w:type="auto"/>
                                <w:hideMark/>
                              </w:tcPr>
                              <w:p>
                                <w:pPr>
                                  <w:spacing w:line="259" w:lineRule="auto"/>
                                  <w:jc w:val="center"/>
                                  <w:rPr>
                                    <w:rFonts w:ascii="Arial" w:hAnsi="Arial" w:cs="Arial"/>
                                    <w:b/>
                                    <w:bCs/>
                                    <w:sz w:val="20"/>
                                    <w:lang w:eastAsia="lt-LT"/>
                                  </w:rPr>
                                </w:pPr>
                                <w:r>
                                  <w:rPr>
                                    <w:rFonts w:ascii="Arial" w:hAnsi="Arial" w:cs="Arial"/>
                                    <w:b/>
                                    <w:bCs/>
                                    <w:sz w:val="20"/>
                                    <w:lang w:eastAsia="lt-LT"/>
                                  </w:rPr>
                                  <w:t>Energija, tne</w:t>
                                </w:r>
                              </w:p>
                            </w:tc>
                            <w:tc>
                              <w:tcPr>
                                <w:tcW w:w="0" w:type="auto"/>
                                <w:hideMark/>
                              </w:tcPr>
                              <w:p>
                                <w:pPr>
                                  <w:spacing w:line="259" w:lineRule="auto"/>
                                  <w:jc w:val="center"/>
                                  <w:rPr>
                                    <w:rFonts w:ascii="Arial" w:hAnsi="Arial" w:cs="Arial"/>
                                    <w:b/>
                                    <w:bCs/>
                                    <w:sz w:val="20"/>
                                    <w:lang w:eastAsia="lt-LT"/>
                                  </w:rPr>
                                </w:pPr>
                                <w:r>
                                  <w:rPr>
                                    <w:rFonts w:ascii="Arial" w:hAnsi="Arial" w:cs="Arial"/>
                                    <w:b/>
                                    <w:bCs/>
                                    <w:sz w:val="20"/>
                                    <w:lang w:eastAsia="lt-LT"/>
                                  </w:rPr>
                                  <w:t>AIE dalis, tne</w:t>
                                </w:r>
                              </w:p>
                            </w:tc>
                            <w:tc>
                              <w:tcPr>
                                <w:tcW w:w="0" w:type="auto"/>
                                <w:hideMark/>
                              </w:tcPr>
                              <w:p>
                                <w:pPr>
                                  <w:spacing w:line="259" w:lineRule="auto"/>
                                  <w:jc w:val="center"/>
                                  <w:rPr>
                                    <w:rFonts w:ascii="Arial" w:hAnsi="Arial" w:cs="Arial"/>
                                    <w:b/>
                                    <w:bCs/>
                                    <w:sz w:val="20"/>
                                    <w:lang w:eastAsia="lt-LT"/>
                                  </w:rPr>
                                </w:pPr>
                                <w:r>
                                  <w:rPr>
                                    <w:rFonts w:ascii="Arial" w:hAnsi="Arial" w:cs="Arial"/>
                                    <w:b/>
                                    <w:bCs/>
                                    <w:sz w:val="20"/>
                                    <w:lang w:eastAsia="lt-LT"/>
                                  </w:rPr>
                                  <w:t>Energija, tne</w:t>
                                </w:r>
                              </w:p>
                            </w:tc>
                            <w:tc>
                              <w:tcPr>
                                <w:tcW w:w="0" w:type="auto"/>
                                <w:hideMark/>
                              </w:tcPr>
                              <w:p>
                                <w:pPr>
                                  <w:spacing w:line="259" w:lineRule="auto"/>
                                  <w:jc w:val="center"/>
                                  <w:rPr>
                                    <w:rFonts w:ascii="Arial" w:hAnsi="Arial" w:cs="Arial"/>
                                    <w:b/>
                                    <w:bCs/>
                                    <w:sz w:val="20"/>
                                    <w:lang w:eastAsia="lt-LT"/>
                                  </w:rPr>
                                </w:pPr>
                                <w:r>
                                  <w:rPr>
                                    <w:rFonts w:ascii="Arial" w:hAnsi="Arial" w:cs="Arial"/>
                                    <w:b/>
                                    <w:bCs/>
                                    <w:sz w:val="20"/>
                                    <w:lang w:eastAsia="lt-LT"/>
                                  </w:rPr>
                                  <w:t>AIE dalis, tne</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Benzinas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447,7</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29,5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447,7</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29,5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447,7</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29,5</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Dyzelinas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43,9</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2,7</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43,9</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2,7</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43,9</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2,7</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Suskystintos naftos dujos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57,1</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57,1</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57,1</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Skystas kuras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335,5</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335,5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335,5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335,5</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Anglys ir durpės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663,8</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663,8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517,9</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663,8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591,1</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Gamtinės dujos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1418,6</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1 418,6</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1 418,6</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1 418,6</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Biokuras (mediena)</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8790,8</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8790,8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8 790,8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8 790,8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8 790,8</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8 790,8</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Elektros energija</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6082,0</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1652,5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6 082,0</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1 652,5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6 082,0</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1 652,5</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Aplinkos šiluminė energija</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377,5</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377,5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377,5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377,5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377,5</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377,5</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Kitos kuro ir energijos rūšys</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283,1</w:t>
                                </w:r>
                              </w:p>
                            </w:tc>
                            <w:tc>
                              <w:tcPr>
                                <w:tcW w:w="1258" w:type="dxa"/>
                                <w:hideMark/>
                              </w:tcPr>
                              <w:p>
                                <w:pPr>
                                  <w:spacing w:line="259" w:lineRule="auto"/>
                                  <w:jc w:val="center"/>
                                  <w:rPr>
                                    <w:rFonts w:ascii="Arial" w:hAnsi="Arial" w:cs="Arial"/>
                                    <w:color w:val="000000"/>
                                    <w:sz w:val="20"/>
                                    <w:lang w:eastAsia="lt-LT"/>
                                  </w:rPr>
                                </w:pP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283,1</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0,0</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283,1</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0,0</w:t>
                                </w:r>
                              </w:p>
                            </w:tc>
                          </w:tr>
                          <w:tr>
                            <w:trPr>
                              <w:trHeight w:hRule="exact" w:val="255"/>
                              <w:jc w:val="center"/>
                            </w:trPr>
                            <w:tc>
                              <w:tcPr>
                                <w:tcW w:w="2548" w:type="dxa"/>
                                <w:hideMark/>
                              </w:tcPr>
                              <w:p>
                                <w:pPr>
                                  <w:spacing w:line="259" w:lineRule="auto"/>
                                  <w:rPr>
                                    <w:rFonts w:ascii="Arial" w:hAnsi="Arial" w:cs="Arial"/>
                                    <w:color w:val="000000"/>
                                    <w:sz w:val="20"/>
                                    <w:lang w:eastAsia="lt-LT"/>
                                  </w:rPr>
                                </w:pPr>
                                <w:r>
                                  <w:rPr>
                                    <w:rFonts w:ascii="Arial" w:hAnsi="Arial" w:cs="Arial"/>
                                    <w:color w:val="000000"/>
                                    <w:sz w:val="20"/>
                                    <w:lang w:eastAsia="lt-LT"/>
                                  </w:rPr>
                                  <w:t>Šilumos energija (CŠT)</w:t>
                                </w:r>
                              </w:p>
                            </w:tc>
                            <w:tc>
                              <w:tcPr>
                                <w:tcW w:w="1275" w:type="dxa"/>
                                <w:hideMark/>
                              </w:tcPr>
                              <w:p>
                                <w:pPr>
                                  <w:spacing w:line="259" w:lineRule="auto"/>
                                  <w:jc w:val="center"/>
                                  <w:rPr>
                                    <w:rFonts w:ascii="Arial" w:hAnsi="Arial" w:cs="Arial"/>
                                    <w:color w:val="000000"/>
                                    <w:sz w:val="20"/>
                                    <w:lang w:eastAsia="lt-LT"/>
                                  </w:rPr>
                                </w:pPr>
                                <w:r>
                                  <w:rPr>
                                    <w:rFonts w:ascii="Arial" w:hAnsi="Arial" w:cs="Arial"/>
                                    <w:sz w:val="20"/>
                                  </w:rPr>
                                  <w:t>1630,6</w:t>
                                </w:r>
                              </w:p>
                            </w:tc>
                            <w:tc>
                              <w:tcPr>
                                <w:tcW w:w="1258" w:type="dxa"/>
                                <w:hideMark/>
                              </w:tcPr>
                              <w:p>
                                <w:pPr>
                                  <w:spacing w:line="259" w:lineRule="auto"/>
                                  <w:jc w:val="center"/>
                                  <w:rPr>
                                    <w:rFonts w:ascii="Arial" w:hAnsi="Arial" w:cs="Arial"/>
                                    <w:color w:val="000000"/>
                                    <w:sz w:val="20"/>
                                    <w:lang w:eastAsia="lt-LT"/>
                                  </w:rPr>
                                </w:pPr>
                                <w:r>
                                  <w:rPr>
                                    <w:rFonts w:ascii="Arial" w:hAnsi="Arial" w:cs="Arial"/>
                                    <w:sz w:val="20"/>
                                  </w:rPr>
                                  <w:t>1358,3</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1 630,6</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1 358,3</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1 630,6</w:t>
                                </w:r>
                              </w:p>
                            </w:tc>
                            <w:tc>
                              <w:tcPr>
                                <w:tcW w:w="0" w:type="auto"/>
                                <w:hideMark/>
                              </w:tcPr>
                              <w:p>
                                <w:pPr>
                                  <w:spacing w:line="259" w:lineRule="auto"/>
                                  <w:jc w:val="center"/>
                                  <w:rPr>
                                    <w:rFonts w:ascii="Arial" w:hAnsi="Arial" w:cs="Arial"/>
                                    <w:color w:val="000000"/>
                                    <w:sz w:val="20"/>
                                    <w:lang w:eastAsia="lt-LT"/>
                                  </w:rPr>
                                </w:pPr>
                                <w:r>
                                  <w:rPr>
                                    <w:rFonts w:ascii="Arial" w:hAnsi="Arial" w:cs="Arial"/>
                                    <w:sz w:val="20"/>
                                  </w:rPr>
                                  <w:t>1 358,3</w:t>
                                </w:r>
                              </w:p>
                            </w:tc>
                          </w:tr>
                          <w:tr>
                            <w:trPr>
                              <w:trHeight w:hRule="exact" w:val="255"/>
                              <w:jc w:val="center"/>
                            </w:trPr>
                            <w:tc>
                              <w:tcPr>
                                <w:tcW w:w="2548" w:type="dxa"/>
                                <w:hideMark/>
                              </w:tcPr>
                              <w:p>
                                <w:pPr>
                                  <w:spacing w:line="259" w:lineRule="auto"/>
                                  <w:jc w:val="right"/>
                                  <w:rPr>
                                    <w:rFonts w:ascii="Arial" w:hAnsi="Arial" w:cs="Arial"/>
                                    <w:color w:val="000000"/>
                                    <w:sz w:val="20"/>
                                    <w:lang w:eastAsia="lt-LT"/>
                                  </w:rPr>
                                </w:pPr>
                                <w:r>
                                  <w:rPr>
                                    <w:rFonts w:ascii="Arial" w:hAnsi="Arial" w:cs="Arial"/>
                                    <w:color w:val="000000"/>
                                    <w:sz w:val="20"/>
                                    <w:lang w:eastAsia="lt-LT"/>
                                  </w:rPr>
                                  <w:t>Iš viso</w:t>
                                </w:r>
                              </w:p>
                            </w:tc>
                            <w:tc>
                              <w:tcPr>
                                <w:tcW w:w="1275" w:type="dxa"/>
                                <w:hideMark/>
                              </w:tcPr>
                              <w:p>
                                <w:pPr>
                                  <w:spacing w:line="259" w:lineRule="auto"/>
                                  <w:jc w:val="center"/>
                                  <w:rPr>
                                    <w:rFonts w:ascii="Arial" w:hAnsi="Arial" w:cs="Arial"/>
                                    <w:b/>
                                    <w:bCs/>
                                    <w:color w:val="000000"/>
                                    <w:sz w:val="20"/>
                                    <w:lang w:eastAsia="lt-LT"/>
                                  </w:rPr>
                                </w:pPr>
                                <w:r>
                                  <w:rPr>
                                    <w:rFonts w:ascii="Arial" w:hAnsi="Arial" w:cs="Arial"/>
                                    <w:b/>
                                    <w:bCs/>
                                    <w:sz w:val="20"/>
                                  </w:rPr>
                                  <w:t>20 130,6</w:t>
                                </w:r>
                              </w:p>
                            </w:tc>
                            <w:tc>
                              <w:tcPr>
                                <w:tcW w:w="1258" w:type="dxa"/>
                                <w:hideMark/>
                              </w:tcPr>
                              <w:p>
                                <w:pPr>
                                  <w:spacing w:line="259" w:lineRule="auto"/>
                                  <w:jc w:val="center"/>
                                  <w:rPr>
                                    <w:rFonts w:ascii="Arial" w:hAnsi="Arial" w:cs="Arial"/>
                                    <w:b/>
                                    <w:bCs/>
                                    <w:color w:val="000000"/>
                                    <w:sz w:val="20"/>
                                    <w:lang w:eastAsia="lt-LT"/>
                                  </w:rPr>
                                </w:pPr>
                                <w:r>
                                  <w:rPr>
                                    <w:rFonts w:ascii="Arial" w:hAnsi="Arial" w:cs="Arial"/>
                                    <w:b/>
                                    <w:bCs/>
                                    <w:sz w:val="20"/>
                                  </w:rPr>
                                  <w:t>12 211,3</w:t>
                                </w:r>
                              </w:p>
                            </w:tc>
                            <w:tc>
                              <w:tcPr>
                                <w:tcW w:w="0" w:type="auto"/>
                                <w:hideMark/>
                              </w:tcPr>
                              <w:p>
                                <w:pPr>
                                  <w:spacing w:line="259" w:lineRule="auto"/>
                                  <w:jc w:val="center"/>
                                  <w:rPr>
                                    <w:rFonts w:ascii="Arial" w:hAnsi="Arial" w:cs="Arial"/>
                                    <w:b/>
                                    <w:bCs/>
                                    <w:color w:val="000000"/>
                                    <w:sz w:val="20"/>
                                    <w:lang w:eastAsia="lt-LT"/>
                                  </w:rPr>
                                </w:pPr>
                                <w:r>
                                  <w:rPr>
                                    <w:rFonts w:ascii="Arial" w:hAnsi="Arial" w:cs="Arial"/>
                                    <w:b/>
                                    <w:bCs/>
                                    <w:sz w:val="20"/>
                                  </w:rPr>
                                  <w:t>20 130,6</w:t>
                                </w:r>
                              </w:p>
                            </w:tc>
                            <w:tc>
                              <w:tcPr>
                                <w:tcW w:w="0" w:type="auto"/>
                                <w:hideMark/>
                              </w:tcPr>
                              <w:p>
                                <w:pPr>
                                  <w:spacing w:line="259" w:lineRule="auto"/>
                                  <w:jc w:val="center"/>
                                  <w:rPr>
                                    <w:rFonts w:ascii="Arial" w:hAnsi="Arial" w:cs="Arial"/>
                                    <w:b/>
                                    <w:bCs/>
                                    <w:color w:val="000000"/>
                                    <w:sz w:val="20"/>
                                    <w:lang w:eastAsia="lt-LT"/>
                                  </w:rPr>
                                </w:pPr>
                                <w:r>
                                  <w:rPr>
                                    <w:rFonts w:ascii="Arial" w:hAnsi="Arial" w:cs="Arial"/>
                                    <w:b/>
                                    <w:bCs/>
                                    <w:sz w:val="20"/>
                                  </w:rPr>
                                  <w:t>12 729,2</w:t>
                                </w:r>
                              </w:p>
                            </w:tc>
                            <w:tc>
                              <w:tcPr>
                                <w:tcW w:w="0" w:type="auto"/>
                                <w:hideMark/>
                              </w:tcPr>
                              <w:p>
                                <w:pPr>
                                  <w:spacing w:line="259" w:lineRule="auto"/>
                                  <w:jc w:val="center"/>
                                  <w:rPr>
                                    <w:rFonts w:ascii="Arial" w:hAnsi="Arial" w:cs="Arial"/>
                                    <w:b/>
                                    <w:bCs/>
                                    <w:color w:val="000000"/>
                                    <w:sz w:val="20"/>
                                    <w:lang w:eastAsia="lt-LT"/>
                                  </w:rPr>
                                </w:pPr>
                                <w:r>
                                  <w:rPr>
                                    <w:rFonts w:ascii="Arial" w:hAnsi="Arial" w:cs="Arial"/>
                                    <w:b/>
                                    <w:bCs/>
                                    <w:sz w:val="20"/>
                                  </w:rPr>
                                  <w:t>20 130,6</w:t>
                                </w:r>
                              </w:p>
                            </w:tc>
                            <w:tc>
                              <w:tcPr>
                                <w:tcW w:w="0" w:type="auto"/>
                                <w:hideMark/>
                              </w:tcPr>
                              <w:p>
                                <w:pPr>
                                  <w:spacing w:line="259" w:lineRule="auto"/>
                                  <w:jc w:val="center"/>
                                  <w:rPr>
                                    <w:rFonts w:ascii="Arial" w:hAnsi="Arial" w:cs="Arial"/>
                                    <w:b/>
                                    <w:bCs/>
                                    <w:color w:val="000000"/>
                                    <w:sz w:val="20"/>
                                    <w:lang w:eastAsia="lt-LT"/>
                                  </w:rPr>
                                </w:pPr>
                                <w:r>
                                  <w:rPr>
                                    <w:rFonts w:ascii="Arial" w:hAnsi="Arial" w:cs="Arial"/>
                                    <w:b/>
                                    <w:bCs/>
                                    <w:sz w:val="20"/>
                                  </w:rPr>
                                  <w:t>14 556,5</w:t>
                                </w:r>
                              </w:p>
                            </w:tc>
                          </w:tr>
                          <w:tr>
                            <w:trPr>
                              <w:trHeight w:hRule="exact" w:val="255"/>
                              <w:jc w:val="center"/>
                            </w:trPr>
                            <w:tc>
                              <w:tcPr>
                                <w:tcW w:w="2548" w:type="dxa"/>
                                <w:hideMark/>
                              </w:tcPr>
                              <w:p>
                                <w:pPr>
                                  <w:spacing w:line="259" w:lineRule="auto"/>
                                  <w:jc w:val="right"/>
                                  <w:rPr>
                                    <w:rFonts w:ascii="Arial" w:hAnsi="Arial" w:cs="Arial"/>
                                    <w:color w:val="000000"/>
                                    <w:sz w:val="20"/>
                                    <w:lang w:eastAsia="lt-LT"/>
                                  </w:rPr>
                                </w:pPr>
                                <w:r>
                                  <w:rPr>
                                    <w:rFonts w:ascii="Arial" w:hAnsi="Arial" w:cs="Arial"/>
                                    <w:color w:val="000000"/>
                                    <w:sz w:val="20"/>
                                    <w:lang w:eastAsia="lt-LT"/>
                                  </w:rPr>
                                  <w:t>AIE dalis, proc.</w:t>
                                </w:r>
                              </w:p>
                            </w:tc>
                            <w:tc>
                              <w:tcPr>
                                <w:tcW w:w="2533" w:type="dxa"/>
                                <w:gridSpan w:val="2"/>
                                <w:hideMark/>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60,7</w:t>
                                </w:r>
                              </w:p>
                            </w:tc>
                            <w:tc>
                              <w:tcPr>
                                <w:tcW w:w="0" w:type="auto"/>
                                <w:gridSpan w:val="2"/>
                                <w:noWrap/>
                                <w:hideMark/>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63,2</w:t>
                                </w:r>
                              </w:p>
                            </w:tc>
                            <w:tc>
                              <w:tcPr>
                                <w:tcW w:w="0" w:type="auto"/>
                                <w:gridSpan w:val="2"/>
                                <w:noWrap/>
                                <w:hideMark/>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73,2</w:t>
                                </w:r>
                              </w:p>
                            </w:tc>
                          </w:tr>
                          <w:tr>
                            <w:trPr>
                              <w:trHeight w:hRule="exact" w:val="255"/>
                              <w:jc w:val="center"/>
                            </w:trPr>
                            <w:tc>
                              <w:tcPr>
                                <w:tcW w:w="2548" w:type="dxa"/>
                              </w:tcPr>
                              <w:p>
                                <w:pPr>
                                  <w:spacing w:line="259" w:lineRule="auto"/>
                                  <w:jc w:val="right"/>
                                  <w:rPr>
                                    <w:rFonts w:ascii="Arial" w:hAnsi="Arial" w:cs="Arial"/>
                                    <w:color w:val="000000"/>
                                    <w:sz w:val="20"/>
                                    <w:lang w:eastAsia="lt-LT"/>
                                  </w:rPr>
                                </w:pPr>
                                <w:r>
                                  <w:rPr>
                                    <w:rFonts w:ascii="Arial" w:hAnsi="Arial" w:cs="Arial"/>
                                    <w:color w:val="000000"/>
                                    <w:sz w:val="20"/>
                                    <w:lang w:eastAsia="lt-LT"/>
                                  </w:rPr>
                                  <w:t>Investicija, ml. Eur</w:t>
                                </w:r>
                              </w:p>
                            </w:tc>
                            <w:tc>
                              <w:tcPr>
                                <w:tcW w:w="2533" w:type="dxa"/>
                                <w:gridSpan w:val="2"/>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0</w:t>
                                </w:r>
                              </w:p>
                            </w:tc>
                            <w:tc>
                              <w:tcPr>
                                <w:tcW w:w="0" w:type="auto"/>
                                <w:gridSpan w:val="2"/>
                                <w:noWrap/>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4,72</w:t>
                                </w:r>
                              </w:p>
                            </w:tc>
                            <w:tc>
                              <w:tcPr>
                                <w:tcW w:w="0" w:type="auto"/>
                                <w:gridSpan w:val="2"/>
                                <w:noWrap/>
                              </w:tcPr>
                              <w:p>
                                <w:pPr>
                                  <w:spacing w:line="259" w:lineRule="auto"/>
                                  <w:jc w:val="center"/>
                                  <w:rPr>
                                    <w:rFonts w:ascii="Arial" w:hAnsi="Arial" w:cs="Arial"/>
                                    <w:b/>
                                    <w:bCs/>
                                    <w:color w:val="000000"/>
                                    <w:sz w:val="20"/>
                                    <w:lang w:eastAsia="lt-LT"/>
                                  </w:rPr>
                                </w:pPr>
                                <w:r>
                                  <w:rPr>
                                    <w:rFonts w:ascii="Arial" w:hAnsi="Arial" w:cs="Arial"/>
                                    <w:b/>
                                    <w:bCs/>
                                    <w:color w:val="000000"/>
                                    <w:sz w:val="20"/>
                                    <w:lang w:eastAsia="lt-LT"/>
                                  </w:rPr>
                                  <w:t>14,65</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Apibendrinant atliktą Joniškio rajono savivaldybei siūlomų AIE koncepcinių scenarijų lyginamąja analizę, darytinos išvados, kad ekonominiu atžvilgiu naudingiausias būtų 1–asis scenarijus „veiklos kaip įprasta“. Tačiau šio scenarijaus atveju, AIE dalis iki 2030 metų padidėtų tik iki 60,7 proc. (lyginant, kad 2021 metais AIE dalis bendrame energijos balanse sudaro 60,6 proc.). Šiame scenarijuje yra vertinama, kad Joniškio rajono savivaldybė iki 2025 metų planuoja renovuoti 14 711,8 m</w:t>
                          </w:r>
                          <w:r>
                            <w:rPr>
                              <w:rFonts w:ascii="Arial" w:hAnsi="Arial" w:cs="Arial"/>
                              <w:sz w:val="22"/>
                              <w:vertAlign w:val="superscript"/>
                            </w:rPr>
                            <w:t>2</w:t>
                          </w:r>
                          <w:r>
                            <w:rPr>
                              <w:rFonts w:ascii="Arial" w:hAnsi="Arial" w:cs="Arial"/>
                              <w:sz w:val="22"/>
                            </w:rPr>
                            <w:t xml:space="preserve"> daugiabučių ploto. Šis rodiklis yra įtraukiamas į scenarijaus vertinimą, kadangi tokį namų kiekį nurodė UAB „Joniškio butų ūkis“. </w:t>
                          </w:r>
                        </w:p>
                        <w:p>
                          <w:pPr>
                            <w:rPr>
                              <w:sz w:val="14"/>
                              <w:szCs w:val="14"/>
                            </w:rPr>
                          </w:pPr>
                        </w:p>
                        <w:p>
                          <w:pPr>
                            <w:spacing w:line="259" w:lineRule="auto"/>
                            <w:ind w:firstLine="567"/>
                            <w:jc w:val="both"/>
                            <w:rPr>
                              <w:rFonts w:ascii="Arial" w:hAnsi="Arial" w:cs="Arial"/>
                              <w:sz w:val="22"/>
                            </w:rPr>
                          </w:pPr>
                          <w:r>
                            <w:rPr>
                              <w:rFonts w:ascii="Arial" w:hAnsi="Arial" w:cs="Arial"/>
                              <w:sz w:val="22"/>
                            </w:rPr>
                            <w:t>2–ojo scenarijaus atveju yra vertinamas AIE technologijų integravimas savivaldybei priklausančiuose pastatuose. Kolektorių įrengimas ant pastatų stogų prisidėtų prie didesnės AIE dalies, jei kolektorių įrengimas būtų vykdomas ant tų įstaigų stogų, kurios šildymui naudoja anglį ir durpes. Bendra fotomodulių ir kolektorių įrengimo įtaka AIE balansui siektų apie 2,5 proc. Taigi, įdiegus numatytas priemones, AIE dalis 2030 m. būtų 63,2 proc.</w:t>
                          </w:r>
                        </w:p>
                        <w:p>
                          <w:pPr>
                            <w:rPr>
                              <w:sz w:val="14"/>
                              <w:szCs w:val="14"/>
                            </w:rPr>
                          </w:pPr>
                        </w:p>
                        <w:p>
                          <w:pPr>
                            <w:spacing w:line="259" w:lineRule="auto"/>
                            <w:ind w:firstLine="567"/>
                            <w:jc w:val="both"/>
                            <w:rPr>
                              <w:rFonts w:ascii="Arial" w:hAnsi="Arial" w:cs="Arial"/>
                              <w:sz w:val="22"/>
                            </w:rPr>
                          </w:pPr>
                          <w:r>
                            <w:rPr>
                              <w:rFonts w:ascii="Arial" w:eastAsia="Calibri" w:hAnsi="Arial" w:cs="Arial"/>
                              <w:sz w:val="22"/>
                              <w:szCs w:val="23"/>
                            </w:rPr>
                            <w:t xml:space="preserve">3–ojo koncepcinio scenarijaus atveju nustatoma, kad iki 2030 metų 70 proc. iš iškastinį kurą naudojančių namų ūkių, šiluma bus aprūpinami iš AIE. Iš transformacijos priemonių paminėtinos šios – biokuras, elektros energiją gaminantis vartotojas, šilumos siurbliai, saulės kolektoriai. Bendrame balanse iškastinio kuro kiekis sumažės 1 827,3 tne. Taip pat į 3–čią scenarijų įtraukiamos priemonės, kurios numatytos ir 2–ame scenarijuje – </w:t>
                          </w:r>
                          <w:r>
                            <w:rPr>
                              <w:rFonts w:ascii="Arial" w:eastAsia="Calibri" w:hAnsi="Arial" w:cs="Arial"/>
                              <w:color w:val="000000"/>
                              <w:sz w:val="22"/>
                              <w:szCs w:val="23"/>
                            </w:rPr>
                            <w:t xml:space="preserve">saulės kolektorių ir </w:t>
                          </w:r>
                          <w:r>
                            <w:rPr>
                              <w:rFonts w:ascii="Arial" w:eastAsia="Calibri" w:hAnsi="Arial" w:cs="Arial"/>
                              <w:sz w:val="22"/>
                              <w:szCs w:val="23"/>
                            </w:rPr>
                            <w:t xml:space="preserve">fotomodulių įrengimas ant savivaldybės pastatų stogų. Įdiegus visas numatytas ir planuojamas priemones, realu yra pasiekti aukštą 73,2 proc. </w:t>
                          </w:r>
                          <w:r>
                            <w:rPr>
                              <w:rFonts w:ascii="Arial" w:hAnsi="Arial" w:cs="Arial"/>
                              <w:sz w:val="22"/>
                            </w:rPr>
                            <w:t>AIE dalies bendrame energijos suvartojime rodiklį iki 2030 metų.</w:t>
                          </w:r>
                        </w:p>
                        <w:p>
                          <w:pPr>
                            <w:rPr>
                              <w:sz w:val="14"/>
                              <w:szCs w:val="14"/>
                            </w:rPr>
                          </w:pPr>
                        </w:p>
                        <w:p>
                          <w:pPr>
                            <w:spacing w:line="259" w:lineRule="auto"/>
                            <w:ind w:firstLine="567"/>
                            <w:jc w:val="both"/>
                            <w:rPr>
                              <w:rFonts w:ascii="Arial" w:hAnsi="Arial" w:cs="Arial"/>
                              <w:i/>
                              <w:iCs/>
                              <w:sz w:val="22"/>
                            </w:rPr>
                          </w:pPr>
                          <w:r>
                            <w:rPr>
                              <w:rFonts w:ascii="Arial" w:hAnsi="Arial" w:cs="Arial"/>
                              <w:sz w:val="22"/>
                            </w:rPr>
                            <w:t xml:space="preserve">1–ojo scenarijaus atveju investicijų poreikis nėra vertinamas, kadangi šios veiklos jau yra įgyvendinamos savivaldybėje. Tuo tarpu 2–ojo scenarijaus atveju numatytų priemonių investicijos siektų 4,72 mln. Eurų, o 3–ojo scenarijaus atveju bendros investicijos siektų apie 14,65 mln. Eur (vertinant 2021 metų duomenimis). Apie savivaldybės atsinaujinančių išteklių energijos naudojimo plėtros veiksmų plano finansavimą informacija pateikiama </w:t>
                          </w:r>
                          <w:r>
                            <w:rPr>
                              <w:rFonts w:ascii="Arial" w:hAnsi="Arial" w:cs="Arial"/>
                              <w:i/>
                              <w:iCs/>
                              <w:sz w:val="22"/>
                            </w:rPr>
                            <w:t>10 skyriuje.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Pabrėžiama, jog išanalizavusi visus scenarijus, tvirtinant AIE planą taryboje, Joniškio rajono savivaldybės taryba priims sprendimą, kurį koncepcinį scenarijų pasirinkti bei kurio AIE rodiklio siekti. </w:t>
                          </w:r>
                        </w:p>
                        <w:p>
                          <w:pPr>
                            <w:rPr>
                              <w:sz w:val="14"/>
                              <w:szCs w:val="14"/>
                            </w:rPr>
                          </w:pPr>
                        </w:p>
                      </w:sdtContent>
                    </w:sdt>
                  </w:sdtContent>
                </w:sdt>
              </w:sdtContent>
            </w:sdt>
            <w:sdt>
              <w:sdtPr>
                <w:alias w:val="9 p."/>
                <w:tag w:val="part_5195cc68776c49cebecbc07974ef282c"/>
                <w:lock w:val="sdtLocked"/>
                <w:richText/>
              </w:sdtPr>
              <w:sdtContent>
                <w:p>
                  <w:pPr>
                    <w:keepNext/>
                    <w:keepLines/>
                    <w:spacing w:line="259" w:lineRule="auto"/>
                    <w:jc w:val="center"/>
                    <w:rPr>
                      <w:rFonts w:ascii="Arial" w:hAnsi="Arial" w:cs="Arial"/>
                      <w:b/>
                      <w:caps/>
                      <w:color w:val="002060"/>
                      <w:sz w:val="28"/>
                      <w:szCs w:val="32"/>
                    </w:rPr>
                  </w:pPr>
                  <w:sdt>
                    <w:sdtPr>
                      <w:alias w:val="Numeris"/>
                      <w:tag w:val="nr_5195cc68776c49cebecbc07974ef282c"/>
                      <w:lock w:val="sdtLocked"/>
                      <w:richText/>
                    </w:sdtPr>
                    <w:sdtContent>
                      <w:r>
                        <w:rPr>
                          <w:rFonts w:ascii="Arial" w:hAnsi="Arial" w:cs="Arial"/>
                          <w:b/>
                          <w:caps/>
                          <w:color w:val="002060"/>
                          <w:sz w:val="28"/>
                          <w:szCs w:val="32"/>
                        </w:rPr>
                        <w:t>9</w:t>
                      </w:r>
                    </w:sdtContent>
                  </w:sdt>
                  <w:r>
                    <w:rPr>
                      <w:rFonts w:ascii="Arial" w:hAnsi="Arial" w:cs="Arial"/>
                      <w:b/>
                      <w:caps/>
                      <w:color w:val="002060"/>
                      <w:sz w:val="28"/>
                      <w:szCs w:val="32"/>
                    </w:rPr>
                    <w:t>. AIE dalies galutiniame vartojime neapibrėžtumo bei rizikos veiksnių analizė, jų poveikio vertinimas</w:t>
                  </w:r>
                </w:p>
                <w:p>
                  <w:pPr>
                    <w:rPr>
                      <w:sz w:val="14"/>
                      <w:szCs w:val="14"/>
                    </w:rPr>
                  </w:pPr>
                </w:p>
                <w:sdt>
                  <w:sdtPr>
                    <w:alias w:val="9.1 pp."/>
                    <w:tag w:val="part_63deadb5e22b4f48bab767b0fd5af770"/>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63deadb5e22b4f48bab767b0fd5af770"/>
                          <w:lock w:val="sdtLocked"/>
                          <w:richText/>
                        </w:sdtPr>
                        <w:sdtContent>
                          <w:r>
                            <w:rPr>
                              <w:rFonts w:ascii="Arial" w:hAnsi="Arial" w:cs="Arial"/>
                              <w:b/>
                              <w:color w:val="002060"/>
                              <w:szCs w:val="26"/>
                            </w:rPr>
                            <w:t>9.1</w:t>
                          </w:r>
                        </w:sdtContent>
                      </w:sdt>
                      <w:r>
                        <w:rPr>
                          <w:rFonts w:ascii="Arial" w:hAnsi="Arial" w:cs="Arial"/>
                          <w:b/>
                          <w:color w:val="002060"/>
                          <w:szCs w:val="26"/>
                        </w:rPr>
                        <w:t>. AIE dalies galutiniame vartojime neapibrėžtumo analizė</w:t>
                      </w:r>
                    </w:p>
                    <w:p>
                      <w:pPr>
                        <w:rPr>
                          <w:sz w:val="14"/>
                          <w:szCs w:val="14"/>
                        </w:rPr>
                      </w:pPr>
                    </w:p>
                    <w:p>
                      <w:pPr>
                        <w:spacing w:line="259" w:lineRule="auto"/>
                        <w:ind w:firstLine="567"/>
                        <w:jc w:val="both"/>
                        <w:rPr>
                          <w:rFonts w:ascii="Arial" w:hAnsi="Arial" w:cs="Arial"/>
                          <w:sz w:val="22"/>
                        </w:rPr>
                      </w:pPr>
                      <w:r>
                        <w:rPr>
                          <w:rFonts w:ascii="Arial" w:hAnsi="Arial" w:cs="Arial"/>
                          <w:sz w:val="22"/>
                        </w:rPr>
                        <w:t>Pagrindinis neapibrėžtumo analizės tikslas yra identifikuoti ir kiekybiškai įvertinti visus, potencialiai svarbius, nustatytos AIE dalies energijos balanse neapibrėžtumą įtakojančius parametrus, nustatyti jų įtaką galutiniams skaičiavimo rezultatams. Skaičiavimo rezultatų neapibrėžtumas išreiškiamas santykine paklaida.</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Skirtinguose AIE dalies įvertinimo etapuose neapibrėžtumo šaltiniai yra skirtingi, nes naudojami įvairūs duomenų šaltiniai ir skaičiavimo metodai. Kiekvieno duomenų šaltinio ar skaičiavimo metodo neapibrėžtumo reikšmę įvertinti sudėtinga, dažnai net ir neįmanoma, todėl rengiant Joniškio rajono savivaldybės AIE naudojimo plėtros planą jie suskirstyti į kelias grupes pagal patikimumą (žr. </w:t>
                      </w:r>
                      <w:r>
                        <w:rPr>
                          <w:rFonts w:ascii="Arial" w:eastAsia="SegoeUI" w:hAnsi="Arial" w:cs="Arial"/>
                          <w:sz w:val="22"/>
                        </w:rPr>
                        <w:t xml:space="preserve">10.1.1. </w:t>
                      </w:r>
                      <w:r>
                        <w:rPr>
                          <w:rFonts w:ascii="Arial" w:hAnsi="Arial" w:cs="Arial"/>
                          <w:sz w:val="22"/>
                        </w:rPr>
                        <w:t>lentelę).</w:t>
                      </w:r>
                    </w:p>
                    <w:p>
                      <w:pPr>
                        <w:rPr>
                          <w:sz w:val="14"/>
                          <w:szCs w:val="14"/>
                        </w:rPr>
                      </w:pPr>
                    </w:p>
                    <w:sdt>
                      <w:sdtPr>
                        <w:alias w:val="9.1.1 pp."/>
                        <w:tag w:val="part_617b42719ece4e6e87e682b46a0518e2"/>
                        <w:lock w:val="sdtLocked"/>
                        <w:richText/>
                      </w:sdtPr>
                      <w:sdtContent>
                        <w:p>
                          <w:pPr>
                            <w:spacing w:line="259" w:lineRule="auto"/>
                            <w:jc w:val="center"/>
                            <w:rPr>
                              <w:rFonts w:ascii="Arial" w:eastAsia="Calibri" w:hAnsi="Arial" w:cs="Arial"/>
                              <w:b/>
                              <w:color w:val="002060"/>
                              <w:sz w:val="22"/>
                              <w:szCs w:val="32"/>
                            </w:rPr>
                          </w:pPr>
                          <w:sdt>
                            <w:sdtPr>
                              <w:alias w:val="Numeris"/>
                              <w:tag w:val="nr_617b42719ece4e6e87e682b46a0518e2"/>
                              <w:lock w:val="sdtLocked"/>
                              <w:richText/>
                            </w:sdtPr>
                            <w:sdtContent>
                              <w:r>
                                <w:rPr>
                                  <w:rFonts w:ascii="Arial" w:eastAsia="Calibri" w:hAnsi="Arial" w:cs="Arial"/>
                                  <w:b/>
                                  <w:color w:val="002060"/>
                                  <w:sz w:val="22"/>
                                  <w:szCs w:val="32"/>
                                </w:rPr>
                                <w:t>9.1.1</w:t>
                              </w:r>
                            </w:sdtContent>
                          </w:sdt>
                          <w:r>
                            <w:rPr>
                              <w:rFonts w:ascii="Arial" w:eastAsia="Calibri" w:hAnsi="Arial" w:cs="Arial"/>
                              <w:b/>
                              <w:color w:val="002060"/>
                              <w:sz w:val="22"/>
                              <w:szCs w:val="32"/>
                            </w:rPr>
                            <w:t>. lentelė. AIE dalies energijos balanse duomenų šaltinių ir vertinimo metodų neapibrėžtumo grupės</w:t>
                          </w:r>
                        </w:p>
                        <w:p>
                          <w:pPr>
                            <w:rPr>
                              <w:sz w:val="10"/>
                              <w:szCs w:val="10"/>
                            </w:rPr>
                          </w:pPr>
                        </w:p>
                        <w:tbl>
                          <w:tblPr>
                            <w:tblW w:w="5000"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562"/>
                            <w:gridCol w:w="5670"/>
                            <w:gridCol w:w="2410"/>
                            <w:gridCol w:w="1553"/>
                          </w:tblGrid>
                          <w:tr>
                            <w:trPr>
                              <w:jc w:val="center"/>
                            </w:trPr>
                            <w:tc>
                              <w:tcPr>
                                <w:tcW w:w="562" w:type="dxa"/>
                              </w:tcPr>
                              <w:p>
                                <w:pPr>
                                  <w:ind w:firstLine="34"/>
                                  <w:jc w:val="center"/>
                                  <w:rPr>
                                    <w:rFonts w:ascii="Arial" w:hAnsi="Arial" w:cs="Arial"/>
                                    <w:sz w:val="20"/>
                                    <w:szCs w:val="16"/>
                                  </w:rPr>
                                </w:pPr>
                                <w:r>
                                  <w:rPr>
                                    <w:rFonts w:ascii="Arial" w:hAnsi="Arial" w:cs="Arial"/>
                                    <w:sz w:val="20"/>
                                    <w:szCs w:val="16"/>
                                  </w:rPr>
                                  <w:t>Eil.Nr.</w:t>
                                </w:r>
                              </w:p>
                            </w:tc>
                            <w:tc>
                              <w:tcPr>
                                <w:tcW w:w="5670" w:type="dxa"/>
                              </w:tcPr>
                              <w:p>
                                <w:pPr>
                                  <w:ind w:firstLine="34"/>
                                  <w:jc w:val="center"/>
                                  <w:rPr>
                                    <w:rFonts w:ascii="Arial" w:hAnsi="Arial" w:cs="Arial"/>
                                    <w:sz w:val="20"/>
                                    <w:szCs w:val="16"/>
                                  </w:rPr>
                                </w:pPr>
                                <w:r>
                                  <w:rPr>
                                    <w:rFonts w:ascii="Arial" w:hAnsi="Arial" w:cs="Arial"/>
                                    <w:sz w:val="20"/>
                                    <w:szCs w:val="16"/>
                                  </w:rPr>
                                  <w:t>Duomenų šaltinis, vertinimo metodas</w:t>
                                </w:r>
                              </w:p>
                            </w:tc>
                            <w:tc>
                              <w:tcPr>
                                <w:tcW w:w="2410" w:type="dxa"/>
                              </w:tcPr>
                              <w:p>
                                <w:pPr>
                                  <w:ind w:firstLine="34"/>
                                  <w:jc w:val="center"/>
                                  <w:rPr>
                                    <w:rFonts w:ascii="Arial" w:hAnsi="Arial" w:cs="Arial"/>
                                    <w:sz w:val="20"/>
                                    <w:szCs w:val="16"/>
                                  </w:rPr>
                                </w:pPr>
                                <w:r>
                                  <w:rPr>
                                    <w:rFonts w:ascii="Arial" w:hAnsi="Arial" w:cs="Arial"/>
                                    <w:sz w:val="20"/>
                                    <w:szCs w:val="16"/>
                                  </w:rPr>
                                  <w:t>Duomenų patikimumo lygmuo</w:t>
                                </w:r>
                              </w:p>
                            </w:tc>
                            <w:tc>
                              <w:tcPr>
                                <w:tcW w:w="1553" w:type="dxa"/>
                              </w:tcPr>
                              <w:p>
                                <w:pPr>
                                  <w:ind w:firstLine="34"/>
                                  <w:jc w:val="center"/>
                                  <w:rPr>
                                    <w:rFonts w:ascii="Arial" w:hAnsi="Arial" w:cs="Arial"/>
                                    <w:sz w:val="20"/>
                                    <w:szCs w:val="16"/>
                                  </w:rPr>
                                </w:pPr>
                                <w:r>
                                  <w:rPr>
                                    <w:rFonts w:ascii="Arial" w:hAnsi="Arial" w:cs="Arial"/>
                                    <w:sz w:val="20"/>
                                    <w:szCs w:val="16"/>
                                  </w:rPr>
                                  <w:t>Priskiriama paklaidos reikšmė</w:t>
                                </w:r>
                              </w:p>
                            </w:tc>
                          </w:tr>
                          <w:tr>
                            <w:trPr>
                              <w:trHeight w:val="20"/>
                              <w:jc w:val="center"/>
                            </w:trPr>
                            <w:tc>
                              <w:tcPr>
                                <w:tcW w:w="562" w:type="dxa"/>
                              </w:tcPr>
                              <w:p>
                                <w:pPr>
                                  <w:ind w:firstLine="18"/>
                                  <w:jc w:val="center"/>
                                  <w:rPr>
                                    <w:rFonts w:ascii="Arial" w:hAnsi="Arial" w:cs="Arial"/>
                                    <w:sz w:val="20"/>
                                  </w:rPr>
                                </w:pPr>
                                <w:r>
                                  <w:rPr>
                                    <w:rFonts w:ascii="Arial" w:hAnsi="Arial" w:cs="Arial"/>
                                    <w:sz w:val="20"/>
                                  </w:rPr>
                                  <w:t>1</w:t>
                                </w:r>
                              </w:p>
                            </w:tc>
                            <w:tc>
                              <w:tcPr>
                                <w:tcW w:w="5670" w:type="dxa"/>
                              </w:tcPr>
                              <w:p>
                                <w:pPr>
                                  <w:jc w:val="both"/>
                                  <w:rPr>
                                    <w:rFonts w:ascii="Arial" w:hAnsi="Arial" w:cs="Arial"/>
                                    <w:sz w:val="20"/>
                                  </w:rPr>
                                </w:pPr>
                                <w:r>
                                  <w:rPr>
                                    <w:rFonts w:ascii="Arial" w:hAnsi="Arial" w:cs="Arial"/>
                                    <w:sz w:val="20"/>
                                  </w:rPr>
                                  <w:t>VKEKK, oficialūs raštai, finansinės ir audito ataskaitos</w:t>
                                </w:r>
                              </w:p>
                            </w:tc>
                            <w:tc>
                              <w:tcPr>
                                <w:tcW w:w="2410" w:type="dxa"/>
                              </w:tcPr>
                              <w:p>
                                <w:pPr>
                                  <w:ind w:firstLine="34"/>
                                  <w:jc w:val="center"/>
                                  <w:rPr>
                                    <w:rFonts w:ascii="Arial" w:hAnsi="Arial" w:cs="Arial"/>
                                    <w:sz w:val="20"/>
                                  </w:rPr>
                                </w:pPr>
                                <w:r>
                                  <w:rPr>
                                    <w:rFonts w:ascii="Arial" w:hAnsi="Arial" w:cs="Arial"/>
                                    <w:sz w:val="20"/>
                                  </w:rPr>
                                  <w:t>Patikima</w:t>
                                </w:r>
                              </w:p>
                            </w:tc>
                            <w:tc>
                              <w:tcPr>
                                <w:tcW w:w="1553" w:type="dxa"/>
                              </w:tcPr>
                              <w:p>
                                <w:pPr>
                                  <w:ind w:firstLine="34"/>
                                  <w:jc w:val="center"/>
                                  <w:rPr>
                                    <w:rFonts w:ascii="Arial" w:hAnsi="Arial" w:cs="Arial"/>
                                    <w:sz w:val="20"/>
                                  </w:rPr>
                                </w:pPr>
                                <w:r>
                                  <w:rPr>
                                    <w:rFonts w:ascii="Arial" w:hAnsi="Arial" w:cs="Arial"/>
                                    <w:sz w:val="20"/>
                                  </w:rPr>
                                  <w:t>≤ 1 %</w:t>
                                </w:r>
                              </w:p>
                            </w:tc>
                          </w:tr>
                          <w:tr>
                            <w:trPr>
                              <w:trHeight w:val="20"/>
                              <w:jc w:val="center"/>
                            </w:trPr>
                            <w:tc>
                              <w:tcPr>
                                <w:tcW w:w="562" w:type="dxa"/>
                              </w:tcPr>
                              <w:p>
                                <w:pPr>
                                  <w:ind w:firstLine="18"/>
                                  <w:jc w:val="center"/>
                                  <w:rPr>
                                    <w:rFonts w:ascii="Arial" w:hAnsi="Arial" w:cs="Arial"/>
                                    <w:sz w:val="20"/>
                                  </w:rPr>
                                </w:pPr>
                                <w:r>
                                  <w:rPr>
                                    <w:rFonts w:ascii="Arial" w:hAnsi="Arial" w:cs="Arial"/>
                                    <w:sz w:val="20"/>
                                  </w:rPr>
                                  <w:t>2</w:t>
                                </w:r>
                              </w:p>
                            </w:tc>
                            <w:tc>
                              <w:tcPr>
                                <w:tcW w:w="5670" w:type="dxa"/>
                              </w:tcPr>
                              <w:p>
                                <w:pPr>
                                  <w:jc w:val="both"/>
                                  <w:rPr>
                                    <w:rFonts w:ascii="Arial" w:hAnsi="Arial" w:cs="Arial"/>
                                    <w:sz w:val="20"/>
                                  </w:rPr>
                                </w:pPr>
                                <w:r>
                                  <w:rPr>
                                    <w:rFonts w:ascii="Arial" w:hAnsi="Arial" w:cs="Arial"/>
                                    <w:sz w:val="20"/>
                                  </w:rPr>
                                  <w:t>Lietuvos statistikos departamentas, moksliniai straipsniai</w:t>
                                </w:r>
                              </w:p>
                            </w:tc>
                            <w:tc>
                              <w:tcPr>
                                <w:tcW w:w="2410" w:type="dxa"/>
                              </w:tcPr>
                              <w:p>
                                <w:pPr>
                                  <w:ind w:firstLine="34"/>
                                  <w:jc w:val="center"/>
                                  <w:rPr>
                                    <w:rFonts w:ascii="Arial" w:hAnsi="Arial" w:cs="Arial"/>
                                    <w:sz w:val="20"/>
                                  </w:rPr>
                                </w:pPr>
                                <w:r>
                                  <w:rPr>
                                    <w:rFonts w:ascii="Arial" w:hAnsi="Arial" w:cs="Arial"/>
                                    <w:sz w:val="20"/>
                                  </w:rPr>
                                  <w:t>Vidutiniškai patikima</w:t>
                                </w:r>
                              </w:p>
                            </w:tc>
                            <w:tc>
                              <w:tcPr>
                                <w:tcW w:w="1553" w:type="dxa"/>
                              </w:tcPr>
                              <w:p>
                                <w:pPr>
                                  <w:ind w:firstLine="34"/>
                                  <w:jc w:val="center"/>
                                  <w:rPr>
                                    <w:rFonts w:ascii="Arial" w:hAnsi="Arial" w:cs="Arial"/>
                                    <w:sz w:val="20"/>
                                  </w:rPr>
                                </w:pPr>
                                <w:r>
                                  <w:rPr>
                                    <w:rFonts w:ascii="Arial" w:hAnsi="Arial" w:cs="Arial"/>
                                    <w:sz w:val="20"/>
                                  </w:rPr>
                                  <w:t>≤ 5 %</w:t>
                                </w:r>
                              </w:p>
                            </w:tc>
                          </w:tr>
                          <w:tr>
                            <w:trPr>
                              <w:trHeight w:val="20"/>
                              <w:jc w:val="center"/>
                            </w:trPr>
                            <w:tc>
                              <w:tcPr>
                                <w:tcW w:w="562" w:type="dxa"/>
                              </w:tcPr>
                              <w:p>
                                <w:pPr>
                                  <w:ind w:firstLine="18"/>
                                  <w:jc w:val="center"/>
                                  <w:rPr>
                                    <w:rFonts w:ascii="Arial" w:hAnsi="Arial" w:cs="Arial"/>
                                    <w:sz w:val="20"/>
                                  </w:rPr>
                                </w:pPr>
                                <w:r>
                                  <w:rPr>
                                    <w:rFonts w:ascii="Arial" w:hAnsi="Arial" w:cs="Arial"/>
                                    <w:sz w:val="20"/>
                                  </w:rPr>
                                  <w:t>3</w:t>
                                </w:r>
                              </w:p>
                            </w:tc>
                            <w:tc>
                              <w:tcPr>
                                <w:tcW w:w="5670" w:type="dxa"/>
                              </w:tcPr>
                              <w:p>
                                <w:pPr>
                                  <w:jc w:val="both"/>
                                  <w:rPr>
                                    <w:rFonts w:ascii="Arial" w:hAnsi="Arial" w:cs="Arial"/>
                                    <w:sz w:val="20"/>
                                  </w:rPr>
                                </w:pPr>
                                <w:r>
                                  <w:rPr>
                                    <w:rFonts w:ascii="Arial" w:hAnsi="Arial" w:cs="Arial"/>
                                    <w:sz w:val="20"/>
                                  </w:rPr>
                                  <w:t>Straipsniai žiniasklaidoje, el. laiškai, tyrimų ataskaitos, studijos</w:t>
                                </w:r>
                              </w:p>
                            </w:tc>
                            <w:tc>
                              <w:tcPr>
                                <w:tcW w:w="2410" w:type="dxa"/>
                              </w:tcPr>
                              <w:p>
                                <w:pPr>
                                  <w:ind w:firstLine="34"/>
                                  <w:jc w:val="center"/>
                                  <w:rPr>
                                    <w:rFonts w:ascii="Arial" w:hAnsi="Arial" w:cs="Arial"/>
                                    <w:sz w:val="20"/>
                                  </w:rPr>
                                </w:pPr>
                                <w:r>
                                  <w:rPr>
                                    <w:rFonts w:ascii="Arial" w:hAnsi="Arial" w:cs="Arial"/>
                                    <w:sz w:val="20"/>
                                  </w:rPr>
                                  <w:t>Vidutiniškai nepatikima</w:t>
                                </w:r>
                              </w:p>
                            </w:tc>
                            <w:tc>
                              <w:tcPr>
                                <w:tcW w:w="1553" w:type="dxa"/>
                              </w:tcPr>
                              <w:p>
                                <w:pPr>
                                  <w:ind w:firstLine="34"/>
                                  <w:jc w:val="center"/>
                                  <w:rPr>
                                    <w:rFonts w:ascii="Arial" w:hAnsi="Arial" w:cs="Arial"/>
                                    <w:sz w:val="20"/>
                                  </w:rPr>
                                </w:pPr>
                                <w:r>
                                  <w:rPr>
                                    <w:rFonts w:ascii="Arial" w:hAnsi="Arial" w:cs="Arial"/>
                                    <w:sz w:val="20"/>
                                  </w:rPr>
                                  <w:t>≤ 10 %</w:t>
                                </w:r>
                              </w:p>
                            </w:tc>
                          </w:tr>
                          <w:tr>
                            <w:trPr>
                              <w:trHeight w:val="20"/>
                              <w:jc w:val="center"/>
                            </w:trPr>
                            <w:tc>
                              <w:tcPr>
                                <w:tcW w:w="562" w:type="dxa"/>
                              </w:tcPr>
                              <w:p>
                                <w:pPr>
                                  <w:ind w:firstLine="18"/>
                                  <w:jc w:val="center"/>
                                  <w:rPr>
                                    <w:rFonts w:ascii="Arial" w:hAnsi="Arial" w:cs="Arial"/>
                                    <w:sz w:val="20"/>
                                  </w:rPr>
                                </w:pPr>
                                <w:r>
                                  <w:rPr>
                                    <w:rFonts w:ascii="Arial" w:hAnsi="Arial" w:cs="Arial"/>
                                    <w:sz w:val="20"/>
                                  </w:rPr>
                                  <w:t>4</w:t>
                                </w:r>
                              </w:p>
                            </w:tc>
                            <w:tc>
                              <w:tcPr>
                                <w:tcW w:w="5670" w:type="dxa"/>
                              </w:tcPr>
                              <w:p>
                                <w:pPr>
                                  <w:jc w:val="both"/>
                                  <w:rPr>
                                    <w:rFonts w:ascii="Arial" w:hAnsi="Arial" w:cs="Arial"/>
                                    <w:sz w:val="20"/>
                                  </w:rPr>
                                </w:pPr>
                                <w:r>
                                  <w:rPr>
                                    <w:rFonts w:ascii="Arial" w:hAnsi="Arial" w:cs="Arial"/>
                                    <w:sz w:val="20"/>
                                  </w:rPr>
                                  <w:t>Žodinė informacija, prielaidos dėl duomenų trūkumo</w:t>
                                </w:r>
                              </w:p>
                            </w:tc>
                            <w:tc>
                              <w:tcPr>
                                <w:tcW w:w="2410" w:type="dxa"/>
                              </w:tcPr>
                              <w:p>
                                <w:pPr>
                                  <w:ind w:firstLine="34"/>
                                  <w:jc w:val="center"/>
                                  <w:rPr>
                                    <w:rFonts w:ascii="Arial" w:hAnsi="Arial" w:cs="Arial"/>
                                    <w:sz w:val="20"/>
                                  </w:rPr>
                                </w:pPr>
                                <w:r>
                                  <w:rPr>
                                    <w:rFonts w:ascii="Arial" w:hAnsi="Arial" w:cs="Arial"/>
                                    <w:sz w:val="20"/>
                                  </w:rPr>
                                  <w:t>Nepatikima</w:t>
                                </w:r>
                              </w:p>
                            </w:tc>
                            <w:tc>
                              <w:tcPr>
                                <w:tcW w:w="1553" w:type="dxa"/>
                              </w:tcPr>
                              <w:p>
                                <w:pPr>
                                  <w:ind w:firstLine="34"/>
                                  <w:jc w:val="center"/>
                                  <w:rPr>
                                    <w:rFonts w:ascii="Arial" w:hAnsi="Arial" w:cs="Arial"/>
                                    <w:sz w:val="20"/>
                                  </w:rPr>
                                </w:pPr>
                                <w:r>
                                  <w:rPr>
                                    <w:rFonts w:ascii="Arial" w:hAnsi="Arial" w:cs="Arial"/>
                                    <w:sz w:val="20"/>
                                  </w:rPr>
                                  <w:t>≤ 30 %</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Atsinaujinančių išteklių energijos naudojimo plėtros veiksmų planų rengimo metodika</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Konkrečios reikšmės atskiroms kuro rūšims priskiriamos ekspertinio vertinimo būdu pagal naudotų informacijos šaltinių kategoriją.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Dalį AIE dalies neapibrėžtumo lemia viso suvartoto kuro ir energijos kiekio savivaldybėje nustatymo neapibrėžtumas, todėl bendrą AIE dalies paklaidą sudaro svertinis bendro tam tikros kuro ar energijos rūšies kiekio paklaidos ir AIE dalies jame nustatymo paklaidos vidurkis. </w:t>
                          </w:r>
                        </w:p>
                        <w:p>
                          <w:pPr>
                            <w:rPr>
                              <w:sz w:val="14"/>
                              <w:szCs w:val="14"/>
                            </w:rPr>
                          </w:pPr>
                        </w:p>
                        <w:p>
                          <w:pPr>
                            <w:spacing w:line="259" w:lineRule="auto"/>
                            <w:ind w:firstLine="567"/>
                            <w:jc w:val="both"/>
                            <w:rPr>
                              <w:rFonts w:ascii="Arial" w:hAnsi="Arial" w:cs="Arial"/>
                              <w:sz w:val="22"/>
                            </w:rPr>
                          </w:pPr>
                          <w:r>
                            <w:rPr>
                              <w:rFonts w:ascii="Arial" w:hAnsi="Arial" w:cs="Arial"/>
                              <w:sz w:val="22"/>
                            </w:rPr>
                            <w:t>Sekančioje lentelėje pateiktos priskirtų paklaidų reikšmės ir AIE dalies galutiniame vartojime neapibrėžtumo skaičiavimo rezultatai.</w:t>
                          </w:r>
                        </w:p>
                        <w:p>
                          <w:pPr>
                            <w:rPr>
                              <w:sz w:val="14"/>
                              <w:szCs w:val="14"/>
                            </w:rPr>
                          </w:pPr>
                        </w:p>
                      </w:sdtContent>
                    </w:sdt>
                    <w:sdt>
                      <w:sdtPr>
                        <w:alias w:val="9.1.2 pp."/>
                        <w:tag w:val="part_6f0596b902b442a787ff61a630a77579"/>
                        <w:lock w:val="sdtLocked"/>
                        <w:richText/>
                      </w:sdtPr>
                      <w:sdtContent>
                        <w:p>
                          <w:pPr>
                            <w:spacing w:line="259" w:lineRule="auto"/>
                            <w:jc w:val="center"/>
                            <w:rPr>
                              <w:rFonts w:ascii="Arial" w:eastAsia="Calibri" w:hAnsi="Arial" w:cs="Arial"/>
                              <w:b/>
                              <w:color w:val="002060"/>
                              <w:sz w:val="22"/>
                              <w:szCs w:val="32"/>
                            </w:rPr>
                          </w:pPr>
                          <w:sdt>
                            <w:sdtPr>
                              <w:alias w:val="Numeris"/>
                              <w:tag w:val="nr_6f0596b902b442a787ff61a630a77579"/>
                              <w:lock w:val="sdtLocked"/>
                              <w:richText/>
                            </w:sdtPr>
                            <w:sdtContent>
                              <w:r>
                                <w:rPr>
                                  <w:rFonts w:ascii="Arial" w:eastAsia="Calibri" w:hAnsi="Arial" w:cs="Arial"/>
                                  <w:b/>
                                  <w:color w:val="002060"/>
                                  <w:sz w:val="22"/>
                                  <w:szCs w:val="32"/>
                                </w:rPr>
                                <w:t>9.1.2</w:t>
                              </w:r>
                            </w:sdtContent>
                          </w:sdt>
                          <w:r>
                            <w:rPr>
                              <w:rFonts w:ascii="Arial" w:eastAsia="Calibri" w:hAnsi="Arial" w:cs="Arial"/>
                              <w:b/>
                              <w:color w:val="002060"/>
                              <w:sz w:val="22"/>
                              <w:szCs w:val="32"/>
                            </w:rPr>
                            <w:t>. lentelė. AIE dalies energijos balanse duomenų šaltinių ir vertinimo metodų neapibrėžtumo grupės</w:t>
                          </w:r>
                        </w:p>
                        <w:p>
                          <w:pPr>
                            <w:rPr>
                              <w:sz w:val="10"/>
                              <w:szCs w:val="10"/>
                            </w:rPr>
                          </w:pPr>
                        </w:p>
                        <w:tbl>
                          <w:tblPr>
                            <w:tblW w:w="0" w:type="auto"/>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2867"/>
                            <w:gridCol w:w="972"/>
                            <w:gridCol w:w="972"/>
                            <w:gridCol w:w="2823"/>
                            <w:gridCol w:w="2561"/>
                          </w:tblGrid>
                          <w:tr>
                            <w:tc>
                              <w:tcPr>
                                <w:tcW w:w="2762" w:type="dxa"/>
                              </w:tcPr>
                              <w:p>
                                <w:pPr>
                                  <w:jc w:val="center"/>
                                  <w:rPr>
                                    <w:rFonts w:ascii="Arial" w:hAnsi="Arial" w:cs="Arial"/>
                                    <w:sz w:val="20"/>
                                    <w:szCs w:val="16"/>
                                  </w:rPr>
                                </w:pPr>
                                <w:r>
                                  <w:rPr>
                                    <w:rFonts w:ascii="Arial" w:hAnsi="Arial" w:cs="Arial"/>
                                    <w:sz w:val="20"/>
                                    <w:szCs w:val="16"/>
                                  </w:rPr>
                                  <w:t>Energijos išteklių rūšis</w:t>
                                </w:r>
                              </w:p>
                            </w:tc>
                            <w:tc>
                              <w:tcPr>
                                <w:tcW w:w="0" w:type="auto"/>
                              </w:tcPr>
                              <w:p>
                                <w:pPr>
                                  <w:jc w:val="center"/>
                                  <w:rPr>
                                    <w:rFonts w:ascii="Arial" w:hAnsi="Arial" w:cs="Arial"/>
                                    <w:sz w:val="20"/>
                                    <w:szCs w:val="16"/>
                                  </w:rPr>
                                </w:pPr>
                                <w:r>
                                  <w:rPr>
                                    <w:rFonts w:ascii="Arial" w:hAnsi="Arial" w:cs="Arial"/>
                                    <w:sz w:val="20"/>
                                    <w:szCs w:val="16"/>
                                  </w:rPr>
                                  <w:t>Iš viso</w:t>
                                </w:r>
                              </w:p>
                            </w:tc>
                            <w:tc>
                              <w:tcPr>
                                <w:tcW w:w="0" w:type="auto"/>
                              </w:tcPr>
                              <w:p>
                                <w:pPr>
                                  <w:jc w:val="center"/>
                                  <w:rPr>
                                    <w:rFonts w:ascii="Arial" w:hAnsi="Arial" w:cs="Arial"/>
                                    <w:sz w:val="20"/>
                                    <w:szCs w:val="16"/>
                                  </w:rPr>
                                </w:pPr>
                                <w:r>
                                  <w:rPr>
                                    <w:rFonts w:ascii="Arial" w:hAnsi="Arial" w:cs="Arial"/>
                                    <w:sz w:val="20"/>
                                    <w:szCs w:val="16"/>
                                  </w:rPr>
                                  <w:t>AIE</w:t>
                                </w:r>
                              </w:p>
                            </w:tc>
                            <w:tc>
                              <w:tcPr>
                                <w:tcW w:w="0" w:type="auto"/>
                              </w:tcPr>
                              <w:p>
                                <w:pPr>
                                  <w:jc w:val="center"/>
                                  <w:rPr>
                                    <w:rFonts w:ascii="Arial" w:hAnsi="Arial" w:cs="Arial"/>
                                    <w:sz w:val="20"/>
                                    <w:szCs w:val="16"/>
                                  </w:rPr>
                                </w:pPr>
                                <w:r>
                                  <w:rPr>
                                    <w:rFonts w:ascii="Arial" w:hAnsi="Arial" w:cs="Arial"/>
                                    <w:sz w:val="20"/>
                                    <w:szCs w:val="16"/>
                                  </w:rPr>
                                  <w:t>Paklaida (bendro kiekio) proc</w:t>
                                </w:r>
                              </w:p>
                            </w:tc>
                            <w:tc>
                              <w:tcPr>
                                <w:tcW w:w="0" w:type="auto"/>
                              </w:tcPr>
                              <w:p>
                                <w:pPr>
                                  <w:jc w:val="center"/>
                                  <w:rPr>
                                    <w:rFonts w:ascii="Arial" w:hAnsi="Arial" w:cs="Arial"/>
                                    <w:sz w:val="20"/>
                                    <w:szCs w:val="16"/>
                                  </w:rPr>
                                </w:pPr>
                                <w:r>
                                  <w:rPr>
                                    <w:rFonts w:ascii="Arial" w:hAnsi="Arial" w:cs="Arial"/>
                                    <w:sz w:val="20"/>
                                    <w:szCs w:val="16"/>
                                  </w:rPr>
                                  <w:t>Paklaida (AIE dalies) proc.</w:t>
                                </w:r>
                              </w:p>
                            </w:tc>
                          </w:tr>
                          <w:tr>
                            <w:trPr>
                              <w:trHeight w:val="20"/>
                            </w:trPr>
                            <w:tc>
                              <w:tcPr>
                                <w:tcW w:w="2762" w:type="dxa"/>
                              </w:tcPr>
                              <w:p>
                                <w:pPr>
                                  <w:jc w:val="both"/>
                                  <w:rPr>
                                    <w:rFonts w:ascii="Arial" w:hAnsi="Arial" w:cs="Arial"/>
                                    <w:sz w:val="20"/>
                                  </w:rPr>
                                </w:pPr>
                                <w:r>
                                  <w:rPr>
                                    <w:rFonts w:ascii="Arial" w:hAnsi="Arial" w:cs="Arial"/>
                                    <w:sz w:val="18"/>
                                    <w:szCs w:val="18"/>
                                    <w:lang w:eastAsia="lt-LT"/>
                                  </w:rPr>
                                  <w:t>Benzinas</w:t>
                                </w:r>
                              </w:p>
                            </w:tc>
                            <w:tc>
                              <w:tcPr>
                                <w:tcW w:w="0" w:type="auto"/>
                              </w:tcPr>
                              <w:p>
                                <w:pPr>
                                  <w:jc w:val="center"/>
                                  <w:rPr>
                                    <w:rFonts w:ascii="Arial" w:hAnsi="Arial" w:cs="Arial"/>
                                    <w:sz w:val="20"/>
                                  </w:rPr>
                                </w:pPr>
                                <w:r>
                                  <w:rPr>
                                    <w:rFonts w:ascii="Arial" w:hAnsi="Arial" w:cs="Arial"/>
                                    <w:sz w:val="20"/>
                                  </w:rPr>
                                  <w:t>40,6</w:t>
                                </w:r>
                              </w:p>
                            </w:tc>
                            <w:tc>
                              <w:tcPr>
                                <w:tcW w:w="0" w:type="auto"/>
                              </w:tcPr>
                              <w:p>
                                <w:pPr>
                                  <w:jc w:val="center"/>
                                  <w:rPr>
                                    <w:rFonts w:ascii="Arial" w:hAnsi="Arial" w:cs="Arial"/>
                                    <w:sz w:val="20"/>
                                  </w:rPr>
                                </w:pPr>
                                <w:r>
                                  <w:rPr>
                                    <w:rFonts w:ascii="Arial" w:hAnsi="Arial" w:cs="Arial"/>
                                    <w:sz w:val="20"/>
                                  </w:rPr>
                                  <w:t>2,7</w:t>
                                </w:r>
                              </w:p>
                            </w:tc>
                            <w:tc>
                              <w:tcPr>
                                <w:tcW w:w="0" w:type="auto"/>
                              </w:tcPr>
                              <w:p>
                                <w:pPr>
                                  <w:jc w:val="center"/>
                                  <w:rPr>
                                    <w:rFonts w:ascii="Arial" w:hAnsi="Arial" w:cs="Arial"/>
                                    <w:sz w:val="20"/>
                                  </w:rPr>
                                </w:pPr>
                                <w:r>
                                  <w:rPr>
                                    <w:rFonts w:ascii="Arial" w:hAnsi="Arial" w:cs="Arial"/>
                                    <w:sz w:val="20"/>
                                  </w:rPr>
                                  <w:t>5</w:t>
                                </w:r>
                              </w:p>
                            </w:tc>
                            <w:tc>
                              <w:tcPr>
                                <w:tcW w:w="0" w:type="auto"/>
                              </w:tcPr>
                              <w:p>
                                <w:pPr>
                                  <w:jc w:val="center"/>
                                  <w:rPr>
                                    <w:rFonts w:ascii="Arial" w:hAnsi="Arial" w:cs="Arial"/>
                                    <w:sz w:val="20"/>
                                  </w:rPr>
                                </w:pPr>
                                <w:r>
                                  <w:rPr>
                                    <w:rFonts w:ascii="Arial" w:hAnsi="Arial" w:cs="Arial"/>
                                    <w:sz w:val="20"/>
                                  </w:rPr>
                                  <w:t>5</w:t>
                                </w:r>
                              </w:p>
                            </w:tc>
                          </w:tr>
                          <w:tr>
                            <w:trPr>
                              <w:trHeight w:val="20"/>
                            </w:trPr>
                            <w:tc>
                              <w:tcPr>
                                <w:tcW w:w="2762" w:type="dxa"/>
                              </w:tcPr>
                              <w:p>
                                <w:pPr>
                                  <w:jc w:val="both"/>
                                  <w:rPr>
                                    <w:rFonts w:ascii="Arial" w:hAnsi="Arial" w:cs="Arial"/>
                                    <w:sz w:val="20"/>
                                  </w:rPr>
                                </w:pPr>
                                <w:r>
                                  <w:rPr>
                                    <w:rFonts w:ascii="Arial" w:hAnsi="Arial" w:cs="Arial"/>
                                    <w:sz w:val="18"/>
                                    <w:szCs w:val="18"/>
                                    <w:lang w:eastAsia="lt-LT"/>
                                  </w:rPr>
                                  <w:t>Dyzelinas</w:t>
                                </w:r>
                              </w:p>
                            </w:tc>
                            <w:tc>
                              <w:tcPr>
                                <w:tcW w:w="0" w:type="auto"/>
                              </w:tcPr>
                              <w:p>
                                <w:pPr>
                                  <w:jc w:val="center"/>
                                  <w:rPr>
                                    <w:rFonts w:ascii="Arial" w:hAnsi="Arial" w:cs="Arial"/>
                                    <w:sz w:val="20"/>
                                  </w:rPr>
                                </w:pPr>
                                <w:r>
                                  <w:rPr>
                                    <w:rFonts w:ascii="Arial" w:hAnsi="Arial" w:cs="Arial"/>
                                    <w:sz w:val="20"/>
                                  </w:rPr>
                                  <w:t>414,1</w:t>
                                </w:r>
                              </w:p>
                            </w:tc>
                            <w:tc>
                              <w:tcPr>
                                <w:tcW w:w="0" w:type="auto"/>
                              </w:tcPr>
                              <w:p>
                                <w:pPr>
                                  <w:jc w:val="center"/>
                                  <w:rPr>
                                    <w:rFonts w:ascii="Arial" w:hAnsi="Arial" w:cs="Arial"/>
                                    <w:sz w:val="20"/>
                                  </w:rPr>
                                </w:pPr>
                                <w:r>
                                  <w:rPr>
                                    <w:rFonts w:ascii="Arial" w:hAnsi="Arial" w:cs="Arial"/>
                                    <w:sz w:val="20"/>
                                  </w:rPr>
                                  <w:t>25,7</w:t>
                                </w:r>
                              </w:p>
                            </w:tc>
                            <w:tc>
                              <w:tcPr>
                                <w:tcW w:w="0" w:type="auto"/>
                              </w:tcPr>
                              <w:p>
                                <w:pPr>
                                  <w:jc w:val="center"/>
                                  <w:rPr>
                                    <w:rFonts w:ascii="Arial" w:hAnsi="Arial" w:cs="Arial"/>
                                    <w:sz w:val="20"/>
                                  </w:rPr>
                                </w:pPr>
                                <w:r>
                                  <w:rPr>
                                    <w:rFonts w:ascii="Arial" w:hAnsi="Arial" w:cs="Arial"/>
                                    <w:sz w:val="20"/>
                                  </w:rPr>
                                  <w:t>5</w:t>
                                </w:r>
                              </w:p>
                            </w:tc>
                            <w:tc>
                              <w:tcPr>
                                <w:tcW w:w="0" w:type="auto"/>
                              </w:tcPr>
                              <w:p>
                                <w:pPr>
                                  <w:jc w:val="center"/>
                                  <w:rPr>
                                    <w:rFonts w:ascii="Arial" w:hAnsi="Arial" w:cs="Arial"/>
                                    <w:sz w:val="20"/>
                                  </w:rPr>
                                </w:pPr>
                                <w:r>
                                  <w:rPr>
                                    <w:rFonts w:ascii="Arial" w:hAnsi="Arial" w:cs="Arial"/>
                                    <w:sz w:val="20"/>
                                  </w:rPr>
                                  <w:t>5</w:t>
                                </w:r>
                              </w:p>
                            </w:tc>
                          </w:tr>
                          <w:tr>
                            <w:trPr>
                              <w:trHeight w:val="20"/>
                            </w:trPr>
                            <w:tc>
                              <w:tcPr>
                                <w:tcW w:w="2762" w:type="dxa"/>
                              </w:tcPr>
                              <w:p>
                                <w:pPr>
                                  <w:jc w:val="both"/>
                                  <w:rPr>
                                    <w:rFonts w:ascii="Arial" w:hAnsi="Arial" w:cs="Arial"/>
                                    <w:sz w:val="20"/>
                                  </w:rPr>
                                </w:pPr>
                                <w:r>
                                  <w:rPr>
                                    <w:rFonts w:ascii="Arial" w:hAnsi="Arial" w:cs="Arial"/>
                                    <w:sz w:val="18"/>
                                    <w:szCs w:val="18"/>
                                    <w:lang w:eastAsia="lt-LT"/>
                                  </w:rPr>
                                  <w:t>SND</w:t>
                                </w:r>
                                <w:r>
                                  <w:rPr>
                                    <w:rFonts w:ascii="Arial" w:hAnsi="Arial" w:cs="Arial"/>
                                    <w:sz w:val="18"/>
                                    <w:szCs w:val="18"/>
                                    <w:vertAlign w:val="superscript"/>
                                    <w:lang w:eastAsia="lt-LT"/>
                                  </w:rPr>
                                  <w:footnoteReference w:id="41"/>
                                </w:r>
                              </w:p>
                            </w:tc>
                            <w:tc>
                              <w:tcPr>
                                <w:tcW w:w="0" w:type="auto"/>
                              </w:tcPr>
                              <w:p>
                                <w:pPr>
                                  <w:jc w:val="center"/>
                                  <w:rPr>
                                    <w:rFonts w:ascii="Arial" w:hAnsi="Arial" w:cs="Arial"/>
                                    <w:sz w:val="20"/>
                                  </w:rPr>
                                </w:pPr>
                                <w:r>
                                  <w:rPr>
                                    <w:rFonts w:ascii="Arial" w:hAnsi="Arial" w:cs="Arial"/>
                                    <w:sz w:val="20"/>
                                  </w:rPr>
                                  <w:t>49,9</w:t>
                                </w:r>
                              </w:p>
                            </w:tc>
                            <w:tc>
                              <w:tcPr>
                                <w:tcW w:w="0" w:type="auto"/>
                              </w:tcPr>
                              <w:p>
                                <w:pPr>
                                  <w:jc w:val="center"/>
                                  <w:rPr>
                                    <w:rFonts w:ascii="Arial" w:hAnsi="Arial" w:cs="Arial"/>
                                    <w:sz w:val="20"/>
                                  </w:rPr>
                                </w:pPr>
                              </w:p>
                            </w:tc>
                            <w:tc>
                              <w:tcPr>
                                <w:tcW w:w="0" w:type="auto"/>
                              </w:tcPr>
                              <w:p>
                                <w:pPr>
                                  <w:jc w:val="center"/>
                                  <w:rPr>
                                    <w:rFonts w:ascii="Arial" w:hAnsi="Arial" w:cs="Arial"/>
                                    <w:sz w:val="20"/>
                                  </w:rPr>
                                </w:pPr>
                                <w:r>
                                  <w:rPr>
                                    <w:rFonts w:ascii="Arial" w:hAnsi="Arial" w:cs="Arial"/>
                                    <w:sz w:val="20"/>
                                  </w:rPr>
                                  <w:t>5</w:t>
                                </w:r>
                              </w:p>
                            </w:tc>
                            <w:tc>
                              <w:tcPr>
                                <w:tcW w:w="0" w:type="auto"/>
                              </w:tcPr>
                              <w:p>
                                <w:pPr>
                                  <w:jc w:val="center"/>
                                  <w:rPr>
                                    <w:rFonts w:ascii="Arial" w:hAnsi="Arial" w:cs="Arial"/>
                                    <w:sz w:val="20"/>
                                  </w:rPr>
                                </w:pPr>
                                <w:r>
                                  <w:rPr>
                                    <w:rFonts w:ascii="Arial" w:hAnsi="Arial" w:cs="Arial"/>
                                    <w:sz w:val="20"/>
                                  </w:rPr>
                                  <w:t>0</w:t>
                                </w:r>
                              </w:p>
                            </w:tc>
                          </w:tr>
                          <w:tr>
                            <w:trPr>
                              <w:trHeight w:val="20"/>
                            </w:trPr>
                            <w:tc>
                              <w:tcPr>
                                <w:tcW w:w="2762" w:type="dxa"/>
                              </w:tcPr>
                              <w:p>
                                <w:pPr>
                                  <w:jc w:val="both"/>
                                  <w:rPr>
                                    <w:rFonts w:ascii="Arial" w:hAnsi="Arial" w:cs="Arial"/>
                                    <w:sz w:val="20"/>
                                  </w:rPr>
                                </w:pPr>
                                <w:r>
                                  <w:rPr>
                                    <w:rFonts w:ascii="Arial" w:hAnsi="Arial" w:cs="Arial"/>
                                    <w:sz w:val="18"/>
                                    <w:szCs w:val="18"/>
                                    <w:lang w:eastAsia="lt-LT"/>
                                  </w:rPr>
                                  <w:t>Anglys ir durpės</w:t>
                                </w:r>
                              </w:p>
                            </w:tc>
                            <w:tc>
                              <w:tcPr>
                                <w:tcW w:w="0" w:type="auto"/>
                              </w:tcPr>
                              <w:p>
                                <w:pPr>
                                  <w:jc w:val="center"/>
                                  <w:rPr>
                                    <w:rFonts w:ascii="Arial" w:hAnsi="Arial" w:cs="Arial"/>
                                    <w:sz w:val="20"/>
                                  </w:rPr>
                                </w:pPr>
                                <w:r>
                                  <w:rPr>
                                    <w:rFonts w:ascii="Arial" w:hAnsi="Arial" w:cs="Arial"/>
                                    <w:sz w:val="20"/>
                                  </w:rPr>
                                  <w:t>685,8</w:t>
                                </w:r>
                              </w:p>
                            </w:tc>
                            <w:tc>
                              <w:tcPr>
                                <w:tcW w:w="0" w:type="auto"/>
                              </w:tcPr>
                              <w:p>
                                <w:pPr>
                                  <w:jc w:val="center"/>
                                  <w:rPr>
                                    <w:rFonts w:ascii="Arial" w:hAnsi="Arial" w:cs="Arial"/>
                                    <w:sz w:val="20"/>
                                  </w:rPr>
                                </w:pP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0</w:t>
                                </w:r>
                              </w:p>
                            </w:tc>
                          </w:tr>
                          <w:tr>
                            <w:trPr>
                              <w:trHeight w:val="20"/>
                            </w:trPr>
                            <w:tc>
                              <w:tcPr>
                                <w:tcW w:w="2762" w:type="dxa"/>
                              </w:tcPr>
                              <w:p>
                                <w:pPr>
                                  <w:jc w:val="both"/>
                                  <w:rPr>
                                    <w:rFonts w:ascii="Arial" w:hAnsi="Arial" w:cs="Arial"/>
                                    <w:sz w:val="20"/>
                                  </w:rPr>
                                </w:pPr>
                                <w:r>
                                  <w:rPr>
                                    <w:rFonts w:ascii="Arial" w:hAnsi="Arial" w:cs="Arial"/>
                                    <w:sz w:val="18"/>
                                    <w:szCs w:val="18"/>
                                    <w:lang w:eastAsia="lt-LT"/>
                                  </w:rPr>
                                  <w:t>Gamtinės dujos</w:t>
                                </w:r>
                              </w:p>
                            </w:tc>
                            <w:tc>
                              <w:tcPr>
                                <w:tcW w:w="0" w:type="auto"/>
                              </w:tcPr>
                              <w:p>
                                <w:pPr>
                                  <w:jc w:val="center"/>
                                  <w:rPr>
                                    <w:rFonts w:ascii="Arial" w:hAnsi="Arial" w:cs="Arial"/>
                                    <w:sz w:val="20"/>
                                  </w:rPr>
                                </w:pPr>
                                <w:r>
                                  <w:rPr>
                                    <w:rFonts w:ascii="Arial" w:hAnsi="Arial" w:cs="Arial"/>
                                    <w:sz w:val="20"/>
                                  </w:rPr>
                                  <w:t>1368,0</w:t>
                                </w:r>
                              </w:p>
                            </w:tc>
                            <w:tc>
                              <w:tcPr>
                                <w:tcW w:w="0" w:type="auto"/>
                              </w:tcPr>
                              <w:p>
                                <w:pPr>
                                  <w:jc w:val="center"/>
                                  <w:rPr>
                                    <w:rFonts w:ascii="Arial" w:hAnsi="Arial" w:cs="Arial"/>
                                    <w:sz w:val="20"/>
                                  </w:rPr>
                                </w:pP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0</w:t>
                                </w:r>
                              </w:p>
                            </w:tc>
                          </w:tr>
                          <w:tr>
                            <w:trPr>
                              <w:trHeight w:val="20"/>
                            </w:trPr>
                            <w:tc>
                              <w:tcPr>
                                <w:tcW w:w="2762" w:type="dxa"/>
                              </w:tcPr>
                              <w:p>
                                <w:pPr>
                                  <w:jc w:val="both"/>
                                  <w:rPr>
                                    <w:rFonts w:ascii="Arial" w:hAnsi="Arial" w:cs="Arial"/>
                                    <w:sz w:val="20"/>
                                  </w:rPr>
                                </w:pPr>
                                <w:r>
                                  <w:rPr>
                                    <w:rFonts w:ascii="Arial" w:hAnsi="Arial" w:cs="Arial"/>
                                    <w:sz w:val="18"/>
                                    <w:szCs w:val="18"/>
                                    <w:lang w:eastAsia="lt-LT"/>
                                  </w:rPr>
                                  <w:t>Skystasis kuras</w:t>
                                </w:r>
                              </w:p>
                            </w:tc>
                            <w:tc>
                              <w:tcPr>
                                <w:tcW w:w="0" w:type="auto"/>
                              </w:tcPr>
                              <w:p>
                                <w:pPr>
                                  <w:jc w:val="center"/>
                                  <w:rPr>
                                    <w:rFonts w:ascii="Arial" w:hAnsi="Arial" w:cs="Arial"/>
                                    <w:sz w:val="20"/>
                                  </w:rPr>
                                </w:pPr>
                                <w:r>
                                  <w:rPr>
                                    <w:rFonts w:ascii="Arial" w:hAnsi="Arial" w:cs="Arial"/>
                                    <w:sz w:val="20"/>
                                  </w:rPr>
                                  <w:t>349,1</w:t>
                                </w:r>
                              </w:p>
                            </w:tc>
                            <w:tc>
                              <w:tcPr>
                                <w:tcW w:w="0" w:type="auto"/>
                              </w:tcPr>
                              <w:p>
                                <w:pPr>
                                  <w:jc w:val="center"/>
                                  <w:rPr>
                                    <w:rFonts w:ascii="Arial" w:hAnsi="Arial" w:cs="Arial"/>
                                    <w:sz w:val="20"/>
                                  </w:rPr>
                                </w:pP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0</w:t>
                                </w:r>
                              </w:p>
                            </w:tc>
                          </w:tr>
                          <w:tr>
                            <w:trPr>
                              <w:trHeight w:val="20"/>
                            </w:trPr>
                            <w:tc>
                              <w:tcPr>
                                <w:tcW w:w="2762" w:type="dxa"/>
                              </w:tcPr>
                              <w:p>
                                <w:pPr>
                                  <w:jc w:val="both"/>
                                  <w:rPr>
                                    <w:rFonts w:ascii="Arial" w:hAnsi="Arial" w:cs="Arial"/>
                                    <w:sz w:val="20"/>
                                  </w:rPr>
                                </w:pPr>
                                <w:r>
                                  <w:rPr>
                                    <w:rFonts w:ascii="Arial" w:hAnsi="Arial" w:cs="Arial"/>
                                    <w:sz w:val="18"/>
                                    <w:szCs w:val="18"/>
                                    <w:lang w:eastAsia="lt-LT"/>
                                  </w:rPr>
                                  <w:t>Biokuras</w:t>
                                </w:r>
                              </w:p>
                            </w:tc>
                            <w:tc>
                              <w:tcPr>
                                <w:tcW w:w="0" w:type="auto"/>
                              </w:tcPr>
                              <w:p>
                                <w:pPr>
                                  <w:jc w:val="center"/>
                                  <w:rPr>
                                    <w:rFonts w:ascii="Arial" w:hAnsi="Arial" w:cs="Arial"/>
                                    <w:sz w:val="20"/>
                                  </w:rPr>
                                </w:pPr>
                                <w:r>
                                  <w:rPr>
                                    <w:rFonts w:ascii="Arial" w:hAnsi="Arial" w:cs="Arial"/>
                                    <w:sz w:val="20"/>
                                  </w:rPr>
                                  <w:t>8916,8</w:t>
                                </w:r>
                              </w:p>
                            </w:tc>
                            <w:tc>
                              <w:tcPr>
                                <w:tcW w:w="0" w:type="auto"/>
                              </w:tcPr>
                              <w:p>
                                <w:pPr>
                                  <w:jc w:val="center"/>
                                  <w:rPr>
                                    <w:rFonts w:ascii="Arial" w:hAnsi="Arial" w:cs="Arial"/>
                                    <w:sz w:val="20"/>
                                  </w:rPr>
                                </w:pPr>
                                <w:r>
                                  <w:rPr>
                                    <w:rFonts w:ascii="Arial" w:hAnsi="Arial" w:cs="Arial"/>
                                    <w:sz w:val="20"/>
                                  </w:rPr>
                                  <w:t>8916,8</w:t>
                                </w: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10</w:t>
                                </w:r>
                              </w:p>
                            </w:tc>
                          </w:tr>
                          <w:tr>
                            <w:trPr>
                              <w:trHeight w:val="20"/>
                            </w:trPr>
                            <w:tc>
                              <w:tcPr>
                                <w:tcW w:w="2762" w:type="dxa"/>
                              </w:tcPr>
                              <w:p>
                                <w:pPr>
                                  <w:jc w:val="both"/>
                                  <w:rPr>
                                    <w:rFonts w:ascii="Arial" w:hAnsi="Arial" w:cs="Arial"/>
                                    <w:sz w:val="20"/>
                                  </w:rPr>
                                </w:pPr>
                                <w:r>
                                  <w:rPr>
                                    <w:rFonts w:ascii="Arial" w:hAnsi="Arial" w:cs="Arial"/>
                                    <w:sz w:val="18"/>
                                    <w:szCs w:val="18"/>
                                    <w:lang w:eastAsia="lt-LT"/>
                                  </w:rPr>
                                  <w:t>Elektros energija</w:t>
                                </w:r>
                              </w:p>
                            </w:tc>
                            <w:tc>
                              <w:tcPr>
                                <w:tcW w:w="0" w:type="auto"/>
                              </w:tcPr>
                              <w:p>
                                <w:pPr>
                                  <w:jc w:val="center"/>
                                  <w:rPr>
                                    <w:rFonts w:ascii="Arial" w:hAnsi="Arial" w:cs="Arial"/>
                                    <w:sz w:val="20"/>
                                  </w:rPr>
                                </w:pPr>
                                <w:r>
                                  <w:rPr>
                                    <w:rFonts w:ascii="Arial" w:hAnsi="Arial" w:cs="Arial"/>
                                    <w:sz w:val="20"/>
                                  </w:rPr>
                                  <w:t>5392,8</w:t>
                                </w:r>
                              </w:p>
                            </w:tc>
                            <w:tc>
                              <w:tcPr>
                                <w:tcW w:w="0" w:type="auto"/>
                              </w:tcPr>
                              <w:p>
                                <w:pPr>
                                  <w:jc w:val="center"/>
                                  <w:rPr>
                                    <w:rFonts w:ascii="Arial" w:hAnsi="Arial" w:cs="Arial"/>
                                    <w:sz w:val="20"/>
                                  </w:rPr>
                                </w:pPr>
                                <w:r>
                                  <w:rPr>
                                    <w:rFonts w:ascii="Arial" w:hAnsi="Arial" w:cs="Arial"/>
                                    <w:sz w:val="20"/>
                                  </w:rPr>
                                  <w:t>1087,7</w:t>
                                </w: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5</w:t>
                                </w:r>
                              </w:p>
                            </w:tc>
                          </w:tr>
                          <w:tr>
                            <w:trPr>
                              <w:trHeight w:val="20"/>
                            </w:trPr>
                            <w:tc>
                              <w:tcPr>
                                <w:tcW w:w="2762" w:type="dxa"/>
                              </w:tcPr>
                              <w:p>
                                <w:pPr>
                                  <w:jc w:val="both"/>
                                  <w:rPr>
                                    <w:rFonts w:ascii="Arial" w:hAnsi="Arial" w:cs="Arial"/>
                                    <w:sz w:val="20"/>
                                  </w:rPr>
                                </w:pPr>
                                <w:r>
                                  <w:rPr>
                                    <w:rFonts w:ascii="Arial" w:hAnsi="Arial" w:cs="Arial"/>
                                    <w:sz w:val="18"/>
                                    <w:szCs w:val="18"/>
                                  </w:rPr>
                                  <w:t xml:space="preserve">Aplinkos šiluminė energija </w:t>
                                </w:r>
                              </w:p>
                            </w:tc>
                            <w:tc>
                              <w:tcPr>
                                <w:tcW w:w="0" w:type="auto"/>
                              </w:tcPr>
                              <w:p>
                                <w:pPr>
                                  <w:jc w:val="center"/>
                                  <w:rPr>
                                    <w:rFonts w:ascii="Arial" w:hAnsi="Arial" w:cs="Arial"/>
                                    <w:sz w:val="20"/>
                                  </w:rPr>
                                </w:pPr>
                                <w:r>
                                  <w:rPr>
                                    <w:rFonts w:ascii="Arial" w:hAnsi="Arial" w:cs="Arial"/>
                                    <w:sz w:val="20"/>
                                  </w:rPr>
                                  <w:t>392,7</w:t>
                                </w:r>
                              </w:p>
                            </w:tc>
                            <w:tc>
                              <w:tcPr>
                                <w:tcW w:w="0" w:type="auto"/>
                              </w:tcPr>
                              <w:p>
                                <w:pPr>
                                  <w:jc w:val="center"/>
                                  <w:rPr>
                                    <w:rFonts w:ascii="Arial" w:hAnsi="Arial" w:cs="Arial"/>
                                    <w:sz w:val="20"/>
                                  </w:rPr>
                                </w:pPr>
                                <w:r>
                                  <w:rPr>
                                    <w:rFonts w:ascii="Arial" w:hAnsi="Arial" w:cs="Arial"/>
                                    <w:sz w:val="20"/>
                                  </w:rPr>
                                  <w:t>392,7</w:t>
                                </w: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5</w:t>
                                </w:r>
                              </w:p>
                            </w:tc>
                          </w:tr>
                          <w:tr>
                            <w:trPr>
                              <w:trHeight w:val="20"/>
                            </w:trPr>
                            <w:tc>
                              <w:tcPr>
                                <w:tcW w:w="2762" w:type="dxa"/>
                              </w:tcPr>
                              <w:p>
                                <w:pPr>
                                  <w:jc w:val="both"/>
                                  <w:rPr>
                                    <w:rFonts w:ascii="Arial" w:hAnsi="Arial" w:cs="Arial"/>
                                    <w:sz w:val="20"/>
                                  </w:rPr>
                                </w:pPr>
                                <w:r>
                                  <w:rPr>
                                    <w:rFonts w:ascii="Arial" w:hAnsi="Arial" w:cs="Arial"/>
                                    <w:sz w:val="18"/>
                                    <w:szCs w:val="18"/>
                                  </w:rPr>
                                  <w:t>Kitos kuro ir energijos rūšys</w:t>
                                </w:r>
                              </w:p>
                            </w:tc>
                            <w:tc>
                              <w:tcPr>
                                <w:tcW w:w="0" w:type="auto"/>
                              </w:tcPr>
                              <w:p>
                                <w:pPr>
                                  <w:jc w:val="center"/>
                                  <w:rPr>
                                    <w:rFonts w:ascii="Arial" w:hAnsi="Arial" w:cs="Arial"/>
                                    <w:sz w:val="20"/>
                                  </w:rPr>
                                </w:pPr>
                                <w:r>
                                  <w:rPr>
                                    <w:rFonts w:ascii="Arial" w:hAnsi="Arial" w:cs="Arial"/>
                                    <w:sz w:val="20"/>
                                  </w:rPr>
                                  <w:t>294,5</w:t>
                                </w:r>
                              </w:p>
                            </w:tc>
                            <w:tc>
                              <w:tcPr>
                                <w:tcW w:w="0" w:type="auto"/>
                              </w:tcPr>
                              <w:p>
                                <w:pPr>
                                  <w:jc w:val="center"/>
                                  <w:rPr>
                                    <w:rFonts w:ascii="Arial" w:hAnsi="Arial" w:cs="Arial"/>
                                    <w:sz w:val="20"/>
                                  </w:rPr>
                                </w:pP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0</w:t>
                                </w:r>
                              </w:p>
                            </w:tc>
                          </w:tr>
                          <w:tr>
                            <w:trPr>
                              <w:trHeight w:val="20"/>
                            </w:trPr>
                            <w:tc>
                              <w:tcPr>
                                <w:tcW w:w="2762" w:type="dxa"/>
                              </w:tcPr>
                              <w:p>
                                <w:pPr>
                                  <w:jc w:val="both"/>
                                  <w:rPr>
                                    <w:rFonts w:ascii="Arial" w:hAnsi="Arial" w:cs="Arial"/>
                                    <w:sz w:val="20"/>
                                  </w:rPr>
                                </w:pPr>
                                <w:r>
                                  <w:rPr>
                                    <w:rFonts w:ascii="Arial" w:hAnsi="Arial" w:cs="Arial"/>
                                    <w:sz w:val="18"/>
                                    <w:szCs w:val="18"/>
                                    <w:lang w:eastAsia="lt-LT"/>
                                  </w:rPr>
                                  <w:t>Šilumos energija</w:t>
                                </w:r>
                                <w:r>
                                  <w:rPr>
                                    <w:rFonts w:ascii="Arial" w:hAnsi="Arial" w:cs="Arial"/>
                                    <w:sz w:val="18"/>
                                    <w:szCs w:val="18"/>
                                    <w:vertAlign w:val="superscript"/>
                                    <w:lang w:eastAsia="lt-LT"/>
                                  </w:rPr>
                                  <w:footnoteReference w:id="42"/>
                                </w:r>
                              </w:p>
                            </w:tc>
                            <w:tc>
                              <w:tcPr>
                                <w:tcW w:w="0" w:type="auto"/>
                              </w:tcPr>
                              <w:p>
                                <w:pPr>
                                  <w:jc w:val="center"/>
                                  <w:rPr>
                                    <w:rFonts w:ascii="Arial" w:hAnsi="Arial" w:cs="Arial"/>
                                    <w:color w:val="000000"/>
                                    <w:sz w:val="20"/>
                                  </w:rPr>
                                </w:pPr>
                                <w:r>
                                  <w:rPr>
                                    <w:rFonts w:ascii="Arial" w:hAnsi="Arial" w:cs="Arial"/>
                                    <w:sz w:val="20"/>
                                  </w:rPr>
                                  <w:t>1889,8</w:t>
                                </w:r>
                              </w:p>
                            </w:tc>
                            <w:tc>
                              <w:tcPr>
                                <w:tcW w:w="0" w:type="auto"/>
                              </w:tcPr>
                              <w:p>
                                <w:pPr>
                                  <w:jc w:val="center"/>
                                  <w:rPr>
                                    <w:rFonts w:ascii="Arial" w:hAnsi="Arial" w:cs="Arial"/>
                                    <w:sz w:val="20"/>
                                    <w:lang w:eastAsia="lt-LT"/>
                                  </w:rPr>
                                </w:pPr>
                                <w:r>
                                  <w:rPr>
                                    <w:rFonts w:ascii="Arial" w:hAnsi="Arial" w:cs="Arial"/>
                                    <w:sz w:val="20"/>
                                  </w:rPr>
                                  <w:t>1574,2</w:t>
                                </w:r>
                              </w:p>
                            </w:tc>
                            <w:tc>
                              <w:tcPr>
                                <w:tcW w:w="0" w:type="auto"/>
                              </w:tcPr>
                              <w:p>
                                <w:pPr>
                                  <w:jc w:val="center"/>
                                  <w:rPr>
                                    <w:rFonts w:ascii="Arial" w:hAnsi="Arial" w:cs="Arial"/>
                                    <w:sz w:val="20"/>
                                  </w:rPr>
                                </w:pPr>
                                <w:r>
                                  <w:rPr>
                                    <w:rFonts w:ascii="Arial" w:hAnsi="Arial" w:cs="Arial"/>
                                    <w:sz w:val="20"/>
                                  </w:rPr>
                                  <w:t>10</w:t>
                                </w:r>
                              </w:p>
                            </w:tc>
                            <w:tc>
                              <w:tcPr>
                                <w:tcW w:w="0" w:type="auto"/>
                              </w:tcPr>
                              <w:p>
                                <w:pPr>
                                  <w:jc w:val="center"/>
                                  <w:rPr>
                                    <w:rFonts w:ascii="Arial" w:hAnsi="Arial" w:cs="Arial"/>
                                    <w:sz w:val="20"/>
                                  </w:rPr>
                                </w:pPr>
                                <w:r>
                                  <w:rPr>
                                    <w:rFonts w:ascii="Arial" w:hAnsi="Arial" w:cs="Arial"/>
                                    <w:sz w:val="20"/>
                                  </w:rPr>
                                  <w:t>10</w:t>
                                </w:r>
                              </w:p>
                            </w:tc>
                          </w:tr>
                          <w:tr>
                            <w:trPr>
                              <w:trHeight w:val="20"/>
                            </w:trPr>
                            <w:tc>
                              <w:tcPr>
                                <w:tcW w:w="2762" w:type="dxa"/>
                              </w:tcPr>
                              <w:p>
                                <w:pPr>
                                  <w:jc w:val="both"/>
                                  <w:rPr>
                                    <w:rFonts w:ascii="Arial" w:hAnsi="Arial" w:cs="Arial"/>
                                    <w:b/>
                                    <w:bCs/>
                                    <w:sz w:val="20"/>
                                  </w:rPr>
                                </w:pPr>
                                <w:r>
                                  <w:rPr>
                                    <w:rFonts w:ascii="Arial" w:hAnsi="Arial" w:cs="Arial"/>
                                    <w:b/>
                                    <w:bCs/>
                                    <w:sz w:val="20"/>
                                  </w:rPr>
                                  <w:t>Iš viso</w:t>
                                </w:r>
                              </w:p>
                            </w:tc>
                            <w:tc>
                              <w:tcPr>
                                <w:tcW w:w="0" w:type="auto"/>
                              </w:tcPr>
                              <w:p>
                                <w:pPr>
                                  <w:jc w:val="center"/>
                                  <w:rPr>
                                    <w:rFonts w:ascii="Arial" w:hAnsi="Arial" w:cs="Arial"/>
                                    <w:b/>
                                    <w:bCs/>
                                    <w:sz w:val="20"/>
                                  </w:rPr>
                                </w:pPr>
                                <w:r>
                                  <w:rPr>
                                    <w:rFonts w:ascii="Arial" w:hAnsi="Arial" w:cs="Arial"/>
                                    <w:b/>
                                    <w:bCs/>
                                    <w:sz w:val="20"/>
                                  </w:rPr>
                                  <w:t>19794,0</w:t>
                                </w:r>
                              </w:p>
                            </w:tc>
                            <w:tc>
                              <w:tcPr>
                                <w:tcW w:w="0" w:type="auto"/>
                              </w:tcPr>
                              <w:p>
                                <w:pPr>
                                  <w:jc w:val="center"/>
                                  <w:rPr>
                                    <w:rFonts w:ascii="Arial" w:hAnsi="Arial" w:cs="Arial"/>
                                    <w:b/>
                                    <w:bCs/>
                                    <w:sz w:val="20"/>
                                  </w:rPr>
                                </w:pPr>
                                <w:r>
                                  <w:rPr>
                                    <w:rFonts w:ascii="Arial" w:hAnsi="Arial" w:cs="Arial"/>
                                    <w:b/>
                                    <w:bCs/>
                                    <w:sz w:val="20"/>
                                  </w:rPr>
                                  <w:t>11999,8</w:t>
                                </w:r>
                              </w:p>
                            </w:tc>
                            <w:tc>
                              <w:tcPr>
                                <w:tcW w:w="0" w:type="auto"/>
                              </w:tcPr>
                              <w:p>
                                <w:pPr>
                                  <w:jc w:val="center"/>
                                  <w:rPr>
                                    <w:rFonts w:ascii="Arial" w:hAnsi="Arial" w:cs="Arial"/>
                                    <w:b/>
                                    <w:bCs/>
                                    <w:sz w:val="20"/>
                                  </w:rPr>
                                </w:pPr>
                                <w:r>
                                  <w:rPr>
                                    <w:rFonts w:ascii="Arial" w:hAnsi="Arial" w:cs="Arial"/>
                                    <w:b/>
                                    <w:bCs/>
                                    <w:sz w:val="20"/>
                                  </w:rPr>
                                  <w:t>95</w:t>
                                </w:r>
                              </w:p>
                            </w:tc>
                            <w:tc>
                              <w:tcPr>
                                <w:tcW w:w="0" w:type="auto"/>
                              </w:tcPr>
                              <w:p>
                                <w:pPr>
                                  <w:jc w:val="center"/>
                                  <w:rPr>
                                    <w:rFonts w:ascii="Arial" w:hAnsi="Arial" w:cs="Arial"/>
                                    <w:b/>
                                    <w:bCs/>
                                    <w:sz w:val="20"/>
                                  </w:rPr>
                                </w:pPr>
                                <w:r>
                                  <w:rPr>
                                    <w:rFonts w:ascii="Arial" w:hAnsi="Arial" w:cs="Arial"/>
                                    <w:b/>
                                    <w:bCs/>
                                    <w:sz w:val="20"/>
                                  </w:rPr>
                                  <w:t>40</w:t>
                                </w:r>
                              </w:p>
                            </w:tc>
                          </w:tr>
                          <w:tr>
                            <w:trPr>
                              <w:trHeight w:val="20"/>
                            </w:trPr>
                            <w:tc>
                              <w:tcPr>
                                <w:tcW w:w="4818" w:type="dxa"/>
                                <w:gridSpan w:val="3"/>
                              </w:tcPr>
                              <w:p>
                                <w:pPr>
                                  <w:jc w:val="right"/>
                                  <w:rPr>
                                    <w:rFonts w:ascii="Arial" w:hAnsi="Arial" w:cs="Arial"/>
                                    <w:b/>
                                    <w:bCs/>
                                    <w:sz w:val="20"/>
                                  </w:rPr>
                                </w:pPr>
                                <w:r>
                                  <w:rPr>
                                    <w:rFonts w:ascii="Arial" w:hAnsi="Arial" w:cs="Arial"/>
                                    <w:b/>
                                    <w:bCs/>
                                    <w:sz w:val="20"/>
                                  </w:rPr>
                                  <w:t>Paklaidų svertinis vidurkis</w:t>
                                </w:r>
                              </w:p>
                            </w:tc>
                            <w:tc>
                              <w:tcPr>
                                <w:tcW w:w="0" w:type="auto"/>
                              </w:tcPr>
                              <w:p>
                                <w:pPr>
                                  <w:jc w:val="center"/>
                                  <w:rPr>
                                    <w:rFonts w:ascii="Arial" w:hAnsi="Arial" w:cs="Arial"/>
                                    <w:b/>
                                    <w:bCs/>
                                    <w:sz w:val="20"/>
                                  </w:rPr>
                                </w:pPr>
                                <w:r>
                                  <w:rPr>
                                    <w:rFonts w:ascii="Arial" w:hAnsi="Arial" w:cs="Arial"/>
                                    <w:b/>
                                    <w:bCs/>
                                    <w:sz w:val="20"/>
                                  </w:rPr>
                                  <w:t>4,8</w:t>
                                </w:r>
                              </w:p>
                            </w:tc>
                            <w:tc>
                              <w:tcPr>
                                <w:tcW w:w="0" w:type="auto"/>
                              </w:tcPr>
                              <w:p>
                                <w:pPr>
                                  <w:jc w:val="center"/>
                                  <w:rPr>
                                    <w:rFonts w:ascii="Arial" w:hAnsi="Arial" w:cs="Arial"/>
                                    <w:b/>
                                    <w:bCs/>
                                    <w:sz w:val="20"/>
                                  </w:rPr>
                                </w:pPr>
                                <w:r>
                                  <w:rPr>
                                    <w:rFonts w:ascii="Arial" w:hAnsi="Arial" w:cs="Arial"/>
                                    <w:b/>
                                    <w:bCs/>
                                    <w:sz w:val="20"/>
                                  </w:rPr>
                                  <w:t>1,9</w:t>
                                </w:r>
                              </w:p>
                            </w:tc>
                          </w:tr>
                          <w:tr>
                            <w:trPr>
                              <w:trHeight w:val="20"/>
                            </w:trPr>
                            <w:tc>
                              <w:tcPr>
                                <w:tcW w:w="4818" w:type="dxa"/>
                                <w:gridSpan w:val="3"/>
                              </w:tcPr>
                              <w:p>
                                <w:pPr>
                                  <w:jc w:val="right"/>
                                  <w:rPr>
                                    <w:rFonts w:ascii="Arial" w:hAnsi="Arial" w:cs="Arial"/>
                                    <w:b/>
                                    <w:bCs/>
                                    <w:sz w:val="20"/>
                                  </w:rPr>
                                </w:pPr>
                                <w:r>
                                  <w:rPr>
                                    <w:rFonts w:ascii="Arial" w:hAnsi="Arial" w:cs="Arial"/>
                                    <w:b/>
                                    <w:bCs/>
                                    <w:sz w:val="20"/>
                                  </w:rPr>
                                  <w:t>Bendra AIE dalies paklaida, proc.</w:t>
                                </w:r>
                              </w:p>
                            </w:tc>
                            <w:tc>
                              <w:tcPr>
                                <w:tcW w:w="0" w:type="auto"/>
                                <w:gridSpan w:val="2"/>
                              </w:tcPr>
                              <w:p>
                                <w:pPr>
                                  <w:jc w:val="center"/>
                                  <w:rPr>
                                    <w:rFonts w:ascii="Arial" w:hAnsi="Arial" w:cs="Arial"/>
                                    <w:b/>
                                    <w:bCs/>
                                    <w:sz w:val="20"/>
                                  </w:rPr>
                                </w:pPr>
                                <w:r>
                                  <w:rPr>
                                    <w:rFonts w:ascii="Arial" w:hAnsi="Arial" w:cs="Arial"/>
                                    <w:b/>
                                    <w:bCs/>
                                    <w:sz w:val="20"/>
                                  </w:rPr>
                                  <w:t>3,9</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Nustatyta, kad AIE dalies savivaldybės galutiniame energijos vartojime reikšmės neapibrėžtumas (paklaida) lygus 3,9 proc. Tai reiškia, kad AIE dalis galutiniame vartojime Joniškio rajono savivaldybėje lygi </w:t>
                          </w:r>
                          <w:r>
                            <w:rPr>
                              <w:rFonts w:ascii="Arial" w:hAnsi="Arial" w:cs="Arial"/>
                              <w:b/>
                              <w:bCs/>
                              <w:sz w:val="22"/>
                            </w:rPr>
                            <w:t>60,6 ± 3,9 %.</w:t>
                          </w:r>
                        </w:p>
                        <w:p>
                          <w:pPr>
                            <w:rPr>
                              <w:sz w:val="14"/>
                              <w:szCs w:val="14"/>
                            </w:rPr>
                          </w:pPr>
                        </w:p>
                      </w:sdtContent>
                    </w:sdt>
                  </w:sdtContent>
                </w:sdt>
                <w:sdt>
                  <w:sdtPr>
                    <w:alias w:val="9.2 pp."/>
                    <w:tag w:val="part_330104eab2ee44ff83fbe38fc5107a16"/>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330104eab2ee44ff83fbe38fc5107a16"/>
                          <w:lock w:val="sdtLocked"/>
                          <w:richText/>
                        </w:sdtPr>
                        <w:sdtContent>
                          <w:r>
                            <w:rPr>
                              <w:rFonts w:ascii="Arial" w:eastAsia="SegoeUI" w:hAnsi="Arial" w:cs="Arial"/>
                              <w:b/>
                              <w:color w:val="002060"/>
                              <w:szCs w:val="26"/>
                            </w:rPr>
                            <w:t>9.2</w:t>
                          </w:r>
                        </w:sdtContent>
                      </w:sdt>
                      <w:r>
                        <w:rPr>
                          <w:rFonts w:ascii="Arial" w:eastAsia="SegoeUI" w:hAnsi="Arial" w:cs="Arial"/>
                          <w:b/>
                          <w:color w:val="002060"/>
                          <w:szCs w:val="26"/>
                        </w:rPr>
                        <w:t>. Rizikos veiksniai ir jų poveikio įvertinimas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Pagrindinis rizikos analizės tikslas – įvertinti galimus rizikos veiksnius, dėl kurių iki 2030 m. suplanuotas AIE dalies galutiniame vartojime rodiklis gali būti nepasiektas.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Rizikos analizė atliekama 3-ajam scenarijui. Kadangi šio scenarijaus atveju diegiami saulės kolektoriai ir saulės šviesos elektrinės ant savivaldybei priklausančių pastatų stogų, o taip namų ūkiai skatinami pereiti prie AIE - aprašomi rizikos veiksniai, susiję su šių technologijų diegimu, o kituose sektoriuose laikoma, kad AIE naudojimo apimtys nekis. </w:t>
                      </w:r>
                    </w:p>
                    <w:p>
                      <w:pPr>
                        <w:rPr>
                          <w:sz w:val="14"/>
                          <w:szCs w:val="14"/>
                        </w:rPr>
                      </w:pPr>
                    </w:p>
                    <w:p>
                      <w:pPr>
                        <w:spacing w:line="259" w:lineRule="auto"/>
                        <w:ind w:firstLine="567"/>
                        <w:jc w:val="both"/>
                        <w:rPr>
                          <w:rFonts w:ascii="Arial" w:hAnsi="Arial" w:cs="Arial"/>
                          <w:sz w:val="22"/>
                        </w:rPr>
                      </w:pPr>
                      <w:r>
                        <w:rPr>
                          <w:rFonts w:ascii="Arial" w:hAnsi="Arial" w:cs="Arial"/>
                          <w:sz w:val="22"/>
                        </w:rPr>
                        <w:t>Rizikos veiksniai sugrupuoti į 6 grupes. Kiekvienam rizikos veiksniui nurodyta jo atsitikimo tikimybė bei galimų pasekmių reikšmingumas suteikiant balą (balų suteikimo matrica pateikiama 9.2.1. lentelėje). Kuo aukštesnis balas, tuo reikšmingesnis yra veiksnys, todėl jo kontrolei rekomenduojama numatyti papildomas stebėjimo ir valdymo priemones. Šių priemonių siūlomas rangavimo principas pateiktas 9.2.2. lentelėje.</w:t>
                      </w:r>
                    </w:p>
                    <w:p>
                      <w:pPr>
                        <w:rPr>
                          <w:sz w:val="14"/>
                          <w:szCs w:val="14"/>
                        </w:rPr>
                      </w:pPr>
                    </w:p>
                    <w:sdt>
                      <w:sdtPr>
                        <w:alias w:val="9.2.1 pp."/>
                        <w:tag w:val="part_317eb8331e80484b9152ae6100b14ae1"/>
                        <w:lock w:val="sdtLocked"/>
                        <w:richText/>
                      </w:sdtPr>
                      <w:sdtContent>
                        <w:p>
                          <w:pPr>
                            <w:spacing w:line="259" w:lineRule="auto"/>
                            <w:jc w:val="center"/>
                            <w:rPr>
                              <w:rFonts w:ascii="Arial" w:eastAsia="Calibri" w:hAnsi="Arial" w:cs="Arial"/>
                              <w:b/>
                              <w:color w:val="002060"/>
                              <w:sz w:val="22"/>
                              <w:szCs w:val="32"/>
                            </w:rPr>
                          </w:pPr>
                          <w:sdt>
                            <w:sdtPr>
                              <w:alias w:val="Numeris"/>
                              <w:tag w:val="nr_317eb8331e80484b9152ae6100b14ae1"/>
                              <w:lock w:val="sdtLocked"/>
                              <w:richText/>
                            </w:sdtPr>
                            <w:sdtContent>
                              <w:r>
                                <w:rPr>
                                  <w:rFonts w:ascii="Arial" w:eastAsia="Calibri" w:hAnsi="Arial" w:cs="Arial"/>
                                  <w:b/>
                                  <w:color w:val="002060"/>
                                  <w:sz w:val="22"/>
                                  <w:szCs w:val="32"/>
                                </w:rPr>
                                <w:t>9.2.1</w:t>
                              </w:r>
                            </w:sdtContent>
                          </w:sdt>
                          <w:r>
                            <w:rPr>
                              <w:rFonts w:ascii="Arial" w:eastAsia="Calibri" w:hAnsi="Arial" w:cs="Arial"/>
                              <w:b/>
                              <w:color w:val="002060"/>
                              <w:sz w:val="22"/>
                              <w:szCs w:val="32"/>
                            </w:rPr>
                            <w:t>. lentelė. Rizikos balų suteikimo matrica</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3329"/>
                            <w:gridCol w:w="1661"/>
                            <w:gridCol w:w="2584"/>
                            <w:gridCol w:w="1472"/>
                          </w:tblGrid>
                          <w:tr>
                            <w:trPr>
                              <w:jc w:val="center"/>
                            </w:trPr>
                            <w:tc>
                              <w:tcPr>
                                <w:tcW w:w="0" w:type="auto"/>
                              </w:tcPr>
                              <w:p>
                                <w:pPr>
                                  <w:ind w:firstLine="22"/>
                                  <w:jc w:val="center"/>
                                  <w:rPr>
                                    <w:rFonts w:ascii="Arial" w:hAnsi="Arial" w:cs="Arial"/>
                                    <w:sz w:val="20"/>
                                    <w:szCs w:val="16"/>
                                  </w:rPr>
                                </w:pPr>
                                <w:r>
                                  <w:rPr>
                                    <w:rFonts w:ascii="Arial" w:hAnsi="Arial" w:cs="Arial"/>
                                    <w:sz w:val="20"/>
                                    <w:szCs w:val="16"/>
                                  </w:rPr>
                                  <w:t>Rizikos tikimybė/reikšmingumas</w:t>
                                </w:r>
                              </w:p>
                            </w:tc>
                            <w:tc>
                              <w:tcPr>
                                <w:tcW w:w="0" w:type="auto"/>
                              </w:tcPr>
                              <w:p>
                                <w:pPr>
                                  <w:ind w:firstLine="22"/>
                                  <w:jc w:val="center"/>
                                  <w:rPr>
                                    <w:rFonts w:ascii="Arial" w:hAnsi="Arial" w:cs="Arial"/>
                                    <w:sz w:val="20"/>
                                    <w:szCs w:val="16"/>
                                  </w:rPr>
                                </w:pPr>
                                <w:r>
                                  <w:rPr>
                                    <w:rFonts w:ascii="Arial" w:hAnsi="Arial" w:cs="Arial"/>
                                    <w:sz w:val="20"/>
                                    <w:szCs w:val="16"/>
                                  </w:rPr>
                                  <w:t>Nereikšmingas</w:t>
                                </w:r>
                              </w:p>
                            </w:tc>
                            <w:tc>
                              <w:tcPr>
                                <w:tcW w:w="0" w:type="auto"/>
                              </w:tcPr>
                              <w:p>
                                <w:pPr>
                                  <w:ind w:firstLine="22"/>
                                  <w:jc w:val="center"/>
                                  <w:rPr>
                                    <w:rFonts w:ascii="Arial" w:hAnsi="Arial" w:cs="Arial"/>
                                    <w:sz w:val="20"/>
                                    <w:szCs w:val="16"/>
                                  </w:rPr>
                                </w:pPr>
                                <w:r>
                                  <w:rPr>
                                    <w:rFonts w:ascii="Arial" w:hAnsi="Arial" w:cs="Arial"/>
                                    <w:sz w:val="20"/>
                                    <w:szCs w:val="16"/>
                                  </w:rPr>
                                  <w:t>Vidutiniškai reikšmingas</w:t>
                                </w:r>
                              </w:p>
                            </w:tc>
                            <w:tc>
                              <w:tcPr>
                                <w:tcW w:w="0" w:type="auto"/>
                              </w:tcPr>
                              <w:p>
                                <w:pPr>
                                  <w:ind w:firstLine="22"/>
                                  <w:jc w:val="center"/>
                                  <w:rPr>
                                    <w:rFonts w:ascii="Arial" w:hAnsi="Arial" w:cs="Arial"/>
                                    <w:sz w:val="20"/>
                                    <w:szCs w:val="16"/>
                                  </w:rPr>
                                </w:pPr>
                                <w:r>
                                  <w:rPr>
                                    <w:rFonts w:ascii="Arial" w:hAnsi="Arial" w:cs="Arial"/>
                                    <w:sz w:val="20"/>
                                    <w:szCs w:val="16"/>
                                  </w:rPr>
                                  <w:t>Reikšmingas</w:t>
                                </w:r>
                              </w:p>
                            </w:tc>
                          </w:tr>
                          <w:tr>
                            <w:trPr>
                              <w:trHeight w:val="20"/>
                              <w:jc w:val="center"/>
                            </w:trPr>
                            <w:tc>
                              <w:tcPr>
                                <w:tcW w:w="0" w:type="auto"/>
                              </w:tcPr>
                              <w:p>
                                <w:pPr>
                                  <w:jc w:val="both"/>
                                  <w:rPr>
                                    <w:rFonts w:ascii="Arial" w:hAnsi="Arial" w:cs="Arial"/>
                                    <w:sz w:val="20"/>
                                  </w:rPr>
                                </w:pPr>
                                <w:r>
                                  <w:rPr>
                                    <w:rFonts w:ascii="Arial" w:hAnsi="Arial" w:cs="Arial"/>
                                    <w:sz w:val="20"/>
                                  </w:rPr>
                                  <w:t>Žema</w:t>
                                </w:r>
                              </w:p>
                            </w:tc>
                            <w:tc>
                              <w:tcPr>
                                <w:tcW w:w="0" w:type="auto"/>
                              </w:tcPr>
                              <w:p>
                                <w:pPr>
                                  <w:jc w:val="center"/>
                                  <w:rPr>
                                    <w:rFonts w:ascii="Arial" w:hAnsi="Arial" w:cs="Arial"/>
                                    <w:sz w:val="20"/>
                                  </w:rPr>
                                </w:pPr>
                                <w:r>
                                  <w:rPr>
                                    <w:rFonts w:ascii="Arial" w:hAnsi="Arial" w:cs="Arial"/>
                                    <w:sz w:val="20"/>
                                  </w:rPr>
                                  <w:t>0</w:t>
                                </w:r>
                              </w:p>
                            </w:tc>
                            <w:tc>
                              <w:tcPr>
                                <w:tcW w:w="0" w:type="auto"/>
                              </w:tcPr>
                              <w:p>
                                <w:pPr>
                                  <w:jc w:val="center"/>
                                  <w:rPr>
                                    <w:rFonts w:ascii="Arial" w:hAnsi="Arial" w:cs="Arial"/>
                                    <w:sz w:val="20"/>
                                  </w:rPr>
                                </w:pPr>
                                <w:r>
                                  <w:rPr>
                                    <w:rFonts w:ascii="Arial" w:hAnsi="Arial" w:cs="Arial"/>
                                    <w:sz w:val="20"/>
                                  </w:rPr>
                                  <w:t>1</w:t>
                                </w:r>
                              </w:p>
                            </w:tc>
                            <w:tc>
                              <w:tcPr>
                                <w:tcW w:w="0" w:type="auto"/>
                              </w:tcPr>
                              <w:p>
                                <w:pPr>
                                  <w:jc w:val="center"/>
                                  <w:rPr>
                                    <w:rFonts w:ascii="Arial" w:hAnsi="Arial" w:cs="Arial"/>
                                    <w:sz w:val="20"/>
                                  </w:rPr>
                                </w:pPr>
                                <w:r>
                                  <w:rPr>
                                    <w:rFonts w:ascii="Arial" w:hAnsi="Arial" w:cs="Arial"/>
                                    <w:sz w:val="20"/>
                                  </w:rPr>
                                  <w:t>2</w:t>
                                </w:r>
                              </w:p>
                            </w:tc>
                          </w:tr>
                          <w:tr>
                            <w:trPr>
                              <w:trHeight w:val="20"/>
                              <w:jc w:val="center"/>
                            </w:trPr>
                            <w:tc>
                              <w:tcPr>
                                <w:tcW w:w="0" w:type="auto"/>
                              </w:tcPr>
                              <w:p>
                                <w:pPr>
                                  <w:jc w:val="both"/>
                                  <w:rPr>
                                    <w:rFonts w:ascii="Arial" w:hAnsi="Arial" w:cs="Arial"/>
                                    <w:sz w:val="20"/>
                                  </w:rPr>
                                </w:pPr>
                                <w:r>
                                  <w:rPr>
                                    <w:rFonts w:ascii="Arial" w:hAnsi="Arial" w:cs="Arial"/>
                                    <w:sz w:val="20"/>
                                  </w:rPr>
                                  <w:t>Vidutinė</w:t>
                                </w:r>
                              </w:p>
                            </w:tc>
                            <w:tc>
                              <w:tcPr>
                                <w:tcW w:w="0" w:type="auto"/>
                              </w:tcPr>
                              <w:p>
                                <w:pPr>
                                  <w:jc w:val="center"/>
                                  <w:rPr>
                                    <w:rFonts w:ascii="Arial" w:hAnsi="Arial" w:cs="Arial"/>
                                    <w:sz w:val="20"/>
                                  </w:rPr>
                                </w:pPr>
                                <w:r>
                                  <w:rPr>
                                    <w:rFonts w:ascii="Arial" w:hAnsi="Arial" w:cs="Arial"/>
                                    <w:sz w:val="20"/>
                                  </w:rPr>
                                  <w:t>1</w:t>
                                </w:r>
                              </w:p>
                            </w:tc>
                            <w:tc>
                              <w:tcPr>
                                <w:tcW w:w="0" w:type="auto"/>
                              </w:tcPr>
                              <w:p>
                                <w:pPr>
                                  <w:jc w:val="center"/>
                                  <w:rPr>
                                    <w:rFonts w:ascii="Arial" w:hAnsi="Arial" w:cs="Arial"/>
                                    <w:sz w:val="20"/>
                                  </w:rPr>
                                </w:pPr>
                                <w:r>
                                  <w:rPr>
                                    <w:rFonts w:ascii="Arial" w:hAnsi="Arial" w:cs="Arial"/>
                                    <w:sz w:val="20"/>
                                  </w:rPr>
                                  <w:t>2</w:t>
                                </w:r>
                              </w:p>
                            </w:tc>
                            <w:tc>
                              <w:tcPr>
                                <w:tcW w:w="0" w:type="auto"/>
                              </w:tcPr>
                              <w:p>
                                <w:pPr>
                                  <w:jc w:val="center"/>
                                  <w:rPr>
                                    <w:rFonts w:ascii="Arial" w:hAnsi="Arial" w:cs="Arial"/>
                                    <w:sz w:val="20"/>
                                  </w:rPr>
                                </w:pPr>
                                <w:r>
                                  <w:rPr>
                                    <w:rFonts w:ascii="Arial" w:hAnsi="Arial" w:cs="Arial"/>
                                    <w:sz w:val="20"/>
                                  </w:rPr>
                                  <w:t>3</w:t>
                                </w:r>
                              </w:p>
                            </w:tc>
                          </w:tr>
                          <w:tr>
                            <w:trPr>
                              <w:trHeight w:val="20"/>
                              <w:jc w:val="center"/>
                            </w:trPr>
                            <w:tc>
                              <w:tcPr>
                                <w:tcW w:w="0" w:type="auto"/>
                              </w:tcPr>
                              <w:p>
                                <w:pPr>
                                  <w:jc w:val="both"/>
                                  <w:rPr>
                                    <w:rFonts w:ascii="Arial" w:hAnsi="Arial" w:cs="Arial"/>
                                    <w:sz w:val="20"/>
                                  </w:rPr>
                                </w:pPr>
                                <w:r>
                                  <w:rPr>
                                    <w:rFonts w:ascii="Arial" w:hAnsi="Arial" w:cs="Arial"/>
                                    <w:sz w:val="20"/>
                                  </w:rPr>
                                  <w:t>Aukšta</w:t>
                                </w:r>
                              </w:p>
                            </w:tc>
                            <w:tc>
                              <w:tcPr>
                                <w:tcW w:w="0" w:type="auto"/>
                              </w:tcPr>
                              <w:p>
                                <w:pPr>
                                  <w:jc w:val="center"/>
                                  <w:rPr>
                                    <w:rFonts w:ascii="Arial" w:hAnsi="Arial" w:cs="Arial"/>
                                    <w:sz w:val="20"/>
                                  </w:rPr>
                                </w:pPr>
                                <w:r>
                                  <w:rPr>
                                    <w:rFonts w:ascii="Arial" w:hAnsi="Arial" w:cs="Arial"/>
                                    <w:sz w:val="20"/>
                                  </w:rPr>
                                  <w:t>2</w:t>
                                </w:r>
                              </w:p>
                            </w:tc>
                            <w:tc>
                              <w:tcPr>
                                <w:tcW w:w="0" w:type="auto"/>
                              </w:tcPr>
                              <w:p>
                                <w:pPr>
                                  <w:jc w:val="center"/>
                                  <w:rPr>
                                    <w:rFonts w:ascii="Arial" w:hAnsi="Arial" w:cs="Arial"/>
                                    <w:sz w:val="20"/>
                                  </w:rPr>
                                </w:pPr>
                                <w:r>
                                  <w:rPr>
                                    <w:rFonts w:ascii="Arial" w:hAnsi="Arial" w:cs="Arial"/>
                                    <w:sz w:val="20"/>
                                  </w:rPr>
                                  <w:t>3</w:t>
                                </w:r>
                              </w:p>
                            </w:tc>
                            <w:tc>
                              <w:tcPr>
                                <w:tcW w:w="0" w:type="auto"/>
                              </w:tcPr>
                              <w:p>
                                <w:pPr>
                                  <w:jc w:val="center"/>
                                  <w:rPr>
                                    <w:rFonts w:ascii="Arial" w:hAnsi="Arial" w:cs="Arial"/>
                                    <w:sz w:val="20"/>
                                  </w:rPr>
                                </w:pPr>
                                <w:r>
                                  <w:rPr>
                                    <w:rFonts w:ascii="Arial" w:hAnsi="Arial" w:cs="Arial"/>
                                    <w:sz w:val="20"/>
                                  </w:rPr>
                                  <w:t>4</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Atsinaujinančių išteklių energijos naudojimo plėtros veiksmų planų rengimo metodika</w:t>
                          </w:r>
                        </w:p>
                        <w:p>
                          <w:pPr>
                            <w:rPr>
                              <w:sz w:val="14"/>
                              <w:szCs w:val="14"/>
                            </w:rPr>
                          </w:pPr>
                        </w:p>
                      </w:sdtContent>
                    </w:sdt>
                    <w:sdt>
                      <w:sdtPr>
                        <w:alias w:val="9.2.2 pp."/>
                        <w:tag w:val="part_cd6d33407d434b11bd1dcb2916cc8a7e"/>
                        <w:lock w:val="sdtLocked"/>
                        <w:richText/>
                      </w:sdtPr>
                      <w:sdtContent>
                        <w:p>
                          <w:pPr>
                            <w:spacing w:line="259" w:lineRule="auto"/>
                            <w:jc w:val="center"/>
                            <w:rPr>
                              <w:rFonts w:ascii="Arial" w:eastAsia="Calibri" w:hAnsi="Arial" w:cs="Arial"/>
                              <w:b/>
                              <w:color w:val="002060"/>
                              <w:sz w:val="22"/>
                              <w:szCs w:val="32"/>
                            </w:rPr>
                          </w:pPr>
                          <w:sdt>
                            <w:sdtPr>
                              <w:alias w:val="Numeris"/>
                              <w:tag w:val="nr_cd6d33407d434b11bd1dcb2916cc8a7e"/>
                              <w:lock w:val="sdtLocked"/>
                              <w:richText/>
                            </w:sdtPr>
                            <w:sdtContent>
                              <w:r>
                                <w:rPr>
                                  <w:rFonts w:ascii="Arial" w:eastAsia="Calibri" w:hAnsi="Arial" w:cs="Arial"/>
                                  <w:b/>
                                  <w:color w:val="002060"/>
                                  <w:sz w:val="22"/>
                                  <w:szCs w:val="32"/>
                                </w:rPr>
                                <w:t>9.2.2</w:t>
                              </w:r>
                            </w:sdtContent>
                          </w:sdt>
                          <w:r>
                            <w:rPr>
                              <w:rFonts w:ascii="Arial" w:eastAsia="Calibri" w:hAnsi="Arial" w:cs="Arial"/>
                              <w:b/>
                              <w:color w:val="002060"/>
                              <w:sz w:val="22"/>
                              <w:szCs w:val="32"/>
                            </w:rPr>
                            <w:t>. lentelė. Rizikos veiksnio kontrolės priemonių poreikio nustatymas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2263"/>
                            <w:gridCol w:w="7932"/>
                          </w:tblGrid>
                          <w:tr>
                            <w:trPr>
                              <w:jc w:val="center"/>
                            </w:trPr>
                            <w:tc>
                              <w:tcPr>
                                <w:tcW w:w="2263" w:type="dxa"/>
                              </w:tcPr>
                              <w:p>
                                <w:pPr>
                                  <w:jc w:val="center"/>
                                  <w:rPr>
                                    <w:rFonts w:ascii="Arial" w:hAnsi="Arial" w:cs="Arial"/>
                                    <w:sz w:val="20"/>
                                    <w:szCs w:val="16"/>
                                  </w:rPr>
                                </w:pPr>
                                <w:r>
                                  <w:rPr>
                                    <w:rFonts w:ascii="Arial" w:hAnsi="Arial" w:cs="Arial"/>
                                    <w:sz w:val="20"/>
                                    <w:szCs w:val="16"/>
                                  </w:rPr>
                                  <w:t>Kontrolės priemonių poreikio balas</w:t>
                                </w:r>
                              </w:p>
                            </w:tc>
                            <w:tc>
                              <w:tcPr>
                                <w:tcW w:w="7932" w:type="dxa"/>
                              </w:tcPr>
                              <w:p>
                                <w:pPr>
                                  <w:jc w:val="center"/>
                                  <w:rPr>
                                    <w:rFonts w:ascii="Arial" w:hAnsi="Arial" w:cs="Arial"/>
                                    <w:sz w:val="20"/>
                                    <w:szCs w:val="16"/>
                                  </w:rPr>
                                </w:pPr>
                                <w:r>
                                  <w:rPr>
                                    <w:rFonts w:ascii="Arial" w:hAnsi="Arial" w:cs="Arial"/>
                                    <w:sz w:val="20"/>
                                    <w:szCs w:val="16"/>
                                  </w:rPr>
                                  <w:t>Kontrolės priemonių poreikio aprašymas</w:t>
                                </w:r>
                              </w:p>
                            </w:tc>
                          </w:tr>
                          <w:tr>
                            <w:trPr>
                              <w:trHeight w:val="20"/>
                              <w:jc w:val="center"/>
                            </w:trPr>
                            <w:tc>
                              <w:tcPr>
                                <w:tcW w:w="2263" w:type="dxa"/>
                              </w:tcPr>
                              <w:p>
                                <w:pPr>
                                  <w:jc w:val="center"/>
                                  <w:rPr>
                                    <w:rFonts w:ascii="Arial" w:hAnsi="Arial" w:cs="Arial"/>
                                    <w:sz w:val="20"/>
                                  </w:rPr>
                                </w:pPr>
                                <w:r>
                                  <w:rPr>
                                    <w:rFonts w:ascii="Arial" w:hAnsi="Arial" w:cs="Arial"/>
                                    <w:sz w:val="20"/>
                                  </w:rPr>
                                  <w:t>0-1</w:t>
                                </w:r>
                              </w:p>
                            </w:tc>
                            <w:tc>
                              <w:tcPr>
                                <w:tcW w:w="7932" w:type="dxa"/>
                              </w:tcPr>
                              <w:p>
                                <w:pPr>
                                  <w:ind w:firstLine="567"/>
                                  <w:jc w:val="center"/>
                                  <w:rPr>
                                    <w:rFonts w:ascii="Arial" w:hAnsi="Arial" w:cs="Arial"/>
                                    <w:sz w:val="20"/>
                                  </w:rPr>
                                </w:pPr>
                                <w:r>
                                  <w:rPr>
                                    <w:rFonts w:ascii="Arial" w:hAnsi="Arial" w:cs="Arial"/>
                                    <w:sz w:val="20"/>
                                  </w:rPr>
                                  <w:t>Papildomos rizikos stebėjimo ir valdymo priemonės rizikai suvaldyti nėra būtinos</w:t>
                                </w:r>
                              </w:p>
                            </w:tc>
                          </w:tr>
                          <w:tr>
                            <w:trPr>
                              <w:trHeight w:val="20"/>
                              <w:jc w:val="center"/>
                            </w:trPr>
                            <w:tc>
                              <w:tcPr>
                                <w:tcW w:w="2263" w:type="dxa"/>
                              </w:tcPr>
                              <w:p>
                                <w:pPr>
                                  <w:jc w:val="center"/>
                                  <w:rPr>
                                    <w:rFonts w:ascii="Arial" w:hAnsi="Arial" w:cs="Arial"/>
                                    <w:sz w:val="20"/>
                                  </w:rPr>
                                </w:pPr>
                                <w:r>
                                  <w:rPr>
                                    <w:rFonts w:ascii="Arial" w:hAnsi="Arial" w:cs="Arial"/>
                                    <w:sz w:val="20"/>
                                  </w:rPr>
                                  <w:t>2-3</w:t>
                                </w:r>
                              </w:p>
                            </w:tc>
                            <w:tc>
                              <w:tcPr>
                                <w:tcW w:w="7932" w:type="dxa"/>
                              </w:tcPr>
                              <w:p>
                                <w:pPr>
                                  <w:ind w:firstLine="567"/>
                                  <w:jc w:val="center"/>
                                  <w:rPr>
                                    <w:rFonts w:ascii="Arial" w:hAnsi="Arial" w:cs="Arial"/>
                                    <w:sz w:val="20"/>
                                  </w:rPr>
                                </w:pPr>
                                <w:r>
                                  <w:rPr>
                                    <w:rFonts w:ascii="Arial" w:hAnsi="Arial" w:cs="Arial"/>
                                    <w:sz w:val="20"/>
                                  </w:rPr>
                                  <w:t>Rekomenduojamos papildomos rizikos stebėjimo ir valdymo priemonės</w:t>
                                </w:r>
                              </w:p>
                            </w:tc>
                          </w:tr>
                          <w:tr>
                            <w:trPr>
                              <w:trHeight w:val="20"/>
                              <w:jc w:val="center"/>
                            </w:trPr>
                            <w:tc>
                              <w:tcPr>
                                <w:tcW w:w="2263" w:type="dxa"/>
                              </w:tcPr>
                              <w:p>
                                <w:pPr>
                                  <w:jc w:val="center"/>
                                  <w:rPr>
                                    <w:rFonts w:ascii="Arial" w:hAnsi="Arial" w:cs="Arial"/>
                                    <w:sz w:val="20"/>
                                  </w:rPr>
                                </w:pPr>
                                <w:r>
                                  <w:rPr>
                                    <w:rFonts w:ascii="Arial" w:hAnsi="Arial" w:cs="Arial"/>
                                    <w:sz w:val="20"/>
                                  </w:rPr>
                                  <w:t>4</w:t>
                                </w:r>
                              </w:p>
                            </w:tc>
                            <w:tc>
                              <w:tcPr>
                                <w:tcW w:w="7932" w:type="dxa"/>
                              </w:tcPr>
                              <w:p>
                                <w:pPr>
                                  <w:ind w:firstLine="567"/>
                                  <w:jc w:val="center"/>
                                  <w:rPr>
                                    <w:rFonts w:ascii="Arial" w:hAnsi="Arial" w:cs="Arial"/>
                                    <w:sz w:val="20"/>
                                  </w:rPr>
                                </w:pPr>
                                <w:r>
                                  <w:rPr>
                                    <w:rFonts w:ascii="Arial" w:hAnsi="Arial" w:cs="Arial"/>
                                    <w:sz w:val="20"/>
                                  </w:rPr>
                                  <w:t>Kritinis veiksnys, kurio valdymui turi būti numatytos nuolatinės stebėjimo ir kontrolės priemonės</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Atsinaujinančių išteklių energijos naudojimo plėtros veiksmų planų rengimo metodika</w:t>
                          </w:r>
                        </w:p>
                        <w:p>
                          <w:pPr>
                            <w:rPr>
                              <w:sz w:val="14"/>
                              <w:szCs w:val="14"/>
                            </w:rPr>
                          </w:pPr>
                        </w:p>
                        <w:p>
                          <w:pPr>
                            <w:spacing w:line="259" w:lineRule="auto"/>
                            <w:ind w:firstLine="567"/>
                            <w:jc w:val="both"/>
                            <w:rPr>
                              <w:rFonts w:ascii="Arial" w:hAnsi="Arial" w:cs="Arial"/>
                              <w:sz w:val="22"/>
                            </w:rPr>
                          </w:pPr>
                          <w:r>
                            <w:rPr>
                              <w:rFonts w:ascii="Arial" w:hAnsi="Arial" w:cs="Arial"/>
                              <w:sz w:val="22"/>
                            </w:rPr>
                            <w:t>Prie kiekvieno rizikos veiksnio pateikta trumpa informacija apie galimas atsiradimo priežastis bei potencialaus poveikio pasekmes (9.2.3. lentelė). Suteikus rizikos veiksniams reikšmingumo balus, įvertinamas jų galimo poveikio reikšmingumas apskaičiuojant balų vidurkį. Toliau pateikiamas, įvertinamas rizikos stebėjimo ir valdymo priemonių poreikis.</w:t>
                          </w:r>
                        </w:p>
                        <w:p>
                          <w:pPr>
                            <w:rPr>
                              <w:sz w:val="14"/>
                              <w:szCs w:val="14"/>
                            </w:rPr>
                          </w:pPr>
                        </w:p>
                      </w:sdtContent>
                    </w:sdt>
                    <w:sdt>
                      <w:sdtPr>
                        <w:alias w:val="9.2.3 pp."/>
                        <w:tag w:val="part_02ff7e5f27634af18ddde61d73753b01"/>
                        <w:lock w:val="sdtLocked"/>
                        <w:richText/>
                      </w:sdtPr>
                      <w:sdtContent>
                        <w:p>
                          <w:pPr>
                            <w:spacing w:line="259" w:lineRule="auto"/>
                            <w:jc w:val="center"/>
                            <w:rPr>
                              <w:rFonts w:ascii="Arial" w:eastAsia="Calibri" w:hAnsi="Arial" w:cs="Arial"/>
                              <w:b/>
                              <w:color w:val="002060"/>
                              <w:sz w:val="22"/>
                              <w:szCs w:val="32"/>
                            </w:rPr>
                          </w:pPr>
                          <w:sdt>
                            <w:sdtPr>
                              <w:alias w:val="Numeris"/>
                              <w:tag w:val="nr_02ff7e5f27634af18ddde61d73753b01"/>
                              <w:lock w:val="sdtLocked"/>
                              <w:richText/>
                            </w:sdtPr>
                            <w:sdtContent>
                              <w:r>
                                <w:rPr>
                                  <w:rFonts w:ascii="Arial" w:eastAsia="Calibri" w:hAnsi="Arial" w:cs="Arial"/>
                                  <w:b/>
                                  <w:color w:val="002060"/>
                                  <w:sz w:val="22"/>
                                  <w:szCs w:val="32"/>
                                </w:rPr>
                                <w:t>9.2.3</w:t>
                              </w:r>
                            </w:sdtContent>
                          </w:sdt>
                          <w:r>
                            <w:rPr>
                              <w:rFonts w:ascii="Arial" w:eastAsia="Calibri" w:hAnsi="Arial" w:cs="Arial"/>
                              <w:b/>
                              <w:color w:val="002060"/>
                              <w:sz w:val="22"/>
                              <w:szCs w:val="32"/>
                            </w:rPr>
                            <w:t>. lentelė. Rizikos tipai ir veiksniai</w:t>
                          </w:r>
                        </w:p>
                        <w:p>
                          <w:pPr>
                            <w:rPr>
                              <w:sz w:val="10"/>
                              <w:szCs w:val="10"/>
                            </w:rPr>
                          </w:pPr>
                        </w:p>
                        <w:tbl>
                          <w:tblPr>
                            <w:tblW w:w="0" w:type="auto"/>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1476"/>
                            <w:gridCol w:w="2159"/>
                            <w:gridCol w:w="2762"/>
                            <w:gridCol w:w="3048"/>
                            <w:gridCol w:w="750"/>
                          </w:tblGrid>
                          <w:tr>
                            <w:tc>
                              <w:tcPr>
                                <w:tcW w:w="0" w:type="auto"/>
                              </w:tcPr>
                              <w:p>
                                <w:pPr>
                                  <w:jc w:val="center"/>
                                  <w:rPr>
                                    <w:rFonts w:ascii="Arial" w:hAnsi="Arial" w:cs="Arial"/>
                                    <w:sz w:val="20"/>
                                  </w:rPr>
                                </w:pPr>
                                <w:r>
                                  <w:rPr>
                                    <w:rFonts w:ascii="Arial" w:hAnsi="Arial" w:cs="Arial"/>
                                    <w:sz w:val="20"/>
                                  </w:rPr>
                                  <w:t>Rizikos tipas</w:t>
                                </w:r>
                              </w:p>
                            </w:tc>
                            <w:tc>
                              <w:tcPr>
                                <w:tcW w:w="0" w:type="auto"/>
                              </w:tcPr>
                              <w:p>
                                <w:pPr>
                                  <w:jc w:val="center"/>
                                  <w:rPr>
                                    <w:rFonts w:ascii="Arial" w:hAnsi="Arial" w:cs="Arial"/>
                                    <w:sz w:val="20"/>
                                  </w:rPr>
                                </w:pPr>
                                <w:r>
                                  <w:rPr>
                                    <w:rFonts w:ascii="Arial" w:hAnsi="Arial" w:cs="Arial"/>
                                    <w:sz w:val="20"/>
                                  </w:rPr>
                                  <w:t>Rizikos veiksniai</w:t>
                                </w:r>
                              </w:p>
                            </w:tc>
                            <w:tc>
                              <w:tcPr>
                                <w:tcW w:w="0" w:type="auto"/>
                              </w:tcPr>
                              <w:p>
                                <w:pPr>
                                  <w:jc w:val="center"/>
                                  <w:rPr>
                                    <w:rFonts w:ascii="Arial" w:hAnsi="Arial" w:cs="Arial"/>
                                    <w:sz w:val="20"/>
                                  </w:rPr>
                                </w:pPr>
                                <w:r>
                                  <w:rPr>
                                    <w:rFonts w:ascii="Arial" w:hAnsi="Arial" w:cs="Arial"/>
                                    <w:sz w:val="20"/>
                                  </w:rPr>
                                  <w:t>Rizikos veiksnio tikimybė</w:t>
                                </w:r>
                              </w:p>
                            </w:tc>
                            <w:tc>
                              <w:tcPr>
                                <w:tcW w:w="0" w:type="auto"/>
                              </w:tcPr>
                              <w:p>
                                <w:pPr>
                                  <w:jc w:val="center"/>
                                  <w:rPr>
                                    <w:rFonts w:ascii="Arial" w:hAnsi="Arial" w:cs="Arial"/>
                                    <w:sz w:val="20"/>
                                  </w:rPr>
                                </w:pPr>
                                <w:r>
                                  <w:rPr>
                                    <w:rFonts w:ascii="Arial" w:hAnsi="Arial" w:cs="Arial"/>
                                    <w:sz w:val="20"/>
                                  </w:rPr>
                                  <w:t>Rizikos veiksnio pasekmių poveikis</w:t>
                                </w:r>
                              </w:p>
                            </w:tc>
                            <w:tc>
                              <w:tcPr>
                                <w:tcW w:w="0" w:type="auto"/>
                              </w:tcPr>
                              <w:p>
                                <w:pPr>
                                  <w:jc w:val="center"/>
                                  <w:rPr>
                                    <w:rFonts w:ascii="Arial" w:hAnsi="Arial" w:cs="Arial"/>
                                    <w:sz w:val="20"/>
                                  </w:rPr>
                                </w:pPr>
                                <w:r>
                                  <w:rPr>
                                    <w:rFonts w:ascii="Arial" w:hAnsi="Arial" w:cs="Arial"/>
                                    <w:sz w:val="20"/>
                                  </w:rPr>
                                  <w:t>Balas</w:t>
                                </w:r>
                              </w:p>
                            </w:tc>
                          </w:tr>
                          <w:tr>
                            <w:trPr>
                              <w:trHeight w:val="20"/>
                            </w:trPr>
                            <w:tc>
                              <w:tcPr>
                                <w:tcW w:w="0" w:type="auto"/>
                                <w:vMerge w:val="restart"/>
                              </w:tcPr>
                              <w:p>
                                <w:pPr>
                                  <w:rPr>
                                    <w:rFonts w:ascii="Arial" w:hAnsi="Arial" w:cs="Arial"/>
                                    <w:sz w:val="20"/>
                                  </w:rPr>
                                </w:pPr>
                                <w:r>
                                  <w:rPr>
                                    <w:rFonts w:ascii="Arial" w:hAnsi="Arial" w:cs="Arial"/>
                                    <w:sz w:val="20"/>
                                  </w:rPr>
                                  <w:t>Politinės aplinkos rizika</w:t>
                                </w:r>
                              </w:p>
                            </w:tc>
                            <w:tc>
                              <w:tcPr>
                                <w:tcW w:w="0" w:type="auto"/>
                              </w:tcPr>
                              <w:p>
                                <w:pPr>
                                  <w:jc w:val="both"/>
                                  <w:rPr>
                                    <w:rFonts w:ascii="Arial" w:hAnsi="Arial" w:cs="Arial"/>
                                    <w:sz w:val="20"/>
                                  </w:rPr>
                                </w:pPr>
                                <w:r>
                                  <w:rPr>
                                    <w:rFonts w:ascii="Arial" w:hAnsi="Arial" w:cs="Arial"/>
                                    <w:sz w:val="20"/>
                                  </w:rPr>
                                  <w:t>Joniškio r. sav. AIE planas nėra patvirtinamas tarybos posėdyje</w:t>
                                </w:r>
                              </w:p>
                            </w:tc>
                            <w:tc>
                              <w:tcPr>
                                <w:tcW w:w="0" w:type="auto"/>
                              </w:tcPr>
                              <w:p>
                                <w:pPr>
                                  <w:jc w:val="both"/>
                                  <w:rPr>
                                    <w:rFonts w:ascii="Arial" w:hAnsi="Arial" w:cs="Arial"/>
                                    <w:sz w:val="20"/>
                                  </w:rPr>
                                </w:pPr>
                                <w:r>
                                  <w:rPr>
                                    <w:rFonts w:ascii="Arial" w:hAnsi="Arial" w:cs="Arial"/>
                                    <w:b/>
                                    <w:bCs/>
                                    <w:sz w:val="20"/>
                                  </w:rPr>
                                  <w:t>Žema</w:t>
                                </w:r>
                                <w:r>
                                  <w:rPr>
                                    <w:rFonts w:ascii="Arial" w:hAnsi="Arial" w:cs="Arial"/>
                                    <w:sz w:val="20"/>
                                  </w:rPr>
                                  <w:t>.</w:t>
                                </w:r>
                              </w:p>
                              <w:p>
                                <w:pPr>
                                  <w:jc w:val="both"/>
                                  <w:rPr>
                                    <w:rFonts w:ascii="Arial" w:hAnsi="Arial" w:cs="Arial"/>
                                    <w:sz w:val="20"/>
                                  </w:rPr>
                                </w:pPr>
                                <w:r>
                                  <w:rPr>
                                    <w:rFonts w:ascii="Arial" w:hAnsi="Arial" w:cs="Arial"/>
                                    <w:sz w:val="20"/>
                                  </w:rPr>
                                  <w:t>Planas suderintas su administracijos darbuotojais</w:t>
                                </w:r>
                              </w:p>
                            </w:tc>
                            <w:tc>
                              <w:tcPr>
                                <w:tcW w:w="0" w:type="auto"/>
                              </w:tcPr>
                              <w:p>
                                <w:pPr>
                                  <w:jc w:val="both"/>
                                  <w:rPr>
                                    <w:rFonts w:ascii="Arial" w:hAnsi="Arial" w:cs="Arial"/>
                                    <w:b/>
                                    <w:bCs/>
                                    <w:sz w:val="20"/>
                                  </w:rPr>
                                </w:pPr>
                                <w:r>
                                  <w:rPr>
                                    <w:rFonts w:ascii="Arial" w:hAnsi="Arial" w:cs="Arial"/>
                                    <w:b/>
                                    <w:bCs/>
                                    <w:sz w:val="20"/>
                                  </w:rPr>
                                  <w:t xml:space="preserve">Reikšmingas. </w:t>
                                </w:r>
                              </w:p>
                              <w:p>
                                <w:pPr>
                                  <w:jc w:val="both"/>
                                  <w:rPr>
                                    <w:rFonts w:ascii="Arial" w:hAnsi="Arial" w:cs="Arial"/>
                                    <w:sz w:val="20"/>
                                  </w:rPr>
                                </w:pPr>
                                <w:r>
                                  <w:rPr>
                                    <w:rFonts w:ascii="Arial" w:hAnsi="Arial" w:cs="Arial"/>
                                    <w:sz w:val="20"/>
                                  </w:rPr>
                                  <w:t>Nepatvirtinus Joniškio r. sav. AIE plano, Joniškio r. savivaldybės AIE dalis galutiniame energijos vartojime 2030 m. sieks apie 60 %.</w:t>
                                </w:r>
                              </w:p>
                            </w:tc>
                            <w:tc>
                              <w:tcPr>
                                <w:tcW w:w="0" w:type="auto"/>
                              </w:tcPr>
                              <w:p>
                                <w:pPr>
                                  <w:jc w:val="center"/>
                                  <w:rPr>
                                    <w:rFonts w:ascii="Arial" w:hAnsi="Arial" w:cs="Arial"/>
                                    <w:sz w:val="20"/>
                                  </w:rPr>
                                </w:pPr>
                                <w:r>
                                  <w:rPr>
                                    <w:rFonts w:ascii="Arial" w:hAnsi="Arial" w:cs="Arial"/>
                                    <w:sz w:val="20"/>
                                  </w:rPr>
                                  <w:t>2</w:t>
                                </w:r>
                              </w:p>
                            </w:tc>
                          </w:tr>
                          <w:tr>
                            <w:trPr>
                              <w:trHeight w:val="20"/>
                            </w:trPr>
                            <w:tc>
                              <w:tcPr>
                                <w:tcW w:w="0" w:type="auto"/>
                                <w:vMerge/>
                              </w:tcPr>
                              <w:p>
                                <w:pPr>
                                  <w:rPr>
                                    <w:rFonts w:ascii="Arial" w:hAnsi="Arial" w:cs="Arial"/>
                                    <w:sz w:val="20"/>
                                  </w:rPr>
                                </w:pPr>
                              </w:p>
                            </w:tc>
                            <w:tc>
                              <w:tcPr>
                                <w:tcW w:w="0" w:type="auto"/>
                              </w:tcPr>
                              <w:p>
                                <w:pPr>
                                  <w:jc w:val="both"/>
                                  <w:rPr>
                                    <w:rFonts w:ascii="Arial" w:hAnsi="Arial" w:cs="Arial"/>
                                    <w:sz w:val="20"/>
                                  </w:rPr>
                                </w:pPr>
                                <w:r>
                                  <w:rPr>
                                    <w:rFonts w:ascii="Arial" w:hAnsi="Arial" w:cs="Arial"/>
                                    <w:sz w:val="20"/>
                                  </w:rPr>
                                  <w:t>Pasikeis politinė kryptis ir bus nustatyti nauji AIE politikos tikslai</w:t>
                                </w:r>
                              </w:p>
                            </w:tc>
                            <w:tc>
                              <w:tcPr>
                                <w:tcW w:w="0" w:type="auto"/>
                              </w:tcPr>
                              <w:p>
                                <w:pPr>
                                  <w:jc w:val="both"/>
                                  <w:rPr>
                                    <w:rFonts w:ascii="Arial" w:hAnsi="Arial" w:cs="Arial"/>
                                    <w:sz w:val="20"/>
                                  </w:rPr>
                                </w:pPr>
                                <w:r>
                                  <w:rPr>
                                    <w:rFonts w:ascii="Arial" w:hAnsi="Arial" w:cs="Arial"/>
                                    <w:b/>
                                    <w:bCs/>
                                    <w:sz w:val="20"/>
                                  </w:rPr>
                                  <w:t>Žema</w:t>
                                </w:r>
                                <w:r>
                                  <w:rPr>
                                    <w:rFonts w:ascii="Arial" w:hAnsi="Arial" w:cs="Arial"/>
                                    <w:sz w:val="20"/>
                                  </w:rPr>
                                  <w:t xml:space="preserve">. </w:t>
                                </w:r>
                              </w:p>
                              <w:p>
                                <w:pPr>
                                  <w:jc w:val="both"/>
                                  <w:rPr>
                                    <w:rFonts w:ascii="Arial" w:hAnsi="Arial" w:cs="Arial"/>
                                    <w:sz w:val="20"/>
                                  </w:rPr>
                                </w:pPr>
                                <w:r>
                                  <w:rPr>
                                    <w:rFonts w:ascii="Arial" w:hAnsi="Arial" w:cs="Arial"/>
                                    <w:sz w:val="20"/>
                                  </w:rPr>
                                  <w:t>Rengiant Joniškio r. AIE planą, buvo atsižvelgiama tiek į Lietuvos, tiek į Europos Sąjungos politikos iki 2030 m. formavimo dokumentus (įstatymus, direktyvas).</w:t>
                                </w:r>
                              </w:p>
                            </w:tc>
                            <w:tc>
                              <w:tcPr>
                                <w:tcW w:w="0" w:type="auto"/>
                              </w:tcPr>
                              <w:p>
                                <w:pPr>
                                  <w:jc w:val="both"/>
                                  <w:rPr>
                                    <w:rFonts w:ascii="Arial" w:hAnsi="Arial" w:cs="Arial"/>
                                    <w:b/>
                                    <w:bCs/>
                                    <w:sz w:val="20"/>
                                  </w:rPr>
                                </w:pPr>
                                <w:r>
                                  <w:rPr>
                                    <w:rFonts w:ascii="Arial" w:hAnsi="Arial" w:cs="Arial"/>
                                    <w:b/>
                                    <w:bCs/>
                                    <w:sz w:val="20"/>
                                  </w:rPr>
                                  <w:t>Vidutiniškai reikšmingas.</w:t>
                                </w:r>
                              </w:p>
                              <w:p>
                                <w:pPr>
                                  <w:jc w:val="both"/>
                                  <w:rPr>
                                    <w:rFonts w:ascii="Arial" w:hAnsi="Arial" w:cs="Arial"/>
                                    <w:sz w:val="20"/>
                                  </w:rPr>
                                </w:pPr>
                                <w:r>
                                  <w:rPr>
                                    <w:rFonts w:ascii="Arial" w:hAnsi="Arial" w:cs="Arial"/>
                                    <w:sz w:val="20"/>
                                  </w:rPr>
                                  <w:t>Numatoma, kad bus vykdoma nuolatinė Joniškio r. AIE plano stebėsena. Jei savivaldybės AIE dalis per paskutinius dvejus metus tapo mažesnė negu savivaldybės AIE naudojimo plėtros veiksmų plane nustatyti tarpiniai AIE naudojimo planiniai rodikliai, ne vėliau kaip per 18 mėnesių nuo skaičiuojamojo laikotarpio pabaigos privaloma patvirtinti atnaujintą savivaldybės AIE naudojimo plėtros veiksmų planą ir jame nustatyti adekvačias ir proporcingas priemones, skirtas užtikrinti, kad per pagrįstą laikotarpį AIE dalis atitiktų nustatytus planinius rodiklius.</w:t>
                                </w:r>
                              </w:p>
                            </w:tc>
                            <w:tc>
                              <w:tcPr>
                                <w:tcW w:w="0" w:type="auto"/>
                              </w:tcPr>
                              <w:p>
                                <w:pPr>
                                  <w:jc w:val="center"/>
                                  <w:rPr>
                                    <w:rFonts w:ascii="Arial" w:hAnsi="Arial" w:cs="Arial"/>
                                    <w:sz w:val="20"/>
                                  </w:rPr>
                                </w:pPr>
                                <w:r>
                                  <w:rPr>
                                    <w:rFonts w:ascii="Arial" w:hAnsi="Arial" w:cs="Arial"/>
                                    <w:sz w:val="20"/>
                                  </w:rPr>
                                  <w:t>1</w:t>
                                </w:r>
                              </w:p>
                            </w:tc>
                          </w:tr>
                          <w:tr>
                            <w:trPr>
                              <w:trHeight w:val="20"/>
                            </w:trPr>
                            <w:tc>
                              <w:tcPr>
                                <w:tcW w:w="0" w:type="auto"/>
                              </w:tcPr>
                              <w:p>
                                <w:pPr>
                                  <w:rPr>
                                    <w:rFonts w:ascii="Arial" w:hAnsi="Arial" w:cs="Arial"/>
                                    <w:sz w:val="20"/>
                                  </w:rPr>
                                </w:pPr>
                                <w:r>
                                  <w:rPr>
                                    <w:rFonts w:ascii="Arial" w:hAnsi="Arial" w:cs="Arial"/>
                                    <w:sz w:val="20"/>
                                  </w:rPr>
                                  <w:t>Socialinė rizika</w:t>
                                </w:r>
                              </w:p>
                            </w:tc>
                            <w:tc>
                              <w:tcPr>
                                <w:tcW w:w="0" w:type="auto"/>
                              </w:tcPr>
                              <w:p>
                                <w:pPr>
                                  <w:jc w:val="both"/>
                                  <w:rPr>
                                    <w:rFonts w:ascii="Arial" w:hAnsi="Arial" w:cs="Arial"/>
                                    <w:sz w:val="20"/>
                                  </w:rPr>
                                </w:pPr>
                                <w:r>
                                  <w:rPr>
                                    <w:rFonts w:ascii="Arial" w:hAnsi="Arial" w:cs="Arial"/>
                                    <w:sz w:val="20"/>
                                  </w:rPr>
                                  <w:t>Dėl Joniškio. AIE plano įgyvendinimo kiltų visuomenės nepasitenkinimas</w:t>
                                </w:r>
                              </w:p>
                            </w:tc>
                            <w:tc>
                              <w:tcPr>
                                <w:tcW w:w="0" w:type="auto"/>
                              </w:tcPr>
                              <w:p>
                                <w:pPr>
                                  <w:jc w:val="both"/>
                                  <w:rPr>
                                    <w:rFonts w:ascii="Arial" w:hAnsi="Arial" w:cs="Arial"/>
                                    <w:sz w:val="20"/>
                                  </w:rPr>
                                </w:pPr>
                                <w:r>
                                  <w:rPr>
                                    <w:rFonts w:ascii="Arial" w:hAnsi="Arial" w:cs="Arial"/>
                                    <w:b/>
                                    <w:bCs/>
                                    <w:sz w:val="20"/>
                                  </w:rPr>
                                  <w:t>Žema</w:t>
                                </w:r>
                                <w:r>
                                  <w:rPr>
                                    <w:rFonts w:ascii="Arial" w:hAnsi="Arial" w:cs="Arial"/>
                                    <w:sz w:val="20"/>
                                  </w:rPr>
                                  <w:t xml:space="preserve">. </w:t>
                                </w:r>
                              </w:p>
                              <w:p>
                                <w:pPr>
                                  <w:jc w:val="both"/>
                                  <w:rPr>
                                    <w:rFonts w:ascii="Arial" w:hAnsi="Arial" w:cs="Arial"/>
                                    <w:sz w:val="20"/>
                                  </w:rPr>
                                </w:pPr>
                                <w:r>
                                  <w:rPr>
                                    <w:rFonts w:ascii="Arial" w:hAnsi="Arial" w:cs="Arial"/>
                                    <w:sz w:val="20"/>
                                  </w:rPr>
                                  <w:t>Joniškio r. AIE plano įgyvendinimas prisidės prie aplinkos oro kokybės gerinimo, darbo vietų kūrimo. Be to, pagal siūlomą scenarijų AIE technologijas numatoma diegti savivaldybei priklausančiuose pastatuose ir remti namų ūkius.</w:t>
                                </w:r>
                              </w:p>
                            </w:tc>
                            <w:tc>
                              <w:tcPr>
                                <w:tcW w:w="0" w:type="auto"/>
                              </w:tcPr>
                              <w:p>
                                <w:pPr>
                                  <w:jc w:val="both"/>
                                  <w:rPr>
                                    <w:rFonts w:ascii="Arial" w:hAnsi="Arial" w:cs="Arial"/>
                                    <w:sz w:val="20"/>
                                  </w:rPr>
                                </w:pPr>
                                <w:r>
                                  <w:rPr>
                                    <w:rFonts w:ascii="Arial" w:hAnsi="Arial" w:cs="Arial"/>
                                    <w:b/>
                                    <w:bCs/>
                                    <w:sz w:val="20"/>
                                  </w:rPr>
                                  <w:t>Nereikšmingas</w:t>
                                </w:r>
                                <w:r>
                                  <w:rPr>
                                    <w:rFonts w:ascii="Arial" w:hAnsi="Arial" w:cs="Arial"/>
                                    <w:sz w:val="20"/>
                                  </w:rPr>
                                  <w:t xml:space="preserve">. </w:t>
                                </w:r>
                              </w:p>
                              <w:p>
                                <w:pPr>
                                  <w:jc w:val="both"/>
                                  <w:rPr>
                                    <w:rFonts w:ascii="Arial" w:hAnsi="Arial" w:cs="Arial"/>
                                    <w:sz w:val="20"/>
                                  </w:rPr>
                                </w:pPr>
                                <w:r>
                                  <w:rPr>
                                    <w:rFonts w:ascii="Arial" w:hAnsi="Arial" w:cs="Arial"/>
                                    <w:sz w:val="20"/>
                                  </w:rPr>
                                  <w:t>Savalaikis Joniškio r. AIE plano vykdymo viešinimo ir informavimo veiksmų vykdymas sudarys prielaidas teigiamam visuomenės požiūriui į AIE naudojimo plėtros projektų įgyvendinimą.</w:t>
                                </w:r>
                              </w:p>
                            </w:tc>
                            <w:tc>
                              <w:tcPr>
                                <w:tcW w:w="0" w:type="auto"/>
                              </w:tcPr>
                              <w:p>
                                <w:pPr>
                                  <w:jc w:val="center"/>
                                  <w:rPr>
                                    <w:rFonts w:ascii="Arial" w:hAnsi="Arial" w:cs="Arial"/>
                                    <w:sz w:val="20"/>
                                  </w:rPr>
                                </w:pPr>
                                <w:r>
                                  <w:rPr>
                                    <w:rFonts w:ascii="Arial" w:hAnsi="Arial" w:cs="Arial"/>
                                    <w:sz w:val="20"/>
                                  </w:rPr>
                                  <w:t>0</w:t>
                                </w:r>
                              </w:p>
                            </w:tc>
                          </w:tr>
                          <w:tr>
                            <w:trPr>
                              <w:trHeight w:val="20"/>
                            </w:trPr>
                            <w:tc>
                              <w:tcPr>
                                <w:tcW w:w="0" w:type="auto"/>
                                <w:vMerge w:val="restart"/>
                              </w:tcPr>
                              <w:p>
                                <w:pPr>
                                  <w:rPr>
                                    <w:rFonts w:ascii="Arial" w:hAnsi="Arial" w:cs="Arial"/>
                                    <w:sz w:val="20"/>
                                  </w:rPr>
                                </w:pPr>
                                <w:r>
                                  <w:rPr>
                                    <w:rFonts w:ascii="Arial" w:hAnsi="Arial" w:cs="Arial"/>
                                    <w:sz w:val="20"/>
                                  </w:rPr>
                                  <w:t>Finansinė rizika</w:t>
                                </w:r>
                              </w:p>
                            </w:tc>
                            <w:tc>
                              <w:tcPr>
                                <w:tcW w:w="0" w:type="auto"/>
                              </w:tcPr>
                              <w:p>
                                <w:pPr>
                                  <w:jc w:val="both"/>
                                  <w:rPr>
                                    <w:rFonts w:ascii="Arial" w:hAnsi="Arial" w:cs="Arial"/>
                                    <w:sz w:val="20"/>
                                  </w:rPr>
                                </w:pPr>
                                <w:r>
                                  <w:rPr>
                                    <w:rFonts w:ascii="Arial" w:hAnsi="Arial" w:cs="Arial"/>
                                    <w:sz w:val="20"/>
                                  </w:rPr>
                                  <w:t>Joniškio r. AIE plane numatytoms priemonėms nebus gautas finansavimas</w:t>
                                </w:r>
                              </w:p>
                            </w:tc>
                            <w:tc>
                              <w:tcPr>
                                <w:tcW w:w="0" w:type="auto"/>
                              </w:tcPr>
                              <w:p>
                                <w:pPr>
                                  <w:jc w:val="both"/>
                                  <w:rPr>
                                    <w:rFonts w:ascii="Arial" w:hAnsi="Arial" w:cs="Arial"/>
                                    <w:b/>
                                    <w:bCs/>
                                    <w:sz w:val="20"/>
                                  </w:rPr>
                                </w:pPr>
                                <w:r>
                                  <w:rPr>
                                    <w:rFonts w:ascii="Arial" w:hAnsi="Arial" w:cs="Arial"/>
                                    <w:b/>
                                    <w:bCs/>
                                    <w:sz w:val="20"/>
                                  </w:rPr>
                                  <w:t xml:space="preserve">Vidutinė. </w:t>
                                </w:r>
                              </w:p>
                              <w:p>
                                <w:pPr>
                                  <w:jc w:val="both"/>
                                  <w:rPr>
                                    <w:rFonts w:ascii="Arial" w:hAnsi="Arial" w:cs="Arial"/>
                                    <w:sz w:val="20"/>
                                  </w:rPr>
                                </w:pPr>
                                <w:r>
                                  <w:rPr>
                                    <w:rFonts w:ascii="Arial" w:hAnsi="Arial" w:cs="Arial"/>
                                    <w:sz w:val="20"/>
                                  </w:rPr>
                                  <w:t>Joniškio r. AIE plane numatytos priemonės neprieštarauja AIE naudojimo plėtros kryptims, nustatytoms strateginiuose dokumentuose, todėl tikėtina, kad priemonėms bus galima gauti finansavimą iš paramos mechanizmų, kurie bus sukurti strateginių dokumentų tikslams įgyvendinti.</w:t>
                                </w:r>
                              </w:p>
                            </w:tc>
                            <w:tc>
                              <w:tcPr>
                                <w:tcW w:w="0" w:type="auto"/>
                              </w:tcPr>
                              <w:p>
                                <w:pPr>
                                  <w:jc w:val="both"/>
                                  <w:rPr>
                                    <w:rFonts w:ascii="Arial" w:hAnsi="Arial" w:cs="Arial"/>
                                    <w:b/>
                                    <w:bCs/>
                                    <w:sz w:val="20"/>
                                  </w:rPr>
                                </w:pPr>
                                <w:r>
                                  <w:rPr>
                                    <w:rFonts w:ascii="Arial" w:hAnsi="Arial" w:cs="Arial"/>
                                    <w:b/>
                                    <w:bCs/>
                                    <w:sz w:val="20"/>
                                  </w:rPr>
                                  <w:t xml:space="preserve">Reikšmingas. </w:t>
                                </w:r>
                              </w:p>
                              <w:p>
                                <w:pPr>
                                  <w:jc w:val="both"/>
                                  <w:rPr>
                                    <w:rFonts w:ascii="Arial" w:hAnsi="Arial" w:cs="Arial"/>
                                    <w:sz w:val="20"/>
                                  </w:rPr>
                                </w:pPr>
                                <w:r>
                                  <w:rPr>
                                    <w:rFonts w:ascii="Arial" w:hAnsi="Arial" w:cs="Arial"/>
                                    <w:sz w:val="20"/>
                                  </w:rPr>
                                  <w:t>Negavus lėšų priemonių įgyvendinimui iš pagrindinių numatytų finansavimo šaltinių, reikėtų ieškoti alternatyvių finansavimo būdų. Be finansavimo šaltinių AIE dalies didinimo priemonių įgyvendinimas iš esmės yra neįmanomas.</w:t>
                                </w:r>
                              </w:p>
                            </w:tc>
                            <w:tc>
                              <w:tcPr>
                                <w:tcW w:w="0" w:type="auto"/>
                              </w:tcPr>
                              <w:p>
                                <w:pPr>
                                  <w:jc w:val="center"/>
                                  <w:rPr>
                                    <w:rFonts w:ascii="Arial" w:hAnsi="Arial" w:cs="Arial"/>
                                    <w:sz w:val="20"/>
                                  </w:rPr>
                                </w:pPr>
                                <w:r>
                                  <w:rPr>
                                    <w:rFonts w:ascii="Arial" w:hAnsi="Arial" w:cs="Arial"/>
                                    <w:sz w:val="20"/>
                                  </w:rPr>
                                  <w:t>3</w:t>
                                </w:r>
                              </w:p>
                            </w:tc>
                          </w:tr>
                          <w:tr>
                            <w:trPr>
                              <w:trHeight w:val="20"/>
                            </w:trPr>
                            <w:tc>
                              <w:tcPr>
                                <w:tcW w:w="0" w:type="auto"/>
                                <w:vMerge/>
                              </w:tcPr>
                              <w:p>
                                <w:pPr>
                                  <w:rPr>
                                    <w:rFonts w:ascii="Arial" w:hAnsi="Arial" w:cs="Arial"/>
                                    <w:sz w:val="20"/>
                                  </w:rPr>
                                </w:pPr>
                              </w:p>
                            </w:tc>
                            <w:tc>
                              <w:tcPr>
                                <w:tcW w:w="0" w:type="auto"/>
                              </w:tcPr>
                              <w:p>
                                <w:pPr>
                                  <w:jc w:val="both"/>
                                  <w:rPr>
                                    <w:rFonts w:ascii="Arial" w:hAnsi="Arial" w:cs="Arial"/>
                                    <w:sz w:val="20"/>
                                  </w:rPr>
                                </w:pPr>
                                <w:r>
                                  <w:rPr>
                                    <w:rFonts w:ascii="Arial" w:hAnsi="Arial" w:cs="Arial"/>
                                    <w:sz w:val="20"/>
                                  </w:rPr>
                                  <w:t>AIE skatinimo finansinė parama nėra pakankamai didelė, kad paskatintų AIE technologijų įdiegimą ne CŠT sektoriuje</w:t>
                                </w:r>
                              </w:p>
                            </w:tc>
                            <w:tc>
                              <w:tcPr>
                                <w:tcW w:w="0" w:type="auto"/>
                              </w:tcPr>
                              <w:p>
                                <w:pPr>
                                  <w:jc w:val="both"/>
                                  <w:rPr>
                                    <w:rFonts w:ascii="Arial" w:hAnsi="Arial" w:cs="Arial"/>
                                    <w:b/>
                                    <w:bCs/>
                                    <w:sz w:val="20"/>
                                  </w:rPr>
                                </w:pPr>
                                <w:r>
                                  <w:rPr>
                                    <w:rFonts w:ascii="Arial" w:hAnsi="Arial" w:cs="Arial"/>
                                    <w:b/>
                                    <w:bCs/>
                                    <w:sz w:val="20"/>
                                  </w:rPr>
                                  <w:t xml:space="preserve">Vidutinė. </w:t>
                                </w:r>
                              </w:p>
                              <w:p>
                                <w:pPr>
                                  <w:jc w:val="both"/>
                                  <w:rPr>
                                    <w:rFonts w:ascii="Arial" w:hAnsi="Arial" w:cs="Arial"/>
                                    <w:sz w:val="20"/>
                                  </w:rPr>
                                </w:pPr>
                                <w:r>
                                  <w:rPr>
                                    <w:rFonts w:ascii="Arial" w:hAnsi="Arial" w:cs="Arial"/>
                                    <w:sz w:val="20"/>
                                  </w:rPr>
                                  <w:t>Dėl technologinės pažangos AIE technologijų kainos nuolat mažėja, todėl tikėtina, kad paramos dydis taps patrauklesniu artėjant prie plane nagrinėjamo periodo pabaigos.</w:t>
                                </w:r>
                              </w:p>
                            </w:tc>
                            <w:tc>
                              <w:tcPr>
                                <w:tcW w:w="0" w:type="auto"/>
                              </w:tcPr>
                              <w:p>
                                <w:pPr>
                                  <w:jc w:val="both"/>
                                  <w:rPr>
                                    <w:rFonts w:ascii="Arial" w:hAnsi="Arial" w:cs="Arial"/>
                                    <w:b/>
                                    <w:bCs/>
                                    <w:sz w:val="20"/>
                                  </w:rPr>
                                </w:pPr>
                                <w:r>
                                  <w:rPr>
                                    <w:rFonts w:ascii="Arial" w:hAnsi="Arial" w:cs="Arial"/>
                                    <w:b/>
                                    <w:bCs/>
                                    <w:sz w:val="20"/>
                                  </w:rPr>
                                  <w:t xml:space="preserve">Reikšmingas. </w:t>
                                </w:r>
                              </w:p>
                              <w:p>
                                <w:pPr>
                                  <w:jc w:val="both"/>
                                  <w:rPr>
                                    <w:rFonts w:ascii="Arial" w:hAnsi="Arial" w:cs="Arial"/>
                                    <w:sz w:val="20"/>
                                  </w:rPr>
                                </w:pPr>
                                <w:r>
                                  <w:rPr>
                                    <w:rFonts w:ascii="Arial" w:hAnsi="Arial" w:cs="Arial"/>
                                    <w:sz w:val="20"/>
                                  </w:rPr>
                                  <w:t>Scenarijuje numatytų priemonių indėlis į AIE dalį yra svarus, todėl vykdant nuolatinę Joniškio r. AIE plano įgyvendinimo stebėseną ir identifikavus, kad AIE skatinimas yra nepakankamai efektyvus, gali būti panaudojamos papildomos priemonės iš rezervinių priemonių sąrašo.</w:t>
                                </w:r>
                              </w:p>
                            </w:tc>
                            <w:tc>
                              <w:tcPr>
                                <w:tcW w:w="0" w:type="auto"/>
                              </w:tcPr>
                              <w:p>
                                <w:pPr>
                                  <w:jc w:val="center"/>
                                  <w:rPr>
                                    <w:rFonts w:ascii="Arial" w:hAnsi="Arial" w:cs="Arial"/>
                                    <w:sz w:val="20"/>
                                  </w:rPr>
                                </w:pPr>
                                <w:r>
                                  <w:rPr>
                                    <w:rFonts w:ascii="Arial" w:hAnsi="Arial" w:cs="Arial"/>
                                    <w:sz w:val="20"/>
                                  </w:rPr>
                                  <w:t>2</w:t>
                                </w:r>
                              </w:p>
                            </w:tc>
                          </w:tr>
                          <w:tr>
                            <w:trPr>
                              <w:trHeight w:val="20"/>
                            </w:trPr>
                            <w:tc>
                              <w:tcPr>
                                <w:tcW w:w="0" w:type="auto"/>
                              </w:tcPr>
                              <w:p>
                                <w:pPr>
                                  <w:rPr>
                                    <w:rFonts w:ascii="Arial" w:hAnsi="Arial" w:cs="Arial"/>
                                    <w:sz w:val="20"/>
                                  </w:rPr>
                                </w:pPr>
                                <w:r>
                                  <w:rPr>
                                    <w:rFonts w:ascii="Arial" w:hAnsi="Arial" w:cs="Arial"/>
                                    <w:sz w:val="20"/>
                                  </w:rPr>
                                  <w:t>Technologinė (plėtros) rizika</w:t>
                                </w:r>
                              </w:p>
                            </w:tc>
                            <w:tc>
                              <w:tcPr>
                                <w:tcW w:w="0" w:type="auto"/>
                              </w:tcPr>
                              <w:p>
                                <w:pPr>
                                  <w:jc w:val="both"/>
                                  <w:rPr>
                                    <w:rFonts w:ascii="Arial" w:hAnsi="Arial" w:cs="Arial"/>
                                    <w:sz w:val="20"/>
                                  </w:rPr>
                                </w:pPr>
                                <w:r>
                                  <w:rPr>
                                    <w:rFonts w:ascii="Arial" w:hAnsi="Arial" w:cs="Arial"/>
                                    <w:sz w:val="20"/>
                                  </w:rPr>
                                  <w:t>Priemonių prognozuojamas per metus generuojamas AIE kiekis gali būti mažesnis nei numatyta</w:t>
                                </w:r>
                              </w:p>
                            </w:tc>
                            <w:tc>
                              <w:tcPr>
                                <w:tcW w:w="0" w:type="auto"/>
                              </w:tcPr>
                              <w:p>
                                <w:pPr>
                                  <w:jc w:val="both"/>
                                  <w:rPr>
                                    <w:rFonts w:ascii="Arial" w:hAnsi="Arial" w:cs="Arial"/>
                                    <w:b/>
                                    <w:bCs/>
                                    <w:sz w:val="20"/>
                                  </w:rPr>
                                </w:pPr>
                                <w:r>
                                  <w:rPr>
                                    <w:rFonts w:ascii="Arial" w:hAnsi="Arial" w:cs="Arial"/>
                                    <w:b/>
                                    <w:bCs/>
                                    <w:sz w:val="20"/>
                                  </w:rPr>
                                  <w:t xml:space="preserve">Žema. </w:t>
                                </w:r>
                              </w:p>
                              <w:p>
                                <w:pPr>
                                  <w:jc w:val="both"/>
                                  <w:rPr>
                                    <w:rFonts w:ascii="Arial" w:hAnsi="Arial" w:cs="Arial"/>
                                    <w:sz w:val="20"/>
                                  </w:rPr>
                                </w:pPr>
                                <w:r>
                                  <w:rPr>
                                    <w:rFonts w:ascii="Arial" w:hAnsi="Arial" w:cs="Arial"/>
                                    <w:sz w:val="20"/>
                                  </w:rPr>
                                  <w:t>Saulės kolektorių ir saulės šviesos elektrinių pagaminamos energijos kiekis įvertintas pagal realius istorinius kelių metų energijos gamybos apskaitos duomenis, todėl žymus nukrypimas nuo prognozuojamos vertės mažai tikėtinas.</w:t>
                                </w:r>
                              </w:p>
                            </w:tc>
                            <w:tc>
                              <w:tcPr>
                                <w:tcW w:w="0" w:type="auto"/>
                              </w:tcPr>
                              <w:p>
                                <w:pPr>
                                  <w:jc w:val="both"/>
                                  <w:rPr>
                                    <w:rFonts w:ascii="Arial" w:hAnsi="Arial" w:cs="Arial"/>
                                    <w:b/>
                                    <w:bCs/>
                                    <w:sz w:val="20"/>
                                  </w:rPr>
                                </w:pPr>
                                <w:r>
                                  <w:rPr>
                                    <w:rFonts w:ascii="Arial" w:hAnsi="Arial" w:cs="Arial"/>
                                    <w:b/>
                                    <w:bCs/>
                                    <w:sz w:val="20"/>
                                  </w:rPr>
                                  <w:t xml:space="preserve">Nereikšmingas. </w:t>
                                </w:r>
                              </w:p>
                              <w:p>
                                <w:pPr>
                                  <w:jc w:val="both"/>
                                  <w:rPr>
                                    <w:rFonts w:ascii="Arial" w:hAnsi="Arial" w:cs="Arial"/>
                                    <w:sz w:val="20"/>
                                  </w:rPr>
                                </w:pPr>
                                <w:r>
                                  <w:rPr>
                                    <w:rFonts w:ascii="Arial" w:hAnsi="Arial" w:cs="Arial"/>
                                    <w:sz w:val="20"/>
                                  </w:rPr>
                                  <w:t>Istorinių monitoringo duomenų analizė rodo, kad metinis energijos gamybos saulės kolektoriuose ir saulės šviesos elektrinėse kiekis gali svyruoti iki 20% ribose. Tokio energijos gamybos sumažėjimo poveikis bendram AIE rodikliui būtų nežymus.</w:t>
                                </w:r>
                              </w:p>
                            </w:tc>
                            <w:tc>
                              <w:tcPr>
                                <w:tcW w:w="0" w:type="auto"/>
                              </w:tcPr>
                              <w:p>
                                <w:pPr>
                                  <w:jc w:val="center"/>
                                  <w:rPr>
                                    <w:rFonts w:ascii="Arial" w:hAnsi="Arial" w:cs="Arial"/>
                                    <w:sz w:val="20"/>
                                  </w:rPr>
                                </w:pPr>
                                <w:r>
                                  <w:rPr>
                                    <w:rFonts w:ascii="Arial" w:hAnsi="Arial" w:cs="Arial"/>
                                    <w:sz w:val="20"/>
                                  </w:rPr>
                                  <w:t>1</w:t>
                                </w:r>
                              </w:p>
                            </w:tc>
                          </w:tr>
                        </w:tbl>
                        <w:p>
                          <w:pPr>
                            <w:spacing w:line="259" w:lineRule="auto"/>
                            <w:jc w:val="center"/>
                            <w:rPr>
                              <w:rFonts w:ascii="Arial" w:eastAsia="SegoeUI" w:hAnsi="Arial" w:cs="Arial"/>
                              <w:i/>
                              <w:iCs/>
                              <w:color w:val="000000"/>
                              <w:sz w:val="18"/>
                              <w:szCs w:val="18"/>
                            </w:rPr>
                          </w:pPr>
                          <w:r>
                            <w:rPr>
                              <w:rFonts w:ascii="Arial" w:eastAsia="SegoeUI" w:hAnsi="Arial" w:cs="Arial"/>
                              <w:i/>
                              <w:iCs/>
                              <w:color w:val="000000"/>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Rizikos vertinimo metu nenustatyti kritiniai veiksniai, dėl kurių plano įgyvendinimas nebūtų galimas. Didžiausia rizika susijusi su finansavimo trūkumu, o papildomos rizikos stebėjimo ir valdymo priemonės galėtų būti įdiegiamos tik atskiriems rizikos veiksniams kontroliuoti.</w:t>
                          </w:r>
                        </w:p>
                        <w:p>
                          <w:pPr>
                            <w:rPr>
                              <w:sz w:val="14"/>
                              <w:szCs w:val="14"/>
                            </w:rPr>
                          </w:pPr>
                        </w:p>
                      </w:sdtContent>
                    </w:sdt>
                  </w:sdtContent>
                </w:sdt>
              </w:sdtContent>
            </w:sdt>
            <w:sdt>
              <w:sdtPr>
                <w:alias w:val="10 p."/>
                <w:tag w:val="part_6036c5e47be84849a1e8bd39a12a1847"/>
                <w:lock w:val="sdtLocked"/>
                <w:richText/>
              </w:sdtPr>
              <w:sdtContent>
                <w:p>
                  <w:pPr>
                    <w:keepNext/>
                    <w:keepLines/>
                    <w:spacing w:line="259" w:lineRule="auto"/>
                    <w:jc w:val="center"/>
                    <w:rPr>
                      <w:rFonts w:ascii="Arial" w:eastAsia="SegoeUI" w:hAnsi="Arial" w:cs="Arial"/>
                      <w:b/>
                      <w:caps/>
                      <w:color w:val="002060"/>
                      <w:sz w:val="28"/>
                      <w:szCs w:val="32"/>
                    </w:rPr>
                  </w:pPr>
                  <w:r>
                    <w:rPr>
                      <w:rFonts w:ascii="Arial" w:eastAsia="SegoeUI" w:hAnsi="Arial" w:cs="Arial"/>
                      <w:b/>
                      <w:caps/>
                      <w:color w:val="002060"/>
                      <w:sz w:val="28"/>
                      <w:szCs w:val="32"/>
                    </w:rPr>
                    <w:br w:type="page"/>
                  </w:r>
                  <w:sdt>
                    <w:sdtPr>
                      <w:alias w:val="Numeris"/>
                      <w:tag w:val="nr_6036c5e47be84849a1e8bd39a12a1847"/>
                      <w:lock w:val="sdtLocked"/>
                      <w:richText/>
                    </w:sdtPr>
                    <w:sdtContent>
                      <w:r>
                        <w:rPr>
                          <w:rFonts w:ascii="Arial" w:hAnsi="Arial" w:cs="Arial"/>
                          <w:b/>
                          <w:caps/>
                          <w:color w:val="002060"/>
                          <w:sz w:val="28"/>
                          <w:szCs w:val="32"/>
                        </w:rPr>
                        <w:t>10</w:t>
                      </w:r>
                    </w:sdtContent>
                  </w:sdt>
                  <w:r>
                    <w:rPr>
                      <w:rFonts w:ascii="Arial" w:hAnsi="Arial" w:cs="Arial"/>
                      <w:b/>
                      <w:caps/>
                      <w:color w:val="002060"/>
                      <w:sz w:val="28"/>
                      <w:szCs w:val="32"/>
                    </w:rPr>
                    <w:t>. Projektų finansavimo gairės ir jų atrankos kriterijai</w:t>
                  </w:r>
                </w:p>
                <w:p>
                  <w:pPr>
                    <w:rPr>
                      <w:sz w:val="14"/>
                      <w:szCs w:val="14"/>
                    </w:rPr>
                  </w:pPr>
                </w:p>
                <w:p>
                  <w:pPr>
                    <w:spacing w:line="259" w:lineRule="auto"/>
                    <w:ind w:firstLine="567"/>
                    <w:jc w:val="both"/>
                    <w:rPr>
                      <w:rFonts w:ascii="Arial" w:hAnsi="Arial" w:cs="Arial"/>
                      <w:sz w:val="22"/>
                    </w:rPr>
                  </w:pPr>
                  <w:r>
                    <w:rPr>
                      <w:rFonts w:ascii="Arial" w:hAnsi="Arial" w:cs="Arial"/>
                      <w:sz w:val="22"/>
                    </w:rPr>
                    <w:t>AIE įstatymo 12 straipsnis numato, kad savivaldybės rengia ir, suderinusios su Vyriausybe ar jos įgaliota institucija, tvirtina ir įgyvendina atsinaujinančių išteklių energijos naudojimo plėtros veiksmų planus. 57 straipsnis numato, kad Savivaldybių atsinaujinančių išteklių energijos naudojimo plėtros veiksmų planų įgyvendinimas finansuojamas iš savivaldybių biudžetuose patvirtintų bendrųjų asignavimų ir kitų finansavimo šaltinių.</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AIE įstatymo 3 straipsnis numato paramos investicijoms į atsinaujinančius energijos išteklius naudojančias technologijas galimybę. Šiame skyriuje pateikiami bendrieji reikalavimai projektų finansavimo gairėms ir projektų atrankos kriterijai. </w:t>
                  </w:r>
                </w:p>
                <w:p>
                  <w:pPr>
                    <w:rPr>
                      <w:sz w:val="14"/>
                      <w:szCs w:val="14"/>
                    </w:rPr>
                  </w:pPr>
                </w:p>
                <w:sdt>
                  <w:sdtPr>
                    <w:alias w:val="10.1 pp."/>
                    <w:tag w:val="part_ced6f99e2e4b4306b9a145c43fa3bf20"/>
                    <w:lock w:val="sdtLocked"/>
                    <w:richText/>
                  </w:sdtPr>
                  <w:sdtContent>
                    <w:p>
                      <w:pPr>
                        <w:keepNext/>
                        <w:keepLines/>
                        <w:spacing w:line="259" w:lineRule="auto"/>
                        <w:jc w:val="center"/>
                        <w:outlineLvl w:val="1"/>
                        <w:rPr>
                          <w:rFonts w:ascii="Arial" w:eastAsia="SegoeUI" w:hAnsi="Arial" w:cs="Arial"/>
                          <w:b/>
                          <w:color w:val="002060"/>
                          <w:szCs w:val="26"/>
                        </w:rPr>
                      </w:pPr>
                      <w:sdt>
                        <w:sdtPr>
                          <w:alias w:val="Numeris"/>
                          <w:tag w:val="nr_ced6f99e2e4b4306b9a145c43fa3bf20"/>
                          <w:lock w:val="sdtLocked"/>
                          <w:richText/>
                        </w:sdtPr>
                        <w:sdtContent>
                          <w:r>
                            <w:rPr>
                              <w:rFonts w:ascii="Arial" w:eastAsia="SegoeUI" w:hAnsi="Arial" w:cs="Arial"/>
                              <w:b/>
                              <w:color w:val="002060"/>
                              <w:szCs w:val="26"/>
                            </w:rPr>
                            <w:t>10.1</w:t>
                          </w:r>
                        </w:sdtContent>
                      </w:sdt>
                      <w:r>
                        <w:rPr>
                          <w:rFonts w:ascii="Arial" w:eastAsia="SegoeUI" w:hAnsi="Arial" w:cs="Arial"/>
                          <w:b/>
                          <w:color w:val="002060"/>
                          <w:szCs w:val="26"/>
                        </w:rPr>
                        <w:t>. Reikalavimai projektų išlaidoms</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Siūlomi šie bendrieji reikalavimai projektų išlaidų tinkamumui:</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Išlaidos privalo būti būtinos projektams įvykdyti. Tai mažiausia sėkmingam projekto įgyvendinimui reikalinga išlaidų suma. Tinkamos finansuoti išlaidos yra tik tos projektui įgyvendinti skirtos išlaidos, kurias savivaldybė pripažino būtinomis projekto įgyvendinimui;</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Tinkamoms finansuoti išlaidoms skiriama parama negali dubliuotis, t. y. jei kažkuriai išlaidų daliai jau gauta kitų programų parama, ši išlaidų dalis tampa netinkama finansuoti;</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Projekto lėšomis perkama įranga turi būti nauja, nedėvėta, atitikti technines savybes, būtinas projektui įgyvendinti, normas, standartus;</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Išlaidos turi būti patirtos tik po atitinkamos savivaldybės administracijos direktoriaus įsakymu patvirtinto finansavimo projektui įgyvendinti skyrimo;</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Išlaidos turi būti patirtos projekto vykdytojo, o ne kitų asmenų;</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Išlaidos turi būti realiai patirtos, t.y. apmokėta už atliktus darbus, suteiktas paslaugas, patiektas prekes, užfiksuotos projekto vykdytojo apskaitos dokumentuose. Išlaidos negali viršyti rinkos kainų;</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Išlaidos privalo būti tinkamai dokumentuotos. Projekto vykdytojas turi užtikrinti, kad patirtos išlaidos yra pagrįstos apmokėjimo dokumentais. Dokumentai patirtų išlaidų įrodymui saugomi visą projekto vykdymo laikotarpį, bet ne trumpiau kaip iki 2030 m. gruodžio 31 d.;</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Apmokant išlaidas nebus pažeisti tarptautiniais teisės aktais reglamentuoti reikalavimai valstybės pagalbai, viešiesiems pirkimams, energetikos, aplinkos apsaugos ir kitose srityse;</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Finansavimas negali būti teikiamas tiesiogiai su juridiniu asmeniu susijusiam turtui įsigyti, kai juridinis asmuo buvo uždarytas arba būtų buvęs uždarytas, jei nebūtų buvęs nupirktas, o turtą įsigyja nepriklausomas investuotojas.</w:t>
                      </w:r>
                    </w:p>
                    <w:p>
                      <w:pPr>
                        <w:rPr>
                          <w:sz w:val="14"/>
                          <w:szCs w:val="14"/>
                        </w:rPr>
                      </w:pPr>
                    </w:p>
                  </w:sdtContent>
                </w:sdt>
                <w:sdt>
                  <w:sdtPr>
                    <w:alias w:val="10.2 pp."/>
                    <w:tag w:val="part_ddd63229ccb149cc976e2663de119631"/>
                    <w:lock w:val="sdtLocked"/>
                    <w:richText/>
                  </w:sdtPr>
                  <w:sdtContent>
                    <w:p>
                      <w:pPr>
                        <w:keepNext/>
                        <w:keepLines/>
                        <w:spacing w:line="259" w:lineRule="auto"/>
                        <w:jc w:val="center"/>
                        <w:outlineLvl w:val="1"/>
                        <w:rPr>
                          <w:rFonts w:ascii="Arial" w:hAnsi="Arial" w:cs="Arial"/>
                          <w:b/>
                          <w:color w:val="002060"/>
                          <w:szCs w:val="26"/>
                        </w:rPr>
                      </w:pPr>
                      <w:sdt>
                        <w:sdtPr>
                          <w:alias w:val="Numeris"/>
                          <w:tag w:val="nr_ddd63229ccb149cc976e2663de119631"/>
                          <w:lock w:val="sdtLocked"/>
                          <w:richText/>
                        </w:sdtPr>
                        <w:sdtContent>
                          <w:r>
                            <w:rPr>
                              <w:rFonts w:ascii="Arial" w:hAnsi="Arial" w:cs="Arial"/>
                              <w:b/>
                              <w:color w:val="002060"/>
                              <w:szCs w:val="26"/>
                            </w:rPr>
                            <w:t>10.2</w:t>
                          </w:r>
                        </w:sdtContent>
                      </w:sdt>
                      <w:r>
                        <w:rPr>
                          <w:rFonts w:ascii="Arial" w:hAnsi="Arial" w:cs="Arial"/>
                          <w:b/>
                          <w:color w:val="002060"/>
                          <w:szCs w:val="26"/>
                        </w:rPr>
                        <w:t>. Projektų atrankos kriterijai</w:t>
                      </w:r>
                    </w:p>
                    <w:p>
                      <w:pPr>
                        <w:rPr>
                          <w:sz w:val="14"/>
                          <w:szCs w:val="14"/>
                        </w:rPr>
                      </w:pPr>
                    </w:p>
                    <w:p>
                      <w:pPr>
                        <w:spacing w:line="259" w:lineRule="auto"/>
                        <w:ind w:firstLine="567"/>
                        <w:jc w:val="both"/>
                        <w:rPr>
                          <w:rFonts w:ascii="Arial" w:hAnsi="Arial" w:cs="Arial"/>
                          <w:sz w:val="22"/>
                        </w:rPr>
                      </w:pPr>
                      <w:r>
                        <w:rPr>
                          <w:rFonts w:ascii="Arial" w:hAnsi="Arial" w:cs="Arial"/>
                          <w:sz w:val="22"/>
                        </w:rPr>
                        <w:t>Siekiant efektyvaus savivaldybių AIE naudojimo plėtros veiksmų planų įgyvendinimui skirtų lėšų panaudojimo ir remiantis Klimato kaitos specialiosios programos praktika ir metodikomis, projektai galėtų būti atrenkami naudojant projektų atrankos kriterijus, kurie gali būti:</w:t>
                      </w:r>
                    </w:p>
                    <w:p>
                      <w:pPr>
                        <w:rPr>
                          <w:sz w:val="14"/>
                          <w:szCs w:val="14"/>
                        </w:rPr>
                      </w:pPr>
                    </w:p>
                    <w:p>
                      <w:pPr>
                        <w:spacing w:line="259" w:lineRule="auto"/>
                        <w:ind w:firstLine="567"/>
                        <w:jc w:val="both"/>
                        <w:rPr>
                          <w:rFonts w:ascii="Arial" w:hAnsi="Arial" w:cs="Arial"/>
                          <w:sz w:val="22"/>
                        </w:rPr>
                      </w:pPr>
                      <w:r>
                        <w:rPr>
                          <w:rFonts w:ascii="Arial" w:hAnsi="Arial" w:cs="Arial"/>
                          <w:sz w:val="22"/>
                        </w:rPr>
                        <w:t>Ekonominiai kriterijai, kurių pagalba užtikrinamas projekto papildomumas. Tai yra - projektas, gavęs finansinę paramą (pvz., subsidiją), turi būti ekonomiškai patrauklus investuotojui, tačiau tas patrauklumas neturi viršyti racionalaus dydžio, siekiant minimizuoti vienam projektui teikiamą paramą ir tokiu būdu užtikrinant, kad programos lėšų užtektų kiek galima didesniam remiamų projektų kiekiui.</w:t>
                      </w:r>
                    </w:p>
                    <w:p>
                      <w:pPr>
                        <w:rPr>
                          <w:sz w:val="14"/>
                          <w:szCs w:val="14"/>
                        </w:rPr>
                      </w:pPr>
                    </w:p>
                    <w:p>
                      <w:pPr>
                        <w:spacing w:line="259" w:lineRule="auto"/>
                        <w:ind w:firstLine="567"/>
                        <w:jc w:val="both"/>
                        <w:rPr>
                          <w:rFonts w:ascii="Arial" w:hAnsi="Arial" w:cs="Arial"/>
                          <w:sz w:val="22"/>
                        </w:rPr>
                      </w:pPr>
                      <w:r>
                        <w:rPr>
                          <w:rFonts w:ascii="Arial" w:hAnsi="Arial" w:cs="Arial"/>
                          <w:sz w:val="22"/>
                        </w:rPr>
                        <w:t>Maksimalus subsidijavimo intensyvumas (subsidijos dydžio ir visos projekto kainos santykis). Siūloma, kad maksimalus subsidijavimo intensyvumas mažiems projektams neviršytų Klimato kaitos specialiosios programos lėšų naudojimo tvarkos apraše nustatyto maksimalaus subsidijavimo intensyvumo vidutiniams ir dideliems projektams. Neviršyti maksimalaus subsidijavimo intensyvumo yra svarbu norint užtikrinti, kad investuotojas elgtųsi racionaliai ir dalinai investuotų ir savo lėšas.</w:t>
                      </w:r>
                    </w:p>
                    <w:p>
                      <w:pPr>
                        <w:rPr>
                          <w:sz w:val="14"/>
                          <w:szCs w:val="14"/>
                        </w:rPr>
                      </w:pPr>
                    </w:p>
                    <w:p>
                      <w:pPr>
                        <w:spacing w:line="259" w:lineRule="auto"/>
                        <w:ind w:firstLine="567"/>
                        <w:jc w:val="both"/>
                        <w:rPr>
                          <w:rFonts w:ascii="Arial" w:hAnsi="Arial" w:cs="Arial"/>
                          <w:sz w:val="22"/>
                        </w:rPr>
                      </w:pPr>
                      <w:r>
                        <w:rPr>
                          <w:rFonts w:ascii="Arial" w:hAnsi="Arial" w:cs="Arial"/>
                          <w:sz w:val="22"/>
                        </w:rPr>
                        <w:t>Aplinkosauginiai kriterijai. Siūloma mažiems projektams taikyti tokį patį aplinkosauginį kriterijų, kaip yra nustatyta Klimato kaitos specialiosios programos lėšų naudojimo tvarkos apraše vidutiniams ir dideliems projektams. Aplinkosauginis kriterijus - tai subsidijos kiekis, tenkantis vienam kilogramui sumažinto išmetamųjų ŠESD kiekio (išreikštų CO2 ekvivalentu).</w:t>
                      </w:r>
                    </w:p>
                    <w:p>
                      <w:pPr>
                        <w:rPr>
                          <w:sz w:val="14"/>
                          <w:szCs w:val="14"/>
                        </w:rPr>
                      </w:pPr>
                    </w:p>
                    <w:p>
                      <w:pPr>
                        <w:spacing w:line="259" w:lineRule="auto"/>
                        <w:ind w:firstLine="567"/>
                        <w:jc w:val="both"/>
                        <w:rPr>
                          <w:rFonts w:ascii="Arial" w:hAnsi="Arial" w:cs="Arial"/>
                          <w:sz w:val="22"/>
                        </w:rPr>
                      </w:pPr>
                      <w:r>
                        <w:rPr>
                          <w:rFonts w:ascii="Arial" w:hAnsi="Arial" w:cs="Arial"/>
                          <w:sz w:val="22"/>
                        </w:rPr>
                        <w:t>Kiti kriterijai, pavyzdžiui, projekto vykdymo vieta, laikas. Pažymėtina, kad savivaldybė gali naudoti visus kriterijus, arba pasirinkti tinkamiausius, atsižvelgiant į vietos sąlygas bei konkrečius plėtros tikslus.</w:t>
                      </w:r>
                    </w:p>
                    <w:p>
                      <w:pPr>
                        <w:rPr>
                          <w:sz w:val="14"/>
                          <w:szCs w:val="14"/>
                        </w:rPr>
                      </w:pPr>
                    </w:p>
                    <w:sdt>
                      <w:sdtPr>
                        <w:alias w:val="10.2.1 pp."/>
                        <w:tag w:val="part_94a72a8ed5224f24a5ba669c0ee10b4f"/>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94a72a8ed5224f24a5ba669c0ee10b4f"/>
                              <w:lock w:val="sdtLocked"/>
                              <w:richText/>
                            </w:sdtPr>
                            <w:sdtContent>
                              <w:r>
                                <w:rPr>
                                  <w:rFonts w:ascii="Arial" w:hAnsi="Arial" w:cs="Arial"/>
                                  <w:b/>
                                  <w:color w:val="002060"/>
                                  <w:sz w:val="22"/>
                                  <w:szCs w:val="24"/>
                                </w:rPr>
                                <w:t>10.2.1</w:t>
                              </w:r>
                            </w:sdtContent>
                          </w:sdt>
                          <w:r>
                            <w:rPr>
                              <w:rFonts w:ascii="Arial" w:hAnsi="Arial" w:cs="Arial"/>
                              <w:b/>
                              <w:color w:val="002060"/>
                              <w:sz w:val="22"/>
                              <w:szCs w:val="24"/>
                            </w:rPr>
                            <w:t>. Ekonominiai vertinimo kriterijai</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Ekonominio vertinimo kriterijais siūloma naudoti vieną arba abu šiuos kriterijus: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projekto grynoji dabartinė vertė (toliau – GDV)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projekto vidinė grąžos norma (toliau – VGN) </w:t>
                          </w:r>
                        </w:p>
                        <w:p>
                          <w:pPr>
                            <w:rPr>
                              <w:sz w:val="14"/>
                              <w:szCs w:val="14"/>
                            </w:rPr>
                          </w:pPr>
                        </w:p>
                        <w:p>
                          <w:pPr>
                            <w:spacing w:line="259" w:lineRule="auto"/>
                            <w:ind w:firstLine="567"/>
                            <w:jc w:val="both"/>
                            <w:rPr>
                              <w:rFonts w:ascii="Arial" w:hAnsi="Arial" w:cs="Arial"/>
                              <w:sz w:val="22"/>
                            </w:rPr>
                          </w:pPr>
                          <w:r>
                            <w:rPr>
                              <w:rFonts w:ascii="Arial" w:hAnsi="Arial" w:cs="Arial"/>
                              <w:sz w:val="22"/>
                            </w:rPr>
                            <w:t>Skaičiuojant GDV yra įvertinamas pinigų vertės mažėjimas laikui bėgant. Pinigų vertės mažėjimo įvertinimas yra labai svarbus, kai nagrinėjami ilgalaikiai projektai su ilgu vertinamuoju laikotarpiu. Pinigų vertės mažėjimas laikui bėgant yra vadinamas diskontu.</w:t>
                          </w:r>
                        </w:p>
                        <w:p>
                          <w:pPr>
                            <w:rPr>
                              <w:sz w:val="14"/>
                              <w:szCs w:val="14"/>
                            </w:rPr>
                          </w:pPr>
                        </w:p>
                        <w:p>
                          <w:pPr>
                            <w:spacing w:line="259" w:lineRule="auto"/>
                            <w:ind w:firstLine="567"/>
                            <w:jc w:val="both"/>
                            <w:rPr>
                              <w:rFonts w:ascii="Arial" w:hAnsi="Arial" w:cs="Arial"/>
                              <w:sz w:val="22"/>
                            </w:rPr>
                          </w:pPr>
                          <w:r>
                            <w:rPr>
                              <w:rFonts w:ascii="Arial" w:hAnsi="Arial" w:cs="Arial"/>
                              <w:sz w:val="22"/>
                            </w:rPr>
                            <w:t>Dažnai diskonto vertė naudojama pagal tuo metu rinkoje vyraujančią bankų siūlomą paskolų palūkanų normą. Skaičiuojant, kiek sumažėja pinigų vertė per tam tikrą laiką, reikia dabartinę kapitalo vertę padauginti iš diskonto faktoriaus, kuris apskaičiuojamas pagal formulę:</w:t>
                          </w:r>
                        </w:p>
                        <w:p>
                          <w:pPr>
                            <w:rPr>
                              <w:sz w:val="14"/>
                              <w:szCs w:val="14"/>
                            </w:rPr>
                          </w:pPr>
                        </w:p>
                        <w:p>
                          <w:pPr>
                            <w:spacing w:line="259" w:lineRule="auto"/>
                            <w:ind w:firstLine="567"/>
                            <w:jc w:val="both"/>
                            <w:rPr>
                              <w:rFonts w:ascii="Arial" w:hAnsi="Arial" w:cs="Arial"/>
                              <w:szCs w:val="24"/>
                            </w:rPr>
                          </w:pPr>
                          <m:oMathPara>
                            <m:oMath>
                              <m:r>
                                <w:rPr>
                                  <w:rFonts w:ascii="Cambria Math" w:hAnsi="Cambria Math" w:cs="Arial"/>
                                  <w:szCs w:val="24"/>
                                </w:rPr>
                                <m:t>Diskonto faktorius</m:t>
                              </m:r>
                              <m:r>
                                <m:rPr>
                                  <m:sty m:val="p"/>
                                </m:rPr>
                                <w:rPr>
                                  <w:rFonts w:ascii="Cambria Math" w:hAnsi="Cambria Math" w:cs="Arial"/>
                                  <w:szCs w:val="24"/>
                                </w:rPr>
                                <m:t>=</m:t>
                              </m:r>
                              <m:f>
                                <m:fPr>
                                  <m:ctrlPr>
                                    <w:rPr>
                                      <w:rFonts w:ascii="Cambria Math" w:hAnsi="Cambria Math" w:cs="Arial"/>
                                      <w:szCs w:val="24"/>
                                    </w:rPr>
                                  </m:ctrlPr>
                                </m:fPr>
                                <m:num>
                                  <m:r>
                                    <m:rPr>
                                      <m:sty m:val="p"/>
                                    </m:rPr>
                                    <w:rPr>
                                      <w:rFonts w:ascii="Cambria Math" w:hAnsi="Cambria Math" w:cs="Arial"/>
                                      <w:szCs w:val="24"/>
                                    </w:rPr>
                                    <m:t>1</m:t>
                                  </m:r>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1+r</m:t>
                                          </m:r>
                                        </m:e>
                                      </m:d>
                                    </m:e>
                                    <m:sup>
                                      <m:r>
                                        <w:rPr>
                                          <w:rFonts w:ascii="Cambria Math" w:hAnsi="Cambria Math" w:cs="Arial"/>
                                          <w:szCs w:val="24"/>
                                        </w:rPr>
                                        <m:t>n</m:t>
                                      </m:r>
                                    </m:sup>
                                  </m:sSup>
                                </m:den>
                              </m:f>
                            </m:oMath>
                          </m:oMathPara>
                        </w:p>
                        <w:p>
                          <w:pPr>
                            <w:rPr>
                              <w:sz w:val="14"/>
                              <w:szCs w:val="14"/>
                            </w:rPr>
                          </w:pPr>
                        </w:p>
                        <w:p>
                          <w:pPr>
                            <w:spacing w:line="259" w:lineRule="auto"/>
                            <w:ind w:firstLine="567"/>
                            <w:rPr>
                              <w:rFonts w:ascii="Arial" w:hAnsi="Arial" w:cs="Arial"/>
                              <w:i/>
                              <w:iCs/>
                              <w:color w:val="000000"/>
                              <w:sz w:val="20"/>
                            </w:rPr>
                          </w:pPr>
                          <w:r>
                            <w:rPr>
                              <w:rFonts w:ascii="Arial" w:hAnsi="Arial" w:cs="Arial"/>
                              <w:i/>
                              <w:iCs/>
                              <w:color w:val="000000"/>
                              <w:sz w:val="20"/>
                            </w:rPr>
                            <w:t>Kurioje</w:t>
                          </w:r>
                        </w:p>
                        <w:p>
                          <w:pPr>
                            <w:rPr>
                              <w:sz w:val="14"/>
                              <w:szCs w:val="14"/>
                            </w:rPr>
                          </w:pPr>
                        </w:p>
                        <w:p>
                          <w:pPr>
                            <w:spacing w:line="259" w:lineRule="auto"/>
                            <w:ind w:firstLine="567"/>
                            <w:rPr>
                              <w:rFonts w:ascii="Arial" w:hAnsi="Arial" w:cs="Arial"/>
                              <w:color w:val="000000"/>
                              <w:sz w:val="20"/>
                            </w:rPr>
                          </w:pPr>
                          <w:r>
                            <w:rPr>
                              <w:rFonts w:ascii="Arial" w:hAnsi="Arial" w:cs="Arial"/>
                              <w:i/>
                              <w:iCs/>
                              <w:color w:val="000000"/>
                              <w:sz w:val="20"/>
                            </w:rPr>
                            <w:t>r</w:t>
                          </w:r>
                          <w:r>
                            <w:rPr>
                              <w:rFonts w:ascii="Arial" w:hAnsi="Arial" w:cs="Arial"/>
                              <w:color w:val="000000"/>
                              <w:sz w:val="20"/>
                            </w:rPr>
                            <w:t xml:space="preserve"> – diskonto norma</w:t>
                          </w:r>
                        </w:p>
                        <w:p>
                          <w:pPr>
                            <w:rPr>
                              <w:sz w:val="14"/>
                              <w:szCs w:val="14"/>
                            </w:rPr>
                          </w:pPr>
                        </w:p>
                        <w:p>
                          <w:pPr>
                            <w:spacing w:line="259" w:lineRule="auto"/>
                            <w:ind w:firstLine="567"/>
                            <w:rPr>
                              <w:rFonts w:ascii="Arial" w:hAnsi="Arial" w:cs="Arial"/>
                              <w:color w:val="000000"/>
                              <w:sz w:val="20"/>
                            </w:rPr>
                          </w:pPr>
                          <w:r>
                            <w:rPr>
                              <w:rFonts w:ascii="Arial" w:hAnsi="Arial" w:cs="Arial"/>
                              <w:i/>
                              <w:iCs/>
                              <w:color w:val="000000"/>
                              <w:sz w:val="20"/>
                            </w:rPr>
                            <w:t>n</w:t>
                          </w:r>
                          <w:r>
                            <w:rPr>
                              <w:rFonts w:ascii="Arial" w:hAnsi="Arial" w:cs="Arial"/>
                              <w:color w:val="000000"/>
                              <w:sz w:val="20"/>
                            </w:rPr>
                            <w:t xml:space="preserve"> – metų skaičius</w:t>
                          </w:r>
                        </w:p>
                        <w:p>
                          <w:pPr>
                            <w:rPr>
                              <w:sz w:val="14"/>
                              <w:szCs w:val="14"/>
                            </w:rPr>
                          </w:pPr>
                        </w:p>
                        <w:p>
                          <w:pPr>
                            <w:spacing w:line="259" w:lineRule="auto"/>
                            <w:ind w:firstLine="567"/>
                            <w:jc w:val="both"/>
                            <w:rPr>
                              <w:rFonts w:ascii="Arial" w:hAnsi="Arial" w:cs="Arial"/>
                              <w:color w:val="000000"/>
                              <w:sz w:val="23"/>
                              <w:szCs w:val="23"/>
                            </w:rPr>
                          </w:pPr>
                        </w:p>
                        <w:p>
                          <w:pPr>
                            <w:rPr>
                              <w:sz w:val="14"/>
                              <w:szCs w:val="14"/>
                            </w:rPr>
                          </w:pPr>
                        </w:p>
                        <w:p>
                          <w:pPr>
                            <w:spacing w:line="259" w:lineRule="auto"/>
                            <w:ind w:firstLine="567"/>
                            <w:jc w:val="both"/>
                            <w:rPr>
                              <w:rFonts w:ascii="Arial" w:hAnsi="Arial" w:cs="Arial"/>
                              <w:color w:val="000000"/>
                              <w:szCs w:val="24"/>
                            </w:rPr>
                          </w:pPr>
                          <m:oMathPara>
                            <m:oMath>
                              <m:r>
                                <w:rPr>
                                  <w:rFonts w:ascii="Cambria Math" w:hAnsi="Cambria Math" w:cs="Arial"/>
                                  <w:szCs w:val="24"/>
                                </w:rPr>
                                <m:t>Pinigų vertė dabar=Pinigai ateityje ×Diskonto faktorius</m:t>
                              </m:r>
                            </m:oMath>
                          </m:oMathPara>
                        </w:p>
                        <w:p>
                          <w:pPr>
                            <w:rPr>
                              <w:sz w:val="14"/>
                              <w:szCs w:val="14"/>
                            </w:rPr>
                          </w:pPr>
                        </w:p>
                        <w:p>
                          <w:pPr>
                            <w:spacing w:line="259" w:lineRule="auto"/>
                            <w:ind w:firstLine="567"/>
                            <w:jc w:val="both"/>
                            <w:rPr>
                              <w:rFonts w:ascii="Arial" w:hAnsi="Arial" w:cs="Arial"/>
                              <w:sz w:val="22"/>
                            </w:rPr>
                          </w:pPr>
                          <w:r>
                            <w:rPr>
                              <w:rFonts w:ascii="Arial" w:hAnsi="Arial" w:cs="Arial"/>
                              <w:sz w:val="22"/>
                            </w:rPr>
                            <w:t xml:space="preserve">GDV yra gaunama iš tam tikro laikotarpio dabartinės vertės atėmus investicijas. Ji parodo, kiek projektas uždirbs pinigų dabartine jų verte. Jei GDV yra neigiama, vadinasi, į projektą neapsimoka investuoti. Jeigu GDV yra teigiama, tuomet apsimoka skolintis pinigų ir investuoti į projektą. Atidavus paskolą su palūkanomis, investuotojui dar liks dalis pelno.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Savivaldybė pasirinkdama šį kriterijų palyginimo tikslais turėtų nustatyti vienodą projekto vertinimo laikotarpį visiems pareiškėjams, pavyzdžiui, iki 2030 metų. Visos prielaidos vertinamos ir skaičiavimai atliekami projekto vertinimo laikotarpiu. </w:t>
                          </w:r>
                        </w:p>
                        <w:p>
                          <w:pPr>
                            <w:rPr>
                              <w:sz w:val="14"/>
                              <w:szCs w:val="14"/>
                            </w:rPr>
                          </w:pPr>
                        </w:p>
                        <w:p>
                          <w:pPr>
                            <w:spacing w:line="259" w:lineRule="auto"/>
                            <w:ind w:firstLine="567"/>
                            <w:jc w:val="both"/>
                            <w:rPr>
                              <w:rFonts w:ascii="Arial" w:hAnsi="Arial" w:cs="Arial"/>
                              <w:sz w:val="22"/>
                            </w:rPr>
                          </w:pPr>
                          <w:r>
                            <w:rPr>
                              <w:rFonts w:ascii="Arial" w:hAnsi="Arial" w:cs="Arial"/>
                              <w:sz w:val="22"/>
                            </w:rPr>
                            <w:t>Savivaldybė, pasirinkdama šį kriterijų, taip pat turėtų nustatyti vienodą diskonto normą visiems pareiškėjams, pavyzdžiui 5 proc. GDV apskaičiuojamas pagal formulę:</w:t>
                          </w:r>
                        </w:p>
                        <w:p>
                          <w:pPr>
                            <w:rPr>
                              <w:sz w:val="14"/>
                              <w:szCs w:val="14"/>
                            </w:rPr>
                          </w:pPr>
                        </w:p>
                        <w:p>
                          <w:pPr>
                            <w:spacing w:line="259" w:lineRule="auto"/>
                            <w:ind w:firstLine="567"/>
                            <w:jc w:val="both"/>
                            <w:rPr>
                              <w:rFonts w:ascii="Arial" w:hAnsi="Arial" w:cs="Arial"/>
                              <w:szCs w:val="24"/>
                            </w:rPr>
                          </w:pPr>
                          <m:oMathPara>
                            <m:oMath>
                              <m:r>
                                <w:rPr>
                                  <w:rFonts w:ascii="Cambria Math" w:hAnsi="Cambria Math" w:cs="Arial"/>
                                  <w:szCs w:val="24"/>
                                </w:rPr>
                                <m:t>GDV</m:t>
                              </m:r>
                              <m:r>
                                <m:rPr>
                                  <m:sty m:val="p"/>
                                </m:rPr>
                                <w:rPr>
                                  <w:rFonts w:ascii="Cambria Math" w:hAnsi="Cambria Math" w:cs="Arial"/>
                                  <w:szCs w:val="24"/>
                                </w:rPr>
                                <m:t xml:space="preserve">= </m:t>
                              </m:r>
                              <m:sSub>
                                <m:sSubPr>
                                  <m:ctrlPr>
                                    <w:rPr>
                                      <w:rFonts w:ascii="Cambria Math" w:hAnsi="Cambria Math" w:cs="Arial"/>
                                      <w:szCs w:val="24"/>
                                    </w:rPr>
                                  </m:ctrlPr>
                                </m:sSubPr>
                                <m:e>
                                  <m:r>
                                    <w:rPr>
                                      <w:rFonts w:ascii="Cambria Math" w:hAnsi="Cambria Math" w:cs="Arial"/>
                                      <w:szCs w:val="24"/>
                                    </w:rPr>
                                    <m:t>CF</m:t>
                                  </m:r>
                                </m:e>
                                <m:sub>
                                  <m:r>
                                    <w:rPr>
                                      <w:rFonts w:ascii="Cambria Math" w:hAnsi="Cambria Math" w:cs="Arial"/>
                                      <w:szCs w:val="24"/>
                                    </w:rPr>
                                    <m:t xml:space="preserve">0 </m:t>
                                  </m:r>
                                </m:sub>
                              </m:sSub>
                              <m:r>
                                <w:rPr>
                                  <w:rFonts w:ascii="Cambria Math" w:hAnsi="Cambria Math" w:cs="Arial"/>
                                  <w:szCs w:val="24"/>
                                </w:rPr>
                                <m:t>+</m:t>
                              </m:r>
                              <m:f>
                                <m:fPr>
                                  <m:ctrlPr>
                                    <w:rPr>
                                      <w:rFonts w:ascii="Cambria Math" w:hAnsi="Cambria Math" w:cs="Arial"/>
                                      <w:szCs w:val="24"/>
                                    </w:rPr>
                                  </m:ctrlPr>
                                </m:fPr>
                                <m:num>
                                  <m:sSub>
                                    <m:sSubPr>
                                      <m:ctrlPr>
                                        <w:rPr>
                                          <w:rFonts w:ascii="Cambria Math" w:hAnsi="Cambria Math" w:cs="Arial"/>
                                          <w:szCs w:val="24"/>
                                        </w:rPr>
                                      </m:ctrlPr>
                                    </m:sSubPr>
                                    <m:e>
                                      <m:r>
                                        <m:rPr>
                                          <m:sty m:val="p"/>
                                        </m:rPr>
                                        <w:rPr>
                                          <w:rFonts w:ascii="Cambria Math" w:hAnsi="Cambria Math" w:cs="Arial"/>
                                          <w:szCs w:val="24"/>
                                        </w:rPr>
                                        <m:t>CF</m:t>
                                      </m:r>
                                    </m:e>
                                    <m:sub>
                                      <m:r>
                                        <w:rPr>
                                          <w:rFonts w:ascii="Cambria Math" w:hAnsi="Cambria Math" w:cs="Arial"/>
                                          <w:szCs w:val="24"/>
                                        </w:rPr>
                                        <m:t>1</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1+r</m:t>
                                          </m:r>
                                        </m:e>
                                      </m:d>
                                    </m:e>
                                    <m:sup>
                                      <m:r>
                                        <w:rPr>
                                          <w:rFonts w:ascii="Cambria Math" w:hAnsi="Cambria Math" w:cs="Arial"/>
                                          <w:szCs w:val="24"/>
                                        </w:rPr>
                                        <m:t>1</m:t>
                                      </m:r>
                                    </m:sup>
                                  </m:sSup>
                                </m:den>
                              </m:f>
                              <m:r>
                                <w:rPr>
                                  <w:rFonts w:ascii="Cambria Math" w:hAnsi="Cambria Math" w:cs="Arial"/>
                                  <w:szCs w:val="24"/>
                                </w:rPr>
                                <m:t xml:space="preserve"> + </m:t>
                              </m:r>
                              <m:f>
                                <m:fPr>
                                  <m:ctrlPr>
                                    <w:rPr>
                                      <w:rFonts w:ascii="Cambria Math" w:hAnsi="Cambria Math" w:cs="Arial"/>
                                      <w:szCs w:val="24"/>
                                    </w:rPr>
                                  </m:ctrlPr>
                                </m:fPr>
                                <m:num>
                                  <m:sSub>
                                    <m:sSubPr>
                                      <m:ctrlPr>
                                        <w:rPr>
                                          <w:rFonts w:ascii="Cambria Math" w:hAnsi="Cambria Math" w:cs="Arial"/>
                                          <w:szCs w:val="24"/>
                                        </w:rPr>
                                      </m:ctrlPr>
                                    </m:sSubPr>
                                    <m:e>
                                      <m:r>
                                        <m:rPr>
                                          <m:sty m:val="p"/>
                                        </m:rPr>
                                        <w:rPr>
                                          <w:rFonts w:ascii="Cambria Math" w:hAnsi="Cambria Math" w:cs="Arial"/>
                                          <w:szCs w:val="24"/>
                                        </w:rPr>
                                        <m:t>CF</m:t>
                                      </m:r>
                                    </m:e>
                                    <m:sub>
                                      <m:r>
                                        <w:rPr>
                                          <w:rFonts w:ascii="Cambria Math" w:hAnsi="Cambria Math" w:cs="Arial"/>
                                          <w:szCs w:val="24"/>
                                        </w:rPr>
                                        <m:t>2</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1+r</m:t>
                                          </m:r>
                                        </m:e>
                                      </m:d>
                                    </m:e>
                                    <m:sup>
                                      <m:r>
                                        <w:rPr>
                                          <w:rFonts w:ascii="Cambria Math" w:hAnsi="Cambria Math" w:cs="Arial"/>
                                          <w:szCs w:val="24"/>
                                        </w:rPr>
                                        <m:t>2</m:t>
                                      </m:r>
                                    </m:sup>
                                  </m:sSup>
                                </m:den>
                              </m:f>
                              <m:r>
                                <w:rPr>
                                  <w:rFonts w:ascii="Cambria Math" w:hAnsi="Cambria Math" w:cs="Arial"/>
                                  <w:szCs w:val="24"/>
                                </w:rPr>
                                <m:t xml:space="preserve"> +… + </m:t>
                              </m:r>
                              <m:f>
                                <m:fPr>
                                  <m:ctrlPr>
                                    <w:rPr>
                                      <w:rFonts w:ascii="Cambria Math" w:hAnsi="Cambria Math" w:cs="Arial"/>
                                      <w:szCs w:val="24"/>
                                    </w:rPr>
                                  </m:ctrlPr>
                                </m:fPr>
                                <m:num>
                                  <m:sSub>
                                    <m:sSubPr>
                                      <m:ctrlPr>
                                        <w:rPr>
                                          <w:rFonts w:ascii="Cambria Math" w:hAnsi="Cambria Math" w:cs="Arial"/>
                                          <w:szCs w:val="24"/>
                                        </w:rPr>
                                      </m:ctrlPr>
                                    </m:sSubPr>
                                    <m:e>
                                      <m:r>
                                        <m:rPr>
                                          <m:sty m:val="p"/>
                                        </m:rPr>
                                        <w:rPr>
                                          <w:rFonts w:ascii="Cambria Math" w:hAnsi="Cambria Math" w:cs="Arial"/>
                                          <w:szCs w:val="24"/>
                                        </w:rPr>
                                        <m:t>CF</m:t>
                                      </m:r>
                                    </m:e>
                                    <m:sub>
                                      <m:r>
                                        <w:rPr>
                                          <w:rFonts w:ascii="Cambria Math" w:hAnsi="Cambria Math" w:cs="Arial"/>
                                          <w:szCs w:val="24"/>
                                        </w:rPr>
                                        <m:t>n</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1+r</m:t>
                                          </m:r>
                                        </m:e>
                                      </m:d>
                                    </m:e>
                                    <m:sup>
                                      <m:r>
                                        <w:rPr>
                                          <w:rFonts w:ascii="Cambria Math" w:hAnsi="Cambria Math" w:cs="Arial"/>
                                          <w:szCs w:val="24"/>
                                        </w:rPr>
                                        <m:t>n</m:t>
                                      </m:r>
                                    </m:sup>
                                  </m:sSup>
                                </m:den>
                              </m:f>
                            </m:oMath>
                          </m:oMathPara>
                        </w:p>
                        <w:p>
                          <w:pPr>
                            <w:rPr>
                              <w:sz w:val="14"/>
                              <w:szCs w:val="14"/>
                            </w:rPr>
                          </w:pPr>
                        </w:p>
                        <w:p>
                          <w:pPr>
                            <w:spacing w:line="259" w:lineRule="auto"/>
                            <w:ind w:firstLine="567"/>
                            <w:jc w:val="both"/>
                            <w:rPr>
                              <w:rFonts w:ascii="Arial" w:hAnsi="Arial" w:cs="Arial"/>
                              <w:i/>
                              <w:iCs/>
                              <w:sz w:val="20"/>
                            </w:rPr>
                          </w:pPr>
                          <w:r>
                            <w:rPr>
                              <w:rFonts w:ascii="Arial" w:hAnsi="Arial" w:cs="Arial"/>
                              <w:i/>
                              <w:iCs/>
                              <w:sz w:val="20"/>
                            </w:rPr>
                            <w:t>Kurioje:</w:t>
                          </w:r>
                        </w:p>
                        <w:p>
                          <w:pPr>
                            <w:rPr>
                              <w:sz w:val="14"/>
                              <w:szCs w:val="14"/>
                            </w:rPr>
                          </w:pPr>
                        </w:p>
                        <w:p>
                          <w:pPr>
                            <w:spacing w:line="259" w:lineRule="auto"/>
                            <w:ind w:firstLine="567"/>
                            <w:jc w:val="both"/>
                            <w:rPr>
                              <w:rFonts w:ascii="Arial" w:hAnsi="Arial" w:cs="Arial"/>
                              <w:sz w:val="20"/>
                            </w:rPr>
                          </w:pPr>
                          <w:r>
                            <w:rPr>
                              <w:rFonts w:ascii="Arial" w:hAnsi="Arial" w:cs="Arial"/>
                              <w:i/>
                              <w:iCs/>
                              <w:sz w:val="20"/>
                            </w:rPr>
                            <w:t>CF</w:t>
                          </w:r>
                          <w:r>
                            <w:rPr>
                              <w:rFonts w:ascii="Arial" w:hAnsi="Arial" w:cs="Arial"/>
                              <w:sz w:val="20"/>
                            </w:rPr>
                            <w:t xml:space="preserve"> – pinigų srautas atitinkamais metais, įskaitant pradinės investicijos dydį;</w:t>
                          </w:r>
                        </w:p>
                        <w:p>
                          <w:pPr>
                            <w:rPr>
                              <w:sz w:val="14"/>
                              <w:szCs w:val="14"/>
                            </w:rPr>
                          </w:pPr>
                        </w:p>
                        <w:p>
                          <w:pPr>
                            <w:spacing w:line="259" w:lineRule="auto"/>
                            <w:ind w:firstLine="567"/>
                            <w:jc w:val="both"/>
                            <w:rPr>
                              <w:rFonts w:ascii="Arial" w:hAnsi="Arial" w:cs="Arial"/>
                              <w:sz w:val="20"/>
                            </w:rPr>
                          </w:pPr>
                          <w:r>
                            <w:rPr>
                              <w:rFonts w:ascii="Arial" w:hAnsi="Arial" w:cs="Arial"/>
                              <w:i/>
                              <w:iCs/>
                              <w:sz w:val="20"/>
                            </w:rPr>
                            <w:t>r</w:t>
                          </w:r>
                          <w:r>
                            <w:rPr>
                              <w:rFonts w:ascii="Arial" w:hAnsi="Arial" w:cs="Arial"/>
                              <w:sz w:val="20"/>
                            </w:rPr>
                            <w:t xml:space="preserve"> – diskonto norma</w:t>
                          </w:r>
                        </w:p>
                        <w:p>
                          <w:pPr>
                            <w:rPr>
                              <w:sz w:val="14"/>
                              <w:szCs w:val="14"/>
                            </w:rPr>
                          </w:pPr>
                        </w:p>
                        <w:p>
                          <w:pPr>
                            <w:spacing w:line="259" w:lineRule="auto"/>
                            <w:ind w:firstLine="567"/>
                            <w:jc w:val="both"/>
                            <w:rPr>
                              <w:rFonts w:ascii="Arial" w:hAnsi="Arial" w:cs="Arial"/>
                              <w:sz w:val="20"/>
                            </w:rPr>
                          </w:pPr>
                          <w:r>
                            <w:rPr>
                              <w:rFonts w:ascii="Arial" w:hAnsi="Arial" w:cs="Arial"/>
                              <w:i/>
                              <w:iCs/>
                              <w:sz w:val="20"/>
                            </w:rPr>
                            <w:t>n</w:t>
                          </w:r>
                          <w:r>
                            <w:rPr>
                              <w:rFonts w:ascii="Arial" w:hAnsi="Arial" w:cs="Arial"/>
                              <w:sz w:val="20"/>
                            </w:rPr>
                            <w:t xml:space="preserve"> – metų skaičius</w:t>
                          </w:r>
                        </w:p>
                        <w:p>
                          <w:pPr>
                            <w:rPr>
                              <w:sz w:val="14"/>
                              <w:szCs w:val="14"/>
                            </w:rPr>
                          </w:pPr>
                        </w:p>
                        <w:p>
                          <w:pPr>
                            <w:spacing w:line="259" w:lineRule="auto"/>
                            <w:ind w:firstLine="567"/>
                            <w:jc w:val="both"/>
                            <w:rPr>
                              <w:rFonts w:ascii="Arial" w:hAnsi="Arial" w:cs="Arial"/>
                              <w:sz w:val="22"/>
                              <w:szCs w:val="22"/>
                            </w:rPr>
                          </w:pPr>
                        </w:p>
                        <w:p>
                          <w:pPr>
                            <w:rPr>
                              <w:sz w:val="14"/>
                              <w:szCs w:val="14"/>
                            </w:rPr>
                          </w:pPr>
                        </w:p>
                        <w:p>
                          <w:pPr>
                            <w:spacing w:line="259" w:lineRule="auto"/>
                            <w:ind w:firstLine="567"/>
                            <w:jc w:val="both"/>
                            <w:rPr>
                              <w:rFonts w:ascii="Arial" w:hAnsi="Arial" w:cs="Arial"/>
                              <w:sz w:val="22"/>
                            </w:rPr>
                          </w:pPr>
                          <w:r>
                            <w:rPr>
                              <w:rFonts w:ascii="Arial" w:hAnsi="Arial" w:cs="Arial"/>
                              <w:sz w:val="22"/>
                            </w:rPr>
                            <w:t>Skaičiuokle MS Excel finansinė grynoji dabartinė vertė apskaičiuojama naudojant funkciją NPV (Rate; Value 1, Value 2, ..... Value N), kur Rate – diskonto norma, o Value 1, Value 2, ....Value N –grynųjų pinigų srautų kiekvienais ataskaitinio laikotarpio metais reikšmės.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apskaičiuotą GDV planuojamų projektų tinkamumas nustatomas: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tinkamas, jei GDV yra didesnė arba lygi nuliui;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atmetamas, jei GDV yra mažesnė už nulį;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kurio GDV didesnė yra tinkamesnis finansavimui. </w:t>
                          </w:r>
                        </w:p>
                        <w:p>
                          <w:pPr>
                            <w:rPr>
                              <w:sz w:val="14"/>
                              <w:szCs w:val="14"/>
                            </w:rPr>
                          </w:pPr>
                        </w:p>
                        <w:p>
                          <w:pPr>
                            <w:spacing w:line="259" w:lineRule="auto"/>
                            <w:ind w:firstLine="567"/>
                            <w:jc w:val="both"/>
                            <w:rPr>
                              <w:rFonts w:ascii="Arial" w:hAnsi="Arial" w:cs="Arial"/>
                              <w:sz w:val="22"/>
                            </w:rPr>
                          </w:pPr>
                          <w:r>
                            <w:rPr>
                              <w:rFonts w:ascii="Arial" w:hAnsi="Arial" w:cs="Arial"/>
                              <w:sz w:val="22"/>
                            </w:rPr>
                            <w:t>Kai kada investuotojui yra sunku įvertinti kapitalo kainą duotai investicijai. Yra keletas skolinamų pinigų šaltinių, neaiškios paskolos sąlygos ir pan. Tokiais atvejais yra naudojamas vidinės grąžos normos (VGN) rodiklis. VGN, tai yra tokia kapitalo kaina (diskontas), prie kurios projekto GDV yra lygi nuliui. Ten, kur GDV yra lygi 0, diskonto norma atitinka VGN. VGN kiekvienam ekonomiškai rentabiliam scenarijui turėtų būti lygi arba daugiau už nustatytą diskonto normą.</w:t>
                          </w:r>
                        </w:p>
                        <w:p>
                          <w:pPr>
                            <w:rPr>
                              <w:sz w:val="14"/>
                              <w:szCs w:val="14"/>
                            </w:rPr>
                          </w:pPr>
                        </w:p>
                        <w:p>
                          <w:pPr>
                            <w:spacing w:line="259" w:lineRule="auto"/>
                            <w:ind w:firstLine="567"/>
                            <w:jc w:val="both"/>
                            <w:rPr>
                              <w:rFonts w:ascii="Arial" w:hAnsi="Arial" w:cs="Arial"/>
                              <w:sz w:val="22"/>
                            </w:rPr>
                          </w:pPr>
                          <w:r>
                            <w:rPr>
                              <w:rFonts w:ascii="Arial" w:hAnsi="Arial" w:cs="Arial"/>
                              <w:sz w:val="22"/>
                            </w:rPr>
                            <w:t>VGN rodo alternatyvos rentabilumą. Projektas su aukštesne VGN verte yra rentabilesnis. Jeigu kapitalo kaina skolinantis iš bankų yra žemesnė už VGN, investuotojui skolintis verta. Jei aukštesnė – projektas, įgyvendintas su tokia kapitalo kaina, atneš nuostolius. Paprastai privatūs investuotojai siekia, kad nuosavo kapitalo pelningumo norma būtų ne mažesnė kaip 20 proc. VGN skaičiuojamas pagal formulę:</w:t>
                          </w:r>
                        </w:p>
                        <w:p>
                          <w:pPr>
                            <w:rPr>
                              <w:sz w:val="14"/>
                              <w:szCs w:val="14"/>
                            </w:rPr>
                          </w:pPr>
                        </w:p>
                        <w:p>
                          <w:pPr>
                            <w:spacing w:line="259" w:lineRule="auto"/>
                            <w:ind w:firstLine="720"/>
                            <w:jc w:val="both"/>
                            <w:rPr>
                              <w:rFonts w:ascii="Arial" w:hAnsi="Arial" w:cs="Arial"/>
                              <w:szCs w:val="24"/>
                            </w:rPr>
                          </w:pPr>
                          <m:oMathPara>
                            <m:oMath>
                              <m:r>
                                <w:rPr>
                                  <w:rFonts w:ascii="Cambria Math" w:hAnsi="Cambria Math" w:cs="Arial"/>
                                  <w:szCs w:val="24"/>
                                </w:rPr>
                                <m:t>GDV</m:t>
                              </m:r>
                              <m:r>
                                <m:rPr>
                                  <m:sty m:val="p"/>
                                </m:rPr>
                                <w:rPr>
                                  <w:rFonts w:ascii="Cambria Math" w:hAnsi="Cambria Math" w:cs="Arial"/>
                                  <w:szCs w:val="24"/>
                                </w:rPr>
                                <m:t xml:space="preserve">= </m:t>
                              </m:r>
                              <m:r>
                                <w:rPr>
                                  <w:rFonts w:ascii="Cambria Math" w:hAnsi="Cambria Math" w:cs="Arial"/>
                                  <w:szCs w:val="24"/>
                                </w:rPr>
                                <m:t>0 =</m:t>
                              </m:r>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CF</m:t>
                                      </m:r>
                                    </m:e>
                                    <m:sub>
                                      <m:r>
                                        <w:rPr>
                                          <w:rFonts w:ascii="Cambria Math" w:hAnsi="Cambria Math" w:cs="Arial"/>
                                          <w:szCs w:val="24"/>
                                        </w:rPr>
                                        <m:t>0</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1+VGN</m:t>
                                          </m:r>
                                        </m:e>
                                      </m:d>
                                    </m:e>
                                    <m:sup>
                                      <m:r>
                                        <w:rPr>
                                          <w:rFonts w:ascii="Cambria Math" w:hAnsi="Cambria Math" w:cs="Arial"/>
                                          <w:szCs w:val="24"/>
                                        </w:rPr>
                                        <m:t>0</m:t>
                                      </m:r>
                                    </m:sup>
                                  </m:sSup>
                                </m:den>
                              </m:f>
                              <m:r>
                                <w:rPr>
                                  <w:rFonts w:ascii="Cambria Math" w:hAnsi="Cambria Math" w:cs="Arial"/>
                                  <w:szCs w:val="24"/>
                                </w:rPr>
                                <m:t xml:space="preserve"> + </m:t>
                              </m:r>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CF</m:t>
                                      </m:r>
                                    </m:e>
                                    <m:sub>
                                      <m:r>
                                        <w:rPr>
                                          <w:rFonts w:ascii="Cambria Math" w:hAnsi="Cambria Math" w:cs="Arial"/>
                                          <w:szCs w:val="24"/>
                                        </w:rPr>
                                        <m:t>1</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1+VGN</m:t>
                                          </m:r>
                                        </m:e>
                                      </m:d>
                                    </m:e>
                                    <m:sup>
                                      <m:r>
                                        <w:rPr>
                                          <w:rFonts w:ascii="Cambria Math" w:hAnsi="Cambria Math" w:cs="Arial"/>
                                          <w:szCs w:val="24"/>
                                        </w:rPr>
                                        <m:t>1</m:t>
                                      </m:r>
                                    </m:sup>
                                  </m:sSup>
                                </m:den>
                              </m:f>
                              <m:r>
                                <w:rPr>
                                  <w:rFonts w:ascii="Cambria Math" w:hAnsi="Cambria Math" w:cs="Arial"/>
                                  <w:szCs w:val="24"/>
                                </w:rPr>
                                <m:t xml:space="preserve"> +</m:t>
                              </m:r>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CF</m:t>
                                      </m:r>
                                    </m:e>
                                    <m:sub>
                                      <m:r>
                                        <w:rPr>
                                          <w:rFonts w:ascii="Cambria Math" w:hAnsi="Cambria Math" w:cs="Arial"/>
                                          <w:szCs w:val="24"/>
                                        </w:rPr>
                                        <m:t>2</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1+VGN</m:t>
                                          </m:r>
                                        </m:e>
                                      </m:d>
                                    </m:e>
                                    <m:sup>
                                      <m:r>
                                        <w:rPr>
                                          <w:rFonts w:ascii="Cambria Math" w:hAnsi="Cambria Math" w:cs="Arial"/>
                                          <w:szCs w:val="24"/>
                                        </w:rPr>
                                        <m:t>2</m:t>
                                      </m:r>
                                    </m:sup>
                                  </m:sSup>
                                </m:den>
                              </m:f>
                              <m:r>
                                <w:rPr>
                                  <w:rFonts w:ascii="Cambria Math" w:hAnsi="Cambria Math" w:cs="Arial"/>
                                  <w:szCs w:val="24"/>
                                </w:rPr>
                                <m:t>… +</m:t>
                              </m:r>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CF</m:t>
                                      </m:r>
                                    </m:e>
                                    <m:sub>
                                      <m:r>
                                        <w:rPr>
                                          <w:rFonts w:ascii="Cambria Math" w:hAnsi="Cambria Math" w:cs="Arial"/>
                                          <w:szCs w:val="24"/>
                                        </w:rPr>
                                        <m:t>n</m:t>
                                      </m:r>
                                    </m:sub>
                                  </m:sSub>
                                </m:num>
                                <m:den>
                                  <m:sSup>
                                    <m:sSupPr>
                                      <m:ctrlPr>
                                        <w:rPr>
                                          <w:rFonts w:ascii="Cambria Math" w:hAnsi="Cambria Math" w:cs="Arial"/>
                                          <w:i/>
                                          <w:szCs w:val="24"/>
                                        </w:rPr>
                                      </m:ctrlPr>
                                    </m:sSupPr>
                                    <m:e>
                                      <m:d>
                                        <m:dPr>
                                          <m:ctrlPr>
                                            <w:rPr>
                                              <w:rFonts w:ascii="Cambria Math" w:hAnsi="Cambria Math" w:cs="Arial"/>
                                              <w:i/>
                                              <w:szCs w:val="24"/>
                                            </w:rPr>
                                          </m:ctrlPr>
                                        </m:dPr>
                                        <m:e>
                                          <m:r>
                                            <w:rPr>
                                              <w:rFonts w:ascii="Cambria Math" w:hAnsi="Cambria Math" w:cs="Arial"/>
                                              <w:szCs w:val="24"/>
                                            </w:rPr>
                                            <m:t>1+VGN</m:t>
                                          </m:r>
                                        </m:e>
                                      </m:d>
                                    </m:e>
                                    <m:sup>
                                      <m:r>
                                        <w:rPr>
                                          <w:rFonts w:ascii="Cambria Math" w:hAnsi="Cambria Math" w:cs="Arial"/>
                                          <w:szCs w:val="24"/>
                                        </w:rPr>
                                        <m:t>n</m:t>
                                      </m:r>
                                    </m:sup>
                                  </m:sSup>
                                </m:den>
                              </m:f>
                            </m:oMath>
                          </m:oMathPara>
                        </w:p>
                        <w:p>
                          <w:pPr>
                            <w:rPr>
                              <w:sz w:val="14"/>
                              <w:szCs w:val="14"/>
                            </w:rPr>
                          </w:pPr>
                        </w:p>
                        <w:p>
                          <w:pPr>
                            <w:spacing w:line="259" w:lineRule="auto"/>
                            <w:ind w:firstLine="567"/>
                            <w:jc w:val="both"/>
                            <w:rPr>
                              <w:rFonts w:ascii="Arial" w:hAnsi="Arial" w:cs="Arial"/>
                              <w:sz w:val="22"/>
                            </w:rPr>
                          </w:pPr>
                          <w:r>
                            <w:rPr>
                              <w:rFonts w:ascii="Arial" w:hAnsi="Arial" w:cs="Arial"/>
                              <w:sz w:val="22"/>
                            </w:rPr>
                            <w:t xml:space="preserve">VGN reikšmė, prie kurios grynoji dabartinė vertė lygi 0, apskaičiuojama skaičiuokle MS Excel naudojant funkciją IRR (Value 1:Value N), kur Value 1 – grynųjų pinigų srauto reikšmė pirmaisiais ataskaitinio laikotarpio metais, Value N – paskutiniais ataskaitinio laikotarpio metais. </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Pagal apskaičiuotą VGN planuojam ų taupymo priemonių investicijų tinkamumas nustatomas: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tinkamas, jei VGN yra didesnė už kapitalo kainą;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atmetamas, jei VGN yra lygi arba mažesnė už kapitalo kainą;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projektas, kurio VGN aukštesnis yra tinkamesnis finansavimui. </w:t>
                          </w:r>
                        </w:p>
                        <w:p>
                          <w:pPr>
                            <w:rPr>
                              <w:sz w:val="14"/>
                              <w:szCs w:val="14"/>
                            </w:rPr>
                          </w:pPr>
                        </w:p>
                      </w:sdtContent>
                    </w:sdt>
                    <w:sdt>
                      <w:sdtPr>
                        <w:alias w:val="10.2.2 pp."/>
                        <w:tag w:val="part_67e5ab047835446c9d8f2bbf2f9eabc9"/>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67e5ab047835446c9d8f2bbf2f9eabc9"/>
                              <w:lock w:val="sdtLocked"/>
                              <w:richText/>
                            </w:sdtPr>
                            <w:sdtContent>
                              <w:r>
                                <w:rPr>
                                  <w:rFonts w:ascii="Arial" w:hAnsi="Arial" w:cs="Arial"/>
                                  <w:b/>
                                  <w:color w:val="002060"/>
                                  <w:sz w:val="22"/>
                                  <w:szCs w:val="24"/>
                                </w:rPr>
                                <w:t>10.2.2</w:t>
                              </w:r>
                            </w:sdtContent>
                          </w:sdt>
                          <w:r>
                            <w:rPr>
                              <w:rFonts w:ascii="Arial" w:hAnsi="Arial" w:cs="Arial"/>
                              <w:b/>
                              <w:color w:val="002060"/>
                              <w:sz w:val="22"/>
                              <w:szCs w:val="24"/>
                            </w:rPr>
                            <w:t>. Subsidijavimo intensyvumo vertinimas</w:t>
                          </w:r>
                        </w:p>
                        <w:p>
                          <w:pPr>
                            <w:rPr>
                              <w:sz w:val="14"/>
                              <w:szCs w:val="14"/>
                            </w:rPr>
                          </w:pPr>
                        </w:p>
                        <w:p>
                          <w:pPr>
                            <w:spacing w:line="259" w:lineRule="auto"/>
                            <w:ind w:firstLine="567"/>
                            <w:jc w:val="both"/>
                            <w:rPr>
                              <w:rFonts w:ascii="Arial" w:hAnsi="Arial" w:cs="Arial"/>
                              <w:sz w:val="22"/>
                            </w:rPr>
                          </w:pPr>
                          <w:r>
                            <w:rPr>
                              <w:rFonts w:ascii="Arial" w:hAnsi="Arial" w:cs="Arial"/>
                              <w:sz w:val="22"/>
                            </w:rPr>
                            <w:t>Valstybių teikiamą pagalbą ūkio subjektams reglamentuoja Europos Bendrijos steigimo sutarties 87-89 straipsniai (Oficialusis leidinys CE, 2006-12-29, Nr. 321-1), kuriais teigiama, kad „bet kokia forma suteikta pagalba, kuri, palaikydama tam tikras įmones arba tam tikrų prekių gamybą, iškraipo konkurenciją arba gali ją iškraipyti, yra nesuderinama su bendrąja rinka, kai ji daro įtaką valstybių narių tarpusavio prekybai“. Apie visus ketinimus suteikti ar pakeisti pagalbą Komisija turi būti laiku informuojama.</w:t>
                          </w:r>
                        </w:p>
                        <w:p>
                          <w:pPr>
                            <w:rPr>
                              <w:sz w:val="14"/>
                              <w:szCs w:val="14"/>
                            </w:rPr>
                          </w:pPr>
                        </w:p>
                        <w:p>
                          <w:pPr>
                            <w:spacing w:line="259" w:lineRule="auto"/>
                            <w:ind w:firstLine="567"/>
                            <w:jc w:val="both"/>
                            <w:rPr>
                              <w:rFonts w:ascii="Arial" w:hAnsi="Arial" w:cs="Arial"/>
                              <w:sz w:val="22"/>
                            </w:rPr>
                          </w:pPr>
                          <w:r>
                            <w:rPr>
                              <w:rFonts w:ascii="Arial" w:hAnsi="Arial" w:cs="Arial"/>
                              <w:sz w:val="22"/>
                            </w:rPr>
                            <w:t>Taip pat numatomos išimtys, kuomet valstybė neįpareigota pranešti Komisijai apie teikiamą pagalbą ir pati gali priiminėti sprendimus dėl pagalbos įmonėms. Šias išimtis numato šie reglamentai:</w:t>
                          </w:r>
                        </w:p>
                        <w:p>
                          <w:pPr>
                            <w:rPr>
                              <w:sz w:val="14"/>
                              <w:szCs w:val="14"/>
                            </w:rPr>
                          </w:pPr>
                        </w:p>
                        <w:p>
                          <w:pPr>
                            <w:spacing w:line="259" w:lineRule="auto"/>
                            <w:ind w:firstLine="567"/>
                            <w:jc w:val="both"/>
                            <w:rPr>
                              <w:rFonts w:ascii="Arial" w:hAnsi="Arial" w:cs="Arial"/>
                              <w:sz w:val="22"/>
                            </w:rPr>
                          </w:pPr>
                          <w:r>
                            <w:rPr>
                              <w:rFonts w:ascii="Arial" w:hAnsi="Arial" w:cs="Arial"/>
                              <w:sz w:val="22"/>
                            </w:rPr>
                            <w:t>Komisijos reglamentas (EB) Nr. 1998/2006 dėl EB sutarties 87 ir 88 straipsnių taikymo de minimis valstybės pagalbai;</w:t>
                          </w:r>
                        </w:p>
                        <w:p>
                          <w:pPr>
                            <w:rPr>
                              <w:sz w:val="14"/>
                              <w:szCs w:val="14"/>
                            </w:rPr>
                          </w:pPr>
                        </w:p>
                        <w:p>
                          <w:pPr>
                            <w:spacing w:line="259" w:lineRule="auto"/>
                            <w:ind w:firstLine="567"/>
                            <w:jc w:val="both"/>
                            <w:rPr>
                              <w:rFonts w:ascii="Arial" w:hAnsi="Arial" w:cs="Arial"/>
                              <w:sz w:val="22"/>
                            </w:rPr>
                          </w:pPr>
                          <w:r>
                            <w:rPr>
                              <w:rFonts w:ascii="Arial" w:hAnsi="Arial" w:cs="Arial"/>
                              <w:sz w:val="22"/>
                            </w:rPr>
                            <w:t>Komisijos reglamentas (EB) Nr. 800/2008, skelbiantis tam tikrų rūšių pagalbą, suderinamą su bendrąja rinka taikant Sutarties 87 ir 88 straipsnius.</w:t>
                          </w:r>
                        </w:p>
                        <w:p>
                          <w:pPr>
                            <w:rPr>
                              <w:sz w:val="14"/>
                              <w:szCs w:val="14"/>
                            </w:rPr>
                          </w:pPr>
                        </w:p>
                        <w:p>
                          <w:pPr>
                            <w:spacing w:line="259" w:lineRule="auto"/>
                            <w:ind w:firstLine="567"/>
                            <w:jc w:val="both"/>
                            <w:rPr>
                              <w:rFonts w:ascii="Arial" w:hAnsi="Arial" w:cs="Arial"/>
                              <w:sz w:val="22"/>
                            </w:rPr>
                          </w:pPr>
                          <w:r>
                            <w:rPr>
                              <w:rFonts w:ascii="Arial" w:hAnsi="Arial" w:cs="Arial"/>
                              <w:sz w:val="22"/>
                            </w:rPr>
                            <w:t>Pirmasis reglamentas nenusako leidžiamo valstybės pagalbos maksimalaus intensyvumo - jis tik nurodo bendrą pagalbos suteiktos vienai įmonei per trejus fiskalinius metus maksimalią sumą, kuri yra 200 000 EUR. Jei ši suma didesnė, pirmasis reglamentas negali būti taikomas.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Antrasis reglamentas apibrėžia bendrąsias išimtis pagalbai, skirtai aplinkos apsaugai. AIE panaudojimo projektams aktualūs reglamento straipsniai:22 straipsnis. Aplinkosaugos pagalba investicijoms į labai veiksmingą bendrą šilumos ir elektros energijos gamybą. 23 straipsnis. Aplinkosaugos pagalba investicijoms, kuriomis skatinamas energijos iš atsinaujinančių energijos šaltinių naudojimas. Pateikiamas didžiausias galimas pagalbos intensyvumas (žr. 11.2.2.1. lentelę). </w:t>
                          </w:r>
                        </w:p>
                        <w:p>
                          <w:pPr>
                            <w:rPr>
                              <w:sz w:val="14"/>
                              <w:szCs w:val="14"/>
                            </w:rPr>
                          </w:pPr>
                        </w:p>
                        <w:sdt>
                          <w:sdtPr>
                            <w:alias w:val="10.2.2.1 pp."/>
                            <w:tag w:val="part_1502f684beb747b181a46945f98268ba"/>
                            <w:lock w:val="sdtLocked"/>
                            <w:richText/>
                          </w:sdtPr>
                          <w:sdtContent>
                            <w:p>
                              <w:pPr>
                                <w:spacing w:line="259" w:lineRule="auto"/>
                                <w:jc w:val="center"/>
                                <w:rPr>
                                  <w:rFonts w:ascii="Arial" w:eastAsia="Calibri" w:hAnsi="Arial" w:cs="Arial"/>
                                  <w:b/>
                                  <w:color w:val="002060"/>
                                  <w:sz w:val="22"/>
                                  <w:szCs w:val="32"/>
                                </w:rPr>
                              </w:pPr>
                              <w:sdt>
                                <w:sdtPr>
                                  <w:alias w:val="Numeris"/>
                                  <w:tag w:val="nr_1502f684beb747b181a46945f98268ba"/>
                                  <w:lock w:val="sdtLocked"/>
                                  <w:richText/>
                                </w:sdtPr>
                                <w:sdtContent>
                                  <w:r>
                                    <w:rPr>
                                      <w:rFonts w:ascii="Arial" w:eastAsia="Calibri" w:hAnsi="Arial" w:cs="Arial"/>
                                      <w:b/>
                                      <w:color w:val="002060"/>
                                      <w:sz w:val="22"/>
                                      <w:szCs w:val="32"/>
                                    </w:rPr>
                                    <w:t>10.2.2.1</w:t>
                                  </w:r>
                                </w:sdtContent>
                              </w:sdt>
                              <w:r>
                                <w:rPr>
                                  <w:rFonts w:ascii="Arial" w:eastAsia="Calibri" w:hAnsi="Arial" w:cs="Arial"/>
                                  <w:b/>
                                  <w:color w:val="002060"/>
                                  <w:sz w:val="22"/>
                                  <w:szCs w:val="32"/>
                                </w:rPr>
                                <w:t>. lentelė. Pagalbos intensyvumas</w:t>
                              </w:r>
                            </w:p>
                            <w:p>
                              <w:pPr>
                                <w:rPr>
                                  <w:sz w:val="10"/>
                                  <w:szCs w:val="10"/>
                                </w:rPr>
                              </w:pPr>
                            </w:p>
                            <w:tbl>
                              <w:tblPr>
                                <w:tblW w:w="4491" w:type="pct"/>
                                <w:jc w:val="center"/>
                                <w:tblBorders>
                                  <w:top w:val="single" w:sz="4" w:space="0" w:color="4472C4"/>
                                  <w:left w:val="single" w:sz="4" w:space="0" w:color="4472C4"/>
                                  <w:bottom w:val="single" w:sz="4" w:space="0" w:color="4472C4"/>
                                  <w:right w:val="single" w:sz="4" w:space="0" w:color="4472C4"/>
                                </w:tblBorders>
                                <w:tblLayout w:type="fixed"/>
                                <w:tblLook w:val="0420" w:firstRow="1" w:lastRow="0" w:firstColumn="0" w:lastColumn="0" w:noHBand="0" w:noVBand="1"/>
                              </w:tblPr>
                              <w:tblGrid>
                                <w:gridCol w:w="2701"/>
                                <w:gridCol w:w="2854"/>
                                <w:gridCol w:w="3602"/>
                              </w:tblGrid>
                              <w:tr>
                                <w:trPr>
                                  <w:jc w:val="center"/>
                                </w:trPr>
                                <w:tc>
                                  <w:tcPr>
                                    <w:tcW w:w="2551" w:type="dxa"/>
                                  </w:tcPr>
                                  <w:p>
                                    <w:pPr>
                                      <w:jc w:val="center"/>
                                      <w:rPr>
                                        <w:rFonts w:ascii="Arial" w:hAnsi="Arial" w:cs="Arial"/>
                                        <w:sz w:val="20"/>
                                      </w:rPr>
                                    </w:pPr>
                                    <w:r>
                                      <w:rPr>
                                        <w:rFonts w:ascii="Arial" w:hAnsi="Arial" w:cs="Arial"/>
                                        <w:sz w:val="20"/>
                                      </w:rPr>
                                      <w:t>Mažos įmonės</w:t>
                                    </w:r>
                                  </w:p>
                                </w:tc>
                                <w:tc>
                                  <w:tcPr>
                                    <w:tcW w:w="2695" w:type="dxa"/>
                                  </w:tcPr>
                                  <w:p>
                                    <w:pPr>
                                      <w:jc w:val="center"/>
                                      <w:rPr>
                                        <w:rFonts w:ascii="Arial" w:hAnsi="Arial" w:cs="Arial"/>
                                        <w:sz w:val="20"/>
                                      </w:rPr>
                                    </w:pPr>
                                    <w:r>
                                      <w:rPr>
                                        <w:rFonts w:ascii="Arial" w:hAnsi="Arial" w:cs="Arial"/>
                                        <w:sz w:val="20"/>
                                      </w:rPr>
                                      <w:t>Vidutinės įmonės</w:t>
                                    </w:r>
                                  </w:p>
                                </w:tc>
                                <w:tc>
                                  <w:tcPr>
                                    <w:tcW w:w="3402" w:type="dxa"/>
                                  </w:tcPr>
                                  <w:p>
                                    <w:pPr>
                                      <w:jc w:val="center"/>
                                      <w:rPr>
                                        <w:rFonts w:ascii="Arial" w:hAnsi="Arial" w:cs="Arial"/>
                                        <w:sz w:val="20"/>
                                      </w:rPr>
                                    </w:pPr>
                                    <w:r>
                                      <w:rPr>
                                        <w:rFonts w:ascii="Arial" w:hAnsi="Arial" w:cs="Arial"/>
                                        <w:sz w:val="20"/>
                                      </w:rPr>
                                      <w:t>Didelės įmonės</w:t>
                                    </w:r>
                                  </w:p>
                                </w:tc>
                              </w:tr>
                              <w:tr>
                                <w:trPr>
                                  <w:trHeight w:val="20"/>
                                  <w:jc w:val="center"/>
                                </w:trPr>
                                <w:tc>
                                  <w:tcPr>
                                    <w:tcW w:w="2551" w:type="dxa"/>
                                  </w:tcPr>
                                  <w:p>
                                    <w:pPr>
                                      <w:jc w:val="center"/>
                                      <w:rPr>
                                        <w:rFonts w:ascii="Arial" w:hAnsi="Arial" w:cs="Arial"/>
                                        <w:sz w:val="20"/>
                                      </w:rPr>
                                    </w:pPr>
                                    <w:r>
                                      <w:rPr>
                                        <w:rFonts w:ascii="Arial" w:hAnsi="Arial" w:cs="Arial"/>
                                        <w:sz w:val="20"/>
                                      </w:rPr>
                                      <w:t>65 proc.</w:t>
                                    </w:r>
                                  </w:p>
                                </w:tc>
                                <w:tc>
                                  <w:tcPr>
                                    <w:tcW w:w="2695" w:type="dxa"/>
                                  </w:tcPr>
                                  <w:p>
                                    <w:pPr>
                                      <w:jc w:val="center"/>
                                      <w:rPr>
                                        <w:rFonts w:ascii="Arial" w:hAnsi="Arial" w:cs="Arial"/>
                                        <w:sz w:val="20"/>
                                      </w:rPr>
                                    </w:pPr>
                                    <w:r>
                                      <w:rPr>
                                        <w:rFonts w:ascii="Arial" w:hAnsi="Arial" w:cs="Arial"/>
                                        <w:sz w:val="20"/>
                                      </w:rPr>
                                      <w:t>55 proc.</w:t>
                                    </w:r>
                                  </w:p>
                                </w:tc>
                                <w:tc>
                                  <w:tcPr>
                                    <w:tcW w:w="3402" w:type="dxa"/>
                                  </w:tcPr>
                                  <w:p>
                                    <w:pPr>
                                      <w:jc w:val="center"/>
                                      <w:rPr>
                                        <w:rFonts w:ascii="Arial" w:hAnsi="Arial" w:cs="Arial"/>
                                        <w:sz w:val="20"/>
                                      </w:rPr>
                                    </w:pPr>
                                    <w:r>
                                      <w:rPr>
                                        <w:rFonts w:ascii="Arial" w:hAnsi="Arial" w:cs="Arial"/>
                                        <w:sz w:val="20"/>
                                      </w:rPr>
                                      <w:t>45 proc.</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ind w:firstLine="567"/>
                                <w:jc w:val="both"/>
                                <w:rPr>
                                  <w:rFonts w:ascii="Arial" w:hAnsi="Arial" w:cs="Arial"/>
                                  <w:sz w:val="22"/>
                                </w:rPr>
                              </w:pPr>
                              <w:r>
                                <w:rPr>
                                  <w:rFonts w:ascii="Arial" w:hAnsi="Arial" w:cs="Arial"/>
                                  <w:sz w:val="22"/>
                                </w:rPr>
                                <w:t>Apibendrinant, maksimali valstybės pagalba neturi viršyti 45 proc. didelėms įmonėms, 55 proc. vidutinėms ir 65 proc. mažoms. Svarbu paminėti, kad pagal Komisijos reglamentą Nr. 1998/2006 dėl EB sutarties 87 ir 88 straipsnių taikymo de minimis valstybės pagalbai įmonėms gali būti suteikta vienkartinė finansinė pagalba, kuri per 3 fiskalinius metus neturi viršyti 200 000 EUR.</w:t>
                              </w:r>
                            </w:p>
                            <w:p>
                              <w:pPr>
                                <w:rPr>
                                  <w:sz w:val="14"/>
                                  <w:szCs w:val="14"/>
                                </w:rPr>
                              </w:pPr>
                            </w:p>
                            <w:p>
                              <w:pPr>
                                <w:spacing w:line="259" w:lineRule="auto"/>
                                <w:ind w:firstLine="567"/>
                                <w:jc w:val="both"/>
                                <w:rPr>
                                  <w:rFonts w:ascii="Arial" w:hAnsi="Arial" w:cs="Arial"/>
                                  <w:sz w:val="22"/>
                                </w:rPr>
                              </w:pPr>
                              <w:r>
                                <w:rPr>
                                  <w:rFonts w:ascii="Arial" w:hAnsi="Arial" w:cs="Arial"/>
                                  <w:sz w:val="22"/>
                                </w:rPr>
                                <w:t>Kadangi mažiems projektams parama skiriama pagal de minimis taisyklę, jos intensyvumas gali būti bet koks. Jeigu paramos dydis yra didesnis kaip 200 000 EUR, tokį paramos intensyvumą reikia suderinti su Europos Komisija. Taigi maksimalus paramos intensyvumas negali būti didesnis kaip 100 proc. (praktiškai savivaldybių programoms maksimalus paramos intensyvumas nebus taikomas).</w:t>
                              </w:r>
                            </w:p>
                            <w:p>
                              <w:pPr>
                                <w:rPr>
                                  <w:sz w:val="14"/>
                                  <w:szCs w:val="14"/>
                                </w:rPr>
                              </w:pPr>
                            </w:p>
                            <w:p>
                              <w:pPr>
                                <w:spacing w:line="259" w:lineRule="auto"/>
                                <w:ind w:firstLine="567"/>
                                <w:jc w:val="both"/>
                                <w:rPr>
                                  <w:rFonts w:ascii="Arial" w:hAnsi="Arial" w:cs="Arial"/>
                                  <w:sz w:val="22"/>
                                </w:rPr>
                              </w:pPr>
                              <w:r>
                                <w:rPr>
                                  <w:rFonts w:ascii="Arial" w:hAnsi="Arial" w:cs="Arial"/>
                                  <w:sz w:val="22"/>
                                </w:rPr>
                                <w:t>Savivaldybė šiuo kriterijumi gali numatyti, kad pareiškėjas gali sąmoningai prašyti mažesnės paramos nei yra nustatytas maksimalus subsidijų dydis. Toks pareiškėjas būtų laikomas pranašesniu, lyginant su kitais pareiškėjais, nes jo įgyvendinamam projektui reikėtų mažiau lėšų ir taip jis turėtų būti papildomai paskatintas. Tokiu būdu toks pareiškėjas turėtų gauti daugiau balų, lyginant su kitu pareiškėju, kuris ketina pasinaudoti didesne parama ir nebando konkuruoti. Atsižvelgiant į atliktą analizę, siūloma riboti subsidijavimo intensyvumą tokiu būdu:</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maksimalus subsidijos dydis vienam pareiškėjui, vykdančiam ūkinę-komercinę veiklą:</w:t>
                              </w:r>
                            </w:p>
                            <w:p>
                              <w:pPr>
                                <w:rPr>
                                  <w:sz w:val="14"/>
                                  <w:szCs w:val="14"/>
                                </w:rPr>
                              </w:pPr>
                            </w:p>
                            <w:p>
                              <w:pPr>
                                <w:widowControl w:val="0"/>
                                <w:spacing w:line="259" w:lineRule="auto"/>
                                <w:ind w:left="992" w:hanging="357"/>
                                <w:jc w:val="both"/>
                                <w:rPr>
                                  <w:rFonts w:ascii="Arial" w:eastAsia="Calibri" w:hAnsi="Arial" w:cs="Arial"/>
                                  <w:sz w:val="22"/>
                                  <w:szCs w:val="23"/>
                                </w:rPr>
                              </w:pPr>
                              <w:r>
                                <w:rPr>
                                  <w:rFonts w:ascii="Courier New" w:eastAsia="Calibri" w:hAnsi="Courier New" w:cs="Courier New"/>
                                  <w:sz w:val="22"/>
                                  <w:szCs w:val="23"/>
                                </w:rPr>
                                <w:t>o</w:t>
                                <w:tab/>
                              </w:r>
                              <w:r>
                                <w:rPr>
                                  <w:rFonts w:ascii="Arial" w:eastAsia="Calibri" w:hAnsi="Arial" w:cs="Arial"/>
                                  <w:sz w:val="22"/>
                                  <w:szCs w:val="23"/>
                                </w:rPr>
                                <w:t xml:space="preserve">labai mažoms ir mažoms įmonėms – 65 proc. visų tinkamų finansuoti projekto išlaidų, </w:t>
                              </w:r>
                            </w:p>
                            <w:p>
                              <w:pPr>
                                <w:rPr>
                                  <w:sz w:val="14"/>
                                  <w:szCs w:val="14"/>
                                </w:rPr>
                              </w:pPr>
                            </w:p>
                            <w:p>
                              <w:pPr>
                                <w:widowControl w:val="0"/>
                                <w:spacing w:line="259" w:lineRule="auto"/>
                                <w:ind w:left="992" w:hanging="357"/>
                                <w:jc w:val="both"/>
                                <w:rPr>
                                  <w:rFonts w:ascii="Arial" w:eastAsia="Calibri" w:hAnsi="Arial" w:cs="Arial"/>
                                  <w:sz w:val="22"/>
                                  <w:szCs w:val="23"/>
                                </w:rPr>
                              </w:pPr>
                              <w:r>
                                <w:rPr>
                                  <w:rFonts w:ascii="Courier New" w:eastAsia="Calibri" w:hAnsi="Courier New" w:cs="Courier New"/>
                                  <w:sz w:val="22"/>
                                  <w:szCs w:val="23"/>
                                </w:rPr>
                                <w:t>o</w:t>
                                <w:tab/>
                              </w:r>
                              <w:r>
                                <w:rPr>
                                  <w:rFonts w:ascii="Arial" w:eastAsia="Calibri" w:hAnsi="Arial" w:cs="Arial"/>
                                  <w:sz w:val="22"/>
                                  <w:szCs w:val="23"/>
                                </w:rPr>
                                <w:t xml:space="preserve">vidutinėms įmonėms – 55 proc. visų tinkamų finansuoti projekto iš-laidų, </w:t>
                              </w:r>
                            </w:p>
                            <w:p>
                              <w:pPr>
                                <w:rPr>
                                  <w:sz w:val="14"/>
                                  <w:szCs w:val="14"/>
                                </w:rPr>
                              </w:pPr>
                            </w:p>
                            <w:p>
                              <w:pPr>
                                <w:widowControl w:val="0"/>
                                <w:spacing w:line="259" w:lineRule="auto"/>
                                <w:ind w:left="992" w:hanging="357"/>
                                <w:jc w:val="both"/>
                                <w:rPr>
                                  <w:rFonts w:ascii="Arial" w:eastAsia="Calibri" w:hAnsi="Arial" w:cs="Arial"/>
                                  <w:sz w:val="22"/>
                                  <w:szCs w:val="23"/>
                                </w:rPr>
                              </w:pPr>
                              <w:r>
                                <w:rPr>
                                  <w:rFonts w:ascii="Courier New" w:eastAsia="Calibri" w:hAnsi="Courier New" w:cs="Courier New"/>
                                  <w:sz w:val="22"/>
                                  <w:szCs w:val="23"/>
                                </w:rPr>
                                <w:t>o</w:t>
                                <w:tab/>
                              </w:r>
                              <w:r>
                                <w:rPr>
                                  <w:rFonts w:ascii="Arial" w:eastAsia="Calibri" w:hAnsi="Arial" w:cs="Arial"/>
                                  <w:sz w:val="22"/>
                                  <w:szCs w:val="23"/>
                                </w:rPr>
                                <w:t xml:space="preserve">didelėms įmonėms – 45 proc. visų tinkamų finansuoti projekto išlaidų; </w:t>
                              </w:r>
                            </w:p>
                            <w:p>
                              <w:pPr>
                                <w:rPr>
                                  <w:sz w:val="14"/>
                                  <w:szCs w:val="14"/>
                                </w:rPr>
                              </w:pPr>
                            </w:p>
                            <w:p>
                              <w:pPr>
                                <w:widowControl w:val="0"/>
                                <w:spacing w:line="259" w:lineRule="auto"/>
                                <w:ind w:left="426" w:hanging="426"/>
                                <w:jc w:val="both"/>
                                <w:rPr>
                                  <w:rFonts w:ascii="Arial" w:eastAsia="Calibri" w:hAnsi="Arial" w:cs="Arial"/>
                                  <w:sz w:val="22"/>
                                  <w:szCs w:val="23"/>
                                </w:rPr>
                              </w:pPr>
                              <w:r>
                                <w:rPr>
                                  <w:rFonts w:ascii="Symbol" w:eastAsia="Calibri" w:hAnsi="Symbol" w:cs="Arial"/>
                                  <w:sz w:val="22"/>
                                  <w:szCs w:val="23"/>
                                </w:rPr>
                                <w:t></w:t>
                                <w:tab/>
                              </w:r>
                              <w:r>
                                <w:rPr>
                                  <w:rFonts w:ascii="Arial" w:eastAsia="Calibri" w:hAnsi="Arial" w:cs="Arial"/>
                                  <w:sz w:val="22"/>
                                  <w:szCs w:val="23"/>
                                </w:rPr>
                                <w:t xml:space="preserve">maksimalus subsidijos dydis vienam pareiškėjui, nevykdančiam ūkinės-komercinės veiklos yra ne daugiau nei 50 proc. visų tinkamų finansuoti projekto išlaidų. </w:t>
                              </w:r>
                            </w:p>
                            <w:p>
                              <w:pPr>
                                <w:rPr>
                                  <w:sz w:val="14"/>
                                  <w:szCs w:val="14"/>
                                </w:rPr>
                              </w:pPr>
                            </w:p>
                          </w:sdtContent>
                        </w:sdt>
                      </w:sdtContent>
                    </w:sdt>
                    <w:sdt>
                      <w:sdtPr>
                        <w:alias w:val="10.2.3 pp."/>
                        <w:tag w:val="part_e79ee12445124cd4bafb4b9a7107fa63"/>
                        <w:lock w:val="sdtLocked"/>
                        <w:richText/>
                      </w:sdtPr>
                      <w:sdtContent>
                        <w:p>
                          <w:pPr>
                            <w:keepNext/>
                            <w:keepLines/>
                            <w:spacing w:line="259" w:lineRule="auto"/>
                            <w:jc w:val="center"/>
                            <w:outlineLvl w:val="2"/>
                            <w:rPr>
                              <w:rFonts w:ascii="Arial" w:hAnsi="Arial" w:cs="Arial"/>
                              <w:b/>
                              <w:color w:val="002060"/>
                              <w:sz w:val="22"/>
                              <w:szCs w:val="24"/>
                            </w:rPr>
                          </w:pPr>
                          <w:sdt>
                            <w:sdtPr>
                              <w:alias w:val="Numeris"/>
                              <w:tag w:val="nr_e79ee12445124cd4bafb4b9a7107fa63"/>
                              <w:lock w:val="sdtLocked"/>
                              <w:richText/>
                            </w:sdtPr>
                            <w:sdtContent>
                              <w:r>
                                <w:rPr>
                                  <w:rFonts w:ascii="Arial" w:hAnsi="Arial" w:cs="Arial"/>
                                  <w:b/>
                                  <w:color w:val="002060"/>
                                  <w:sz w:val="22"/>
                                  <w:szCs w:val="24"/>
                                </w:rPr>
                                <w:t>10.2.3</w:t>
                              </w:r>
                            </w:sdtContent>
                          </w:sdt>
                          <w:r>
                            <w:rPr>
                              <w:rFonts w:ascii="Arial" w:hAnsi="Arial" w:cs="Arial"/>
                              <w:b/>
                              <w:color w:val="002060"/>
                              <w:sz w:val="22"/>
                              <w:szCs w:val="24"/>
                            </w:rPr>
                            <w:t>. Aplinkosauginio kriterijaus vertinimas</w:t>
                          </w:r>
                        </w:p>
                        <w:p>
                          <w:pPr>
                            <w:rPr>
                              <w:sz w:val="14"/>
                              <w:szCs w:val="14"/>
                            </w:rPr>
                          </w:pPr>
                        </w:p>
                        <w:p>
                          <w:pPr>
                            <w:spacing w:line="259" w:lineRule="auto"/>
                            <w:ind w:firstLine="567"/>
                            <w:jc w:val="both"/>
                            <w:rPr>
                              <w:rFonts w:ascii="Arial" w:hAnsi="Arial" w:cs="Arial"/>
                              <w:sz w:val="22"/>
                            </w:rPr>
                          </w:pPr>
                          <w:r>
                            <w:rPr>
                              <w:rFonts w:ascii="Arial" w:hAnsi="Arial" w:cs="Arial"/>
                              <w:sz w:val="22"/>
                            </w:rPr>
                            <w:t>Siūlomas aplinkosauginis kriterijus – subsidijos CO2 mažinimo efektyvumas (kgCO2/Eur). Šio kriterijaus dėka galėtų būti prioretizuojami projektai, kurių skiriamų subsidijų suderinti CO2 mažinimo efektyvumai yra didesni. Galima sakyti, kad tokie projektai sutaupytų daugiau CO2 prie vienodo subsidijų dydžio.</w:t>
                          </w:r>
                        </w:p>
                        <w:p>
                          <w:pPr>
                            <w:rPr>
                              <w:sz w:val="14"/>
                              <w:szCs w:val="14"/>
                            </w:rPr>
                          </w:pPr>
                        </w:p>
                        <w:p>
                          <w:pPr>
                            <w:spacing w:line="259" w:lineRule="auto"/>
                            <w:ind w:firstLine="567"/>
                            <w:jc w:val="both"/>
                            <w:rPr>
                              <w:rFonts w:ascii="Arial" w:hAnsi="Arial" w:cs="Arial"/>
                              <w:sz w:val="22"/>
                            </w:rPr>
                          </w:pPr>
                          <w:r>
                            <w:rPr>
                              <w:rFonts w:ascii="Arial" w:hAnsi="Arial" w:cs="Arial"/>
                              <w:sz w:val="22"/>
                            </w:rPr>
                            <w:t>Klimato kaitos specialiosios programos lėšų naudojimo tvarkos apraše yra nustatyta, kad maksimali valstybės parama gali būti ne didesnė nei 0,15 Eur vienam projektu sumažinamam kilogramui CO2 ekvivalento (0,3 Eur dviem projektu sumažinamiems kilogramams CO2 ekvivalento) per projekto vertinamąjį laikotarpį. Rekomenduojama, kad savivaldybei pasirinkus šį kriterijų, jis būtų pasirinktas aktualus pagal galiojančią Klimato kaitos specialiosios programos lėšų naudojimo tvarkos aprašo redakciją.</w:t>
                          </w:r>
                        </w:p>
                        <w:p>
                          <w:pPr>
                            <w:rPr>
                              <w:sz w:val="14"/>
                              <w:szCs w:val="14"/>
                            </w:rPr>
                          </w:pPr>
                        </w:p>
                        <w:p>
                          <w:pPr>
                            <w:spacing w:line="259" w:lineRule="auto"/>
                            <w:ind w:firstLine="567"/>
                            <w:jc w:val="both"/>
                            <w:rPr>
                              <w:rFonts w:ascii="Arial" w:hAnsi="Arial" w:cs="Arial"/>
                              <w:sz w:val="22"/>
                            </w:rPr>
                          </w:pPr>
                          <w:r>
                            <w:rPr>
                              <w:rFonts w:ascii="Arial" w:hAnsi="Arial" w:cs="Arial"/>
                              <w:sz w:val="22"/>
                            </w:rPr>
                            <w:t>Vertinant netiesioginį išmetamo CO2 kiekį tonomis kitose pareiškėjo nevaldomose Lietuvos Respublikos teritorijoje veikiančiose elektrinėse, sąlygojamą projekto pareiškėjo iš tinklo perkamos elektros energijos kiekiu arba projekto pareiškėjo į tinklą patiekiamo pagamintos elektros energijos, pakeičiančios elektros gamybą kitose projekto pareiškėjo nevaldomose elektrinėse kiekiu, iš tinklo per vertinamąjį laikotarpį perkamas elektros energijos kiekis arba</w:t>
                          </w:r>
                          <w:r>
                            <w:rPr>
                              <w:rFonts w:ascii="Arial" w:hAnsi="Arial" w:cs="Arial"/>
                              <w:b/>
                              <w:bCs/>
                              <w:sz w:val="22"/>
                            </w:rPr>
                            <w:t xml:space="preserve"> </w:t>
                          </w:r>
                          <w:r>
                            <w:rPr>
                              <w:rFonts w:ascii="Arial" w:hAnsi="Arial" w:cs="Arial"/>
                              <w:sz w:val="22"/>
                            </w:rPr>
                            <w:t>per vertinamąjį laikotarpį į tinklą patiekiamos elektros energijos kiekis yra dauginamas iš 0,6 t CO2e/MWh.</w:t>
                          </w:r>
                        </w:p>
                        <w:p>
                          <w:pPr>
                            <w:rPr>
                              <w:sz w:val="14"/>
                              <w:szCs w:val="14"/>
                            </w:rPr>
                          </w:pPr>
                        </w:p>
                      </w:sdtContent>
                    </w:sdt>
                  </w:sdtContent>
                </w:sdt>
                <w:sdt>
                  <w:sdtPr>
                    <w:alias w:val="10.3 pp."/>
                    <w:tag w:val="part_7fabc6df922d47bcaf505907de8d3c81"/>
                    <w:lock w:val="sdtLocked"/>
                    <w:richText/>
                  </w:sdtPr>
                  <w:sdtContent>
                    <w:p>
                      <w:pPr>
                        <w:keepNext/>
                        <w:keepLines/>
                        <w:spacing w:line="259" w:lineRule="auto"/>
                        <w:jc w:val="center"/>
                        <w:outlineLvl w:val="1"/>
                        <w:rPr>
                          <w:rFonts w:ascii="Arial" w:hAnsi="Arial" w:cs="Arial"/>
                          <w:b/>
                          <w:color w:val="002060"/>
                          <w:szCs w:val="26"/>
                        </w:rPr>
                      </w:pPr>
                      <w:sdt>
                        <w:sdtPr>
                          <w:alias w:val="Numeris"/>
                          <w:tag w:val="nr_7fabc6df922d47bcaf505907de8d3c81"/>
                          <w:lock w:val="sdtLocked"/>
                          <w:richText/>
                        </w:sdtPr>
                        <w:sdtContent>
                          <w:r>
                            <w:rPr>
                              <w:rFonts w:ascii="Arial" w:hAnsi="Arial" w:cs="Arial"/>
                              <w:b/>
                              <w:color w:val="002060"/>
                              <w:szCs w:val="26"/>
                            </w:rPr>
                            <w:t>10.3</w:t>
                          </w:r>
                        </w:sdtContent>
                      </w:sdt>
                      <w:r>
                        <w:rPr>
                          <w:rFonts w:ascii="Arial" w:hAnsi="Arial" w:cs="Arial"/>
                          <w:b/>
                          <w:color w:val="002060"/>
                          <w:szCs w:val="26"/>
                        </w:rPr>
                        <w:t>. Projektų atrankos principai</w:t>
                      </w:r>
                    </w:p>
                    <w:p>
                      <w:pPr>
                        <w:rPr>
                          <w:sz w:val="14"/>
                          <w:szCs w:val="14"/>
                        </w:rPr>
                      </w:pPr>
                    </w:p>
                    <w:p>
                      <w:pPr>
                        <w:spacing w:line="259" w:lineRule="auto"/>
                        <w:ind w:firstLine="567"/>
                        <w:jc w:val="both"/>
                        <w:rPr>
                          <w:rFonts w:ascii="Arial" w:hAnsi="Arial" w:cs="Arial"/>
                          <w:sz w:val="22"/>
                        </w:rPr>
                      </w:pPr>
                      <w:r>
                        <w:rPr>
                          <w:rFonts w:ascii="Arial" w:hAnsi="Arial" w:cs="Arial"/>
                          <w:sz w:val="22"/>
                        </w:rPr>
                        <w:t>Projektų atranką galima vykdyti konkursiniu arba tęstiniu būdais. Konkursiniu būdu pareiškėjai teiktų projektus finansavimui pagal savivaldybės skelbiamus kvietimus. Minimalius reikalavimus atitinkantys projektai būtų sustatomi į eilę pagal surinktą balų skaičių.</w:t>
                      </w:r>
                    </w:p>
                    <w:p>
                      <w:pPr>
                        <w:rPr>
                          <w:sz w:val="14"/>
                          <w:szCs w:val="14"/>
                        </w:rPr>
                      </w:pPr>
                    </w:p>
                    <w:p>
                      <w:pPr>
                        <w:spacing w:line="259" w:lineRule="auto"/>
                        <w:ind w:firstLine="567"/>
                        <w:jc w:val="both"/>
                        <w:rPr>
                          <w:rFonts w:ascii="Arial" w:hAnsi="Arial" w:cs="Arial"/>
                          <w:sz w:val="22"/>
                        </w:rPr>
                      </w:pPr>
                      <w:r>
                        <w:rPr>
                          <w:rFonts w:ascii="Arial" w:hAnsi="Arial" w:cs="Arial"/>
                          <w:sz w:val="22"/>
                        </w:rPr>
                        <w:t>Organizuojant paraiškų teikimą tęstiniu būdu, savivaldybei atnaujintų kvietimų skelbti nereikėtų, pareiškėjai galėtų nuolat teikti paraiškas. Tokiu būdu pareiškėjams būtų sudaryta nuolatinė galimybė gauti finansavimą, jei projektas atitinka nustatytus kriterijus. Savivaldybė turėtų nustatyti mažiausią balų sumą, kurią viršijus projektas įgautų finansavimo galimybę.</w:t>
                      </w:r>
                    </w:p>
                    <w:p>
                      <w:pPr>
                        <w:rPr>
                          <w:sz w:val="14"/>
                          <w:szCs w:val="14"/>
                        </w:rPr>
                      </w:pPr>
                    </w:p>
                    <w:p>
                      <w:pPr>
                        <w:spacing w:line="259" w:lineRule="auto"/>
                        <w:ind w:firstLine="567"/>
                        <w:jc w:val="both"/>
                        <w:rPr>
                          <w:rFonts w:ascii="Arial" w:hAnsi="Arial" w:cs="Arial"/>
                          <w:sz w:val="22"/>
                        </w:rPr>
                      </w:pPr>
                      <w:r>
                        <w:rPr>
                          <w:rFonts w:ascii="Arial" w:hAnsi="Arial" w:cs="Arial"/>
                          <w:sz w:val="22"/>
                        </w:rPr>
                        <w:t>Savivaldybė turi teisę pati nuspręsti, kokie taikomi minimalūs kriterijai, arba už kokius kriterijus skiriami balai. Siūlomų kriterijų santrauka pateikta lentelėje žemiau. Pažymėtina, kad savivaldybei nebūtina naudoti visų kriterijų, o pasirinkti kriterijus labiau atspindinčius savivaldybės plėtros tikslus.</w:t>
                      </w:r>
                    </w:p>
                    <w:p>
                      <w:pPr>
                        <w:rPr>
                          <w:sz w:val="14"/>
                          <w:szCs w:val="14"/>
                        </w:rPr>
                      </w:pPr>
                    </w:p>
                    <w:sdt>
                      <w:sdtPr>
                        <w:alias w:val="10.3.1 pp."/>
                        <w:tag w:val="part_0eeb1e9ed294412abd20a4ad6b86d9f2"/>
                        <w:lock w:val="sdtLocked"/>
                        <w:richText/>
                      </w:sdtPr>
                      <w:sdtContent>
                        <w:p>
                          <w:pPr>
                            <w:spacing w:line="259" w:lineRule="auto"/>
                            <w:jc w:val="center"/>
                            <w:rPr>
                              <w:rFonts w:ascii="Arial" w:eastAsia="Calibri" w:hAnsi="Arial" w:cs="Arial"/>
                              <w:b/>
                              <w:color w:val="002060"/>
                              <w:sz w:val="22"/>
                              <w:szCs w:val="32"/>
                            </w:rPr>
                          </w:pPr>
                          <w:sdt>
                            <w:sdtPr>
                              <w:alias w:val="Numeris"/>
                              <w:tag w:val="nr_0eeb1e9ed294412abd20a4ad6b86d9f2"/>
                              <w:lock w:val="sdtLocked"/>
                              <w:richText/>
                            </w:sdtPr>
                            <w:sdtContent>
                              <w:r>
                                <w:rPr>
                                  <w:rFonts w:ascii="Arial" w:eastAsia="Calibri" w:hAnsi="Arial" w:cs="Arial"/>
                                  <w:b/>
                                  <w:color w:val="002060"/>
                                  <w:sz w:val="22"/>
                                  <w:szCs w:val="32"/>
                                </w:rPr>
                                <w:t>10.3.1</w:t>
                              </w:r>
                            </w:sdtContent>
                          </w:sdt>
                          <w:r>
                            <w:rPr>
                              <w:rFonts w:ascii="Arial" w:eastAsia="Calibri" w:hAnsi="Arial" w:cs="Arial"/>
                              <w:b/>
                              <w:color w:val="002060"/>
                              <w:sz w:val="22"/>
                              <w:szCs w:val="32"/>
                            </w:rPr>
                            <w:t>. lentelė. Galimi projektų atrankos principai</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517"/>
                            <w:gridCol w:w="3447"/>
                            <w:gridCol w:w="4494"/>
                            <w:gridCol w:w="1737"/>
                          </w:tblGrid>
                          <w:tr>
                            <w:trPr>
                              <w:jc w:val="center"/>
                            </w:trPr>
                            <w:tc>
                              <w:tcPr>
                                <w:tcW w:w="517" w:type="dxa"/>
                              </w:tcPr>
                              <w:p>
                                <w:pPr>
                                  <w:jc w:val="center"/>
                                  <w:rPr>
                                    <w:rFonts w:ascii="Arial" w:hAnsi="Arial" w:cs="Arial"/>
                                    <w:sz w:val="20"/>
                                  </w:rPr>
                                </w:pPr>
                                <w:r>
                                  <w:rPr>
                                    <w:rFonts w:ascii="Arial" w:hAnsi="Arial" w:cs="Arial"/>
                                    <w:sz w:val="20"/>
                                  </w:rPr>
                                  <w:t>Eil. Nr.</w:t>
                                </w:r>
                              </w:p>
                            </w:tc>
                            <w:tc>
                              <w:tcPr>
                                <w:tcW w:w="3447" w:type="dxa"/>
                              </w:tcPr>
                              <w:p>
                                <w:pPr>
                                  <w:jc w:val="center"/>
                                  <w:rPr>
                                    <w:rFonts w:ascii="Arial" w:hAnsi="Arial" w:cs="Arial"/>
                                    <w:sz w:val="20"/>
                                  </w:rPr>
                                </w:pPr>
                                <w:r>
                                  <w:rPr>
                                    <w:rFonts w:ascii="Arial" w:hAnsi="Arial" w:cs="Arial"/>
                                    <w:sz w:val="20"/>
                                  </w:rPr>
                                  <w:t>Kriterijaus pavadinimas</w:t>
                                </w:r>
                              </w:p>
                            </w:tc>
                            <w:tc>
                              <w:tcPr>
                                <w:tcW w:w="4494" w:type="dxa"/>
                              </w:tcPr>
                              <w:p>
                                <w:pPr>
                                  <w:jc w:val="center"/>
                                  <w:rPr>
                                    <w:rFonts w:ascii="Arial" w:hAnsi="Arial" w:cs="Arial"/>
                                    <w:sz w:val="20"/>
                                  </w:rPr>
                                </w:pPr>
                                <w:r>
                                  <w:rPr>
                                    <w:rFonts w:ascii="Arial" w:hAnsi="Arial" w:cs="Arial"/>
                                    <w:sz w:val="20"/>
                                  </w:rPr>
                                  <w:t>Kriterijaus paaiškinimas</w:t>
                                </w:r>
                              </w:p>
                            </w:tc>
                            <w:tc>
                              <w:tcPr>
                                <w:tcW w:w="0" w:type="auto"/>
                              </w:tcPr>
                              <w:p>
                                <w:pPr>
                                  <w:jc w:val="center"/>
                                  <w:rPr>
                                    <w:rFonts w:ascii="Arial" w:hAnsi="Arial" w:cs="Arial"/>
                                    <w:sz w:val="20"/>
                                  </w:rPr>
                                </w:pPr>
                                <w:r>
                                  <w:rPr>
                                    <w:rFonts w:ascii="Arial" w:hAnsi="Arial" w:cs="Arial"/>
                                    <w:sz w:val="20"/>
                                  </w:rPr>
                                  <w:t>Balai</w:t>
                                </w:r>
                              </w:p>
                            </w:tc>
                          </w:tr>
                          <w:tr>
                            <w:trPr>
                              <w:trHeight w:val="20"/>
                              <w:jc w:val="center"/>
                            </w:trPr>
                            <w:tc>
                              <w:tcPr>
                                <w:tcW w:w="517" w:type="dxa"/>
                              </w:tcPr>
                              <w:p>
                                <w:pPr>
                                  <w:jc w:val="both"/>
                                  <w:rPr>
                                    <w:rFonts w:ascii="Arial" w:hAnsi="Arial" w:cs="Arial"/>
                                    <w:sz w:val="20"/>
                                  </w:rPr>
                                </w:pPr>
                                <w:r>
                                  <w:rPr>
                                    <w:rFonts w:ascii="Arial" w:hAnsi="Arial" w:cs="Arial"/>
                                    <w:sz w:val="20"/>
                                  </w:rPr>
                                  <w:t>1</w:t>
                                </w:r>
                              </w:p>
                            </w:tc>
                            <w:tc>
                              <w:tcPr>
                                <w:tcW w:w="3447" w:type="dxa"/>
                              </w:tcPr>
                              <w:p>
                                <w:pPr>
                                  <w:jc w:val="both"/>
                                  <w:rPr>
                                    <w:rFonts w:ascii="Arial" w:hAnsi="Arial" w:cs="Arial"/>
                                    <w:sz w:val="20"/>
                                  </w:rPr>
                                </w:pPr>
                                <w:r>
                                  <w:rPr>
                                    <w:rFonts w:ascii="Arial" w:hAnsi="Arial" w:cs="Arial"/>
                                    <w:sz w:val="20"/>
                                  </w:rPr>
                                  <w:t>Projektas privalo atitikti savivaldybės tarybos sprendimu patvirtintoje programos sąmatoje nurodytas kryptis</w:t>
                                </w:r>
                              </w:p>
                            </w:tc>
                            <w:tc>
                              <w:tcPr>
                                <w:tcW w:w="4494" w:type="dxa"/>
                              </w:tcPr>
                              <w:p>
                                <w:pPr>
                                  <w:jc w:val="both"/>
                                  <w:rPr>
                                    <w:rFonts w:ascii="Arial" w:hAnsi="Arial" w:cs="Arial"/>
                                    <w:sz w:val="20"/>
                                  </w:rPr>
                                </w:pPr>
                                <w:r>
                                  <w:rPr>
                                    <w:rFonts w:ascii="Arial" w:hAnsi="Arial" w:cs="Arial"/>
                                    <w:sz w:val="20"/>
                                  </w:rPr>
                                  <w:t>Projektas turi atitikti bent vieną savivaldybės tarybos sprendimu patvirtintoje programos sąmatoje nurodytą kryptį</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jc w:val="both"/>
                                  <w:rPr>
                                    <w:rFonts w:ascii="Arial" w:hAnsi="Arial" w:cs="Arial"/>
                                    <w:sz w:val="20"/>
                                  </w:rPr>
                                </w:pPr>
                                <w:r>
                                  <w:rPr>
                                    <w:rFonts w:ascii="Arial" w:hAnsi="Arial" w:cs="Arial"/>
                                    <w:sz w:val="20"/>
                                  </w:rPr>
                                  <w:t>2</w:t>
                                </w:r>
                              </w:p>
                            </w:tc>
                            <w:tc>
                              <w:tcPr>
                                <w:tcW w:w="3447" w:type="dxa"/>
                              </w:tcPr>
                              <w:p>
                                <w:pPr>
                                  <w:jc w:val="both"/>
                                  <w:rPr>
                                    <w:rFonts w:ascii="Arial" w:hAnsi="Arial" w:cs="Arial"/>
                                    <w:sz w:val="20"/>
                                  </w:rPr>
                                </w:pPr>
                                <w:r>
                                  <w:rPr>
                                    <w:rFonts w:ascii="Arial" w:hAnsi="Arial" w:cs="Arial"/>
                                    <w:sz w:val="20"/>
                                  </w:rPr>
                                  <w:t>Projektas atitinka tinkamų finansuoti projektų išlaidų kategoriją</w:t>
                                </w:r>
                              </w:p>
                            </w:tc>
                            <w:tc>
                              <w:tcPr>
                                <w:tcW w:w="4494" w:type="dxa"/>
                              </w:tcPr>
                              <w:p>
                                <w:pPr>
                                  <w:jc w:val="both"/>
                                  <w:rPr>
                                    <w:rFonts w:ascii="Arial" w:hAnsi="Arial" w:cs="Arial"/>
                                    <w:sz w:val="20"/>
                                  </w:rPr>
                                </w:pPr>
                                <w:r>
                                  <w:rPr>
                                    <w:rFonts w:ascii="Arial" w:hAnsi="Arial" w:cs="Arial"/>
                                    <w:sz w:val="20"/>
                                  </w:rPr>
                                  <w:t>Paraiškoje pateiktos projekto išlaidos turi atitikti tinkamų finansuoti išlaidų reikalavimus</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rPr>
                                    <w:rFonts w:ascii="Arial" w:hAnsi="Arial" w:cs="Arial"/>
                                    <w:sz w:val="20"/>
                                  </w:rPr>
                                </w:pPr>
                                <w:r>
                                  <w:rPr>
                                    <w:rFonts w:ascii="Arial" w:hAnsi="Arial" w:cs="Arial"/>
                                    <w:sz w:val="20"/>
                                  </w:rPr>
                                  <w:t>3</w:t>
                                </w:r>
                              </w:p>
                            </w:tc>
                            <w:tc>
                              <w:tcPr>
                                <w:tcW w:w="3447" w:type="dxa"/>
                              </w:tcPr>
                              <w:p>
                                <w:pPr>
                                  <w:rPr>
                                    <w:rFonts w:ascii="Arial" w:hAnsi="Arial" w:cs="Arial"/>
                                    <w:sz w:val="20"/>
                                  </w:rPr>
                                </w:pPr>
                                <w:r>
                                  <w:rPr>
                                    <w:rFonts w:ascii="Arial" w:hAnsi="Arial" w:cs="Arial"/>
                                    <w:sz w:val="20"/>
                                  </w:rPr>
                                  <w:t>Projektas negali gauti dvigubo finansavimo</w:t>
                                </w:r>
                              </w:p>
                            </w:tc>
                            <w:tc>
                              <w:tcPr>
                                <w:tcW w:w="4494" w:type="dxa"/>
                              </w:tcPr>
                              <w:p>
                                <w:pPr>
                                  <w:jc w:val="both"/>
                                  <w:rPr>
                                    <w:rFonts w:ascii="Arial" w:hAnsi="Arial" w:cs="Arial"/>
                                    <w:sz w:val="20"/>
                                  </w:rPr>
                                </w:pPr>
                                <w:r>
                                  <w:rPr>
                                    <w:rFonts w:ascii="Arial" w:hAnsi="Arial" w:cs="Arial"/>
                                    <w:sz w:val="20"/>
                                  </w:rPr>
                                  <w:t>Projektas ir projekto veiklos negali būti finansuotos ar finansuojamos bei suteikus finansavimą, teikiamos finansuoti iš kitų programų, finansuojamų valstybės biudžeto lėšomis, kitų fondų ar finansinių mechanizmų (Europos ekonominės erdvės ir Norvegijos, Šveicarijos Konfederacijos ir kita) ir kitų veiksmų programų priemonių arba kitų finansavimo šaltinių, įskaitant fiksuotų tarifų paramos schemas.</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jc w:val="both"/>
                                  <w:rPr>
                                    <w:rFonts w:ascii="Arial" w:hAnsi="Arial" w:cs="Arial"/>
                                    <w:sz w:val="20"/>
                                  </w:rPr>
                                </w:pPr>
                                <w:r>
                                  <w:rPr>
                                    <w:rFonts w:ascii="Arial" w:hAnsi="Arial" w:cs="Arial"/>
                                    <w:sz w:val="20"/>
                                  </w:rPr>
                                  <w:t>4</w:t>
                                </w:r>
                              </w:p>
                            </w:tc>
                            <w:tc>
                              <w:tcPr>
                                <w:tcW w:w="3447" w:type="dxa"/>
                              </w:tcPr>
                              <w:p>
                                <w:pPr>
                                  <w:jc w:val="both"/>
                                  <w:rPr>
                                    <w:rFonts w:ascii="Arial" w:hAnsi="Arial" w:cs="Arial"/>
                                    <w:sz w:val="20"/>
                                  </w:rPr>
                                </w:pPr>
                                <w:r>
                                  <w:rPr>
                                    <w:rFonts w:ascii="Arial" w:hAnsi="Arial" w:cs="Arial"/>
                                    <w:sz w:val="20"/>
                                  </w:rPr>
                                  <w:t>Projekte siūloma įdiegti įranga atitinka technines savybes, kurios yra būtinos projekto rezultatams pasiekti</w:t>
                                </w:r>
                              </w:p>
                            </w:tc>
                            <w:tc>
                              <w:tcPr>
                                <w:tcW w:w="4494" w:type="dxa"/>
                              </w:tcPr>
                              <w:p>
                                <w:pPr>
                                  <w:jc w:val="both"/>
                                  <w:rPr>
                                    <w:rFonts w:ascii="Arial" w:hAnsi="Arial" w:cs="Arial"/>
                                    <w:sz w:val="20"/>
                                  </w:rPr>
                                </w:pPr>
                                <w:r>
                                  <w:rPr>
                                    <w:rFonts w:ascii="Arial" w:hAnsi="Arial" w:cs="Arial"/>
                                    <w:sz w:val="20"/>
                                  </w:rPr>
                                  <w:t>Vertinama pagal pateiktas sąmatas, komercinius pasiūlymus</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jc w:val="both"/>
                                  <w:rPr>
                                    <w:rFonts w:ascii="Arial" w:hAnsi="Arial" w:cs="Arial"/>
                                    <w:sz w:val="20"/>
                                  </w:rPr>
                                </w:pPr>
                                <w:r>
                                  <w:rPr>
                                    <w:rFonts w:ascii="Arial" w:hAnsi="Arial" w:cs="Arial"/>
                                    <w:sz w:val="20"/>
                                  </w:rPr>
                                  <w:t>5</w:t>
                                </w:r>
                              </w:p>
                            </w:tc>
                            <w:tc>
                              <w:tcPr>
                                <w:tcW w:w="3447" w:type="dxa"/>
                              </w:tcPr>
                              <w:p>
                                <w:pPr>
                                  <w:jc w:val="both"/>
                                  <w:rPr>
                                    <w:rFonts w:ascii="Arial" w:hAnsi="Arial" w:cs="Arial"/>
                                    <w:sz w:val="20"/>
                                  </w:rPr>
                                </w:pPr>
                                <w:r>
                                  <w:rPr>
                                    <w:rFonts w:ascii="Arial" w:hAnsi="Arial" w:cs="Arial"/>
                                    <w:sz w:val="20"/>
                                  </w:rPr>
                                  <w:t>Projektų metu numatyta įdiegti įranga, įrenginiai yra nauji ir nenaudoti kituose objektuose</w:t>
                                </w:r>
                              </w:p>
                            </w:tc>
                            <w:tc>
                              <w:tcPr>
                                <w:tcW w:w="4494" w:type="dxa"/>
                              </w:tcPr>
                              <w:p>
                                <w:pPr>
                                  <w:jc w:val="both"/>
                                  <w:rPr>
                                    <w:rFonts w:ascii="Arial" w:hAnsi="Arial" w:cs="Arial"/>
                                    <w:sz w:val="20"/>
                                  </w:rPr>
                                </w:pPr>
                                <w:r>
                                  <w:rPr>
                                    <w:rFonts w:ascii="Arial" w:hAnsi="Arial" w:cs="Arial"/>
                                    <w:sz w:val="20"/>
                                  </w:rPr>
                                  <w:t>Vertinama pagal pareiškėjo pateiktą informaciją</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jc w:val="both"/>
                                  <w:rPr>
                                    <w:rFonts w:ascii="Arial" w:hAnsi="Arial" w:cs="Arial"/>
                                    <w:sz w:val="20"/>
                                  </w:rPr>
                                </w:pPr>
                                <w:r>
                                  <w:rPr>
                                    <w:rFonts w:ascii="Arial" w:hAnsi="Arial" w:cs="Arial"/>
                                    <w:sz w:val="20"/>
                                  </w:rPr>
                                  <w:t>6</w:t>
                                </w:r>
                              </w:p>
                            </w:tc>
                            <w:tc>
                              <w:tcPr>
                                <w:tcW w:w="3447" w:type="dxa"/>
                              </w:tcPr>
                              <w:p>
                                <w:pPr>
                                  <w:jc w:val="both"/>
                                  <w:rPr>
                                    <w:rFonts w:ascii="Arial" w:hAnsi="Arial" w:cs="Arial"/>
                                    <w:sz w:val="20"/>
                                  </w:rPr>
                                </w:pPr>
                                <w:r>
                                  <w:rPr>
                                    <w:rFonts w:ascii="Arial" w:hAnsi="Arial" w:cs="Arial"/>
                                    <w:sz w:val="20"/>
                                  </w:rPr>
                                  <w:t>Projekte siūlomi finansuoti investiciniai sprendimai yra aiškūs ir konkretūs, techniškai įgyvendinami</w:t>
                                </w:r>
                              </w:p>
                            </w:tc>
                            <w:tc>
                              <w:tcPr>
                                <w:tcW w:w="4494" w:type="dxa"/>
                              </w:tcPr>
                              <w:p>
                                <w:pPr>
                                  <w:jc w:val="both"/>
                                  <w:rPr>
                                    <w:rFonts w:ascii="Arial" w:hAnsi="Arial" w:cs="Arial"/>
                                    <w:sz w:val="20"/>
                                  </w:rPr>
                                </w:pPr>
                                <w:r>
                                  <w:rPr>
                                    <w:rFonts w:ascii="Arial" w:hAnsi="Arial" w:cs="Arial"/>
                                    <w:sz w:val="20"/>
                                  </w:rPr>
                                  <w:t>Vertinama pagal pareiškėjo pateiktą informaciją</w:t>
                                </w:r>
                              </w:p>
                            </w:tc>
                            <w:tc>
                              <w:tcPr>
                                <w:tcW w:w="0" w:type="auto"/>
                              </w:tcPr>
                              <w:p>
                                <w:pPr>
                                  <w:jc w:val="both"/>
                                  <w:rPr>
                                    <w:rFonts w:ascii="Arial" w:hAnsi="Arial" w:cs="Arial"/>
                                    <w:sz w:val="20"/>
                                  </w:rPr>
                                </w:pPr>
                                <w:r>
                                  <w:rPr>
                                    <w:rFonts w:ascii="Arial" w:hAnsi="Arial" w:cs="Arial"/>
                                    <w:sz w:val="20"/>
                                  </w:rPr>
                                  <w:t>Neskaičiuojami</w:t>
                                </w:r>
                              </w:p>
                            </w:tc>
                          </w:tr>
                          <w:tr>
                            <w:trPr>
                              <w:trHeight w:val="20"/>
                              <w:jc w:val="center"/>
                            </w:trPr>
                            <w:tc>
                              <w:tcPr>
                                <w:tcW w:w="517" w:type="dxa"/>
                              </w:tcPr>
                              <w:p>
                                <w:pPr>
                                  <w:jc w:val="both"/>
                                  <w:rPr>
                                    <w:rFonts w:ascii="Arial" w:hAnsi="Arial" w:cs="Arial"/>
                                    <w:sz w:val="20"/>
                                  </w:rPr>
                                </w:pPr>
                                <w:r>
                                  <w:rPr>
                                    <w:rFonts w:ascii="Arial" w:hAnsi="Arial" w:cs="Arial"/>
                                    <w:sz w:val="20"/>
                                  </w:rPr>
                                  <w:t>7</w:t>
                                </w:r>
                              </w:p>
                            </w:tc>
                            <w:tc>
                              <w:tcPr>
                                <w:tcW w:w="3447" w:type="dxa"/>
                              </w:tcPr>
                              <w:p>
                                <w:pPr>
                                  <w:jc w:val="both"/>
                                  <w:rPr>
                                    <w:rFonts w:ascii="Arial" w:hAnsi="Arial" w:cs="Arial"/>
                                    <w:sz w:val="20"/>
                                  </w:rPr>
                                </w:pPr>
                                <w:r>
                                  <w:rPr>
                                    <w:rFonts w:ascii="Arial" w:hAnsi="Arial" w:cs="Arial"/>
                                    <w:sz w:val="20"/>
                                  </w:rPr>
                                  <w:t>Projekte yra numatytas Pareiškėjo įnašas į projekto finansavimą</w:t>
                                </w:r>
                              </w:p>
                            </w:tc>
                            <w:tc>
                              <w:tcPr>
                                <w:tcW w:w="4494" w:type="dxa"/>
                              </w:tcPr>
                              <w:p>
                                <w:pPr>
                                  <w:jc w:val="both"/>
                                  <w:rPr>
                                    <w:rFonts w:ascii="Arial" w:hAnsi="Arial" w:cs="Arial"/>
                                    <w:sz w:val="20"/>
                                  </w:rPr>
                                </w:pPr>
                                <w:r>
                                  <w:rPr>
                                    <w:rFonts w:ascii="Arial" w:hAnsi="Arial" w:cs="Arial"/>
                                    <w:sz w:val="20"/>
                                  </w:rPr>
                                  <w:t>Numatytos nuosavos lėšos bendroje projekto vertėje</w:t>
                                </w:r>
                              </w:p>
                            </w:tc>
                            <w:tc>
                              <w:tcPr>
                                <w:tcW w:w="0" w:type="auto"/>
                              </w:tcPr>
                              <w:p>
                                <w:pPr>
                                  <w:jc w:val="both"/>
                                  <w:rPr>
                                    <w:rFonts w:ascii="Arial" w:hAnsi="Arial" w:cs="Arial"/>
                                    <w:sz w:val="20"/>
                                  </w:rPr>
                                </w:pPr>
                                <w:r>
                                  <w:rPr>
                                    <w:rFonts w:ascii="Arial" w:hAnsi="Arial" w:cs="Arial"/>
                                    <w:sz w:val="20"/>
                                  </w:rPr>
                                  <w:t>Maksimali balų suma – 10 balų.</w:t>
                                </w:r>
                              </w:p>
                            </w:tc>
                          </w:tr>
                          <w:tr>
                            <w:trPr>
                              <w:trHeight w:val="20"/>
                              <w:jc w:val="center"/>
                            </w:trPr>
                            <w:tc>
                              <w:tcPr>
                                <w:tcW w:w="517" w:type="dxa"/>
                              </w:tcPr>
                              <w:p>
                                <w:pPr>
                                  <w:jc w:val="both"/>
                                  <w:rPr>
                                    <w:rFonts w:ascii="Arial" w:hAnsi="Arial" w:cs="Arial"/>
                                    <w:sz w:val="20"/>
                                  </w:rPr>
                                </w:pPr>
                                <w:r>
                                  <w:rPr>
                                    <w:rFonts w:ascii="Arial" w:hAnsi="Arial" w:cs="Arial"/>
                                    <w:sz w:val="20"/>
                                  </w:rPr>
                                  <w:t>8</w:t>
                                </w:r>
                              </w:p>
                            </w:tc>
                            <w:tc>
                              <w:tcPr>
                                <w:tcW w:w="3447" w:type="dxa"/>
                              </w:tcPr>
                              <w:p>
                                <w:pPr>
                                  <w:jc w:val="both"/>
                                  <w:rPr>
                                    <w:rFonts w:ascii="Arial" w:hAnsi="Arial" w:cs="Arial"/>
                                    <w:sz w:val="20"/>
                                  </w:rPr>
                                </w:pPr>
                                <w:r>
                                  <w:rPr>
                                    <w:rFonts w:ascii="Arial" w:hAnsi="Arial" w:cs="Arial"/>
                                    <w:sz w:val="20"/>
                                  </w:rPr>
                                  <w:t>Įgyvendinus projektą, bus naudojami atsinaujinantys energijos ištekliai</w:t>
                                </w:r>
                              </w:p>
                            </w:tc>
                            <w:tc>
                              <w:tcPr>
                                <w:tcW w:w="4494" w:type="dxa"/>
                              </w:tcPr>
                              <w:p>
                                <w:pPr>
                                  <w:jc w:val="both"/>
                                  <w:rPr>
                                    <w:rFonts w:ascii="Arial" w:hAnsi="Arial" w:cs="Arial"/>
                                    <w:sz w:val="20"/>
                                  </w:rPr>
                                </w:pPr>
                                <w:r>
                                  <w:rPr>
                                    <w:rFonts w:ascii="Arial" w:hAnsi="Arial" w:cs="Arial"/>
                                    <w:sz w:val="20"/>
                                  </w:rPr>
                                  <w:t>Vertinama pagal pareiškėjo pateiktą informaciją</w:t>
                                </w:r>
                              </w:p>
                            </w:tc>
                            <w:tc>
                              <w:tcPr>
                                <w:tcW w:w="0" w:type="auto"/>
                              </w:tcPr>
                              <w:p>
                                <w:pPr>
                                  <w:jc w:val="both"/>
                                  <w:rPr>
                                    <w:rFonts w:ascii="Arial" w:hAnsi="Arial" w:cs="Arial"/>
                                    <w:sz w:val="20"/>
                                  </w:rPr>
                                </w:pPr>
                                <w:r>
                                  <w:rPr>
                                    <w:rFonts w:ascii="Arial" w:hAnsi="Arial" w:cs="Arial"/>
                                    <w:sz w:val="20"/>
                                  </w:rPr>
                                  <w:t>Maksimali balų suma – 10 balų.</w:t>
                                </w:r>
                              </w:p>
                            </w:tc>
                          </w:tr>
                          <w:tr>
                            <w:trPr>
                              <w:trHeight w:val="20"/>
                              <w:jc w:val="center"/>
                            </w:trPr>
                            <w:tc>
                              <w:tcPr>
                                <w:tcW w:w="517" w:type="dxa"/>
                              </w:tcPr>
                              <w:p>
                                <w:pPr>
                                  <w:jc w:val="both"/>
                                  <w:rPr>
                                    <w:rFonts w:ascii="Arial" w:hAnsi="Arial" w:cs="Arial"/>
                                    <w:sz w:val="20"/>
                                  </w:rPr>
                                </w:pPr>
                                <w:r>
                                  <w:rPr>
                                    <w:rFonts w:ascii="Arial" w:hAnsi="Arial" w:cs="Arial"/>
                                    <w:sz w:val="20"/>
                                  </w:rPr>
                                  <w:t>9</w:t>
                                </w:r>
                              </w:p>
                            </w:tc>
                            <w:tc>
                              <w:tcPr>
                                <w:tcW w:w="3447" w:type="dxa"/>
                              </w:tcPr>
                              <w:p>
                                <w:pPr>
                                  <w:jc w:val="both"/>
                                  <w:rPr>
                                    <w:rFonts w:ascii="Arial" w:hAnsi="Arial" w:cs="Arial"/>
                                    <w:sz w:val="20"/>
                                  </w:rPr>
                                </w:pPr>
                                <w:r>
                                  <w:rPr>
                                    <w:rFonts w:ascii="Arial" w:hAnsi="Arial" w:cs="Arial"/>
                                    <w:sz w:val="20"/>
                                  </w:rPr>
                                  <w:t>Įgyvendinus projektą, bus sumažintas labiau taršių energijos išteklių naudojimas ar/ir elektros energijos naudojimas</w:t>
                                </w:r>
                              </w:p>
                            </w:tc>
                            <w:tc>
                              <w:tcPr>
                                <w:tcW w:w="4494" w:type="dxa"/>
                              </w:tcPr>
                              <w:p>
                                <w:pPr>
                                  <w:jc w:val="both"/>
                                  <w:rPr>
                                    <w:rFonts w:ascii="Arial" w:hAnsi="Arial" w:cs="Arial"/>
                                    <w:sz w:val="20"/>
                                  </w:rPr>
                                </w:pPr>
                                <w:r>
                                  <w:rPr>
                                    <w:rFonts w:ascii="Arial" w:hAnsi="Arial" w:cs="Arial"/>
                                    <w:sz w:val="20"/>
                                  </w:rPr>
                                  <w:t>Vertinama pagal pareiškėjo pateiktą informaciją</w:t>
                                </w:r>
                              </w:p>
                            </w:tc>
                            <w:tc>
                              <w:tcPr>
                                <w:tcW w:w="0" w:type="auto"/>
                              </w:tcPr>
                              <w:p>
                                <w:pPr>
                                  <w:jc w:val="both"/>
                                  <w:rPr>
                                    <w:rFonts w:ascii="Arial" w:hAnsi="Arial" w:cs="Arial"/>
                                    <w:sz w:val="20"/>
                                  </w:rPr>
                                </w:pPr>
                                <w:r>
                                  <w:rPr>
                                    <w:rFonts w:ascii="Arial" w:hAnsi="Arial" w:cs="Arial"/>
                                    <w:sz w:val="20"/>
                                  </w:rPr>
                                  <w:t>Maksimali balų suma – 2 balai.</w:t>
                                </w:r>
                              </w:p>
                            </w:tc>
                          </w:tr>
                          <w:tr>
                            <w:trPr>
                              <w:trHeight w:val="20"/>
                              <w:jc w:val="center"/>
                            </w:trPr>
                            <w:tc>
                              <w:tcPr>
                                <w:tcW w:w="517" w:type="dxa"/>
                              </w:tcPr>
                              <w:p>
                                <w:pPr>
                                  <w:jc w:val="both"/>
                                  <w:rPr>
                                    <w:rFonts w:ascii="Arial" w:hAnsi="Arial" w:cs="Arial"/>
                                    <w:sz w:val="20"/>
                                  </w:rPr>
                                </w:pPr>
                                <w:r>
                                  <w:rPr>
                                    <w:rFonts w:ascii="Arial" w:hAnsi="Arial" w:cs="Arial"/>
                                    <w:sz w:val="20"/>
                                  </w:rPr>
                                  <w:t>10</w:t>
                                </w:r>
                              </w:p>
                            </w:tc>
                            <w:tc>
                              <w:tcPr>
                                <w:tcW w:w="3447" w:type="dxa"/>
                              </w:tcPr>
                              <w:p>
                                <w:pPr>
                                  <w:jc w:val="both"/>
                                  <w:rPr>
                                    <w:rFonts w:ascii="Arial" w:hAnsi="Arial" w:cs="Arial"/>
                                    <w:sz w:val="20"/>
                                  </w:rPr>
                                </w:pPr>
                                <w:r>
                                  <w:rPr>
                                    <w:rFonts w:ascii="Arial" w:hAnsi="Arial" w:cs="Arial"/>
                                    <w:sz w:val="20"/>
                                  </w:rPr>
                                  <w:t>Įgyvendinus projektą bus sumažintas išmetamųjų ŠESD kiekis</w:t>
                                </w:r>
                              </w:p>
                            </w:tc>
                            <w:tc>
                              <w:tcPr>
                                <w:tcW w:w="4494" w:type="dxa"/>
                              </w:tcPr>
                              <w:p>
                                <w:pPr>
                                  <w:jc w:val="both"/>
                                  <w:rPr>
                                    <w:rFonts w:ascii="Arial" w:hAnsi="Arial" w:cs="Arial"/>
                                    <w:sz w:val="20"/>
                                  </w:rPr>
                                </w:pPr>
                                <w:r>
                                  <w:rPr>
                                    <w:rFonts w:ascii="Arial" w:hAnsi="Arial" w:cs="Arial"/>
                                    <w:sz w:val="20"/>
                                  </w:rPr>
                                  <w:t>Vertinama, ar, įgyvendinus projektą, bus sumažintas išmetamųjų ŠESD kiekis</w:t>
                                </w:r>
                              </w:p>
                            </w:tc>
                            <w:tc>
                              <w:tcPr>
                                <w:tcW w:w="0" w:type="auto"/>
                              </w:tcPr>
                              <w:p>
                                <w:pPr>
                                  <w:jc w:val="both"/>
                                  <w:rPr>
                                    <w:rFonts w:ascii="Arial" w:hAnsi="Arial" w:cs="Arial"/>
                                    <w:sz w:val="20"/>
                                  </w:rPr>
                                </w:pPr>
                                <w:r>
                                  <w:rPr>
                                    <w:rFonts w:ascii="Arial" w:hAnsi="Arial" w:cs="Arial"/>
                                    <w:sz w:val="20"/>
                                  </w:rPr>
                                  <w:t>Maksimali balų suma – 3 balai.</w:t>
                                </w:r>
                              </w:p>
                            </w:tc>
                          </w:tr>
                        </w:tbl>
                        <w:p>
                          <w:pPr>
                            <w:spacing w:line="259" w:lineRule="auto"/>
                            <w:jc w:val="center"/>
                            <w:rPr>
                              <w:rFonts w:ascii="Arial" w:hAnsi="Arial" w:cs="Arial"/>
                              <w:i/>
                              <w:iCs/>
                              <w:sz w:val="18"/>
                              <w:szCs w:val="18"/>
                            </w:rPr>
                          </w:pPr>
                          <w:r>
                            <w:rPr>
                              <w:rFonts w:ascii="Arial" w:hAnsi="Arial" w:cs="Arial"/>
                              <w:i/>
                              <w:iCs/>
                              <w:sz w:val="18"/>
                              <w:szCs w:val="18"/>
                            </w:rPr>
                            <w:t>Šaltinis: sudaryta pagal Atsinaujinančių išteklių plėtros planų rengimo metodikos reikalavimus</w:t>
                          </w:r>
                        </w:p>
                        <w:p>
                          <w:pPr>
                            <w:rPr>
                              <w:sz w:val="14"/>
                              <w:szCs w:val="14"/>
                            </w:rPr>
                          </w:pPr>
                        </w:p>
                        <w:p>
                          <w:pPr>
                            <w:widowControl w:val="0"/>
                            <w:spacing w:line="259" w:lineRule="auto"/>
                            <w:ind w:firstLine="567"/>
                            <w:jc w:val="both"/>
                            <w:rPr>
                              <w:rFonts w:ascii="Arial" w:eastAsia="Calibri" w:hAnsi="Arial" w:cs="Arial"/>
                              <w:sz w:val="22"/>
                              <w:szCs w:val="23"/>
                            </w:rPr>
                          </w:pPr>
                          <w:r>
                            <w:rPr>
                              <w:rFonts w:ascii="Arial" w:eastAsia="Calibri" w:hAnsi="Arial" w:cs="Arial"/>
                              <w:sz w:val="22"/>
                              <w:szCs w:val="23"/>
                            </w:rPr>
                            <w:t xml:space="preserve">Sekančioje lentelėje pateikiamas atrankos kriterijų detalizavimas. </w:t>
                          </w:r>
                        </w:p>
                        <w:p>
                          <w:pPr>
                            <w:rPr>
                              <w:sz w:val="14"/>
                              <w:szCs w:val="14"/>
                            </w:rPr>
                          </w:pPr>
                        </w:p>
                      </w:sdtContent>
                    </w:sdt>
                    <w:sdt>
                      <w:sdtPr>
                        <w:alias w:val="10.3.2 pp."/>
                        <w:tag w:val="part_ac3f85a745004661b878d9707f1bac63"/>
                        <w:lock w:val="sdtLocked"/>
                        <w:richText/>
                      </w:sdtPr>
                      <w:sdtContent>
                        <w:p>
                          <w:pPr>
                            <w:spacing w:line="259" w:lineRule="auto"/>
                            <w:jc w:val="center"/>
                            <w:rPr>
                              <w:rFonts w:ascii="Arial" w:eastAsia="Calibri" w:hAnsi="Arial" w:cs="Arial"/>
                              <w:b/>
                              <w:color w:val="002060"/>
                              <w:sz w:val="22"/>
                              <w:szCs w:val="32"/>
                            </w:rPr>
                          </w:pPr>
                          <w:sdt>
                            <w:sdtPr>
                              <w:alias w:val="Numeris"/>
                              <w:tag w:val="nr_ac3f85a745004661b878d9707f1bac63"/>
                              <w:lock w:val="sdtLocked"/>
                              <w:richText/>
                            </w:sdtPr>
                            <w:sdtContent>
                              <w:r>
                                <w:rPr>
                                  <w:rFonts w:ascii="Arial" w:eastAsia="Calibri" w:hAnsi="Arial" w:cs="Arial"/>
                                  <w:b/>
                                  <w:color w:val="002060"/>
                                  <w:sz w:val="22"/>
                                  <w:szCs w:val="32"/>
                                </w:rPr>
                                <w:t>10.3.2</w:t>
                              </w:r>
                            </w:sdtContent>
                          </w:sdt>
                          <w:r>
                            <w:rPr>
                              <w:rFonts w:ascii="Arial" w:eastAsia="Calibri" w:hAnsi="Arial" w:cs="Arial"/>
                              <w:b/>
                              <w:color w:val="002060"/>
                              <w:sz w:val="22"/>
                              <w:szCs w:val="32"/>
                            </w:rPr>
                            <w:t>. lentelė. Galimas kriterijų detalizavimas</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20" w:firstRow="1" w:lastRow="0" w:firstColumn="0" w:lastColumn="0" w:noHBand="0" w:noVBand="1"/>
                          </w:tblPr>
                          <w:tblGrid>
                            <w:gridCol w:w="868"/>
                            <w:gridCol w:w="7453"/>
                            <w:gridCol w:w="695"/>
                          </w:tblGrid>
                          <w:tr>
                            <w:trPr>
                              <w:trHeight w:val="20"/>
                              <w:jc w:val="center"/>
                            </w:trPr>
                            <w:tc>
                              <w:tcPr>
                                <w:tcW w:w="0" w:type="auto"/>
                              </w:tcPr>
                              <w:p>
                                <w:pPr>
                                  <w:ind w:right="18"/>
                                  <w:jc w:val="both"/>
                                  <w:rPr>
                                    <w:rFonts w:ascii="Arial" w:hAnsi="Arial" w:cs="Arial"/>
                                    <w:sz w:val="20"/>
                                  </w:rPr>
                                </w:pPr>
                                <w:r>
                                  <w:rPr>
                                    <w:rFonts w:ascii="Arial" w:hAnsi="Arial" w:cs="Arial"/>
                                    <w:sz w:val="20"/>
                                  </w:rPr>
                                  <w:t>Eil. Nr.</w:t>
                                </w:r>
                              </w:p>
                            </w:tc>
                            <w:tc>
                              <w:tcPr>
                                <w:tcW w:w="0" w:type="auto"/>
                              </w:tcPr>
                              <w:p>
                                <w:pPr>
                                  <w:jc w:val="both"/>
                                  <w:rPr>
                                    <w:rFonts w:ascii="Arial" w:hAnsi="Arial" w:cs="Arial"/>
                                    <w:sz w:val="20"/>
                                  </w:rPr>
                                </w:pPr>
                                <w:r>
                                  <w:rPr>
                                    <w:rFonts w:ascii="Arial" w:hAnsi="Arial" w:cs="Arial"/>
                                    <w:sz w:val="20"/>
                                  </w:rPr>
                                  <w:t>Kriterijaus pavadinimas</w:t>
                                </w:r>
                              </w:p>
                            </w:tc>
                            <w:tc>
                              <w:tcPr>
                                <w:tcW w:w="0" w:type="auto"/>
                              </w:tcPr>
                              <w:p>
                                <w:pPr>
                                  <w:jc w:val="center"/>
                                  <w:rPr>
                                    <w:rFonts w:ascii="Arial" w:hAnsi="Arial" w:cs="Arial"/>
                                    <w:sz w:val="20"/>
                                  </w:rPr>
                                </w:pPr>
                                <w:r>
                                  <w:rPr>
                                    <w:rFonts w:ascii="Arial" w:hAnsi="Arial" w:cs="Arial"/>
                                    <w:sz w:val="20"/>
                                  </w:rPr>
                                  <w:t>Balai</w:t>
                                </w:r>
                              </w:p>
                            </w:tc>
                          </w:tr>
                          <w:tr>
                            <w:trPr>
                              <w:trHeight w:val="20"/>
                              <w:jc w:val="center"/>
                            </w:trPr>
                            <w:tc>
                              <w:tcPr>
                                <w:tcW w:w="0" w:type="auto"/>
                              </w:tcPr>
                              <w:p>
                                <w:pPr>
                                  <w:ind w:right="18"/>
                                  <w:jc w:val="both"/>
                                  <w:rPr>
                                    <w:rFonts w:ascii="Arial" w:hAnsi="Arial" w:cs="Arial"/>
                                    <w:sz w:val="20"/>
                                  </w:rPr>
                                </w:pPr>
                                <w:r>
                                  <w:rPr>
                                    <w:rFonts w:ascii="Arial" w:hAnsi="Arial" w:cs="Arial"/>
                                    <w:b/>
                                    <w:bCs/>
                                    <w:sz w:val="20"/>
                                  </w:rPr>
                                  <w:t>1</w:t>
                                </w:r>
                              </w:p>
                            </w:tc>
                            <w:tc>
                              <w:tcPr>
                                <w:tcW w:w="0" w:type="auto"/>
                              </w:tcPr>
                              <w:p>
                                <w:pPr>
                                  <w:jc w:val="both"/>
                                  <w:rPr>
                                    <w:rFonts w:ascii="Arial" w:hAnsi="Arial" w:cs="Arial"/>
                                    <w:sz w:val="20"/>
                                  </w:rPr>
                                </w:pPr>
                                <w:r>
                                  <w:rPr>
                                    <w:rFonts w:ascii="Arial" w:hAnsi="Arial" w:cs="Arial"/>
                                    <w:b/>
                                    <w:bCs/>
                                    <w:sz w:val="20"/>
                                  </w:rPr>
                                  <w:t>Projekto finansavimas iš pareiškėjo didesniu dydžiu</w:t>
                                </w:r>
                              </w:p>
                            </w:tc>
                            <w:tc>
                              <w:tcPr>
                                <w:tcW w:w="0" w:type="auto"/>
                              </w:tcPr>
                              <w:p>
                                <w:pPr>
                                  <w:jc w:val="center"/>
                                  <w:rPr>
                                    <w:rFonts w:ascii="Arial" w:hAnsi="Arial" w:cs="Arial"/>
                                    <w:sz w:val="20"/>
                                  </w:rPr>
                                </w:pPr>
                              </w:p>
                            </w:tc>
                          </w:tr>
                          <w:tr>
                            <w:trPr>
                              <w:trHeight w:val="20"/>
                              <w:jc w:val="center"/>
                            </w:trPr>
                            <w:tc>
                              <w:tcPr>
                                <w:tcW w:w="0" w:type="auto"/>
                              </w:tcPr>
                              <w:p>
                                <w:pPr>
                                  <w:ind w:right="18"/>
                                  <w:jc w:val="both"/>
                                  <w:rPr>
                                    <w:rFonts w:ascii="Arial" w:hAnsi="Arial" w:cs="Arial"/>
                                    <w:sz w:val="20"/>
                                  </w:rPr>
                                </w:pPr>
                                <w:r>
                                  <w:rPr>
                                    <w:rFonts w:ascii="Arial" w:hAnsi="Arial" w:cs="Arial"/>
                                    <w:sz w:val="20"/>
                                  </w:rPr>
                                  <w:t>1.1</w:t>
                                </w:r>
                              </w:p>
                            </w:tc>
                            <w:tc>
                              <w:tcPr>
                                <w:tcW w:w="0" w:type="auto"/>
                              </w:tcPr>
                              <w:p>
                                <w:pPr>
                                  <w:jc w:val="both"/>
                                  <w:rPr>
                                    <w:rFonts w:ascii="Arial" w:hAnsi="Arial" w:cs="Arial"/>
                                    <w:sz w:val="20"/>
                                  </w:rPr>
                                </w:pPr>
                                <w:r>
                                  <w:rPr>
                                    <w:rFonts w:ascii="Arial" w:hAnsi="Arial" w:cs="Arial"/>
                                    <w:sz w:val="20"/>
                                  </w:rPr>
                                  <w:t>Jei pareiškėjas prašo 40 % arba mažiau maksimalaus skiriamos subsidijos dydžio</w:t>
                                </w:r>
                              </w:p>
                            </w:tc>
                            <w:tc>
                              <w:tcPr>
                                <w:tcW w:w="0" w:type="auto"/>
                              </w:tcPr>
                              <w:p>
                                <w:pPr>
                                  <w:jc w:val="center"/>
                                  <w:rPr>
                                    <w:rFonts w:ascii="Arial" w:hAnsi="Arial" w:cs="Arial"/>
                                    <w:sz w:val="20"/>
                                  </w:rPr>
                                </w:pPr>
                                <w:r>
                                  <w:rPr>
                                    <w:rFonts w:ascii="Arial" w:hAnsi="Arial" w:cs="Arial"/>
                                    <w:sz w:val="20"/>
                                  </w:rPr>
                                  <w:t>10</w:t>
                                </w:r>
                              </w:p>
                            </w:tc>
                          </w:tr>
                          <w:tr>
                            <w:trPr>
                              <w:trHeight w:val="20"/>
                              <w:jc w:val="center"/>
                            </w:trPr>
                            <w:tc>
                              <w:tcPr>
                                <w:tcW w:w="0" w:type="auto"/>
                              </w:tcPr>
                              <w:p>
                                <w:pPr>
                                  <w:ind w:right="18"/>
                                  <w:jc w:val="both"/>
                                  <w:rPr>
                                    <w:rFonts w:ascii="Arial" w:hAnsi="Arial" w:cs="Arial"/>
                                    <w:sz w:val="20"/>
                                  </w:rPr>
                                </w:pPr>
                                <w:r>
                                  <w:rPr>
                                    <w:rFonts w:ascii="Arial" w:hAnsi="Arial" w:cs="Arial"/>
                                    <w:sz w:val="20"/>
                                  </w:rPr>
                                  <w:t>1.2</w:t>
                                </w:r>
                              </w:p>
                            </w:tc>
                            <w:tc>
                              <w:tcPr>
                                <w:tcW w:w="0" w:type="auto"/>
                              </w:tcPr>
                              <w:p>
                                <w:pPr>
                                  <w:jc w:val="both"/>
                                  <w:rPr>
                                    <w:rFonts w:ascii="Arial" w:hAnsi="Arial" w:cs="Arial"/>
                                    <w:sz w:val="20"/>
                                  </w:rPr>
                                </w:pPr>
                                <w:r>
                                  <w:rPr>
                                    <w:rFonts w:ascii="Arial" w:hAnsi="Arial" w:cs="Arial"/>
                                    <w:sz w:val="20"/>
                                  </w:rPr>
                                  <w:t>Jei pareiškėjas prašo nuo 60 % iki 40 % maksimalaus skiriamos subsidijos dydžio</w:t>
                                </w:r>
                              </w:p>
                            </w:tc>
                            <w:tc>
                              <w:tcPr>
                                <w:tcW w:w="0" w:type="auto"/>
                              </w:tcPr>
                              <w:p>
                                <w:pPr>
                                  <w:jc w:val="center"/>
                                  <w:rPr>
                                    <w:rFonts w:ascii="Arial" w:hAnsi="Arial" w:cs="Arial"/>
                                    <w:sz w:val="20"/>
                                  </w:rPr>
                                </w:pPr>
                                <w:r>
                                  <w:rPr>
                                    <w:rFonts w:ascii="Arial" w:hAnsi="Arial" w:cs="Arial"/>
                                    <w:sz w:val="20"/>
                                  </w:rPr>
                                  <w:t>5-10</w:t>
                                </w:r>
                              </w:p>
                            </w:tc>
                          </w:tr>
                          <w:tr>
                            <w:trPr>
                              <w:trHeight w:val="20"/>
                              <w:jc w:val="center"/>
                            </w:trPr>
                            <w:tc>
                              <w:tcPr>
                                <w:tcW w:w="0" w:type="auto"/>
                              </w:tcPr>
                              <w:p>
                                <w:pPr>
                                  <w:ind w:right="18"/>
                                  <w:jc w:val="both"/>
                                  <w:rPr>
                                    <w:rFonts w:ascii="Arial" w:hAnsi="Arial" w:cs="Arial"/>
                                    <w:sz w:val="20"/>
                                  </w:rPr>
                                </w:pPr>
                                <w:r>
                                  <w:rPr>
                                    <w:rFonts w:ascii="Arial" w:hAnsi="Arial" w:cs="Arial"/>
                                    <w:sz w:val="20"/>
                                  </w:rPr>
                                  <w:t>1.3</w:t>
                                </w:r>
                              </w:p>
                            </w:tc>
                            <w:tc>
                              <w:tcPr>
                                <w:tcW w:w="0" w:type="auto"/>
                              </w:tcPr>
                              <w:p>
                                <w:pPr>
                                  <w:jc w:val="both"/>
                                  <w:rPr>
                                    <w:rFonts w:ascii="Arial" w:hAnsi="Arial" w:cs="Arial"/>
                                    <w:sz w:val="20"/>
                                  </w:rPr>
                                </w:pPr>
                                <w:r>
                                  <w:rPr>
                                    <w:rFonts w:ascii="Arial" w:hAnsi="Arial" w:cs="Arial"/>
                                    <w:sz w:val="20"/>
                                  </w:rPr>
                                  <w:t>Jei pareiškėjas prašo nuo 80 % iki 60 % maksimalaus skiriamos subsidijos dydžio</w:t>
                                </w:r>
                              </w:p>
                            </w:tc>
                            <w:tc>
                              <w:tcPr>
                                <w:tcW w:w="0" w:type="auto"/>
                              </w:tcPr>
                              <w:p>
                                <w:pPr>
                                  <w:jc w:val="center"/>
                                  <w:rPr>
                                    <w:rFonts w:ascii="Arial" w:hAnsi="Arial" w:cs="Arial"/>
                                    <w:sz w:val="20"/>
                                  </w:rPr>
                                </w:pPr>
                                <w:r>
                                  <w:rPr>
                                    <w:rFonts w:ascii="Arial" w:hAnsi="Arial" w:cs="Arial"/>
                                    <w:sz w:val="20"/>
                                  </w:rPr>
                                  <w:t>0-5</w:t>
                                </w:r>
                              </w:p>
                            </w:tc>
                          </w:tr>
                          <w:tr>
                            <w:trPr>
                              <w:trHeight w:val="20"/>
                              <w:jc w:val="center"/>
                            </w:trPr>
                            <w:tc>
                              <w:tcPr>
                                <w:tcW w:w="0" w:type="auto"/>
                              </w:tcPr>
                              <w:p>
                                <w:pPr>
                                  <w:ind w:right="18"/>
                                  <w:jc w:val="both"/>
                                  <w:rPr>
                                    <w:rFonts w:ascii="Arial" w:hAnsi="Arial" w:cs="Arial"/>
                                    <w:b/>
                                    <w:bCs/>
                                    <w:sz w:val="20"/>
                                  </w:rPr>
                                </w:pPr>
                                <w:r>
                                  <w:rPr>
                                    <w:rFonts w:ascii="Arial" w:hAnsi="Arial" w:cs="Arial"/>
                                    <w:b/>
                                    <w:bCs/>
                                    <w:sz w:val="20"/>
                                  </w:rPr>
                                  <w:t>2</w:t>
                                </w:r>
                              </w:p>
                            </w:tc>
                            <w:tc>
                              <w:tcPr>
                                <w:tcW w:w="0" w:type="auto"/>
                              </w:tcPr>
                              <w:p>
                                <w:pPr>
                                  <w:jc w:val="both"/>
                                  <w:rPr>
                                    <w:rFonts w:ascii="Arial" w:hAnsi="Arial" w:cs="Arial"/>
                                    <w:b/>
                                    <w:bCs/>
                                    <w:sz w:val="20"/>
                                  </w:rPr>
                                </w:pPr>
                                <w:r>
                                  <w:rPr>
                                    <w:rFonts w:ascii="Arial" w:hAnsi="Arial" w:cs="Arial"/>
                                    <w:b/>
                                    <w:bCs/>
                                    <w:sz w:val="20"/>
                                  </w:rPr>
                                  <w:t>Pagal energijos išteklius, kurie bus naudojami įgyvendinus projektą</w:t>
                                </w:r>
                              </w:p>
                            </w:tc>
                            <w:tc>
                              <w:tcPr>
                                <w:tcW w:w="0" w:type="auto"/>
                              </w:tcPr>
                              <w:p>
                                <w:pPr>
                                  <w:jc w:val="center"/>
                                  <w:rPr>
                                    <w:rFonts w:ascii="Arial" w:hAnsi="Arial" w:cs="Arial"/>
                                    <w:sz w:val="20"/>
                                  </w:rPr>
                                </w:pPr>
                              </w:p>
                            </w:tc>
                          </w:tr>
                          <w:tr>
                            <w:trPr>
                              <w:trHeight w:val="20"/>
                              <w:jc w:val="center"/>
                            </w:trPr>
                            <w:tc>
                              <w:tcPr>
                                <w:tcW w:w="0" w:type="auto"/>
                              </w:tcPr>
                              <w:p>
                                <w:pPr>
                                  <w:ind w:right="18"/>
                                  <w:jc w:val="both"/>
                                  <w:rPr>
                                    <w:rFonts w:ascii="Arial" w:hAnsi="Arial" w:cs="Arial"/>
                                    <w:sz w:val="20"/>
                                  </w:rPr>
                                </w:pPr>
                                <w:r>
                                  <w:rPr>
                                    <w:rFonts w:ascii="Arial" w:hAnsi="Arial" w:cs="Arial"/>
                                    <w:sz w:val="20"/>
                                  </w:rPr>
                                  <w:t>2.1</w:t>
                                </w:r>
                              </w:p>
                            </w:tc>
                            <w:tc>
                              <w:tcPr>
                                <w:tcW w:w="0" w:type="auto"/>
                              </w:tcPr>
                              <w:p>
                                <w:pPr>
                                  <w:jc w:val="both"/>
                                  <w:rPr>
                                    <w:rFonts w:ascii="Arial" w:hAnsi="Arial" w:cs="Arial"/>
                                    <w:sz w:val="20"/>
                                  </w:rPr>
                                </w:pPr>
                                <w:r>
                                  <w:rPr>
                                    <w:rFonts w:ascii="Arial" w:hAnsi="Arial" w:cs="Arial"/>
                                    <w:sz w:val="20"/>
                                  </w:rPr>
                                  <w:t>Saulės, geoterminė energija</w:t>
                                </w:r>
                              </w:p>
                            </w:tc>
                            <w:tc>
                              <w:tcPr>
                                <w:tcW w:w="0" w:type="auto"/>
                              </w:tcPr>
                              <w:p>
                                <w:pPr>
                                  <w:jc w:val="center"/>
                                  <w:rPr>
                                    <w:rFonts w:ascii="Arial" w:hAnsi="Arial" w:cs="Arial"/>
                                    <w:sz w:val="20"/>
                                  </w:rPr>
                                </w:pPr>
                                <w:r>
                                  <w:rPr>
                                    <w:rFonts w:ascii="Arial" w:hAnsi="Arial" w:cs="Arial"/>
                                    <w:sz w:val="20"/>
                                  </w:rPr>
                                  <w:t>5</w:t>
                                </w:r>
                              </w:p>
                            </w:tc>
                          </w:tr>
                          <w:tr>
                            <w:trPr>
                              <w:trHeight w:val="20"/>
                              <w:jc w:val="center"/>
                            </w:trPr>
                            <w:tc>
                              <w:tcPr>
                                <w:tcW w:w="0" w:type="auto"/>
                              </w:tcPr>
                              <w:p>
                                <w:pPr>
                                  <w:ind w:right="18"/>
                                  <w:jc w:val="both"/>
                                  <w:rPr>
                                    <w:rFonts w:ascii="Arial" w:hAnsi="Arial" w:cs="Arial"/>
                                    <w:sz w:val="20"/>
                                  </w:rPr>
                                </w:pPr>
                                <w:r>
                                  <w:rPr>
                                    <w:rFonts w:ascii="Arial" w:hAnsi="Arial" w:cs="Arial"/>
                                    <w:sz w:val="20"/>
                                  </w:rPr>
                                  <w:t>2.2</w:t>
                                </w:r>
                              </w:p>
                            </w:tc>
                            <w:tc>
                              <w:tcPr>
                                <w:tcW w:w="0" w:type="auto"/>
                              </w:tcPr>
                              <w:p>
                                <w:pPr>
                                  <w:jc w:val="both"/>
                                  <w:rPr>
                                    <w:rFonts w:ascii="Arial" w:hAnsi="Arial" w:cs="Arial"/>
                                    <w:sz w:val="20"/>
                                  </w:rPr>
                                </w:pPr>
                                <w:r>
                                  <w:rPr>
                                    <w:rFonts w:ascii="Arial" w:hAnsi="Arial" w:cs="Arial"/>
                                    <w:sz w:val="20"/>
                                  </w:rPr>
                                  <w:t>Medienos atliekos, žemės ūkio atliekos</w:t>
                                </w:r>
                              </w:p>
                            </w:tc>
                            <w:tc>
                              <w:tcPr>
                                <w:tcW w:w="0" w:type="auto"/>
                              </w:tcPr>
                              <w:p>
                                <w:pPr>
                                  <w:jc w:val="center"/>
                                  <w:rPr>
                                    <w:rFonts w:ascii="Arial" w:hAnsi="Arial" w:cs="Arial"/>
                                    <w:sz w:val="20"/>
                                  </w:rPr>
                                </w:pPr>
                                <w:r>
                                  <w:rPr>
                                    <w:rFonts w:ascii="Arial" w:hAnsi="Arial" w:cs="Arial"/>
                                    <w:sz w:val="20"/>
                                  </w:rPr>
                                  <w:t>3</w:t>
                                </w:r>
                              </w:p>
                            </w:tc>
                          </w:tr>
                          <w:tr>
                            <w:trPr>
                              <w:trHeight w:val="20"/>
                              <w:jc w:val="center"/>
                            </w:trPr>
                            <w:tc>
                              <w:tcPr>
                                <w:tcW w:w="0" w:type="auto"/>
                              </w:tcPr>
                              <w:p>
                                <w:pPr>
                                  <w:ind w:right="18"/>
                                  <w:jc w:val="both"/>
                                  <w:rPr>
                                    <w:rFonts w:ascii="Arial" w:hAnsi="Arial" w:cs="Arial"/>
                                    <w:sz w:val="20"/>
                                  </w:rPr>
                                </w:pPr>
                                <w:r>
                                  <w:rPr>
                                    <w:rFonts w:ascii="Arial" w:hAnsi="Arial" w:cs="Arial"/>
                                    <w:sz w:val="20"/>
                                  </w:rPr>
                                  <w:t>2.3</w:t>
                                </w:r>
                              </w:p>
                            </w:tc>
                            <w:tc>
                              <w:tcPr>
                                <w:tcW w:w="0" w:type="auto"/>
                              </w:tcPr>
                              <w:p>
                                <w:pPr>
                                  <w:jc w:val="both"/>
                                  <w:rPr>
                                    <w:rFonts w:ascii="Arial" w:hAnsi="Arial" w:cs="Arial"/>
                                    <w:sz w:val="20"/>
                                  </w:rPr>
                                </w:pPr>
                                <w:r>
                                  <w:rPr>
                                    <w:rFonts w:ascii="Arial" w:hAnsi="Arial" w:cs="Arial"/>
                                    <w:sz w:val="20"/>
                                  </w:rPr>
                                  <w:t>Vėjo energija</w:t>
                                </w:r>
                              </w:p>
                            </w:tc>
                            <w:tc>
                              <w:tcPr>
                                <w:tcW w:w="0" w:type="auto"/>
                              </w:tcPr>
                              <w:p>
                                <w:pPr>
                                  <w:jc w:val="center"/>
                                  <w:rPr>
                                    <w:rFonts w:ascii="Arial" w:hAnsi="Arial" w:cs="Arial"/>
                                    <w:sz w:val="20"/>
                                  </w:rPr>
                                </w:pPr>
                                <w:r>
                                  <w:rPr>
                                    <w:rFonts w:ascii="Arial" w:hAnsi="Arial" w:cs="Arial"/>
                                    <w:sz w:val="20"/>
                                  </w:rPr>
                                  <w:t>1</w:t>
                                </w:r>
                              </w:p>
                            </w:tc>
                          </w:tr>
                          <w:tr>
                            <w:trPr>
                              <w:trHeight w:val="20"/>
                              <w:jc w:val="center"/>
                            </w:trPr>
                            <w:tc>
                              <w:tcPr>
                                <w:tcW w:w="0" w:type="auto"/>
                              </w:tcPr>
                              <w:p>
                                <w:pPr>
                                  <w:ind w:right="18"/>
                                  <w:jc w:val="both"/>
                                  <w:rPr>
                                    <w:rFonts w:ascii="Arial" w:hAnsi="Arial" w:cs="Arial"/>
                                    <w:b/>
                                    <w:bCs/>
                                    <w:sz w:val="20"/>
                                  </w:rPr>
                                </w:pPr>
                                <w:r>
                                  <w:rPr>
                                    <w:rFonts w:ascii="Arial" w:hAnsi="Arial" w:cs="Arial"/>
                                    <w:b/>
                                    <w:bCs/>
                                    <w:sz w:val="20"/>
                                  </w:rPr>
                                  <w:t>3</w:t>
                                </w:r>
                              </w:p>
                            </w:tc>
                            <w:tc>
                              <w:tcPr>
                                <w:tcW w:w="0" w:type="auto"/>
                              </w:tcPr>
                              <w:p>
                                <w:pPr>
                                  <w:jc w:val="both"/>
                                  <w:rPr>
                                    <w:rFonts w:ascii="Arial" w:hAnsi="Arial" w:cs="Arial"/>
                                    <w:b/>
                                    <w:bCs/>
                                    <w:sz w:val="20"/>
                                  </w:rPr>
                                </w:pPr>
                                <w:r>
                                  <w:rPr>
                                    <w:rFonts w:ascii="Arial" w:hAnsi="Arial" w:cs="Arial"/>
                                    <w:b/>
                                    <w:bCs/>
                                    <w:sz w:val="20"/>
                                  </w:rPr>
                                  <w:t>Pagal energijos išteklius, kurių vartojimas įdiegus projektą bus sumažintas</w:t>
                                </w:r>
                              </w:p>
                            </w:tc>
                            <w:tc>
                              <w:tcPr>
                                <w:tcW w:w="0" w:type="auto"/>
                              </w:tcPr>
                              <w:p>
                                <w:pPr>
                                  <w:jc w:val="center"/>
                                  <w:rPr>
                                    <w:rFonts w:ascii="Arial" w:hAnsi="Arial" w:cs="Arial"/>
                                    <w:sz w:val="20"/>
                                  </w:rPr>
                                </w:pPr>
                              </w:p>
                            </w:tc>
                          </w:tr>
                          <w:tr>
                            <w:trPr>
                              <w:trHeight w:val="20"/>
                              <w:jc w:val="center"/>
                            </w:trPr>
                            <w:tc>
                              <w:tcPr>
                                <w:tcW w:w="0" w:type="auto"/>
                              </w:tcPr>
                              <w:p>
                                <w:pPr>
                                  <w:ind w:right="18"/>
                                  <w:jc w:val="both"/>
                                  <w:rPr>
                                    <w:rFonts w:ascii="Arial" w:hAnsi="Arial" w:cs="Arial"/>
                                    <w:sz w:val="20"/>
                                  </w:rPr>
                                </w:pPr>
                                <w:r>
                                  <w:rPr>
                                    <w:rFonts w:ascii="Arial" w:hAnsi="Arial" w:cs="Arial"/>
                                    <w:sz w:val="20"/>
                                  </w:rPr>
                                  <w:t>3.1</w:t>
                                </w:r>
                              </w:p>
                            </w:tc>
                            <w:tc>
                              <w:tcPr>
                                <w:tcW w:w="0" w:type="auto"/>
                              </w:tcPr>
                              <w:p>
                                <w:pPr>
                                  <w:jc w:val="both"/>
                                  <w:rPr>
                                    <w:rFonts w:ascii="Arial" w:hAnsi="Arial" w:cs="Arial"/>
                                    <w:sz w:val="20"/>
                                  </w:rPr>
                                </w:pPr>
                                <w:r>
                                  <w:rPr>
                                    <w:rFonts w:ascii="Arial" w:hAnsi="Arial" w:cs="Arial"/>
                                    <w:sz w:val="20"/>
                                  </w:rPr>
                                  <w:t>Suskystintos naftos dujos, gamtinės dujos</w:t>
                                </w:r>
                              </w:p>
                            </w:tc>
                            <w:tc>
                              <w:tcPr>
                                <w:tcW w:w="0" w:type="auto"/>
                              </w:tcPr>
                              <w:p>
                                <w:pPr>
                                  <w:jc w:val="center"/>
                                  <w:rPr>
                                    <w:rFonts w:ascii="Arial" w:hAnsi="Arial" w:cs="Arial"/>
                                    <w:sz w:val="20"/>
                                  </w:rPr>
                                </w:pPr>
                                <w:r>
                                  <w:rPr>
                                    <w:rFonts w:ascii="Arial" w:hAnsi="Arial" w:cs="Arial"/>
                                    <w:sz w:val="20"/>
                                  </w:rPr>
                                  <w:t>1</w:t>
                                </w:r>
                              </w:p>
                            </w:tc>
                          </w:tr>
                          <w:tr>
                            <w:trPr>
                              <w:trHeight w:val="20"/>
                              <w:jc w:val="center"/>
                            </w:trPr>
                            <w:tc>
                              <w:tcPr>
                                <w:tcW w:w="0" w:type="auto"/>
                              </w:tcPr>
                              <w:p>
                                <w:pPr>
                                  <w:ind w:right="18"/>
                                  <w:jc w:val="both"/>
                                  <w:rPr>
                                    <w:rFonts w:ascii="Arial" w:hAnsi="Arial" w:cs="Arial"/>
                                    <w:sz w:val="20"/>
                                  </w:rPr>
                                </w:pPr>
                                <w:r>
                                  <w:rPr>
                                    <w:rFonts w:ascii="Arial" w:hAnsi="Arial" w:cs="Arial"/>
                                    <w:sz w:val="20"/>
                                  </w:rPr>
                                  <w:t>3.2</w:t>
                                </w:r>
                              </w:p>
                            </w:tc>
                            <w:tc>
                              <w:tcPr>
                                <w:tcW w:w="0" w:type="auto"/>
                              </w:tcPr>
                              <w:p>
                                <w:pPr>
                                  <w:jc w:val="both"/>
                                  <w:rPr>
                                    <w:rFonts w:ascii="Arial" w:hAnsi="Arial" w:cs="Arial"/>
                                    <w:sz w:val="20"/>
                                  </w:rPr>
                                </w:pPr>
                                <w:r>
                                  <w:rPr>
                                    <w:rFonts w:ascii="Arial" w:hAnsi="Arial" w:cs="Arial"/>
                                    <w:sz w:val="20"/>
                                  </w:rPr>
                                  <w:t>Kitas iškastinis kuras, elektros energija</w:t>
                                </w:r>
                              </w:p>
                            </w:tc>
                            <w:tc>
                              <w:tcPr>
                                <w:tcW w:w="0" w:type="auto"/>
                              </w:tcPr>
                              <w:p>
                                <w:pPr>
                                  <w:jc w:val="center"/>
                                  <w:rPr>
                                    <w:rFonts w:ascii="Arial" w:hAnsi="Arial" w:cs="Arial"/>
                                    <w:sz w:val="20"/>
                                  </w:rPr>
                                </w:pPr>
                                <w:r>
                                  <w:rPr>
                                    <w:rFonts w:ascii="Arial" w:hAnsi="Arial" w:cs="Arial"/>
                                    <w:sz w:val="20"/>
                                  </w:rPr>
                                  <w:t>2</w:t>
                                </w:r>
                              </w:p>
                            </w:tc>
                          </w:tr>
                          <w:tr>
                            <w:trPr>
                              <w:trHeight w:val="20"/>
                              <w:jc w:val="center"/>
                            </w:trPr>
                            <w:tc>
                              <w:tcPr>
                                <w:tcW w:w="0" w:type="auto"/>
                              </w:tcPr>
                              <w:p>
                                <w:pPr>
                                  <w:ind w:right="18"/>
                                  <w:jc w:val="both"/>
                                  <w:rPr>
                                    <w:rFonts w:ascii="Arial" w:hAnsi="Arial" w:cs="Arial"/>
                                    <w:b/>
                                    <w:bCs/>
                                    <w:sz w:val="20"/>
                                  </w:rPr>
                                </w:pPr>
                                <w:r>
                                  <w:rPr>
                                    <w:rFonts w:ascii="Arial" w:hAnsi="Arial" w:cs="Arial"/>
                                    <w:b/>
                                    <w:bCs/>
                                    <w:sz w:val="20"/>
                                  </w:rPr>
                                  <w:t>4</w:t>
                                </w:r>
                              </w:p>
                            </w:tc>
                            <w:tc>
                              <w:tcPr>
                                <w:tcW w:w="0" w:type="auto"/>
                              </w:tcPr>
                              <w:p>
                                <w:pPr>
                                  <w:jc w:val="both"/>
                                  <w:rPr>
                                    <w:rFonts w:ascii="Arial" w:hAnsi="Arial" w:cs="Arial"/>
                                    <w:b/>
                                    <w:bCs/>
                                    <w:sz w:val="20"/>
                                  </w:rPr>
                                </w:pPr>
                                <w:r>
                                  <w:rPr>
                                    <w:rFonts w:ascii="Arial" w:hAnsi="Arial" w:cs="Arial"/>
                                    <w:b/>
                                    <w:bCs/>
                                    <w:sz w:val="20"/>
                                  </w:rPr>
                                  <w:t>CO2 mažinimo efektyvumo kriterijus</w:t>
                                </w:r>
                              </w:p>
                            </w:tc>
                            <w:tc>
                              <w:tcPr>
                                <w:tcW w:w="0" w:type="auto"/>
                              </w:tcPr>
                              <w:p>
                                <w:pPr>
                                  <w:jc w:val="center"/>
                                  <w:rPr>
                                    <w:rFonts w:ascii="Arial" w:hAnsi="Arial" w:cs="Arial"/>
                                    <w:sz w:val="20"/>
                                  </w:rPr>
                                </w:pPr>
                              </w:p>
                            </w:tc>
                          </w:tr>
                          <w:tr>
                            <w:trPr>
                              <w:trHeight w:val="20"/>
                              <w:jc w:val="center"/>
                            </w:trPr>
                            <w:tc>
                              <w:tcPr>
                                <w:tcW w:w="0" w:type="auto"/>
                              </w:tcPr>
                              <w:p>
                                <w:pPr>
                                  <w:ind w:right="18"/>
                                  <w:jc w:val="both"/>
                                  <w:rPr>
                                    <w:rFonts w:ascii="Arial" w:hAnsi="Arial" w:cs="Arial"/>
                                    <w:sz w:val="20"/>
                                  </w:rPr>
                                </w:pPr>
                                <w:r>
                                  <w:rPr>
                                    <w:rFonts w:ascii="Arial" w:hAnsi="Arial" w:cs="Arial"/>
                                    <w:sz w:val="20"/>
                                  </w:rPr>
                                  <w:t>4.1</w:t>
                                </w:r>
                              </w:p>
                            </w:tc>
                            <w:tc>
                              <w:tcPr>
                                <w:tcW w:w="0" w:type="auto"/>
                              </w:tcPr>
                              <w:p>
                                <w:pPr>
                                  <w:jc w:val="both"/>
                                  <w:rPr>
                                    <w:rFonts w:ascii="Arial" w:hAnsi="Arial" w:cs="Arial"/>
                                    <w:sz w:val="20"/>
                                  </w:rPr>
                                </w:pPr>
                                <w:r>
                                  <w:rPr>
                                    <w:rFonts w:ascii="Arial" w:hAnsi="Arial" w:cs="Arial"/>
                                    <w:sz w:val="20"/>
                                  </w:rPr>
                                  <w:t>Suderintas CO2 mažinimo efektyvumas didesnis kaip 8 kgCO2/Eur subsidijų</w:t>
                                </w:r>
                              </w:p>
                            </w:tc>
                            <w:tc>
                              <w:tcPr>
                                <w:tcW w:w="0" w:type="auto"/>
                              </w:tcPr>
                              <w:p>
                                <w:pPr>
                                  <w:jc w:val="center"/>
                                  <w:rPr>
                                    <w:rFonts w:ascii="Arial" w:hAnsi="Arial" w:cs="Arial"/>
                                    <w:sz w:val="20"/>
                                  </w:rPr>
                                </w:pPr>
                                <w:r>
                                  <w:rPr>
                                    <w:rFonts w:ascii="Arial" w:hAnsi="Arial" w:cs="Arial"/>
                                    <w:sz w:val="20"/>
                                  </w:rPr>
                                  <w:t>3</w:t>
                                </w:r>
                              </w:p>
                            </w:tc>
                          </w:tr>
                          <w:tr>
                            <w:trPr>
                              <w:trHeight w:val="20"/>
                              <w:jc w:val="center"/>
                            </w:trPr>
                            <w:tc>
                              <w:tcPr>
                                <w:tcW w:w="0" w:type="auto"/>
                              </w:tcPr>
                              <w:p>
                                <w:pPr>
                                  <w:ind w:right="18"/>
                                  <w:jc w:val="both"/>
                                  <w:rPr>
                                    <w:rFonts w:ascii="Arial" w:hAnsi="Arial" w:cs="Arial"/>
                                    <w:sz w:val="20"/>
                                  </w:rPr>
                                </w:pPr>
                                <w:r>
                                  <w:rPr>
                                    <w:rFonts w:ascii="Arial" w:hAnsi="Arial" w:cs="Arial"/>
                                    <w:sz w:val="20"/>
                                  </w:rPr>
                                  <w:t>4.2</w:t>
                                </w:r>
                              </w:p>
                            </w:tc>
                            <w:tc>
                              <w:tcPr>
                                <w:tcW w:w="0" w:type="auto"/>
                              </w:tcPr>
                              <w:p>
                                <w:pPr>
                                  <w:jc w:val="both"/>
                                  <w:rPr>
                                    <w:rFonts w:ascii="Arial" w:hAnsi="Arial" w:cs="Arial"/>
                                    <w:sz w:val="20"/>
                                  </w:rPr>
                                </w:pPr>
                                <w:r>
                                  <w:rPr>
                                    <w:rFonts w:ascii="Arial" w:hAnsi="Arial" w:cs="Arial"/>
                                    <w:sz w:val="20"/>
                                  </w:rPr>
                                  <w:t>Suderintas CO2 mažinimo efektyvumas didesnis kaip 5 kgCO2/Eur subsidijų</w:t>
                                </w:r>
                              </w:p>
                            </w:tc>
                            <w:tc>
                              <w:tcPr>
                                <w:tcW w:w="0" w:type="auto"/>
                              </w:tcPr>
                              <w:p>
                                <w:pPr>
                                  <w:jc w:val="center"/>
                                  <w:rPr>
                                    <w:rFonts w:ascii="Arial" w:hAnsi="Arial" w:cs="Arial"/>
                                    <w:sz w:val="20"/>
                                  </w:rPr>
                                </w:pPr>
                                <w:r>
                                  <w:rPr>
                                    <w:rFonts w:ascii="Arial" w:hAnsi="Arial" w:cs="Arial"/>
                                    <w:sz w:val="20"/>
                                  </w:rPr>
                                  <w:t>2-3</w:t>
                                </w:r>
                              </w:p>
                            </w:tc>
                          </w:tr>
                          <w:tr>
                            <w:trPr>
                              <w:trHeight w:val="20"/>
                              <w:jc w:val="center"/>
                            </w:trPr>
                            <w:tc>
                              <w:tcPr>
                                <w:tcW w:w="0" w:type="auto"/>
                              </w:tcPr>
                              <w:p>
                                <w:pPr>
                                  <w:ind w:right="18"/>
                                  <w:jc w:val="both"/>
                                  <w:rPr>
                                    <w:rFonts w:ascii="Arial" w:hAnsi="Arial" w:cs="Arial"/>
                                    <w:sz w:val="20"/>
                                  </w:rPr>
                                </w:pPr>
                                <w:r>
                                  <w:rPr>
                                    <w:rFonts w:ascii="Arial" w:hAnsi="Arial" w:cs="Arial"/>
                                    <w:sz w:val="20"/>
                                  </w:rPr>
                                  <w:t>4.3</w:t>
                                </w:r>
                              </w:p>
                            </w:tc>
                            <w:tc>
                              <w:tcPr>
                                <w:tcW w:w="0" w:type="auto"/>
                              </w:tcPr>
                              <w:p>
                                <w:pPr>
                                  <w:jc w:val="both"/>
                                  <w:rPr>
                                    <w:rFonts w:ascii="Arial" w:hAnsi="Arial" w:cs="Arial"/>
                                    <w:sz w:val="20"/>
                                  </w:rPr>
                                </w:pPr>
                                <w:r>
                                  <w:rPr>
                                    <w:rFonts w:ascii="Arial" w:hAnsi="Arial" w:cs="Arial"/>
                                    <w:sz w:val="20"/>
                                  </w:rPr>
                                  <w:t>Suderintas CO2 mažinimo efektyvumas didesnis kaip 2 kgCO2/Eur subsidijų</w:t>
                                </w:r>
                              </w:p>
                            </w:tc>
                            <w:tc>
                              <w:tcPr>
                                <w:tcW w:w="0" w:type="auto"/>
                              </w:tcPr>
                              <w:p>
                                <w:pPr>
                                  <w:jc w:val="center"/>
                                  <w:rPr>
                                    <w:rFonts w:ascii="Arial" w:hAnsi="Arial" w:cs="Arial"/>
                                    <w:sz w:val="20"/>
                                  </w:rPr>
                                </w:pPr>
                                <w:r>
                                  <w:rPr>
                                    <w:rFonts w:ascii="Arial" w:hAnsi="Arial" w:cs="Arial"/>
                                    <w:sz w:val="20"/>
                                  </w:rPr>
                                  <w:t>1-2</w:t>
                                </w:r>
                              </w:p>
                            </w:tc>
                          </w:tr>
                          <w:tr>
                            <w:trPr>
                              <w:trHeight w:val="20"/>
                              <w:jc w:val="center"/>
                            </w:trPr>
                            <w:tc>
                              <w:tcPr>
                                <w:tcW w:w="0" w:type="auto"/>
                              </w:tcPr>
                              <w:p>
                                <w:pPr>
                                  <w:ind w:right="18"/>
                                  <w:jc w:val="both"/>
                                  <w:rPr>
                                    <w:rFonts w:ascii="Arial" w:hAnsi="Arial" w:cs="Arial"/>
                                    <w:b/>
                                    <w:bCs/>
                                    <w:sz w:val="20"/>
                                  </w:rPr>
                                </w:pPr>
                                <w:r>
                                  <w:rPr>
                                    <w:rFonts w:ascii="Arial" w:hAnsi="Arial" w:cs="Arial"/>
                                    <w:b/>
                                    <w:bCs/>
                                    <w:sz w:val="20"/>
                                  </w:rPr>
                                  <w:t>5</w:t>
                                </w:r>
                              </w:p>
                            </w:tc>
                            <w:tc>
                              <w:tcPr>
                                <w:tcW w:w="0" w:type="auto"/>
                              </w:tcPr>
                              <w:p>
                                <w:pPr>
                                  <w:jc w:val="both"/>
                                  <w:rPr>
                                    <w:rFonts w:ascii="Arial" w:hAnsi="Arial" w:cs="Arial"/>
                                    <w:b/>
                                    <w:bCs/>
                                    <w:sz w:val="20"/>
                                  </w:rPr>
                                </w:pPr>
                                <w:r>
                                  <w:rPr>
                                    <w:rFonts w:ascii="Arial" w:hAnsi="Arial" w:cs="Arial"/>
                                    <w:b/>
                                    <w:bCs/>
                                    <w:sz w:val="20"/>
                                  </w:rPr>
                                  <w:t>Projekto naujumas</w:t>
                                </w:r>
                              </w:p>
                            </w:tc>
                            <w:tc>
                              <w:tcPr>
                                <w:tcW w:w="0" w:type="auto"/>
                              </w:tcPr>
                              <w:p>
                                <w:pPr>
                                  <w:jc w:val="center"/>
                                  <w:rPr>
                                    <w:rFonts w:ascii="Arial" w:hAnsi="Arial" w:cs="Arial"/>
                                    <w:sz w:val="20"/>
                                  </w:rPr>
                                </w:pPr>
                              </w:p>
                            </w:tc>
                          </w:tr>
                          <w:tr>
                            <w:trPr>
                              <w:trHeight w:val="20"/>
                              <w:jc w:val="center"/>
                            </w:trPr>
                            <w:tc>
                              <w:tcPr>
                                <w:tcW w:w="0" w:type="auto"/>
                              </w:tcPr>
                              <w:p>
                                <w:pPr>
                                  <w:ind w:right="18"/>
                                  <w:jc w:val="both"/>
                                  <w:rPr>
                                    <w:rFonts w:ascii="Arial" w:hAnsi="Arial" w:cs="Arial"/>
                                    <w:sz w:val="20"/>
                                  </w:rPr>
                                </w:pPr>
                                <w:r>
                                  <w:rPr>
                                    <w:rFonts w:ascii="Arial" w:hAnsi="Arial" w:cs="Arial"/>
                                    <w:sz w:val="20"/>
                                  </w:rPr>
                                  <w:t>5.1</w:t>
                                </w:r>
                              </w:p>
                            </w:tc>
                            <w:tc>
                              <w:tcPr>
                                <w:tcW w:w="0" w:type="auto"/>
                              </w:tcPr>
                              <w:p>
                                <w:pPr>
                                  <w:jc w:val="both"/>
                                  <w:rPr>
                                    <w:rFonts w:ascii="Arial" w:hAnsi="Arial" w:cs="Arial"/>
                                    <w:sz w:val="20"/>
                                  </w:rPr>
                                </w:pPr>
                                <w:r>
                                  <w:rPr>
                                    <w:rFonts w:ascii="Arial" w:hAnsi="Arial" w:cs="Arial"/>
                                    <w:sz w:val="20"/>
                                  </w:rPr>
                                  <w:t>Pirmas atitinkamo tipo technologijos projektas savivaldybėje, pilotinis projektas</w:t>
                                </w:r>
                              </w:p>
                            </w:tc>
                            <w:tc>
                              <w:tcPr>
                                <w:tcW w:w="0" w:type="auto"/>
                              </w:tcPr>
                              <w:p>
                                <w:pPr>
                                  <w:jc w:val="center"/>
                                  <w:rPr>
                                    <w:rFonts w:ascii="Arial" w:hAnsi="Arial" w:cs="Arial"/>
                                    <w:sz w:val="20"/>
                                  </w:rPr>
                                </w:pPr>
                                <w:r>
                                  <w:rPr>
                                    <w:rFonts w:ascii="Arial" w:hAnsi="Arial" w:cs="Arial"/>
                                    <w:sz w:val="20"/>
                                  </w:rPr>
                                  <w:t>3</w:t>
                                </w:r>
                              </w:p>
                            </w:tc>
                          </w:tr>
                        </w:tbl>
                        <w:p>
                          <w:pPr>
                            <w:spacing w:line="259" w:lineRule="auto"/>
                            <w:jc w:val="center"/>
                            <w:rPr>
                              <w:rFonts w:ascii="Arial" w:hAnsi="Arial" w:cs="Arial"/>
                              <w:i/>
                              <w:iCs/>
                              <w:sz w:val="18"/>
                              <w:szCs w:val="18"/>
                            </w:rPr>
                          </w:pPr>
                          <w:r>
                            <w:rPr>
                              <w:rFonts w:ascii="Arial" w:hAnsi="Arial" w:cs="Arial"/>
                              <w:i/>
                              <w:iCs/>
                              <w:sz w:val="18"/>
                              <w:szCs w:val="18"/>
                            </w:rPr>
                            <w:t>Šaltinis: sudaryta pagal Atsinaujinančių išteklių plėtros planų rengimo metodikos reikalavimus</w:t>
                          </w:r>
                        </w:p>
                        <w:p>
                          <w:pPr>
                            <w:rPr>
                              <w:sz w:val="14"/>
                              <w:szCs w:val="14"/>
                            </w:rPr>
                          </w:pPr>
                        </w:p>
                        <w:p>
                          <w:pPr>
                            <w:spacing w:line="259" w:lineRule="auto"/>
                            <w:ind w:firstLine="720"/>
                            <w:jc w:val="center"/>
                            <w:rPr>
                              <w:rFonts w:ascii="Arial" w:hAnsi="Arial" w:cs="Arial"/>
                              <w:sz w:val="22"/>
                              <w:szCs w:val="22"/>
                            </w:rPr>
                          </w:pPr>
                        </w:p>
                        <w:p>
                          <w:pPr>
                            <w:rPr>
                              <w:sz w:val="14"/>
                              <w:szCs w:val="14"/>
                            </w:rPr>
                          </w:pPr>
                        </w:p>
                      </w:sdtContent>
                    </w:sdt>
                  </w:sdtContent>
                </w:sdt>
              </w:sdtContent>
            </w:sdt>
            <w:sdt>
              <w:sdtPr>
                <w:alias w:val="11 p."/>
                <w:tag w:val="part_a47b07e26084436f82f4a1ddf85892af"/>
                <w:lock w:val="sdtLocked"/>
                <w:richText/>
              </w:sdtPr>
              <w:sdtContent>
                <w:p>
                  <w:pPr>
                    <w:keepNext/>
                    <w:keepLines/>
                    <w:spacing w:line="259" w:lineRule="auto"/>
                    <w:jc w:val="center"/>
                    <w:rPr>
                      <w:rFonts w:ascii="Arial" w:hAnsi="Arial" w:cs="Arial"/>
                      <w:b/>
                      <w:caps/>
                      <w:color w:val="002060"/>
                      <w:sz w:val="28"/>
                      <w:szCs w:val="32"/>
                    </w:rPr>
                  </w:pPr>
                  <w:r>
                    <w:rPr>
                      <w:rFonts w:ascii="Arial" w:hAnsi="Arial" w:cs="Arial"/>
                      <w:b/>
                      <w:caps/>
                      <w:color w:val="002060"/>
                      <w:sz w:val="28"/>
                      <w:szCs w:val="32"/>
                    </w:rPr>
                    <w:br w:type="page"/>
                  </w:r>
                  <w:sdt>
                    <w:sdtPr>
                      <w:alias w:val="Numeris"/>
                      <w:tag w:val="nr_a47b07e26084436f82f4a1ddf85892af"/>
                      <w:lock w:val="sdtLocked"/>
                      <w:richText/>
                    </w:sdtPr>
                    <w:sdtContent>
                      <w:r>
                        <w:rPr>
                          <w:rFonts w:ascii="Arial" w:hAnsi="Arial" w:cs="Arial"/>
                          <w:b/>
                          <w:caps/>
                          <w:color w:val="002060"/>
                          <w:sz w:val="28"/>
                          <w:szCs w:val="32"/>
                        </w:rPr>
                        <w:t>11</w:t>
                      </w:r>
                    </w:sdtContent>
                  </w:sdt>
                  <w:r>
                    <w:rPr>
                      <w:rFonts w:ascii="Arial" w:hAnsi="Arial" w:cs="Arial"/>
                      <w:b/>
                      <w:caps/>
                      <w:color w:val="002060"/>
                      <w:sz w:val="28"/>
                      <w:szCs w:val="32"/>
                    </w:rPr>
                    <w:t>. Išvados ir rekomendacijos</w:t>
                  </w:r>
                </w:p>
                <w:p>
                  <w:pPr>
                    <w:rPr>
                      <w:sz w:val="14"/>
                      <w:szCs w:val="14"/>
                    </w:rPr>
                  </w:pPr>
                </w:p>
                <w:p>
                  <w:pPr>
                    <w:spacing w:line="259" w:lineRule="auto"/>
                    <w:ind w:firstLine="567"/>
                    <w:jc w:val="both"/>
                    <w:rPr>
                      <w:rFonts w:ascii="Arial" w:hAnsi="Arial" w:cs="Arial"/>
                      <w:sz w:val="22"/>
                    </w:rPr>
                  </w:pPr>
                  <w:r>
                    <w:rPr>
                      <w:rFonts w:ascii="Arial" w:hAnsi="Arial" w:cs="Arial"/>
                      <w:sz w:val="22"/>
                    </w:rPr>
                    <w:t>Bendrasis galutinis energijos suvartojimas Joniškio rajono savivaldybėje 2021 m. siekė 19 794,0 tonų naftos ekvivalentu. AIE dalis galutinės energijos suvartojime sudarė 60,6 proc. Pagal Nacionalinę energetinės nepriklausomybės strategiją (NENS) Joniškio rajono savivaldybėje AIE dalis galutinės energijos suvartojime viršijo šalies užsibrėžtus tikslus 2030 m. pasiekti 45 proc. AIE dalį galutinės energijos suvartojime. Nepaisant to, nevisuose sektoriuose siektini rodikliai yra pasiekti. Transporto sektoriuje AIE dalis siekė apie 6,0 proc. Pramonės sektoriuje, vertinant elektros energijos suvartojimą ir šilumą pastatų šildymui, AIE dalis siekė apie 46,0 proc., žemės ūkyje – apie 36,6 proc. Namų ūkiuose, tiek prijungtuose prie CŠT, tiek neprijungtuose prie CŠT, AIE dalis energijos vartojime siekė apie 71,3 proc., kai paslaugų sektoriuje ši dalis sudarė apie 79,9 proc.</w:t>
                  </w:r>
                </w:p>
                <w:p>
                  <w:pPr>
                    <w:rPr>
                      <w:sz w:val="14"/>
                      <w:szCs w:val="14"/>
                    </w:rPr>
                  </w:pPr>
                </w:p>
                <w:p>
                  <w:pPr>
                    <w:spacing w:line="259" w:lineRule="auto"/>
                    <w:ind w:firstLine="567"/>
                    <w:jc w:val="both"/>
                    <w:rPr>
                      <w:rFonts w:ascii="Arial" w:hAnsi="Arial" w:cs="Arial"/>
                      <w:sz w:val="22"/>
                    </w:rPr>
                  </w:pPr>
                  <w:r>
                    <w:rPr>
                      <w:rFonts w:ascii="Arial" w:hAnsi="Arial" w:cs="Arial"/>
                      <w:sz w:val="22"/>
                    </w:rPr>
                    <w:t>Centralizuotai tiekiamos šilumos gamybai naudojamas biokuras bendrame pagamintos šilumos balanse siekia 83,3 proc. Joniškio rajono savivaldybėje centralizuotas šilumos gamybos ir tiekimo paslaugas teikė UAB „Gren Joniškis“.</w:t>
                  </w:r>
                </w:p>
                <w:p>
                  <w:pPr>
                    <w:rPr>
                      <w:sz w:val="14"/>
                      <w:szCs w:val="14"/>
                    </w:rPr>
                  </w:pPr>
                </w:p>
                <w:p>
                  <w:pPr>
                    <w:spacing w:line="259" w:lineRule="auto"/>
                    <w:ind w:firstLine="567"/>
                    <w:jc w:val="both"/>
                    <w:rPr>
                      <w:rFonts w:ascii="Arial" w:hAnsi="Arial" w:cs="Arial"/>
                      <w:sz w:val="22"/>
                    </w:rPr>
                  </w:pPr>
                  <w:r>
                    <w:rPr>
                      <w:rFonts w:ascii="Arial" w:hAnsi="Arial" w:cs="Arial"/>
                      <w:sz w:val="22"/>
                    </w:rPr>
                    <w:t>Atlikus skaičiavimus nustatytas miesto AIE naudojimo potencialas pagal atskiras AIE rūšis: biokurą, biodujas, komunalines atliekas, saulės, vėjo, hidroenergijos, hidroterminės ir geoterminės energijos išteklius. Techninis potencialas siekia apie 444 ktne ir daug kartų viršija savivaldybės metinius energijos poreikius (apie 20 ktne).</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Pagal darytas prielaidas dėl gyventojų skaičiaus mažėjimo ir BVP augimo, prognozuojama, kad Joniškio rajono savivaldybės energijos poreikiai iki 2030 m. padidės apie 2,4 proc.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Joniškio rajono savivaldybėje elektros energiją gaminančių vartotojų įrenginių galia, tenkanti 1000-iui gyventojų, siekė 26,81 kW, ir tarp šešiasdešimties Lietuvos savivaldybių Joniškio rajono savivaldybė užėmė 54 vietą. Lyginant su 2020 metais, pokytis buvo +14,86 kW (2020 m. energiją gaminančių vartotojų įrenginių galia, tenkanti 1000-iui gyventojų siekė 11,95 kW). Laikotarpyje iki 2030 m. prognozuojamas didelis elektros energiją gaminančių vartotojų skaičiaus augimas, todėl tikėtina, kad elektros energijos iš atsinaujinančių išteklių bus pagaminta iki 45 proc., kaip numatyta Nacionalinėje energetinės nepriklausomybės strategijoje. </w:t>
                  </w:r>
                </w:p>
                <w:p>
                  <w:pPr>
                    <w:rPr>
                      <w:sz w:val="14"/>
                      <w:szCs w:val="14"/>
                    </w:rPr>
                  </w:pPr>
                </w:p>
                <w:p>
                  <w:pPr>
                    <w:spacing w:line="259" w:lineRule="auto"/>
                    <w:ind w:firstLine="567"/>
                    <w:jc w:val="both"/>
                    <w:rPr>
                      <w:rFonts w:ascii="Arial" w:hAnsi="Arial" w:cs="Arial"/>
                      <w:sz w:val="22"/>
                    </w:rPr>
                  </w:pPr>
                  <w:r>
                    <w:rPr>
                      <w:rFonts w:ascii="Arial" w:hAnsi="Arial" w:cs="Arial"/>
                      <w:sz w:val="22"/>
                    </w:rPr>
                    <w:t>Populiarūs įrenginiai šilumos gamybai – saulės kolektoriai ir vis plačiau šilumos gamybai naudojami šilumos siurbliai. Joniškio rajono savivaldybė AIE plano įgyvendinimui gali būti naudojami įvairūs AIE įrenginiai, jų kombinacijos.</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Tarp pagrindinių priemonių didinti energijos naudojimą iš AIE Joniškio rajono savivaldybėje yra siūlomas saulės energijos panaudojimas karšto vandens gamybai saulės kolektoriuose bei elektros energijos gamybai saulės šviesos elektrinėse įrengtose ant savivaldybei priklausančių pastatų stogų. Investicijos šioms priemonėms įgyvendinti – apie 4,72 mln. Eur. Įvykdžius šias investicijas savivaldybės AIE dalis padidėtų 2,5 proc. Ši dalis nėra didelė vertinant dešimties metų laikotarpį. Todėl siekiant didesnės AIE dalies energijos vartojime, tikslingas būtų namų ūkių informavimas apie AIE įrenginius ir skatinimas juos įsirengti. Svarstant elektros gamybą iš atsinaujinančių išteklių, verta paminėti ir nutolusius saulės elektrinių parkus. Siekiant prisidėti prie nacionalinių rodiklių bei veiklą vykdyti nekenkiant aplinkai, verslai yra suinteresuoti apsirūpinti elektra, pagaminta naudojant atsinaujinančius išteklius. Tačiau ne visi verslai turi tam galimybę: ne ant visų stogų yra pakankamai vietos įsirengti saulės elektrinę, o didžioji dalis savo biurus nuomojasi, todėl investuoti į brangias technologijas neapsimoka, todėl išeitis yra pirkti elektrą iš nutolusių saulės ar vėjo elektrinių parkų. Tokie parkai tiekia elektrą pirkėjams, prižiūri įrenginius, todėl nutolusiems pirkėjams nebereik rūpintis įrenginių būklės palaikymu. Šiai dienai populiariausios galimybės gaminti bei vartoti elektros energiją yra tapti gaminančiu vartotoju (elektrinė vartojimo vietoje, nutolusi elektrinė bei dalis elektrinių parke), tačiau ateityje populiarės ir nauja alternatyva, galima jau nuo 2020 m. – tapti AIE bendrija. Tokiu atveju, elektrinė priklauso viešajai įstaigai, elektros energiją vartoja bendrijos dalininkai bei elektros energijos likutis perduodamas į elektros tinklus. Šios bendrijos jau gali teikti finansavimo paraiškas mažoms elektrinėms įsirengti, o ateityje valstybės finansavimas numatomas dar didesnis, todėl Joniškio rajono savivaldybė turėtų skatinti AIE bendrijų kūrimąsi Savivaldybės teritorijoje.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Darant prielaidą, kad iki 2030 metų 70 proc. iškastinį kurą naudojančių namų ūkių šiluma bus aprūpinami iš AIE (transformacijos priemonės – elektros energiją gaminantis vartotojas, šilumos siurbliai, saulės kolektoriai) AIE dalis savivaldybėje padidėtų beveik virš 13 proc. Tai paliestų apie 1 986 namų ūkius Jei vieno namų ūkio vidutinės investicijos į AIE sudarytų iki 5 000 Eur, tai bendros investicijos siektų apie 9,93 mln. Eur. Įrengus saulės kolektorius bei šviesos elektrines ant savivaldybei priklausančių pastatų stogų, taip pat AIE įrenginius namų ūkiuose, Joniškio rajono savivaldybėje AIE dalis siektų 72,3 proc. galutiniame vartojime. Šis rodiklis atitinka 3 koncepcinį scenarijų. </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CŠT gali būti diegiamos kitos priemonės didinančios AIE naudojimą, tokios kaip šilumos akumuliacinės talpos ar šiluma išgaunama iš nuotekų tinklų, tačiau Joniškio rajono savivaldybėje tokių technologijų panaudojimas ekonomiškai būtų neatsiperkantis dėl gyvenamųjų teritorijų išdėstymo, o tuo pačiu šiluminių trasų mažo tankio. Šiluminės energijos nuostolių mažinimui CŠT sistemoje gali būti diegiamas tinklo pritaikymas darbui žematemperatūriu režimu. Joniškio rajono savivaldybės CŠT modernizavimo potencialas turėtų būti pagrįstas duomenų analize ir galimybių tyrimais, kuriuose nurodoma keletas galimybių, kurios yra techniškai įmanomos. </w:t>
                  </w:r>
                </w:p>
                <w:p>
                  <w:pPr>
                    <w:rPr>
                      <w:sz w:val="14"/>
                      <w:szCs w:val="14"/>
                    </w:rPr>
                  </w:pPr>
                </w:p>
                <w:p>
                  <w:pPr>
                    <w:spacing w:line="259" w:lineRule="auto"/>
                    <w:ind w:firstLine="567"/>
                    <w:jc w:val="both"/>
                    <w:rPr>
                      <w:rFonts w:ascii="Arial" w:hAnsi="Arial" w:cs="Arial"/>
                      <w:sz w:val="22"/>
                    </w:rPr>
                  </w:pPr>
                  <w:r>
                    <w:rPr>
                      <w:rFonts w:ascii="Arial" w:hAnsi="Arial" w:cs="Arial"/>
                      <w:sz w:val="22"/>
                    </w:rPr>
                    <w:t>Prie energijos vartojimo mažinimo ir energetinio efektyvumo didinimo prisideda pastatų modernizavimas juos apšiltinant, atnaujinant šildymo sistemas, tačiau tokios priemonės įtakos AIE daliai nedaro arba ši dalis yra minimali.</w:t>
                  </w:r>
                </w:p>
                <w:p>
                  <w:pPr>
                    <w:rPr>
                      <w:sz w:val="14"/>
                      <w:szCs w:val="14"/>
                    </w:rPr>
                  </w:pPr>
                </w:p>
                <w:p>
                  <w:pPr>
                    <w:spacing w:line="259" w:lineRule="auto"/>
                    <w:ind w:firstLine="567"/>
                    <w:jc w:val="both"/>
                    <w:rPr>
                      <w:rFonts w:ascii="Arial" w:hAnsi="Arial" w:cs="Arial"/>
                      <w:sz w:val="22"/>
                    </w:rPr>
                  </w:pPr>
                  <w:r>
                    <w:rPr>
                      <w:rFonts w:ascii="Arial" w:hAnsi="Arial" w:cs="Arial"/>
                      <w:sz w:val="22"/>
                    </w:rPr>
                    <w:t xml:space="preserve">Nacionalinėje energetinės nepriklausomybės strategijoje užsibrėžtas tikslas iki 2030 m. pasiekti, kad  AEI dalis transporte išaugs iki 15 proc. Didžiausias dėmesys skiriamas elektromobilių parko ir krovimo stotelių plėtrai. Joniškio rajono savivaldybėje buvo įregistruota 20 elektrinių transporto priemonių ir tai sudarė 0,1 proc. visų savivaldybėje registruotų kelių transporto priemonių. Norint pasiekti šalies tikslą – išauginti AEI dalį transporto sektoriuje iki 15 proc., Joniškio rajono savivaldybėje turėtų būti registruota virš 3 tūkst. elektromobilių ar kitus atsinaujinančius išteklius naudojančios transporto priemonių. Tokį rodiklį pasiekti neįmanoma dėl itin didelių investicijų, tačiau darant tam tikrus žingsnius AEI dalį transporto sektoriuje galima padidinti. Joniškio rajono savivaldybė siekiant tolygios elektromobilių įkrovos vietų plėtros turės parengti Savivaldybės elektromobilių įkrovimo stotelių plėtros planą. Verta pabrėžti, jog planus turėtų būti parengtas taip, jog savivaldybės gyventojam bei savivaldybę pravažiuojantiems žmonės nekiltų problemų ieškant tinkamos elektromobilių įkrovimo stotelės. Svarbus dalykas, jog įkrovimo stotelės būtų greitojo įkrovimo, kadangi būtent šių įkrovimo stotelių plėtra skatintų tradicinį kurą naudojančių automobilių turėtojus rinktis elektromobilius (tik greitojo įkrovimo stotelės patogumu prilygsta tradicinėms degalus pardavinėjančioms degalinėms). Taip pat, įkrovimo stotelės turi būti strategiškai patogiose vietose, apie tai plačiau aprašyta </w:t>
                  </w:r>
                  <w:r>
                    <w:rPr>
                      <w:rFonts w:ascii="Arial" w:hAnsi="Arial" w:cs="Arial"/>
                      <w:i/>
                      <w:iCs/>
                      <w:sz w:val="22"/>
                    </w:rPr>
                    <w:t>7skyriuje</w:t>
                  </w:r>
                  <w:r>
                    <w:rPr>
                      <w:rFonts w:ascii="Arial" w:hAnsi="Arial" w:cs="Arial"/>
                      <w:sz w:val="22"/>
                    </w:rPr>
                    <w:t>. Atnaujinant Joniškio rajono savivaldybės administracijos ir pavaldžių įstaigų bei įmonių automobilių parką pirmenybė ateinančiame dešimtmetyje turėtų būti teikiama transporto priemonėms naudojančioms atsinaujinančius išteklius.</w:t>
                  </w:r>
                </w:p>
                <w:p>
                  <w:pPr>
                    <w:rPr>
                      <w:sz w:val="14"/>
                      <w:szCs w:val="14"/>
                    </w:rPr>
                  </w:pPr>
                </w:p>
                <w:sdt>
                  <w:sdtPr>
                    <w:alias w:val="11.1 pp."/>
                    <w:tag w:val="part_28e8e42af28b41cf8e4b381cfa2352f4"/>
                    <w:lock w:val="sdtLocked"/>
                    <w:richText/>
                  </w:sdtPr>
                  <w:sdtContent>
                    <w:p>
                      <w:pPr>
                        <w:spacing w:line="259" w:lineRule="auto"/>
                        <w:ind w:firstLine="567"/>
                        <w:jc w:val="both"/>
                        <w:rPr>
                          <w:rFonts w:ascii="Arial" w:hAnsi="Arial" w:cs="Arial"/>
                          <w:sz w:val="22"/>
                        </w:rPr>
                      </w:pPr>
                      <w:sdt>
                        <w:sdtPr>
                          <w:alias w:val="Numeris"/>
                          <w:tag w:val="nr_28e8e42af28b41cf8e4b381cfa2352f4"/>
                          <w:lock w:val="sdtLocked"/>
                          <w:richText/>
                        </w:sdtPr>
                        <w:sdtContent>
                          <w:r>
                            <w:rPr>
                              <w:rFonts w:ascii="Arial" w:hAnsi="Arial" w:cs="Arial"/>
                              <w:sz w:val="22"/>
                            </w:rPr>
                            <w:t>11.1</w:t>
                          </w:r>
                        </w:sdtContent>
                      </w:sdt>
                      <w:r>
                        <w:rPr>
                          <w:rFonts w:ascii="Arial" w:hAnsi="Arial" w:cs="Arial"/>
                          <w:sz w:val="22"/>
                        </w:rPr>
                        <w:t>. lentelėje pateikiamos rekomendacijos susijusios su atsinaujinančių energijos išteklių naudojimo plėtra.</w:t>
                      </w:r>
                    </w:p>
                    <w:p>
                      <w:pPr>
                        <w:rPr>
                          <w:sz w:val="14"/>
                          <w:szCs w:val="14"/>
                        </w:rPr>
                      </w:pPr>
                    </w:p>
                  </w:sdtContent>
                </w:sdt>
                <w:sdt>
                  <w:sdtPr>
                    <w:alias w:val="11.1 pp."/>
                    <w:tag w:val="part_964a6272400f4d1387d9ba503d481f7f"/>
                    <w:lock w:val="sdtLocked"/>
                    <w:richText/>
                  </w:sdtPr>
                  <w:sdtContent>
                    <w:p>
                      <w:pPr>
                        <w:spacing w:line="259" w:lineRule="auto"/>
                        <w:jc w:val="center"/>
                        <w:rPr>
                          <w:rFonts w:ascii="Arial" w:eastAsia="Calibri" w:hAnsi="Arial" w:cs="Arial"/>
                          <w:b/>
                          <w:color w:val="002060"/>
                          <w:sz w:val="22"/>
                          <w:szCs w:val="32"/>
                        </w:rPr>
                      </w:pPr>
                      <w:sdt>
                        <w:sdtPr>
                          <w:alias w:val="Numeris"/>
                          <w:tag w:val="nr_964a6272400f4d1387d9ba503d481f7f"/>
                          <w:lock w:val="sdtLocked"/>
                          <w:richText/>
                        </w:sdtPr>
                        <w:sdtContent>
                          <w:r>
                            <w:rPr>
                              <w:rFonts w:ascii="Arial" w:eastAsia="Calibri" w:hAnsi="Arial" w:cs="Arial"/>
                              <w:b/>
                              <w:color w:val="002060"/>
                              <w:sz w:val="22"/>
                              <w:szCs w:val="32"/>
                            </w:rPr>
                            <w:t>11.1</w:t>
                          </w:r>
                        </w:sdtContent>
                      </w:sdt>
                      <w:r>
                        <w:rPr>
                          <w:rFonts w:ascii="Arial" w:eastAsia="Calibri" w:hAnsi="Arial" w:cs="Arial"/>
                          <w:b/>
                          <w:color w:val="002060"/>
                          <w:sz w:val="22"/>
                          <w:szCs w:val="32"/>
                        </w:rPr>
                        <w:t>. lentelė. Rekomendacijos atsinaujinančių energijos išteklių naudojimo plėtrai</w:t>
                      </w:r>
                    </w:p>
                    <w:p>
                      <w:pPr>
                        <w:rPr>
                          <w:sz w:val="10"/>
                          <w:szCs w:val="10"/>
                        </w:rPr>
                      </w:pPr>
                    </w:p>
                    <w:tbl>
                      <w:tblPr>
                        <w:tblW w:w="0" w:type="auto"/>
                        <w:jc w:val="center"/>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4824"/>
                        <w:gridCol w:w="5371"/>
                      </w:tblGrid>
                      <w:tr>
                        <w:trPr>
                          <w:jc w:val="center"/>
                        </w:trPr>
                        <w:tc>
                          <w:tcPr>
                            <w:tcW w:w="0" w:type="auto"/>
                          </w:tcPr>
                          <w:p>
                            <w:pPr>
                              <w:jc w:val="center"/>
                              <w:rPr>
                                <w:rFonts w:ascii="Arial" w:hAnsi="Arial" w:cs="Arial"/>
                                <w:sz w:val="20"/>
                              </w:rPr>
                            </w:pPr>
                            <w:r>
                              <w:rPr>
                                <w:rFonts w:ascii="Arial" w:hAnsi="Arial" w:cs="Arial"/>
                                <w:sz w:val="20"/>
                              </w:rPr>
                              <w:t>Esama situacija ir problematika</w:t>
                            </w:r>
                          </w:p>
                        </w:tc>
                        <w:tc>
                          <w:tcPr>
                            <w:tcW w:w="0" w:type="auto"/>
                          </w:tcPr>
                          <w:p>
                            <w:pPr>
                              <w:jc w:val="center"/>
                              <w:rPr>
                                <w:rFonts w:ascii="Arial" w:hAnsi="Arial" w:cs="Arial"/>
                                <w:sz w:val="20"/>
                              </w:rPr>
                            </w:pPr>
                            <w:r>
                              <w:rPr>
                                <w:rFonts w:ascii="Arial" w:hAnsi="Arial" w:cs="Arial"/>
                                <w:sz w:val="20"/>
                              </w:rPr>
                              <w:t>Rekomendacijos</w:t>
                            </w:r>
                          </w:p>
                        </w:tc>
                      </w:tr>
                      <w:tr>
                        <w:trPr>
                          <w:jc w:val="center"/>
                        </w:trPr>
                        <w:tc>
                          <w:tcPr>
                            <w:tcW w:w="0" w:type="auto"/>
                            <w:gridSpan w:val="2"/>
                          </w:tcPr>
                          <w:p>
                            <w:pPr>
                              <w:jc w:val="center"/>
                              <w:rPr>
                                <w:rFonts w:ascii="Arial" w:hAnsi="Arial" w:cs="Arial"/>
                                <w:sz w:val="20"/>
                              </w:rPr>
                            </w:pPr>
                            <w:r>
                              <w:rPr>
                                <w:rFonts w:ascii="Arial" w:hAnsi="Arial" w:cs="Arial"/>
                                <w:sz w:val="20"/>
                              </w:rPr>
                              <w:t>Namų ūkiai</w:t>
                            </w:r>
                          </w:p>
                        </w:tc>
                      </w:tr>
                      <w:tr>
                        <w:trPr>
                          <w:trHeight w:val="1558"/>
                          <w:jc w:val="center"/>
                        </w:trPr>
                        <w:tc>
                          <w:tcPr>
                            <w:tcW w:w="0" w:type="auto"/>
                          </w:tcPr>
                          <w:p>
                            <w:pPr>
                              <w:jc w:val="both"/>
                              <w:rPr>
                                <w:rFonts w:ascii="Arial" w:hAnsi="Arial" w:cs="Arial"/>
                                <w:sz w:val="20"/>
                              </w:rPr>
                            </w:pPr>
                            <w:r>
                              <w:rPr>
                                <w:rFonts w:ascii="Arial" w:hAnsi="Arial" w:cs="Arial"/>
                                <w:sz w:val="20"/>
                              </w:rPr>
                              <w:t>Joniškio rajono savivaldybės namų ūkiuose, tiek prijungtuose prie CŠT, tiek neprijungtuose prie CŠT, AIE dalis energijos vartojime siekė apie 71,3 proc. Pagal NENS, individualiai šildomų namų ūkių iš atsinaujinančių energijos išteklių dalis 2030 m. turi sudaryti 80 proc. visų namų ūkių.</w:t>
                            </w:r>
                          </w:p>
                        </w:tc>
                        <w:tc>
                          <w:tcPr>
                            <w:tcW w:w="0" w:type="auto"/>
                          </w:tcPr>
                          <w:p>
                            <w:pPr>
                              <w:jc w:val="both"/>
                              <w:rPr>
                                <w:rFonts w:ascii="Arial" w:hAnsi="Arial" w:cs="Arial"/>
                                <w:sz w:val="20"/>
                              </w:rPr>
                            </w:pPr>
                            <w:r>
                              <w:rPr>
                                <w:rFonts w:ascii="Arial" w:hAnsi="Arial" w:cs="Arial"/>
                                <w:sz w:val="20"/>
                              </w:rPr>
                              <w:t>Skatinti ir informuoti savivaldybės gyventojus apie valstybės ir savivaldybės paramos schemas, taikomas atsinaujinančių energijos išteklių naudojimui ir gamybai.</w:t>
                            </w:r>
                          </w:p>
                        </w:tc>
                      </w:tr>
                      <w:tr>
                        <w:trPr>
                          <w:jc w:val="center"/>
                        </w:trPr>
                        <w:tc>
                          <w:tcPr>
                            <w:tcW w:w="0" w:type="auto"/>
                            <w:gridSpan w:val="2"/>
                          </w:tcPr>
                          <w:p>
                            <w:pPr>
                              <w:jc w:val="center"/>
                              <w:rPr>
                                <w:rFonts w:ascii="Arial" w:hAnsi="Arial" w:cs="Arial"/>
                                <w:sz w:val="20"/>
                              </w:rPr>
                            </w:pPr>
                            <w:r>
                              <w:rPr>
                                <w:rFonts w:ascii="Arial" w:hAnsi="Arial" w:cs="Arial"/>
                                <w:sz w:val="20"/>
                              </w:rPr>
                              <w:t>Transportas</w:t>
                            </w:r>
                          </w:p>
                        </w:tc>
                      </w:tr>
                      <w:tr>
                        <w:trPr>
                          <w:jc w:val="center"/>
                        </w:trPr>
                        <w:tc>
                          <w:tcPr>
                            <w:tcW w:w="0" w:type="auto"/>
                          </w:tcPr>
                          <w:p>
                            <w:pPr>
                              <w:jc w:val="both"/>
                              <w:rPr>
                                <w:rFonts w:ascii="Arial" w:hAnsi="Arial" w:cs="Arial"/>
                                <w:sz w:val="20"/>
                              </w:rPr>
                            </w:pPr>
                            <w:r>
                              <w:rPr>
                                <w:rFonts w:ascii="Arial" w:hAnsi="Arial" w:cs="Arial"/>
                                <w:sz w:val="20"/>
                              </w:rPr>
                              <w:t xml:space="preserve">Transporto sektoriuje AIE dalis Joniškio rajono savivaldybėje siekė apie 6 proc. Pagal NENS iki 2030 m. planuojama, kad  AEI dalis transporte išaugs iki 15 proc. Sektoriui aktualus Lietuvos Respublikos alternatyviųjų degalų įstatymas, įsigaliojęs 2021 m. liepos 1 d. Pagal šį įstatymą nustatyti reikalavimai viešiesiems pirkimams.</w:t>
                            </w:r>
                          </w:p>
                        </w:tc>
                        <w:tc>
                          <w:tcPr>
                            <w:tcW w:w="0" w:type="auto"/>
                          </w:tcPr>
                          <w:p>
                            <w:pPr>
                              <w:jc w:val="both"/>
                              <w:rPr>
                                <w:rFonts w:ascii="Arial" w:hAnsi="Arial" w:cs="Arial"/>
                                <w:sz w:val="20"/>
                              </w:rPr>
                            </w:pPr>
                            <w:r>
                              <w:rPr>
                                <w:rFonts w:ascii="Arial" w:hAnsi="Arial" w:cs="Arial"/>
                                <w:sz w:val="20"/>
                              </w:rPr>
                              <w:t>Joniškio rajono savivaldybės pavaldžiose įstaigose/įmonėse transporto priemonės, kurių daugumą sudaro M1 ir M2 kategorijų automobiliai, ir per artimiausią dešimtmetį dalis jų bus nudėvėta (planuojama apie 8 vnt.). Rengiant viešuosius pirkimus transporto priemonėms įsigyti teks tenkinti sąlygas, kurios nustatytos Lietuvos Respublikos alternatyviųjų degalų įstatyme. Iki 2025 m. gruodžio 31 d. įsigyjamos netaršios transporto priemonės turės sudaryti ne mažiau kaip 60 procentų nuo tos pačios kategorijos naudojamų kelių transporto priemonių, o nuo 2026 m. sausio 1 d. iki 2030 m. gruodžio 31 d. – 100 procentų.</w:t>
                            </w:r>
                          </w:p>
                          <w:p>
                            <w:pPr>
                              <w:jc w:val="both"/>
                              <w:rPr>
                                <w:rFonts w:ascii="Arial" w:hAnsi="Arial" w:cs="Arial"/>
                                <w:sz w:val="20"/>
                              </w:rPr>
                            </w:pPr>
                            <w:r>
                              <w:rPr>
                                <w:rFonts w:ascii="Arial" w:hAnsi="Arial" w:cs="Arial"/>
                                <w:sz w:val="20"/>
                              </w:rPr>
                              <w:t xml:space="preserve">Individualių transporto priemonių ar ūkio subjektų transporto priemonių keitimas/įsigijimas į netaršias transporto priemones nėra reglamentuotas, nebent viešuosius pirkimus vykdytų perkančioji organizacija ar perkantis subjektas.  </w:t>
                            </w:r>
                          </w:p>
                          <w:p>
                            <w:pPr>
                              <w:jc w:val="both"/>
                              <w:rPr>
                                <w:rFonts w:ascii="Arial" w:hAnsi="Arial" w:cs="Arial"/>
                                <w:sz w:val="20"/>
                              </w:rPr>
                            </w:pPr>
                            <w:r>
                              <w:rPr>
                                <w:rFonts w:ascii="Arial" w:hAnsi="Arial" w:cs="Arial"/>
                                <w:sz w:val="20"/>
                              </w:rPr>
                              <w:t>Lietuvos Respublikos alternatyviųjų degalų įstatymas reglamentuoja viešuosius pirkimus įsigyjant paslaugas. Atkreiptinas dėmesys, kad rengiant viešuosius pirkimus viešojo transporto tiekėjo paslaugoms įsigyti, reikia vadovautis Alternatyviųjų degalų įstatymo 15 straipsniu.</w:t>
                            </w:r>
                          </w:p>
                        </w:tc>
                      </w:tr>
                      <w:tr>
                        <w:trPr>
                          <w:jc w:val="center"/>
                        </w:trPr>
                        <w:tc>
                          <w:tcPr>
                            <w:tcW w:w="0" w:type="auto"/>
                            <w:gridSpan w:val="2"/>
                          </w:tcPr>
                          <w:p>
                            <w:pPr>
                              <w:jc w:val="center"/>
                              <w:rPr>
                                <w:rFonts w:ascii="Arial" w:hAnsi="Arial" w:cs="Arial"/>
                                <w:sz w:val="20"/>
                              </w:rPr>
                            </w:pPr>
                            <w:r>
                              <w:rPr>
                                <w:rFonts w:ascii="Arial" w:hAnsi="Arial" w:cs="Arial"/>
                                <w:sz w:val="20"/>
                              </w:rPr>
                              <w:t>Elektros gamyba</w:t>
                            </w:r>
                          </w:p>
                        </w:tc>
                      </w:tr>
                      <w:tr>
                        <w:trPr>
                          <w:jc w:val="center"/>
                        </w:trPr>
                        <w:tc>
                          <w:tcPr>
                            <w:tcW w:w="0" w:type="auto"/>
                          </w:tcPr>
                          <w:p>
                            <w:pPr>
                              <w:jc w:val="both"/>
                              <w:rPr>
                                <w:rFonts w:ascii="Arial" w:hAnsi="Arial" w:cs="Arial"/>
                                <w:sz w:val="20"/>
                              </w:rPr>
                            </w:pPr>
                            <w:r>
                              <w:rPr>
                                <w:rFonts w:ascii="Arial" w:hAnsi="Arial" w:cs="Arial"/>
                                <w:sz w:val="20"/>
                              </w:rPr>
                              <w:t xml:space="preserve">Lietuvoje iš atsinaujinančių energijos išteklių 2020 m. pagaminta 60,1 proc. visos elektros energijos, o bendrame elektros energijos suvartojime AIE dalis siekė 20,17 proc. </w:t>
                            </w:r>
                          </w:p>
                          <w:p>
                            <w:pPr>
                              <w:jc w:val="both"/>
                              <w:rPr>
                                <w:rFonts w:ascii="Arial" w:hAnsi="Arial" w:cs="Arial"/>
                                <w:sz w:val="20"/>
                                <w:highlight w:val="cyan"/>
                              </w:rPr>
                            </w:pPr>
                            <w:r>
                              <w:rPr>
                                <w:rFonts w:ascii="Arial" w:hAnsi="Arial" w:cs="Arial"/>
                                <w:sz w:val="20"/>
                              </w:rPr>
                              <w:t>2021 m. Joniškio rajono savivaldybėje elektros energiją gaminančių vartotojų įrenginių galia, tenkanti 1000-iui gyventojų, siekė 26,81 kW. Pagal NENS iki 2030 m. siekiama, kad elektros energijos gamyba Lietuvoje sudarytų 70 proc., o AIE dalis elektros vartojimo balanse siektų 45 proc.</w:t>
                            </w:r>
                          </w:p>
                        </w:tc>
                        <w:tc>
                          <w:tcPr>
                            <w:tcW w:w="0" w:type="auto"/>
                          </w:tcPr>
                          <w:p>
                            <w:pPr>
                              <w:jc w:val="both"/>
                              <w:rPr>
                                <w:rFonts w:ascii="Arial" w:hAnsi="Arial" w:cs="Arial"/>
                                <w:sz w:val="20"/>
                              </w:rPr>
                            </w:pPr>
                            <w:r>
                              <w:rPr>
                                <w:rFonts w:ascii="Arial" w:hAnsi="Arial" w:cs="Arial"/>
                                <w:sz w:val="20"/>
                              </w:rPr>
                              <w:t xml:space="preserve">Joniškio rajono savivaldybės administracijai rekomenduojama skatinti miesto gyventojus ir ūkio subjektus gaminti elektros energiją naudojant saulės ir vėjo energiją.  Informuoti apie valstybės ir savivaldybės paramos schemas, taikomas atsinaujinančių energijos išteklių naudojimui ir gamybai.</w:t>
                            </w:r>
                          </w:p>
                          <w:p>
                            <w:pPr>
                              <w:jc w:val="both"/>
                              <w:rPr>
                                <w:rFonts w:ascii="Arial" w:hAnsi="Arial" w:cs="Arial"/>
                                <w:sz w:val="20"/>
                                <w:highlight w:val="cyan"/>
                              </w:rPr>
                            </w:pPr>
                            <w:r>
                              <w:rPr>
                                <w:rFonts w:ascii="Arial" w:hAnsi="Arial" w:cs="Arial"/>
                                <w:sz w:val="20"/>
                              </w:rPr>
                              <w:t xml:space="preserve">Siekiant prisidėti prie NENS tikslų, iki 2030 m. ant savivaldybei priklausančių pastatų stogų būtų galima įrengti saulės šviesos elektrines, kurių galia siektų 2,8 MW. Saulės šviesos elektrinių įrengimo darbai pradėti ir 2022 m. </w:t>
                            </w:r>
                          </w:p>
                        </w:tc>
                      </w:tr>
                    </w:tbl>
                    <w:p>
                      <w:pPr>
                        <w:spacing w:line="259" w:lineRule="auto"/>
                        <w:jc w:val="center"/>
                        <w:rPr>
                          <w:rFonts w:ascii="Arial" w:hAnsi="Arial" w:cs="Arial"/>
                          <w:i/>
                          <w:iCs/>
                          <w:sz w:val="18"/>
                          <w:szCs w:val="18"/>
                        </w:rPr>
                      </w:pPr>
                      <w:r>
                        <w:rPr>
                          <w:rFonts w:ascii="Arial" w:hAnsi="Arial" w:cs="Arial"/>
                          <w:i/>
                          <w:iCs/>
                          <w:sz w:val="18"/>
                          <w:szCs w:val="18"/>
                        </w:rPr>
                        <w:t>Šaltinis: sudaryta autorių</w:t>
                      </w:r>
                    </w:p>
                    <w:p>
                      <w:pPr>
                        <w:rPr>
                          <w:sz w:val="14"/>
                          <w:szCs w:val="14"/>
                        </w:rPr>
                      </w:pPr>
                    </w:p>
                    <w:p>
                      <w:pPr>
                        <w:spacing w:line="259" w:lineRule="auto"/>
                        <w:jc w:val="center"/>
                        <w:rPr>
                          <w:rFonts w:ascii="Arial" w:hAnsi="Arial" w:cs="Arial"/>
                          <w:bCs/>
                          <w:caps/>
                          <w:color w:val="135587"/>
                          <w:sz w:val="28"/>
                          <w:szCs w:val="32"/>
                        </w:rPr>
                      </w:pPr>
                      <w:r>
                        <w:rPr>
                          <w:rFonts w:ascii="Arial" w:hAnsi="Arial" w:cs="Arial"/>
                          <w:bCs/>
                          <w:caps/>
                          <w:color w:val="135587"/>
                          <w:sz w:val="28"/>
                          <w:szCs w:val="32"/>
                        </w:rPr>
                        <w:t>__________________________________________</w:t>
                      </w:r>
                    </w:p>
                    <w:p>
                      <w:pPr>
                        <w:rPr>
                          <w:sz w:val="14"/>
                          <w:szCs w:val="14"/>
                        </w:rPr>
                      </w:pPr>
                    </w:p>
                    <w:p>
                      <w:pPr>
                        <w:spacing w:line="259" w:lineRule="auto"/>
                        <w:rPr>
                          <w:rFonts w:ascii="Arial" w:hAnsi="Arial" w:cs="Arial"/>
                          <w:bCs/>
                          <w:caps/>
                          <w:color w:val="135587"/>
                          <w:sz w:val="28"/>
                          <w:szCs w:val="32"/>
                        </w:rPr>
                      </w:pPr>
                    </w:p>
                  </w:sdtContent>
                </w:sdt>
              </w:sdtContent>
            </w:sdt>
          </w:sdtContent>
        </w:sdt>
      </w:sdtContent>
    </w:sdt>
    <w:sectPr>
      <w:headerReference w:type="default" r:id="rId45"/>
      <w:footerReference w:type="default" r:id="rId46"/>
      <w:headerReference w:type="first" r:id="rId47"/>
      <w:pgSz w:w="11906" w:h="16838"/>
      <w:pgMar w:top="1418"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before="120"/>
        <w:ind w:firstLine="567"/>
        <w:jc w:val="both"/>
        <w:rPr>
          <w:sz w:val="22"/>
          <w:szCs w:val="22"/>
        </w:rPr>
      </w:pPr>
      <w:r>
        <w:rPr>
          <w:sz w:val="22"/>
          <w:szCs w:val="22"/>
        </w:rPr>
        <w:separator/>
      </w:r>
    </w:p>
  </w:endnote>
  <w:endnote w:type="continuationSeparator" w:id="0">
    <w:p>
      <w:pPr>
        <w:spacing w:before="120"/>
        <w:ind w:firstLine="567"/>
        <w:jc w:val="both"/>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Reso">
    <w:altName w:val="Times New Roman"/>
    <w:charset w:val="BA"/>
    <w:family w:val="auto"/>
    <w:pitch w:val="variable"/>
    <w:sig w:usb0="A000002F" w:usb1="5000004B" w:usb2="00000000" w:usb3="00000000" w:csb0="00000093" w:csb1="00000000"/>
  </w:font>
  <w:font w:name="Calibri">
    <w:panose1 w:val="020F0502020204030204"/>
    <w:charset w:val="BA"/>
    <w:family w:val="swiss"/>
    <w:pitch w:val="variable"/>
    <w:sig w:usb0="E00002FF" w:usb1="4000ACFF" w:usb2="00000001" w:usb3="00000000" w:csb0="0000019F" w:csb1="00000000"/>
  </w:font>
  <w:font w:name="SegoeUI">
    <w:altName w:val="Yu Gothic"/>
    <w:panose1 w:val="00000000000000000000"/>
    <w:charset w:val="80"/>
    <w:family w:val="auto"/>
    <w:notTrueType/>
    <w:pitch w:val="default"/>
    <w:sig w:usb0="00000003" w:usb1="08070000" w:usb2="00000010" w:usb3="00000000" w:csb0="00020001" w:csb1="00000000"/>
  </w:font>
  <w:font w:name="Cambria">
    <w:panose1 w:val="02040503050406030204"/>
    <w:charset w:val="BA"/>
    <w:family w:val="roman"/>
    <w:pitch w:val="variable"/>
    <w:sig w:usb0="E00002FF" w:usb1="400004FF" w:usb2="00000000" w:usb3="00000000" w:csb0="0000019F" w:csb1="00000000"/>
  </w:font>
  <w:font w:name="Cambria Math">
    <w:panose1 w:val="02040503050406030204"/>
    <w:charset w:val="01"/>
    <w:family w:val="roman"/>
    <w:pitch w:val="variable"/>
    <w:sig w:usb0="E00002FF" w:usb1="420024FF" w:usb2="00000000" w:usb3="00000000" w:csb0="0000019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both"/>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jc w:val="right"/>
      <w:rPr>
        <w:rFonts w:cs="Arial"/>
        <w:color w:val="135587"/>
        <w:sz w:val="20"/>
      </w:rPr>
    </w:pPr>
    <w:r>
      <w:rPr>
        <w:rFonts w:cs="Arial"/>
        <w:b/>
        <w:bCs/>
        <w:color w:val="135587"/>
        <w:sz w:val="22"/>
        <w:szCs w:val="22"/>
      </w:rPr>
      <w:fldChar w:fldCharType="begin"/>
    </w:r>
    <w:r>
      <w:rPr>
        <w:rFonts w:cs="Arial"/>
        <w:b/>
        <w:bCs/>
        <w:color w:val="135587"/>
        <w:sz w:val="22"/>
        <w:szCs w:val="22"/>
      </w:rPr>
      <w:instrText>PAGE   \* MERGEFORMAT</w:instrText>
    </w:r>
    <w:r>
      <w:rPr>
        <w:rFonts w:cs="Arial"/>
        <w:b/>
        <w:bCs/>
        <w:color w:val="135587"/>
        <w:sz w:val="22"/>
        <w:szCs w:val="22"/>
      </w:rPr>
      <w:fldChar w:fldCharType="separate"/>
    </w:r>
    <w:r>
      <w:rPr>
        <w:rFonts w:cs="Arial"/>
        <w:b/>
        <w:bCs/>
        <w:color w:val="135587"/>
        <w:sz w:val="22"/>
        <w:szCs w:val="22"/>
      </w:rPr>
      <w:t>2</w:t>
    </w:r>
    <w:r>
      <w:rPr>
        <w:rFonts w:cs="Arial"/>
        <w:b/>
        <w:bCs/>
        <w:color w:val="135587"/>
        <w:sz w:val="22"/>
        <w:szCs w:val="22"/>
      </w:rPr>
      <w:fldChar w:fldCharType="end"/>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right"/>
      <w:rPr>
        <w:b/>
        <w:bCs/>
        <w:color w:val="135587"/>
        <w:sz w:val="22"/>
        <w:szCs w:val="22"/>
      </w:rPr>
    </w:pPr>
    <w:r>
      <w:rPr>
        <w:b/>
        <w:bCs/>
        <w:color w:val="135587"/>
        <w:sz w:val="22"/>
        <w:szCs w:val="22"/>
      </w:rPr>
      <w:fldChar w:fldCharType="begin"/>
    </w:r>
    <w:r>
      <w:rPr>
        <w:b/>
        <w:bCs/>
        <w:color w:val="135587"/>
        <w:sz w:val="22"/>
        <w:szCs w:val="22"/>
      </w:rPr>
      <w:instrText>PAGE   \* MERGEFORMAT</w:instrText>
    </w:r>
    <w:r>
      <w:rPr>
        <w:b/>
        <w:bCs/>
        <w:color w:val="135587"/>
        <w:sz w:val="22"/>
        <w:szCs w:val="22"/>
      </w:rPr>
      <w:fldChar w:fldCharType="separate"/>
    </w:r>
    <w:r>
      <w:rPr>
        <w:b/>
        <w:bCs/>
        <w:color w:val="135587"/>
        <w:sz w:val="22"/>
        <w:szCs w:val="22"/>
      </w:rPr>
      <w:t>1</w:t>
    </w:r>
    <w:r>
      <w:rPr>
        <w:b/>
        <w:bCs/>
        <w:color w:val="135587"/>
        <w:sz w:val="22"/>
        <w:szCs w:val="22"/>
      </w:rPr>
      <w:fldChar w:fldCharType="end"/>
    </w:r>
  </w:p>
  <w:p>
    <w:pPr>
      <w:tabs>
        <w:tab w:val="center" w:pos="4819"/>
        <w:tab w:val="right" w:pos="9638"/>
      </w:tabs>
      <w:spacing w:before="120"/>
      <w:ind w:firstLine="567"/>
      <w:jc w:val="both"/>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right"/>
      <w:rPr>
        <w:rFonts w:ascii="Arial" w:hAnsi="Arial" w:cs="Arial"/>
        <w:b/>
        <w:bCs/>
        <w:color w:val="002060"/>
        <w:sz w:val="22"/>
        <w:szCs w:val="22"/>
      </w:rPr>
    </w:pPr>
    <w:r>
      <w:rPr>
        <w:rFonts w:ascii="Arial" w:hAnsi="Arial" w:cs="Arial"/>
        <w:b/>
        <w:bCs/>
        <w:color w:val="002060"/>
        <w:sz w:val="22"/>
        <w:szCs w:val="22"/>
      </w:rPr>
      <w:fldChar w:fldCharType="begin"/>
    </w:r>
    <w:r>
      <w:rPr>
        <w:rFonts w:ascii="Arial" w:hAnsi="Arial" w:cs="Arial"/>
        <w:b/>
        <w:bCs/>
        <w:color w:val="002060"/>
        <w:sz w:val="22"/>
        <w:szCs w:val="22"/>
      </w:rPr>
      <w:instrText>PAGE   \* MERGEFORMAT</w:instrText>
    </w:r>
    <w:r>
      <w:rPr>
        <w:rFonts w:ascii="Arial" w:hAnsi="Arial" w:cs="Arial"/>
        <w:b/>
        <w:bCs/>
        <w:color w:val="002060"/>
        <w:sz w:val="22"/>
        <w:szCs w:val="22"/>
      </w:rPr>
      <w:fldChar w:fldCharType="separate"/>
    </w:r>
    <w:r>
      <w:rPr>
        <w:rFonts w:ascii="Arial" w:hAnsi="Arial" w:cs="Arial"/>
        <w:b/>
        <w:bCs/>
        <w:color w:val="002060"/>
        <w:sz w:val="22"/>
        <w:szCs w:val="22"/>
      </w:rPr>
      <w:t>2</w:t>
    </w:r>
    <w:r>
      <w:rPr>
        <w:rFonts w:ascii="Arial" w:hAnsi="Arial" w:cs="Arial"/>
        <w:b/>
        <w:bCs/>
        <w:color w:val="002060"/>
        <w:sz w:val="22"/>
        <w:szCs w:val="22"/>
      </w:rPr>
      <w:fldChar w:fldCharType="end"/>
    </w:r>
  </w:p>
  <w:p>
    <w:pPr>
      <w:tabs>
        <w:tab w:val="center" w:pos="4819"/>
        <w:tab w:val="right" w:pos="9638"/>
      </w:tabs>
      <w:spacing w:before="120"/>
      <w:ind w:firstLine="567"/>
      <w:jc w:val="both"/>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before="120"/>
        <w:ind w:firstLine="567"/>
        <w:jc w:val="both"/>
        <w:rPr>
          <w:sz w:val="22"/>
          <w:szCs w:val="22"/>
        </w:rPr>
      </w:pPr>
      <w:r>
        <w:rPr>
          <w:sz w:val="22"/>
          <w:szCs w:val="22"/>
        </w:rPr>
        <w:separator/>
      </w:r>
    </w:p>
  </w:footnote>
  <w:footnote w:type="continuationSeparator" w:id="0">
    <w:p>
      <w:pPr>
        <w:spacing w:before="120"/>
        <w:ind w:firstLine="567"/>
        <w:jc w:val="both"/>
        <w:rPr>
          <w:sz w:val="22"/>
          <w:szCs w:val="22"/>
        </w:rPr>
      </w:pPr>
      <w:r>
        <w:rPr>
          <w:sz w:val="22"/>
          <w:szCs w:val="22"/>
        </w:rPr>
        <w:continuationSeparator/>
      </w:r>
    </w:p>
  </w:footnote>
  <w:footnote w:id="1">
    <w:p>
      <w:pPr>
        <w:jc w:val="both"/>
        <w:rPr>
          <w:rFonts w:cs="Arial"/>
          <w:sz w:val="18"/>
          <w:szCs w:val="18"/>
        </w:rPr>
      </w:pPr>
      <w:r>
        <w:rPr>
          <w:rFonts w:cs="Arial"/>
          <w:sz w:val="18"/>
          <w:szCs w:val="18"/>
          <w:vertAlign w:val="superscript"/>
        </w:rPr>
        <w:footnoteRef/>
      </w:r>
      <w:r>
        <w:rPr>
          <w:rFonts w:cs="Arial"/>
          <w:sz w:val="18"/>
          <w:szCs w:val="18"/>
        </w:rPr>
        <w:t xml:space="preserve"> Aktuali redakcija Lietuvos Respublikos Seimo 2018 m. birželio 21 d. nutarimu Nr. XIII-1288 nuo 2018-06-30.</w:t>
      </w:r>
    </w:p>
  </w:footnote>
  <w:footnote w:id="2">
    <w:p>
      <w:pPr>
        <w:jc w:val="both"/>
        <w:rPr>
          <w:rFonts w:cs="Arial"/>
          <w:sz w:val="18"/>
          <w:szCs w:val="18"/>
        </w:rPr>
      </w:pPr>
      <w:r>
        <w:rPr>
          <w:rFonts w:cs="Arial"/>
          <w:sz w:val="18"/>
          <w:szCs w:val="18"/>
          <w:vertAlign w:val="superscript"/>
        </w:rPr>
        <w:footnoteRef/>
      </w:r>
      <w:r>
        <w:rPr>
          <w:rFonts w:cs="Arial"/>
          <w:sz w:val="18"/>
          <w:szCs w:val="18"/>
        </w:rPr>
        <w:t xml:space="preserve"> Valstybės kontrolė. Valstybinio audito ataskaita, 2020 (Nr. VAE-1). Daugiabučių namų atnaujinimas (modernizavimas). </w:t>
      </w:r>
    </w:p>
  </w:footnote>
  <w:footnote w:id="3">
    <w:p>
      <w:pPr>
        <w:jc w:val="both"/>
        <w:rPr>
          <w:rFonts w:cs="Arial"/>
          <w:sz w:val="18"/>
          <w:szCs w:val="18"/>
        </w:rPr>
      </w:pPr>
      <w:r>
        <w:rPr>
          <w:rFonts w:cs="Arial"/>
          <w:sz w:val="18"/>
          <w:szCs w:val="18"/>
          <w:vertAlign w:val="superscript"/>
        </w:rPr>
        <w:footnoteRef/>
      </w:r>
      <w:r>
        <w:rPr>
          <w:rFonts w:cs="Arial"/>
          <w:sz w:val="18"/>
          <w:szCs w:val="18"/>
        </w:rPr>
        <w:t xml:space="preserve"> Nacionalinė žemės tarnyba prie Žemės ūkio ministerijos. Valstybės įmonė Registrų centras. „Lietuvos Respublikos nekilnojamojo turto registre įregistruotų statinių apskaitos duomenys 2018 m. sausio 1 d.”. Vilnius, 2018.  </w:t>
      </w:r>
    </w:p>
  </w:footnote>
  <w:footnote w:id="4">
    <w:p>
      <w:pPr>
        <w:jc w:val="both"/>
        <w:rPr>
          <w:rFonts w:cs="Arial"/>
          <w:sz w:val="18"/>
          <w:szCs w:val="18"/>
        </w:rPr>
      </w:pPr>
      <w:r>
        <w:rPr>
          <w:rFonts w:cs="Arial"/>
          <w:sz w:val="18"/>
          <w:szCs w:val="18"/>
          <w:vertAlign w:val="superscript"/>
        </w:rPr>
        <w:footnoteRef/>
      </w:r>
      <w:r>
        <w:rPr>
          <w:rFonts w:cs="Arial"/>
          <w:sz w:val="18"/>
          <w:szCs w:val="18"/>
        </w:rPr>
        <w:t xml:space="preserve"> Nacionalinė žemės tarnyba prie Žemės ūkio ministerijos. Valstybės įmonė Registrų centras. „Lietuvos Respublikos nekilnojamojo turto registre įregistruotų statinių apskaitos duomenys 2018 m. sausio 1 d.”. Vilnius, 2018.  </w:t>
      </w:r>
    </w:p>
  </w:footnote>
  <w:footnote w:id="5">
    <w:p>
      <w:pPr>
        <w:jc w:val="both"/>
        <w:rPr>
          <w:rFonts w:cs="Arial"/>
          <w:sz w:val="18"/>
          <w:szCs w:val="18"/>
        </w:rPr>
      </w:pPr>
      <w:r>
        <w:rPr>
          <w:rFonts w:cs="Arial"/>
          <w:sz w:val="18"/>
          <w:szCs w:val="18"/>
          <w:vertAlign w:val="superscript"/>
        </w:rPr>
        <w:footnoteRef/>
      </w:r>
      <w:r>
        <w:rPr>
          <w:rFonts w:cs="Arial"/>
          <w:sz w:val="18"/>
          <w:szCs w:val="18"/>
        </w:rPr>
        <w:t xml:space="preserve"> Lietuvos šilumos tiekėjų asociacija, 2021. </w:t>
      </w:r>
    </w:p>
  </w:footnote>
  <w:footnote w:id="6">
    <w:p>
      <w:pPr>
        <w:spacing w:before="120"/>
        <w:ind w:firstLine="567"/>
        <w:jc w:val="both"/>
        <w:rPr>
          <w:sz w:val="20"/>
          <w:lang w:val="en-US"/>
        </w:rPr>
      </w:pPr>
      <w:r>
        <w:rPr>
          <w:sz w:val="20"/>
          <w:vertAlign w:val="superscript"/>
        </w:rPr>
        <w:footnoteRef/>
      </w:r>
      <w:r>
        <w:rPr>
          <w:sz w:val="20"/>
        </w:rPr>
        <w:t xml:space="preserve"> </w:t>
      </w:r>
      <w:r>
        <w:rPr>
          <w:sz w:val="18"/>
          <w:szCs w:val="18"/>
        </w:rPr>
        <w:t>Apskaičiuota darant prielaidą, kad šildomas plotas daugiabučiuose namuose sudaro 90 proc., 1-2 butų individualiuose namuose – 80 proc. bendrojo ploto, o namuose socialinėms grupėms – 80 proc. bendrojo ploto.</w:t>
      </w:r>
    </w:p>
  </w:footnote>
  <w:footnote w:id="7">
    <w:p>
      <w:pPr>
        <w:rPr>
          <w:sz w:val="18"/>
          <w:szCs w:val="18"/>
        </w:rPr>
      </w:pPr>
      <w:r>
        <w:rPr>
          <w:sz w:val="18"/>
          <w:szCs w:val="18"/>
          <w:vertAlign w:val="superscript"/>
        </w:rPr>
        <w:footnoteRef/>
      </w:r>
      <w:r>
        <w:rPr>
          <w:sz w:val="18"/>
          <w:szCs w:val="18"/>
        </w:rPr>
        <w:t xml:space="preserve"> LR Energetikos ministras. Dėl Nacionalinio gamtinių dujų tiekimo saugumo užtikrinimo prevencinių veiksmų valdymo plano patvirtinimo. TAR, 2020-05-21, Nr. 10726</w:t>
      </w:r>
    </w:p>
  </w:footnote>
  <w:footnote w:id="8">
    <w:p>
      <w:pPr>
        <w:jc w:val="both"/>
        <w:rPr>
          <w:sz w:val="18"/>
          <w:szCs w:val="18"/>
        </w:rPr>
      </w:pPr>
      <w:r>
        <w:rPr>
          <w:sz w:val="18"/>
          <w:szCs w:val="18"/>
          <w:vertAlign w:val="superscript"/>
        </w:rPr>
        <w:footnoteRef/>
      </w:r>
      <w:r>
        <w:rPr>
          <w:sz w:val="18"/>
          <w:szCs w:val="18"/>
        </w:rPr>
        <w:t xml:space="preserve"> </w:t>
      </w:r>
      <w:r>
        <w:rPr>
          <w:rFonts w:cs="Arial"/>
          <w:sz w:val="18"/>
          <w:szCs w:val="18"/>
        </w:rPr>
        <w:t>Lietuvos statistikos departamentas, 2021. Prieiga per internetą: https://osp.stat.gov.lt/statistiniu-rodikliu-analize#/</w:t>
      </w:r>
    </w:p>
  </w:footnote>
  <w:footnote w:id="9">
    <w:p>
      <w:pPr>
        <w:jc w:val="both"/>
        <w:rPr>
          <w:sz w:val="18"/>
          <w:szCs w:val="18"/>
          <w:lang w:val="en-US"/>
        </w:rPr>
      </w:pPr>
      <w:r>
        <w:rPr>
          <w:sz w:val="18"/>
          <w:szCs w:val="18"/>
          <w:vertAlign w:val="superscript"/>
        </w:rPr>
        <w:footnoteRef/>
      </w:r>
      <w:r>
        <w:rPr>
          <w:sz w:val="18"/>
          <w:szCs w:val="18"/>
        </w:rPr>
        <w:t xml:space="preserve"> </w:t>
      </w:r>
      <w:r>
        <w:rPr>
          <w:rFonts w:cs="Arial"/>
          <w:sz w:val="18"/>
          <w:szCs w:val="18"/>
        </w:rPr>
        <w:t>Suskystintos naftos dujos</w:t>
      </w:r>
    </w:p>
  </w:footnote>
  <w:footnote w:id="10">
    <w:p>
      <w:pPr>
        <w:jc w:val="both"/>
        <w:rPr>
          <w:sz w:val="18"/>
          <w:szCs w:val="18"/>
          <w:lang w:val="en-US"/>
        </w:rPr>
      </w:pPr>
      <w:r>
        <w:rPr>
          <w:sz w:val="18"/>
          <w:szCs w:val="18"/>
          <w:vertAlign w:val="superscript"/>
        </w:rPr>
        <w:footnoteRef/>
      </w:r>
      <w:r>
        <w:rPr>
          <w:sz w:val="18"/>
          <w:szCs w:val="18"/>
        </w:rPr>
        <w:t xml:space="preserve"> </w:t>
      </w:r>
      <w:r>
        <w:rPr>
          <w:rFonts w:cs="Arial"/>
          <w:sz w:val="18"/>
          <w:szCs w:val="18"/>
        </w:rPr>
        <w:t xml:space="preserve">CŠT – </w:t>
      </w:r>
      <w:r>
        <w:rPr>
          <w:sz w:val="18"/>
          <w:szCs w:val="18"/>
        </w:rPr>
        <w:t xml:space="preserve">centralizuoto šilumos tiekimo </w:t>
      </w:r>
    </w:p>
  </w:footnote>
  <w:footnote w:id="11">
    <w:p>
      <w:pPr>
        <w:jc w:val="both"/>
        <w:rPr>
          <w:sz w:val="18"/>
          <w:szCs w:val="18"/>
          <w:lang w:val="en-US"/>
        </w:rPr>
      </w:pPr>
      <w:r>
        <w:rPr>
          <w:sz w:val="18"/>
          <w:szCs w:val="18"/>
          <w:vertAlign w:val="superscript"/>
        </w:rPr>
        <w:footnoteRef/>
      </w:r>
      <w:r>
        <w:rPr>
          <w:sz w:val="18"/>
          <w:szCs w:val="18"/>
        </w:rPr>
        <w:t xml:space="preserve"> Lietuvos Respublikos Energetikos ministerija. 2018 metų veiklos ataskaita.</w:t>
      </w:r>
    </w:p>
  </w:footnote>
  <w:footnote w:id="12">
    <w:p>
      <w:pPr>
        <w:jc w:val="both"/>
        <w:rPr>
          <w:rFonts w:cs="Arial"/>
          <w:sz w:val="18"/>
          <w:szCs w:val="18"/>
        </w:rPr>
      </w:pPr>
      <w:r>
        <w:rPr>
          <w:rFonts w:cs="Arial"/>
          <w:sz w:val="18"/>
          <w:szCs w:val="18"/>
          <w:vertAlign w:val="superscript"/>
        </w:rPr>
        <w:footnoteRef/>
      </w:r>
      <w:r>
        <w:rPr>
          <w:rFonts w:cs="Arial"/>
          <w:sz w:val="18"/>
          <w:szCs w:val="18"/>
        </w:rPr>
        <w:t xml:space="preserve"> Lietuvos energetikos agentūra, 2021.</w:t>
      </w:r>
    </w:p>
  </w:footnote>
  <w:footnote w:id="13">
    <w:p>
      <w:pPr>
        <w:jc w:val="both"/>
        <w:rPr>
          <w:rFonts w:cs="Arial"/>
          <w:sz w:val="18"/>
          <w:szCs w:val="18"/>
        </w:rPr>
      </w:pPr>
      <w:r>
        <w:rPr>
          <w:rFonts w:cs="Arial"/>
          <w:sz w:val="18"/>
          <w:szCs w:val="18"/>
          <w:vertAlign w:val="superscript"/>
        </w:rPr>
        <w:footnoteRef/>
      </w:r>
      <w:r>
        <w:rPr>
          <w:rFonts w:cs="Arial"/>
          <w:sz w:val="18"/>
          <w:szCs w:val="18"/>
        </w:rPr>
        <w:t xml:space="preserve"> Ten pat. </w:t>
      </w:r>
    </w:p>
  </w:footnote>
  <w:footnote w:id="14">
    <w:p>
      <w:pPr>
        <w:spacing w:before="120"/>
        <w:jc w:val="both"/>
        <w:rPr>
          <w:sz w:val="20"/>
        </w:rPr>
      </w:pPr>
      <w:r>
        <w:rPr>
          <w:sz w:val="20"/>
          <w:vertAlign w:val="superscript"/>
        </w:rPr>
        <w:footnoteRef/>
      </w:r>
      <w:r>
        <w:rPr>
          <w:sz w:val="20"/>
        </w:rPr>
        <w:t xml:space="preserve"> Lietuvos energetikos agentūra. 2020 metų savivaldybių darnios energetikos plėtros pažangos vertinimas.</w:t>
      </w:r>
    </w:p>
  </w:footnote>
  <w:footnote w:id="15">
    <w:p>
      <w:pPr>
        <w:jc w:val="both"/>
        <w:rPr>
          <w:rFonts w:cs="Arial"/>
          <w:sz w:val="18"/>
          <w:szCs w:val="18"/>
        </w:rPr>
      </w:pPr>
      <w:r>
        <w:rPr>
          <w:rFonts w:cs="Arial"/>
          <w:sz w:val="18"/>
          <w:szCs w:val="18"/>
          <w:vertAlign w:val="superscript"/>
        </w:rPr>
        <w:footnoteRef/>
      </w:r>
      <w:r>
        <w:rPr>
          <w:rFonts w:cs="Arial"/>
          <w:sz w:val="18"/>
          <w:szCs w:val="18"/>
        </w:rPr>
        <w:t xml:space="preserve"> Lietuvos Respublikos atsinaujinančių išteklių energetikos įstatymas. TAR, 2020-05-06, Nr. 9588</w:t>
      </w:r>
    </w:p>
  </w:footnote>
  <w:footnote w:id="16">
    <w:p>
      <w:pPr>
        <w:rPr>
          <w:sz w:val="18"/>
          <w:szCs w:val="18"/>
        </w:rPr>
      </w:pPr>
      <w:r>
        <w:rPr>
          <w:sz w:val="18"/>
          <w:szCs w:val="18"/>
          <w:vertAlign w:val="superscript"/>
        </w:rPr>
        <w:footnoteRef/>
      </w:r>
      <w:r>
        <w:rPr>
          <w:sz w:val="18"/>
          <w:szCs w:val="18"/>
        </w:rPr>
        <w:t xml:space="preserve"> </w:t>
      </w:r>
      <w:r>
        <w:rPr>
          <w:rFonts w:cs="Arial"/>
          <w:sz w:val="18"/>
          <w:szCs w:val="18"/>
          <w:lang w:eastAsia="lt-LT"/>
        </w:rPr>
        <w:t>Suskystintos naftos dujos</w:t>
      </w:r>
    </w:p>
  </w:footnote>
  <w:footnote w:id="17">
    <w:p>
      <w:pPr>
        <w:rPr>
          <w:sz w:val="18"/>
          <w:szCs w:val="18"/>
          <w:lang w:val="en-US"/>
        </w:rPr>
      </w:pPr>
      <w:r>
        <w:rPr>
          <w:sz w:val="18"/>
          <w:szCs w:val="18"/>
          <w:vertAlign w:val="superscript"/>
        </w:rPr>
        <w:footnoteRef/>
      </w:r>
      <w:r>
        <w:rPr>
          <w:sz w:val="18"/>
          <w:szCs w:val="18"/>
        </w:rPr>
        <w:t xml:space="preserve"> </w:t>
      </w:r>
      <w:r>
        <w:rPr>
          <w:rFonts w:cs="Arial"/>
          <w:sz w:val="18"/>
          <w:szCs w:val="18"/>
        </w:rPr>
        <w:t xml:space="preserve">CŠT – </w:t>
      </w:r>
      <w:r>
        <w:rPr>
          <w:sz w:val="18"/>
          <w:szCs w:val="18"/>
        </w:rPr>
        <w:t xml:space="preserve">centralizuoto šilumos tiekimo </w:t>
      </w:r>
    </w:p>
  </w:footnote>
  <w:footnote w:id="18">
    <w:p>
      <w:pPr>
        <w:jc w:val="both"/>
        <w:rPr>
          <w:rFonts w:cs="Arial"/>
          <w:sz w:val="18"/>
          <w:szCs w:val="18"/>
        </w:rPr>
      </w:pPr>
      <w:r>
        <w:rPr>
          <w:sz w:val="18"/>
          <w:szCs w:val="18"/>
          <w:vertAlign w:val="superscript"/>
        </w:rPr>
        <w:footnoteRef/>
      </w:r>
      <w:r>
        <w:rPr>
          <w:rFonts w:cs="Arial"/>
          <w:sz w:val="18"/>
          <w:szCs w:val="18"/>
        </w:rPr>
        <w:t xml:space="preserve"> Perskaičiuota naudojant malkų kaloringumo reikšmę 0,196 tne/m</w:t>
      </w:r>
      <w:r>
        <w:rPr>
          <w:rFonts w:cs="Arial"/>
          <w:sz w:val="18"/>
          <w:szCs w:val="18"/>
          <w:vertAlign w:val="superscript"/>
        </w:rPr>
        <w:t>3</w:t>
      </w:r>
      <w:r>
        <w:rPr>
          <w:rFonts w:cs="Arial"/>
          <w:sz w:val="18"/>
          <w:szCs w:val="18"/>
        </w:rPr>
        <w:t xml:space="preserve"> ir kirtimų atliekų– 0,178 tne/m</w:t>
      </w:r>
      <w:r>
        <w:rPr>
          <w:rFonts w:cs="Arial"/>
          <w:sz w:val="18"/>
          <w:szCs w:val="18"/>
          <w:vertAlign w:val="superscript"/>
        </w:rPr>
        <w:t>3</w:t>
      </w:r>
      <w:r>
        <w:rPr>
          <w:rFonts w:cs="Arial"/>
          <w:sz w:val="18"/>
          <w:szCs w:val="18"/>
        </w:rPr>
        <w:t xml:space="preserve">  </w:t>
      </w:r>
    </w:p>
  </w:footnote>
  <w:footnote w:id="19">
    <w:p>
      <w:pPr>
        <w:tabs>
          <w:tab w:val="left" w:pos="7910"/>
        </w:tabs>
        <w:jc w:val="both"/>
        <w:rPr>
          <w:rFonts w:ascii="Arial" w:hAnsi="Arial" w:cs="Arial"/>
          <w:sz w:val="16"/>
          <w:szCs w:val="16"/>
        </w:rPr>
      </w:pPr>
      <w:r>
        <w:rPr>
          <w:sz w:val="18"/>
          <w:szCs w:val="18"/>
          <w:vertAlign w:val="superscript"/>
        </w:rPr>
        <w:footnoteRef/>
      </w:r>
      <w:r>
        <w:rPr>
          <w:rFonts w:cs="Arial"/>
          <w:sz w:val="18"/>
          <w:szCs w:val="18"/>
        </w:rPr>
        <w:t xml:space="preserve"> </w:t>
      </w:r>
      <w:r>
        <w:rPr>
          <w:rFonts w:ascii="Arial" w:hAnsi="Arial" w:cs="Arial"/>
          <w:sz w:val="16"/>
          <w:szCs w:val="16"/>
          <w:lang w:val="en-GB"/>
        </w:rPr>
        <w:t>A. Gulbinas. Biokuro gamybos ir naudojimo būdai, rinkos sąlygos, kaštai ir problemos. Pranešimas konferencijoje. Trakai, 2010.</w:t>
      </w:r>
    </w:p>
  </w:footnote>
  <w:footnote w:id="20">
    <w:p>
      <w:pPr>
        <w:tabs>
          <w:tab w:val="center" w:pos="4819"/>
          <w:tab w:val="right" w:pos="9638"/>
        </w:tabs>
        <w:spacing w:before="120"/>
        <w:jc w:val="both"/>
        <w:rPr>
          <w:sz w:val="20"/>
        </w:rPr>
      </w:pPr>
      <w:r>
        <w:rPr>
          <w:rFonts w:ascii="Arial" w:hAnsi="Arial" w:cs="Arial"/>
          <w:sz w:val="16"/>
          <w:szCs w:val="16"/>
          <w:vertAlign w:val="superscript"/>
        </w:rPr>
        <w:footnoteRef/>
      </w:r>
      <w:r>
        <w:rPr>
          <w:rFonts w:ascii="Arial" w:hAnsi="Arial" w:cs="Arial"/>
          <w:sz w:val="16"/>
          <w:szCs w:val="16"/>
        </w:rPr>
        <w:t xml:space="preserve"> „Šiaudai kaip</w:t>
      </w:r>
      <w:r>
        <w:rPr>
          <w:rFonts w:ascii="Arial" w:hAnsi="Arial" w:cs="Arial"/>
          <w:sz w:val="16"/>
          <w:szCs w:val="16"/>
          <w:lang w:val="en-US"/>
        </w:rPr>
        <w:t xml:space="preserve"> </w:t>
      </w:r>
      <w:r>
        <w:rPr>
          <w:rFonts w:ascii="Arial" w:hAnsi="Arial" w:cs="Arial"/>
          <w:sz w:val="16"/>
          <w:szCs w:val="16"/>
        </w:rPr>
        <w:t>atsinau</w:t>
      </w:r>
      <w:r>
        <w:rPr>
          <w:rFonts w:ascii="Arial" w:hAnsi="Arial" w:cs="Arial"/>
          <w:sz w:val="16"/>
          <w:szCs w:val="16"/>
          <w:lang w:val="en-US"/>
        </w:rPr>
        <w:t>j</w:t>
      </w:r>
      <w:r>
        <w:rPr>
          <w:rFonts w:ascii="Arial" w:hAnsi="Arial" w:cs="Arial"/>
          <w:sz w:val="16"/>
          <w:szCs w:val="16"/>
        </w:rPr>
        <w:t xml:space="preserve">inantis vietinis kuras“. A.Raila, E.Zvicevičius, ASU, pranešimas konferencijoje. Prieiga internete: </w:t>
      </w:r>
      <w:r>
        <w:rPr>
          <w:rFonts w:ascii="Arial" w:hAnsi="Arial" w:cs="Arial"/>
          <w:color w:val="6B9F25"/>
          <w:sz w:val="16"/>
          <w:szCs w:val="16"/>
          <w:u w:val="single"/>
        </w:rPr>
        <w:t>http://biokuras.lt/uploads/new_assigned_files/6.%20Egidijus%20Zvicievicius.%20Sekcija%20A.pdf</w:t>
      </w:r>
      <w:r>
        <w:rPr>
          <w:rFonts w:cs="Arial"/>
          <w:sz w:val="20"/>
        </w:rPr>
        <w:t xml:space="preserve">   </w:t>
      </w:r>
    </w:p>
  </w:footnote>
  <w:footnote w:id="21">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Biodujų gamybos iš augalų biomasės energinio efektyvumo tyrimas. T.Kulikauskas. Magistrantūros studijų baigiamasis darbas. Lietuvos žemės ūkio universitetas, Akademija, 2010.  </w:t>
      </w:r>
    </w:p>
  </w:footnote>
  <w:footnote w:id="22">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Biodujų gamybos iš augalų biomasės energinio efektyvumo tyrimas. T. Kulikauskas. Magistrantūros studijų baigiamasis darbas. Lietuvos žemės ūkio universitetas, Akademija, 2010.  </w:t>
      </w:r>
    </w:p>
  </w:footnote>
  <w:footnote w:id="23">
    <w:p>
      <w:pPr>
        <w:jc w:val="both"/>
        <w:rPr>
          <w:rFonts w:ascii="Arial" w:hAnsi="Arial" w:cs="Arial"/>
          <w:color w:val="000000"/>
          <w:sz w:val="16"/>
          <w:szCs w:val="16"/>
        </w:rPr>
      </w:pPr>
      <w:r>
        <w:rPr>
          <w:rFonts w:ascii="Arial" w:hAnsi="Arial" w:cs="Arial"/>
          <w:sz w:val="16"/>
          <w:szCs w:val="16"/>
          <w:vertAlign w:val="superscript"/>
        </w:rPr>
        <w:footnoteRef/>
      </w:r>
      <w:r>
        <w:rPr>
          <w:rFonts w:ascii="Arial" w:hAnsi="Arial" w:cs="Arial"/>
          <w:sz w:val="16"/>
          <w:szCs w:val="16"/>
        </w:rPr>
        <w:t xml:space="preserve"> </w:t>
      </w:r>
      <w:r>
        <w:rPr>
          <w:rFonts w:ascii="Arial" w:hAnsi="Arial" w:cs="Arial"/>
          <w:color w:val="000000"/>
          <w:sz w:val="16"/>
          <w:szCs w:val="16"/>
        </w:rPr>
        <w:t>LEI ataskaita „BIODUJOS“(„Baltijos jūros regiono bioenergetikos skatinimo projektas“).</w:t>
      </w:r>
    </w:p>
    <w:p>
      <w:pPr>
        <w:jc w:val="both"/>
        <w:rPr>
          <w:rFonts w:ascii="Arial" w:hAnsi="Arial" w:cs="Arial"/>
          <w:sz w:val="18"/>
          <w:szCs w:val="18"/>
        </w:rPr>
      </w:pPr>
      <w:r>
        <w:rPr>
          <w:rFonts w:ascii="Arial" w:hAnsi="Arial" w:cs="Arial"/>
          <w:color w:val="000000"/>
          <w:sz w:val="16"/>
          <w:szCs w:val="16"/>
        </w:rPr>
        <w:t xml:space="preserve">Prieiga per internetą: </w:t>
      </w:r>
      <w:r>
        <w:rPr>
          <w:rFonts w:ascii="Arial" w:hAnsi="Arial" w:cs="Arial"/>
          <w:color w:val="0000FF"/>
          <w:sz w:val="16"/>
          <w:szCs w:val="16"/>
        </w:rPr>
        <w:t>http://www.lei.lt/_img/_up/File/atvir/bioenerlt/index_files/Biodujos_bros-SVVVV.pdf</w:t>
      </w:r>
    </w:p>
  </w:footnote>
  <w:footnote w:id="24">
    <w:p>
      <w:pPr>
        <w:spacing w:before="120"/>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Aplinkos apsaugos agentūros 2020 m. komunalinių atliekų tvarkymo informacija. Prieiga internete:  </w:t>
      </w:r>
      <w:r>
        <w:rPr>
          <w:rFonts w:ascii="Arial" w:hAnsi="Arial" w:cs="Arial"/>
          <w:color w:val="6B9F25"/>
          <w:sz w:val="16"/>
          <w:szCs w:val="16"/>
          <w:u w:val="single"/>
        </w:rPr>
        <w:t>https://aaa.lrv.lt/lt/veiklos-sritys/atliekos/atlieku-apskaita/informacija-apie-komunaliniu-atlieku-tvarkymo-sistemas-lietuvos-savivaldybese</w:t>
      </w:r>
      <w:r>
        <w:rPr>
          <w:rFonts w:ascii="Arial" w:hAnsi="Arial" w:cs="Arial"/>
          <w:sz w:val="16"/>
          <w:szCs w:val="16"/>
        </w:rPr>
        <w:t xml:space="preserve"> </w:t>
      </w:r>
    </w:p>
  </w:footnote>
  <w:footnote w:id="25">
    <w:p>
      <w:pPr>
        <w:jc w:val="both"/>
        <w:rPr>
          <w:sz w:val="18"/>
          <w:szCs w:val="18"/>
          <w:lang w:val="en-US"/>
        </w:rPr>
      </w:pPr>
      <w:r>
        <w:rPr>
          <w:rFonts w:ascii="Arial" w:hAnsi="Arial" w:cs="Arial"/>
          <w:sz w:val="16"/>
          <w:szCs w:val="16"/>
          <w:vertAlign w:val="superscript"/>
        </w:rPr>
        <w:footnoteRef/>
      </w:r>
      <w:r>
        <w:rPr>
          <w:rFonts w:ascii="Arial" w:hAnsi="Arial" w:cs="Arial"/>
          <w:sz w:val="16"/>
          <w:szCs w:val="16"/>
        </w:rPr>
        <w:t xml:space="preserve"> Kauno kogeneracinės jėgainės statybos ir veiklos poveikio aplinkai vertinimo ataskaita. UAB „Sweco Lietuva“, 2014.</w:t>
      </w:r>
      <w:r>
        <w:rPr>
          <w:sz w:val="18"/>
          <w:szCs w:val="18"/>
        </w:rPr>
        <w:t xml:space="preserve">  </w:t>
      </w:r>
    </w:p>
  </w:footnote>
  <w:footnote w:id="26">
    <w:p>
      <w:pPr>
        <w:jc w:val="both"/>
        <w:rPr>
          <w:rFonts w:cs="Arial"/>
          <w:sz w:val="18"/>
          <w:szCs w:val="18"/>
        </w:rPr>
      </w:pPr>
      <w:r>
        <w:rPr>
          <w:sz w:val="18"/>
          <w:szCs w:val="18"/>
          <w:vertAlign w:val="superscript"/>
        </w:rPr>
        <w:footnoteRef/>
      </w:r>
      <w:r>
        <w:rPr>
          <w:rFonts w:cs="Arial"/>
          <w:sz w:val="18"/>
          <w:szCs w:val="18"/>
        </w:rPr>
        <w:t xml:space="preserve"> </w:t>
      </w:r>
      <w:r>
        <w:rPr>
          <w:rFonts w:ascii="Arial" w:hAnsi="Arial" w:cs="Arial"/>
          <w:sz w:val="16"/>
          <w:szCs w:val="16"/>
        </w:rPr>
        <w:t>Rutz, D. ir kt. (2019). Centralizuoto šilumos tiekimo sistemų tobulinimas. Techniniai ir kiti metodai, Vadovas. WIP Renewable Energies, Miunchenas, Vokietija</w:t>
      </w:r>
    </w:p>
  </w:footnote>
  <w:footnote w:id="27">
    <w:p>
      <w:pPr>
        <w:jc w:val="both"/>
        <w:rPr>
          <w:rFonts w:cs="Arial"/>
          <w:sz w:val="18"/>
          <w:szCs w:val="18"/>
        </w:rPr>
      </w:pPr>
      <w:r>
        <w:rPr>
          <w:sz w:val="18"/>
          <w:szCs w:val="18"/>
          <w:vertAlign w:val="superscript"/>
        </w:rPr>
        <w:footnoteRef/>
      </w:r>
      <w:r>
        <w:rPr>
          <w:rFonts w:cs="Arial"/>
          <w:sz w:val="18"/>
          <w:szCs w:val="18"/>
        </w:rPr>
        <w:t xml:space="preserve"> </w:t>
      </w:r>
      <w:r>
        <w:rPr>
          <w:rFonts w:cs="Arial"/>
          <w:color w:val="000000"/>
          <w:sz w:val="18"/>
          <w:szCs w:val="18"/>
        </w:rPr>
        <w:t>Geoterminio potencialo žemėlapis. Prieiga per internetą: https://map.mbfsz.gov.hu/geo_DH/</w:t>
      </w:r>
    </w:p>
  </w:footnote>
  <w:footnote w:id="28">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Augaitytė, K. (2020). Darnaus vystymosi tikslų įgyvendinimo analizė Baltijos šalyse. </w:t>
      </w:r>
      <w:r>
        <w:rPr>
          <w:rFonts w:ascii="Arial" w:hAnsi="Arial" w:cs="Arial"/>
          <w:i/>
          <w:iCs/>
          <w:sz w:val="16"/>
          <w:szCs w:val="16"/>
        </w:rPr>
        <w:t>Viešoji politika ir administravimas</w:t>
      </w:r>
      <w:r>
        <w:rPr>
          <w:rFonts w:ascii="Arial" w:hAnsi="Arial" w:cs="Arial"/>
          <w:sz w:val="16"/>
          <w:szCs w:val="16"/>
        </w:rPr>
        <w:t xml:space="preserve">, </w:t>
      </w:r>
      <w:r>
        <w:rPr>
          <w:rFonts w:ascii="Arial" w:hAnsi="Arial" w:cs="Arial"/>
          <w:i/>
          <w:iCs/>
          <w:sz w:val="16"/>
          <w:szCs w:val="16"/>
        </w:rPr>
        <w:t>19</w:t>
      </w:r>
      <w:r>
        <w:rPr>
          <w:rFonts w:ascii="Arial" w:hAnsi="Arial" w:cs="Arial"/>
          <w:sz w:val="16"/>
          <w:szCs w:val="16"/>
        </w:rPr>
        <w:t>(1), 99-110.</w:t>
      </w:r>
    </w:p>
  </w:footnote>
  <w:footnote w:id="29">
    <w:p>
      <w:pPr>
        <w:rPr>
          <w:rFonts w:ascii="Arial" w:hAnsi="Arial" w:cs="Arial"/>
          <w:sz w:val="16"/>
          <w:szCs w:val="16"/>
          <w:lang w:eastAsia="lt-LT"/>
        </w:rPr>
      </w:pPr>
      <w:r>
        <w:rPr>
          <w:rFonts w:ascii="Arial" w:hAnsi="Arial" w:cs="Arial"/>
          <w:sz w:val="16"/>
          <w:szCs w:val="16"/>
          <w:vertAlign w:val="superscript"/>
        </w:rPr>
        <w:footnoteRef/>
      </w:r>
      <w:r>
        <w:rPr>
          <w:rFonts w:ascii="Arial" w:hAnsi="Arial" w:cs="Arial"/>
          <w:sz w:val="16"/>
          <w:szCs w:val="16"/>
        </w:rPr>
        <w:t xml:space="preserve"> </w:t>
      </w:r>
      <w:r>
        <w:rPr>
          <w:rFonts w:ascii="Arial" w:hAnsi="Arial" w:cs="Arial"/>
          <w:sz w:val="16"/>
          <w:szCs w:val="16"/>
          <w:lang w:eastAsia="lt-LT"/>
        </w:rPr>
        <w:t xml:space="preserve">Bužinskienė, R. (2018). Atsinaujinančių energijos išteklių panaudojimo vertinimas. </w:t>
      </w:r>
      <w:r>
        <w:rPr>
          <w:rFonts w:ascii="Arial" w:hAnsi="Arial" w:cs="Arial"/>
          <w:i/>
          <w:iCs/>
          <w:sz w:val="16"/>
          <w:szCs w:val="16"/>
          <w:lang w:eastAsia="lt-LT"/>
        </w:rPr>
        <w:t>Zemès ukio Mokslai</w:t>
      </w:r>
      <w:r>
        <w:rPr>
          <w:rFonts w:ascii="Arial" w:hAnsi="Arial" w:cs="Arial"/>
          <w:sz w:val="16"/>
          <w:szCs w:val="16"/>
          <w:lang w:eastAsia="lt-LT"/>
        </w:rPr>
        <w:t xml:space="preserve">, </w:t>
      </w:r>
      <w:r>
        <w:rPr>
          <w:rFonts w:ascii="Arial" w:hAnsi="Arial" w:cs="Arial"/>
          <w:i/>
          <w:iCs/>
          <w:sz w:val="16"/>
          <w:szCs w:val="16"/>
          <w:lang w:eastAsia="lt-LT"/>
        </w:rPr>
        <w:t>25</w:t>
      </w:r>
      <w:r>
        <w:rPr>
          <w:rFonts w:ascii="Arial" w:hAnsi="Arial" w:cs="Arial"/>
          <w:sz w:val="16"/>
          <w:szCs w:val="16"/>
          <w:lang w:eastAsia="lt-LT"/>
        </w:rPr>
        <w:t>(1).</w:t>
      </w:r>
    </w:p>
    <w:p>
      <w:pPr>
        <w:jc w:val="both"/>
        <w:rPr>
          <w:sz w:val="18"/>
          <w:szCs w:val="18"/>
        </w:rPr>
      </w:pPr>
    </w:p>
  </w:footnote>
  <w:footnote w:id="30">
    <w:p>
      <w:pPr>
        <w:jc w:val="both"/>
        <w:rPr>
          <w:rFonts w:cs="Arial"/>
          <w:sz w:val="18"/>
          <w:szCs w:val="18"/>
        </w:rPr>
      </w:pPr>
      <w:r>
        <w:rPr>
          <w:sz w:val="18"/>
          <w:szCs w:val="18"/>
          <w:vertAlign w:val="superscript"/>
        </w:rPr>
        <w:footnoteRef/>
      </w:r>
      <w:r>
        <w:rPr>
          <w:sz w:val="18"/>
          <w:szCs w:val="18"/>
        </w:rPr>
        <w:t xml:space="preserve"> </w:t>
      </w:r>
      <w:r>
        <w:rPr>
          <w:rFonts w:cs="Arial"/>
          <w:color w:val="000000"/>
          <w:sz w:val="18"/>
          <w:szCs w:val="18"/>
        </w:rPr>
        <w:t>Rutz, D. ir kt. (2019). Centralizuoto šilumos tiekimo sistemų tobulinimas. Techniniai ir kiti metodai, Vadovas. WIP Renewable Energies, Miunchenas, Vokietija</w:t>
      </w:r>
    </w:p>
  </w:footnote>
  <w:footnote w:id="31">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Rutz, D. ir kt. (2019). Centralizuoto šilumos tiekimo sistemų tobulinimas. Techniniai ir kiti metodai, Vadovas. WIP Renewable Energies, Miunchenas, Vokietija</w:t>
      </w:r>
    </w:p>
  </w:footnote>
  <w:footnote w:id="32">
    <w:p>
      <w:pPr>
        <w:jc w:val="both"/>
        <w:rPr>
          <w:rFonts w:cs="Arial"/>
          <w:sz w:val="18"/>
          <w:szCs w:val="18"/>
        </w:rPr>
      </w:pPr>
      <w:r>
        <w:rPr>
          <w:rFonts w:ascii="Arial" w:hAnsi="Arial" w:cs="Arial"/>
          <w:sz w:val="16"/>
          <w:szCs w:val="16"/>
          <w:vertAlign w:val="superscript"/>
        </w:rPr>
        <w:footnoteRef/>
      </w:r>
      <w:r>
        <w:rPr>
          <w:rFonts w:ascii="Arial" w:hAnsi="Arial" w:cs="Arial"/>
          <w:sz w:val="16"/>
          <w:szCs w:val="16"/>
        </w:rPr>
        <w:t xml:space="preserve"> Ten pat.</w:t>
      </w:r>
    </w:p>
  </w:footnote>
  <w:footnote w:id="33">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Rutz, D. ir kt. (2019). Centralizuoto šilumos tiekimo sistemų tobulinimas. Techniniai ir kiti metodai, Vadovas. WIP Renewable Energies, Miunchenas, Vokietija</w:t>
      </w:r>
    </w:p>
  </w:footnote>
  <w:footnote w:id="34">
    <w:p>
      <w:pPr>
        <w:jc w:val="both"/>
        <w:rPr>
          <w:sz w:val="18"/>
          <w:szCs w:val="18"/>
        </w:rPr>
      </w:pPr>
      <w:r>
        <w:rPr>
          <w:rFonts w:ascii="Arial" w:hAnsi="Arial" w:cs="Arial"/>
          <w:sz w:val="16"/>
          <w:szCs w:val="16"/>
          <w:vertAlign w:val="superscript"/>
        </w:rPr>
        <w:footnoteRef/>
      </w:r>
      <w:r>
        <w:rPr>
          <w:rFonts w:ascii="Arial" w:hAnsi="Arial" w:cs="Arial"/>
          <w:sz w:val="16"/>
          <w:szCs w:val="16"/>
        </w:rPr>
        <w:t xml:space="preserve"> Lietuvos šilumos tiekėjų asociacija (2020). Šiluminė technika. Prieiga per internetą: </w:t>
      </w:r>
      <w:r>
        <w:rPr>
          <w:rFonts w:ascii="Arial" w:hAnsi="Arial" w:cs="Arial"/>
          <w:color w:val="6B9F25"/>
          <w:sz w:val="16"/>
          <w:szCs w:val="16"/>
          <w:u w:val="single"/>
        </w:rPr>
        <w:t>https://lsta.lt/wp-content/uploads/2020/05/45754-L%C5%A0TA-%C5%A0ilumin%C4%97-technika-Nr-78-FINAL.pdf</w:t>
      </w:r>
      <w:r>
        <w:rPr>
          <w:sz w:val="18"/>
          <w:szCs w:val="18"/>
        </w:rPr>
        <w:t xml:space="preserve"> </w:t>
      </w:r>
    </w:p>
  </w:footnote>
  <w:footnote w:id="35">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Ten pat. </w:t>
      </w:r>
    </w:p>
  </w:footnote>
  <w:footnote w:id="36">
    <w:p>
      <w:pPr>
        <w:jc w:val="both"/>
        <w:rPr>
          <w:rFonts w:ascii="Arial" w:hAnsi="Arial" w:cs="Arial"/>
          <w:sz w:val="16"/>
          <w:szCs w:val="16"/>
        </w:rPr>
      </w:pPr>
      <w:r>
        <w:rPr>
          <w:rFonts w:ascii="Arial" w:hAnsi="Arial" w:cs="Arial"/>
          <w:sz w:val="16"/>
          <w:szCs w:val="16"/>
          <w:vertAlign w:val="superscript"/>
        </w:rPr>
        <w:footnoteRef/>
      </w:r>
      <w:r>
        <w:rPr>
          <w:rFonts w:ascii="Arial" w:hAnsi="Arial" w:cs="Arial"/>
          <w:sz w:val="16"/>
          <w:szCs w:val="16"/>
        </w:rPr>
        <w:t xml:space="preserve"> Lietuvos šilumos tiekėjų asociacija (2020). Centralizuoto vėsinimo paslauga – kas tai? Prieiga per internetą: https://lsta.lt/aktualijos/centralizuoto-vesinimo-paslauga-kas-tai/</w:t>
      </w:r>
    </w:p>
  </w:footnote>
  <w:footnote w:id="37">
    <w:p>
      <w:pPr>
        <w:jc w:val="both"/>
        <w:rPr>
          <w:sz w:val="18"/>
          <w:szCs w:val="18"/>
        </w:rPr>
      </w:pPr>
      <w:r>
        <w:rPr>
          <w:rFonts w:ascii="Arial" w:hAnsi="Arial" w:cs="Arial"/>
          <w:sz w:val="16"/>
          <w:szCs w:val="16"/>
          <w:vertAlign w:val="superscript"/>
        </w:rPr>
        <w:footnoteRef/>
      </w:r>
      <w:r>
        <w:rPr>
          <w:rFonts w:ascii="Arial" w:hAnsi="Arial" w:cs="Arial"/>
          <w:sz w:val="16"/>
          <w:szCs w:val="16"/>
        </w:rPr>
        <w:t xml:space="preserve"> Lietuvos šilumos tiekėjų asociacija, centralizuotas vėsinimas. Prieiga per internetą: </w:t>
      </w:r>
      <w:r>
        <w:rPr>
          <w:rFonts w:ascii="Arial" w:hAnsi="Arial" w:cs="Arial"/>
          <w:color w:val="6B9F25"/>
          <w:sz w:val="16"/>
          <w:szCs w:val="16"/>
          <w:u w:val="single"/>
        </w:rPr>
        <w:t>https://lsta.lt/wp-content/uploads/2019/05/EHP-overview-LSTA-2019.pdf</w:t>
      </w:r>
    </w:p>
  </w:footnote>
  <w:footnote w:id="38">
    <w:p>
      <w:pPr>
        <w:jc w:val="both"/>
        <w:rPr>
          <w:sz w:val="20"/>
        </w:rPr>
      </w:pPr>
      <w:r>
        <w:rPr>
          <w:sz w:val="16"/>
          <w:szCs w:val="16"/>
          <w:vertAlign w:val="superscript"/>
        </w:rPr>
        <w:footnoteRef/>
      </w:r>
      <w:r>
        <w:rPr>
          <w:sz w:val="16"/>
          <w:szCs w:val="16"/>
        </w:rPr>
        <w:t xml:space="preserve"> Priimta 2021 m. kovo 23 d. Nr. XIV-196</w:t>
      </w:r>
    </w:p>
  </w:footnote>
  <w:footnote w:id="39">
    <w:p>
      <w:pPr>
        <w:jc w:val="both"/>
        <w:rPr>
          <w:sz w:val="16"/>
          <w:szCs w:val="16"/>
        </w:rPr>
      </w:pPr>
      <w:r>
        <w:rPr>
          <w:sz w:val="16"/>
          <w:szCs w:val="16"/>
          <w:vertAlign w:val="superscript"/>
        </w:rPr>
        <w:footnoteRef/>
      </w:r>
      <w:r>
        <w:rPr>
          <w:sz w:val="16"/>
          <w:szCs w:val="16"/>
        </w:rPr>
        <w:t xml:space="preserve"> Patvirtinta Lietuvos Respublikos susisiekimo ministro 2015 m. gegužės 6 d. įsakymu Nr.3-173(1.5 E) (Lietuvos Respublikos susisiekimo ministro 2017 m. kovo 20 d. įsakymo Nr. 3-125 redakcija)</w:t>
      </w:r>
    </w:p>
  </w:footnote>
  <w:footnote w:id="40">
    <w:p>
      <w:pPr>
        <w:spacing w:before="120"/>
        <w:ind w:left="-426"/>
        <w:jc w:val="both"/>
        <w:rPr>
          <w:sz w:val="20"/>
        </w:rPr>
      </w:pPr>
      <w:r>
        <w:rPr>
          <w:sz w:val="20"/>
          <w:vertAlign w:val="superscript"/>
        </w:rPr>
        <w:footnoteRef/>
      </w:r>
      <w:r>
        <w:rPr>
          <w:sz w:val="20"/>
        </w:rPr>
        <w:t xml:space="preserve"> Remiantis 2022 m. kainomis</w:t>
      </w:r>
    </w:p>
  </w:footnote>
  <w:footnote w:id="41">
    <w:p>
      <w:pPr>
        <w:rPr>
          <w:sz w:val="18"/>
          <w:szCs w:val="18"/>
        </w:rPr>
      </w:pPr>
      <w:r>
        <w:rPr>
          <w:sz w:val="18"/>
          <w:szCs w:val="18"/>
          <w:vertAlign w:val="superscript"/>
        </w:rPr>
        <w:footnoteRef/>
      </w:r>
      <w:r>
        <w:rPr>
          <w:sz w:val="18"/>
          <w:szCs w:val="18"/>
        </w:rPr>
        <w:t xml:space="preserve"> </w:t>
      </w:r>
      <w:r>
        <w:rPr>
          <w:rFonts w:cs="Arial"/>
          <w:sz w:val="18"/>
          <w:szCs w:val="18"/>
          <w:lang w:eastAsia="lt-LT"/>
        </w:rPr>
        <w:t>Suskystintos naftos dujos</w:t>
      </w:r>
    </w:p>
  </w:footnote>
  <w:footnote w:id="42">
    <w:p>
      <w:pPr>
        <w:rPr>
          <w:sz w:val="18"/>
          <w:szCs w:val="18"/>
          <w:lang w:val="en-US"/>
        </w:rPr>
      </w:pPr>
      <w:r>
        <w:rPr>
          <w:sz w:val="18"/>
          <w:szCs w:val="18"/>
          <w:vertAlign w:val="superscript"/>
        </w:rPr>
        <w:footnoteRef/>
      </w:r>
      <w:r>
        <w:rPr>
          <w:sz w:val="18"/>
          <w:szCs w:val="18"/>
        </w:rPr>
        <w:t xml:space="preserve"> </w:t>
      </w:r>
      <w:r>
        <w:rPr>
          <w:rFonts w:cs="Arial"/>
          <w:sz w:val="18"/>
          <w:szCs w:val="18"/>
        </w:rPr>
        <w:t xml:space="preserve">CŠT – </w:t>
      </w:r>
      <w:r>
        <w:rPr>
          <w:sz w:val="18"/>
          <w:szCs w:val="18"/>
        </w:rPr>
        <w:t xml:space="preserve">centralizuoto šilumos tiekimo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both"/>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jc w:val="both"/>
      <w:rPr>
        <w:rFonts w:ascii="Arial" w:hAnsi="Arial" w:cs="Arial"/>
        <w:b/>
        <w:bCs/>
        <w:color w:val="002060"/>
        <w:sz w:val="22"/>
        <w:szCs w:val="22"/>
      </w:rPr>
    </w:pPr>
    <w:r>
      <w:rPr>
        <w:rFonts w:ascii="Arial" w:hAnsi="Arial" w:cs="Arial"/>
        <w:b/>
        <w:bCs/>
        <w:color w:val="002060"/>
        <w:sz w:val="22"/>
        <w:szCs w:val="22"/>
      </w:rPr>
      <w:t>Joniškio rajono savivaldybės atsinaujinančių išteklių energijos naudojimo plėtros veiksmų planas iki 2030 m.</w:t>
    </w:r>
  </w:p>
  <w:p>
    <w:pPr>
      <w:tabs>
        <w:tab w:val="center" w:pos="4819"/>
        <w:tab w:val="right" w:pos="9638"/>
      </w:tabs>
      <w:spacing w:before="120"/>
      <w:ind w:firstLine="567"/>
      <w:jc w:val="right"/>
      <w:rPr>
        <w:rFonts w:cs="Arial"/>
        <w:color w:val="002060"/>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both"/>
      <w:rPr>
        <w:sz w:val="22"/>
        <w:szCs w:val="22"/>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center"/>
      <w:rPr>
        <w:rFonts w:ascii="Arial" w:hAnsi="Arial" w:cs="Arial"/>
        <w:b/>
        <w:bCs/>
        <w:color w:val="002060"/>
        <w:sz w:val="22"/>
        <w:szCs w:val="22"/>
      </w:rPr>
    </w:pPr>
    <w:r>
      <w:rPr>
        <w:rFonts w:ascii="Arial" w:hAnsi="Arial" w:cs="Arial"/>
        <w:b/>
        <w:bCs/>
        <w:color w:val="002060"/>
        <w:sz w:val="22"/>
        <w:szCs w:val="22"/>
      </w:rPr>
      <w:t>Joniškio rajono savivaldybės atsinaujinančių išteklių energijos naudojimo plėtros veiksmų planas iki 2030 m.</w:t>
    </w:r>
  </w:p>
  <w:p>
    <w:pPr>
      <w:tabs>
        <w:tab w:val="center" w:pos="4819"/>
        <w:tab w:val="right" w:pos="9638"/>
      </w:tabs>
      <w:spacing w:before="120"/>
      <w:ind w:firstLine="567"/>
      <w:jc w:val="right"/>
      <w:rPr>
        <w:rFonts w:cs="Arial"/>
        <w:color w:val="002060"/>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both"/>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jc w:val="both"/>
      <w:rPr>
        <w:rFonts w:ascii="Arial" w:hAnsi="Arial" w:cs="Arial"/>
        <w:b/>
        <w:bCs/>
        <w:color w:val="002060"/>
        <w:sz w:val="22"/>
        <w:szCs w:val="22"/>
      </w:rPr>
    </w:pPr>
    <w:r>
      <w:rPr>
        <w:rFonts w:ascii="Arial" w:hAnsi="Arial" w:cs="Arial"/>
        <w:b/>
        <w:bCs/>
        <w:color w:val="002060"/>
        <w:sz w:val="22"/>
        <w:szCs w:val="22"/>
      </w:rPr>
      <w:t>Joniškio rajono savivaldybės atsinaujinančių išteklių energijos naudojimo plėtros veiksmų planas iki 2030 m.</w:t>
    </w:r>
  </w:p>
  <w:p>
    <w:pPr>
      <w:tabs>
        <w:tab w:val="center" w:pos="4819"/>
        <w:tab w:val="right" w:pos="9638"/>
      </w:tabs>
      <w:spacing w:before="120"/>
      <w:jc w:val="both"/>
      <w:rPr>
        <w:rFonts w:cs="Arial"/>
        <w:b/>
        <w:bCs/>
        <w:color w:val="219969"/>
        <w:sz w:val="22"/>
        <w:szCs w:val="22"/>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ind w:firstLine="567"/>
      <w:jc w:val="both"/>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3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64A5C17E-4190-4608-9F31-FEE233CC87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045453">
      <w:bodyDiv w:val="1"/>
      <w:marLeft w:val="0"/>
      <w:marRight w:val="0"/>
      <w:marTop w:val="0"/>
      <w:marBottom w:val="0"/>
      <w:divBdr>
        <w:top w:val="none" w:sz="0" w:space="0" w:color="auto"/>
        <w:left w:val="none" w:sz="0" w:space="0" w:color="auto"/>
        <w:bottom w:val="none" w:sz="0" w:space="0" w:color="auto"/>
        <w:right w:val="none" w:sz="0" w:space="0" w:color="auto"/>
      </w:divBdr>
    </w:div>
    <w:div w:id="105080704">
      <w:bodyDiv w:val="1"/>
      <w:marLeft w:val="0"/>
      <w:marRight w:val="0"/>
      <w:marTop w:val="0"/>
      <w:marBottom w:val="0"/>
      <w:divBdr>
        <w:top w:val="none" w:sz="0" w:space="0" w:color="auto"/>
        <w:left w:val="none" w:sz="0" w:space="0" w:color="auto"/>
        <w:bottom w:val="none" w:sz="0" w:space="0" w:color="auto"/>
        <w:right w:val="none" w:sz="0" w:space="0" w:color="auto"/>
      </w:divBdr>
    </w:div>
    <w:div w:id="198201809">
      <w:bodyDiv w:val="1"/>
      <w:marLeft w:val="0"/>
      <w:marRight w:val="0"/>
      <w:marTop w:val="0"/>
      <w:marBottom w:val="0"/>
      <w:divBdr>
        <w:top w:val="none" w:sz="0" w:space="0" w:color="auto"/>
        <w:left w:val="none" w:sz="0" w:space="0" w:color="auto"/>
        <w:bottom w:val="none" w:sz="0" w:space="0" w:color="auto"/>
        <w:right w:val="none" w:sz="0" w:space="0" w:color="auto"/>
      </w:divBdr>
    </w:div>
    <w:div w:id="212499771">
      <w:bodyDiv w:val="1"/>
      <w:marLeft w:val="0"/>
      <w:marRight w:val="0"/>
      <w:marTop w:val="0"/>
      <w:marBottom w:val="0"/>
      <w:divBdr>
        <w:top w:val="none" w:sz="0" w:space="0" w:color="auto"/>
        <w:left w:val="none" w:sz="0" w:space="0" w:color="auto"/>
        <w:bottom w:val="none" w:sz="0" w:space="0" w:color="auto"/>
        <w:right w:val="none" w:sz="0" w:space="0" w:color="auto"/>
      </w:divBdr>
    </w:div>
    <w:div w:id="215969840">
      <w:bodyDiv w:val="1"/>
      <w:marLeft w:val="0"/>
      <w:marRight w:val="0"/>
      <w:marTop w:val="0"/>
      <w:marBottom w:val="0"/>
      <w:divBdr>
        <w:top w:val="none" w:sz="0" w:space="0" w:color="auto"/>
        <w:left w:val="none" w:sz="0" w:space="0" w:color="auto"/>
        <w:bottom w:val="none" w:sz="0" w:space="0" w:color="auto"/>
        <w:right w:val="none" w:sz="0" w:space="0" w:color="auto"/>
      </w:divBdr>
    </w:div>
    <w:div w:id="216282748">
      <w:bodyDiv w:val="1"/>
      <w:marLeft w:val="0"/>
      <w:marRight w:val="0"/>
      <w:marTop w:val="0"/>
      <w:marBottom w:val="0"/>
      <w:divBdr>
        <w:top w:val="none" w:sz="0" w:space="0" w:color="auto"/>
        <w:left w:val="none" w:sz="0" w:space="0" w:color="auto"/>
        <w:bottom w:val="none" w:sz="0" w:space="0" w:color="auto"/>
        <w:right w:val="none" w:sz="0" w:space="0" w:color="auto"/>
      </w:divBdr>
    </w:div>
    <w:div w:id="233973605">
      <w:bodyDiv w:val="1"/>
      <w:marLeft w:val="0"/>
      <w:marRight w:val="0"/>
      <w:marTop w:val="0"/>
      <w:marBottom w:val="0"/>
      <w:divBdr>
        <w:top w:val="none" w:sz="0" w:space="0" w:color="auto"/>
        <w:left w:val="none" w:sz="0" w:space="0" w:color="auto"/>
        <w:bottom w:val="none" w:sz="0" w:space="0" w:color="auto"/>
        <w:right w:val="none" w:sz="0" w:space="0" w:color="auto"/>
      </w:divBdr>
      <w:divsChild>
        <w:div w:id="951203311">
          <w:marLeft w:val="0"/>
          <w:marRight w:val="0"/>
          <w:marTop w:val="0"/>
          <w:marBottom w:val="0"/>
          <w:divBdr>
            <w:top w:val="none" w:sz="0" w:space="0" w:color="auto"/>
            <w:left w:val="none" w:sz="0" w:space="0" w:color="auto"/>
            <w:bottom w:val="none" w:sz="0" w:space="0" w:color="auto"/>
            <w:right w:val="none" w:sz="0" w:space="0" w:color="auto"/>
          </w:divBdr>
        </w:div>
      </w:divsChild>
    </w:div>
    <w:div w:id="245964534">
      <w:bodyDiv w:val="1"/>
      <w:marLeft w:val="0"/>
      <w:marRight w:val="0"/>
      <w:marTop w:val="0"/>
      <w:marBottom w:val="0"/>
      <w:divBdr>
        <w:top w:val="none" w:sz="0" w:space="0" w:color="auto"/>
        <w:left w:val="none" w:sz="0" w:space="0" w:color="auto"/>
        <w:bottom w:val="none" w:sz="0" w:space="0" w:color="auto"/>
        <w:right w:val="none" w:sz="0" w:space="0" w:color="auto"/>
      </w:divBdr>
    </w:div>
    <w:div w:id="246157749">
      <w:bodyDiv w:val="1"/>
      <w:marLeft w:val="0"/>
      <w:marRight w:val="0"/>
      <w:marTop w:val="0"/>
      <w:marBottom w:val="0"/>
      <w:divBdr>
        <w:top w:val="none" w:sz="0" w:space="0" w:color="auto"/>
        <w:left w:val="none" w:sz="0" w:space="0" w:color="auto"/>
        <w:bottom w:val="none" w:sz="0" w:space="0" w:color="auto"/>
        <w:right w:val="none" w:sz="0" w:space="0" w:color="auto"/>
      </w:divBdr>
    </w:div>
    <w:div w:id="288971084">
      <w:bodyDiv w:val="1"/>
      <w:marLeft w:val="0"/>
      <w:marRight w:val="0"/>
      <w:marTop w:val="0"/>
      <w:marBottom w:val="0"/>
      <w:divBdr>
        <w:top w:val="none" w:sz="0" w:space="0" w:color="auto"/>
        <w:left w:val="none" w:sz="0" w:space="0" w:color="auto"/>
        <w:bottom w:val="none" w:sz="0" w:space="0" w:color="auto"/>
        <w:right w:val="none" w:sz="0" w:space="0" w:color="auto"/>
      </w:divBdr>
    </w:div>
    <w:div w:id="316038243">
      <w:bodyDiv w:val="1"/>
      <w:marLeft w:val="0"/>
      <w:marRight w:val="0"/>
      <w:marTop w:val="0"/>
      <w:marBottom w:val="0"/>
      <w:divBdr>
        <w:top w:val="none" w:sz="0" w:space="0" w:color="auto"/>
        <w:left w:val="none" w:sz="0" w:space="0" w:color="auto"/>
        <w:bottom w:val="none" w:sz="0" w:space="0" w:color="auto"/>
        <w:right w:val="none" w:sz="0" w:space="0" w:color="auto"/>
      </w:divBdr>
    </w:div>
    <w:div w:id="372121116">
      <w:bodyDiv w:val="1"/>
      <w:marLeft w:val="0"/>
      <w:marRight w:val="0"/>
      <w:marTop w:val="0"/>
      <w:marBottom w:val="0"/>
      <w:divBdr>
        <w:top w:val="none" w:sz="0" w:space="0" w:color="auto"/>
        <w:left w:val="none" w:sz="0" w:space="0" w:color="auto"/>
        <w:bottom w:val="none" w:sz="0" w:space="0" w:color="auto"/>
        <w:right w:val="none" w:sz="0" w:space="0" w:color="auto"/>
      </w:divBdr>
    </w:div>
    <w:div w:id="376246492">
      <w:bodyDiv w:val="1"/>
      <w:marLeft w:val="0"/>
      <w:marRight w:val="0"/>
      <w:marTop w:val="0"/>
      <w:marBottom w:val="0"/>
      <w:divBdr>
        <w:top w:val="none" w:sz="0" w:space="0" w:color="auto"/>
        <w:left w:val="none" w:sz="0" w:space="0" w:color="auto"/>
        <w:bottom w:val="none" w:sz="0" w:space="0" w:color="auto"/>
        <w:right w:val="none" w:sz="0" w:space="0" w:color="auto"/>
      </w:divBdr>
    </w:div>
    <w:div w:id="420880676">
      <w:bodyDiv w:val="1"/>
      <w:marLeft w:val="0"/>
      <w:marRight w:val="0"/>
      <w:marTop w:val="0"/>
      <w:marBottom w:val="0"/>
      <w:divBdr>
        <w:top w:val="none" w:sz="0" w:space="0" w:color="auto"/>
        <w:left w:val="none" w:sz="0" w:space="0" w:color="auto"/>
        <w:bottom w:val="none" w:sz="0" w:space="0" w:color="auto"/>
        <w:right w:val="none" w:sz="0" w:space="0" w:color="auto"/>
      </w:divBdr>
    </w:div>
    <w:div w:id="448403003">
      <w:bodyDiv w:val="1"/>
      <w:marLeft w:val="0"/>
      <w:marRight w:val="0"/>
      <w:marTop w:val="0"/>
      <w:marBottom w:val="0"/>
      <w:divBdr>
        <w:top w:val="none" w:sz="0" w:space="0" w:color="auto"/>
        <w:left w:val="none" w:sz="0" w:space="0" w:color="auto"/>
        <w:bottom w:val="none" w:sz="0" w:space="0" w:color="auto"/>
        <w:right w:val="none" w:sz="0" w:space="0" w:color="auto"/>
      </w:divBdr>
    </w:div>
    <w:div w:id="485508995">
      <w:bodyDiv w:val="1"/>
      <w:marLeft w:val="0"/>
      <w:marRight w:val="0"/>
      <w:marTop w:val="0"/>
      <w:marBottom w:val="0"/>
      <w:divBdr>
        <w:top w:val="none" w:sz="0" w:space="0" w:color="auto"/>
        <w:left w:val="none" w:sz="0" w:space="0" w:color="auto"/>
        <w:bottom w:val="none" w:sz="0" w:space="0" w:color="auto"/>
        <w:right w:val="none" w:sz="0" w:space="0" w:color="auto"/>
      </w:divBdr>
    </w:div>
    <w:div w:id="510609996">
      <w:bodyDiv w:val="1"/>
      <w:marLeft w:val="0"/>
      <w:marRight w:val="0"/>
      <w:marTop w:val="0"/>
      <w:marBottom w:val="0"/>
      <w:divBdr>
        <w:top w:val="none" w:sz="0" w:space="0" w:color="auto"/>
        <w:left w:val="none" w:sz="0" w:space="0" w:color="auto"/>
        <w:bottom w:val="none" w:sz="0" w:space="0" w:color="auto"/>
        <w:right w:val="none" w:sz="0" w:space="0" w:color="auto"/>
      </w:divBdr>
    </w:div>
    <w:div w:id="513031814">
      <w:bodyDiv w:val="1"/>
      <w:marLeft w:val="0"/>
      <w:marRight w:val="0"/>
      <w:marTop w:val="0"/>
      <w:marBottom w:val="0"/>
      <w:divBdr>
        <w:top w:val="none" w:sz="0" w:space="0" w:color="auto"/>
        <w:left w:val="none" w:sz="0" w:space="0" w:color="auto"/>
        <w:bottom w:val="none" w:sz="0" w:space="0" w:color="auto"/>
        <w:right w:val="none" w:sz="0" w:space="0" w:color="auto"/>
      </w:divBdr>
    </w:div>
    <w:div w:id="583952132">
      <w:bodyDiv w:val="1"/>
      <w:marLeft w:val="0"/>
      <w:marRight w:val="0"/>
      <w:marTop w:val="0"/>
      <w:marBottom w:val="0"/>
      <w:divBdr>
        <w:top w:val="none" w:sz="0" w:space="0" w:color="auto"/>
        <w:left w:val="none" w:sz="0" w:space="0" w:color="auto"/>
        <w:bottom w:val="none" w:sz="0" w:space="0" w:color="auto"/>
        <w:right w:val="none" w:sz="0" w:space="0" w:color="auto"/>
      </w:divBdr>
    </w:div>
    <w:div w:id="610092141">
      <w:bodyDiv w:val="1"/>
      <w:marLeft w:val="0"/>
      <w:marRight w:val="0"/>
      <w:marTop w:val="0"/>
      <w:marBottom w:val="0"/>
      <w:divBdr>
        <w:top w:val="none" w:sz="0" w:space="0" w:color="auto"/>
        <w:left w:val="none" w:sz="0" w:space="0" w:color="auto"/>
        <w:bottom w:val="none" w:sz="0" w:space="0" w:color="auto"/>
        <w:right w:val="none" w:sz="0" w:space="0" w:color="auto"/>
      </w:divBdr>
    </w:div>
    <w:div w:id="642807703">
      <w:bodyDiv w:val="1"/>
      <w:marLeft w:val="0"/>
      <w:marRight w:val="0"/>
      <w:marTop w:val="0"/>
      <w:marBottom w:val="0"/>
      <w:divBdr>
        <w:top w:val="none" w:sz="0" w:space="0" w:color="auto"/>
        <w:left w:val="none" w:sz="0" w:space="0" w:color="auto"/>
        <w:bottom w:val="none" w:sz="0" w:space="0" w:color="auto"/>
        <w:right w:val="none" w:sz="0" w:space="0" w:color="auto"/>
      </w:divBdr>
    </w:div>
    <w:div w:id="702483678">
      <w:bodyDiv w:val="1"/>
      <w:marLeft w:val="0"/>
      <w:marRight w:val="0"/>
      <w:marTop w:val="0"/>
      <w:marBottom w:val="0"/>
      <w:divBdr>
        <w:top w:val="none" w:sz="0" w:space="0" w:color="auto"/>
        <w:left w:val="none" w:sz="0" w:space="0" w:color="auto"/>
        <w:bottom w:val="none" w:sz="0" w:space="0" w:color="auto"/>
        <w:right w:val="none" w:sz="0" w:space="0" w:color="auto"/>
      </w:divBdr>
    </w:div>
    <w:div w:id="709767783">
      <w:bodyDiv w:val="1"/>
      <w:marLeft w:val="0"/>
      <w:marRight w:val="0"/>
      <w:marTop w:val="0"/>
      <w:marBottom w:val="0"/>
      <w:divBdr>
        <w:top w:val="none" w:sz="0" w:space="0" w:color="auto"/>
        <w:left w:val="none" w:sz="0" w:space="0" w:color="auto"/>
        <w:bottom w:val="none" w:sz="0" w:space="0" w:color="auto"/>
        <w:right w:val="none" w:sz="0" w:space="0" w:color="auto"/>
      </w:divBdr>
    </w:div>
    <w:div w:id="770398311">
      <w:bodyDiv w:val="1"/>
      <w:marLeft w:val="0"/>
      <w:marRight w:val="0"/>
      <w:marTop w:val="0"/>
      <w:marBottom w:val="0"/>
      <w:divBdr>
        <w:top w:val="none" w:sz="0" w:space="0" w:color="auto"/>
        <w:left w:val="none" w:sz="0" w:space="0" w:color="auto"/>
        <w:bottom w:val="none" w:sz="0" w:space="0" w:color="auto"/>
        <w:right w:val="none" w:sz="0" w:space="0" w:color="auto"/>
      </w:divBdr>
    </w:div>
    <w:div w:id="795563713">
      <w:bodyDiv w:val="1"/>
      <w:marLeft w:val="0"/>
      <w:marRight w:val="0"/>
      <w:marTop w:val="0"/>
      <w:marBottom w:val="0"/>
      <w:divBdr>
        <w:top w:val="none" w:sz="0" w:space="0" w:color="auto"/>
        <w:left w:val="none" w:sz="0" w:space="0" w:color="auto"/>
        <w:bottom w:val="none" w:sz="0" w:space="0" w:color="auto"/>
        <w:right w:val="none" w:sz="0" w:space="0" w:color="auto"/>
      </w:divBdr>
    </w:div>
    <w:div w:id="806312400">
      <w:bodyDiv w:val="1"/>
      <w:marLeft w:val="0"/>
      <w:marRight w:val="0"/>
      <w:marTop w:val="0"/>
      <w:marBottom w:val="0"/>
      <w:divBdr>
        <w:top w:val="none" w:sz="0" w:space="0" w:color="auto"/>
        <w:left w:val="none" w:sz="0" w:space="0" w:color="auto"/>
        <w:bottom w:val="none" w:sz="0" w:space="0" w:color="auto"/>
        <w:right w:val="none" w:sz="0" w:space="0" w:color="auto"/>
      </w:divBdr>
    </w:div>
    <w:div w:id="832254765">
      <w:bodyDiv w:val="1"/>
      <w:marLeft w:val="0"/>
      <w:marRight w:val="0"/>
      <w:marTop w:val="0"/>
      <w:marBottom w:val="0"/>
      <w:divBdr>
        <w:top w:val="none" w:sz="0" w:space="0" w:color="auto"/>
        <w:left w:val="none" w:sz="0" w:space="0" w:color="auto"/>
        <w:bottom w:val="none" w:sz="0" w:space="0" w:color="auto"/>
        <w:right w:val="none" w:sz="0" w:space="0" w:color="auto"/>
      </w:divBdr>
    </w:div>
    <w:div w:id="1036780044">
      <w:bodyDiv w:val="1"/>
      <w:marLeft w:val="0"/>
      <w:marRight w:val="0"/>
      <w:marTop w:val="0"/>
      <w:marBottom w:val="0"/>
      <w:divBdr>
        <w:top w:val="none" w:sz="0" w:space="0" w:color="auto"/>
        <w:left w:val="none" w:sz="0" w:space="0" w:color="auto"/>
        <w:bottom w:val="none" w:sz="0" w:space="0" w:color="auto"/>
        <w:right w:val="none" w:sz="0" w:space="0" w:color="auto"/>
      </w:divBdr>
      <w:divsChild>
        <w:div w:id="1100879417">
          <w:marLeft w:val="0"/>
          <w:marRight w:val="0"/>
          <w:marTop w:val="0"/>
          <w:marBottom w:val="0"/>
          <w:divBdr>
            <w:top w:val="none" w:sz="0" w:space="0" w:color="auto"/>
            <w:left w:val="none" w:sz="0" w:space="0" w:color="auto"/>
            <w:bottom w:val="none" w:sz="0" w:space="0" w:color="auto"/>
            <w:right w:val="none" w:sz="0" w:space="0" w:color="auto"/>
          </w:divBdr>
        </w:div>
        <w:div w:id="462503866">
          <w:marLeft w:val="0"/>
          <w:marRight w:val="0"/>
          <w:marTop w:val="0"/>
          <w:marBottom w:val="0"/>
          <w:divBdr>
            <w:top w:val="none" w:sz="0" w:space="0" w:color="auto"/>
            <w:left w:val="none" w:sz="0" w:space="0" w:color="auto"/>
            <w:bottom w:val="none" w:sz="0" w:space="0" w:color="auto"/>
            <w:right w:val="none" w:sz="0" w:space="0" w:color="auto"/>
          </w:divBdr>
        </w:div>
        <w:div w:id="1529023257">
          <w:marLeft w:val="0"/>
          <w:marRight w:val="0"/>
          <w:marTop w:val="0"/>
          <w:marBottom w:val="0"/>
          <w:divBdr>
            <w:top w:val="none" w:sz="0" w:space="0" w:color="auto"/>
            <w:left w:val="none" w:sz="0" w:space="0" w:color="auto"/>
            <w:bottom w:val="none" w:sz="0" w:space="0" w:color="auto"/>
            <w:right w:val="none" w:sz="0" w:space="0" w:color="auto"/>
          </w:divBdr>
        </w:div>
        <w:div w:id="1287008980">
          <w:marLeft w:val="0"/>
          <w:marRight w:val="0"/>
          <w:marTop w:val="0"/>
          <w:marBottom w:val="0"/>
          <w:divBdr>
            <w:top w:val="none" w:sz="0" w:space="0" w:color="auto"/>
            <w:left w:val="none" w:sz="0" w:space="0" w:color="auto"/>
            <w:bottom w:val="none" w:sz="0" w:space="0" w:color="auto"/>
            <w:right w:val="none" w:sz="0" w:space="0" w:color="auto"/>
          </w:divBdr>
        </w:div>
        <w:div w:id="1987316492">
          <w:marLeft w:val="0"/>
          <w:marRight w:val="0"/>
          <w:marTop w:val="0"/>
          <w:marBottom w:val="0"/>
          <w:divBdr>
            <w:top w:val="none" w:sz="0" w:space="0" w:color="auto"/>
            <w:left w:val="none" w:sz="0" w:space="0" w:color="auto"/>
            <w:bottom w:val="none" w:sz="0" w:space="0" w:color="auto"/>
            <w:right w:val="none" w:sz="0" w:space="0" w:color="auto"/>
          </w:divBdr>
        </w:div>
      </w:divsChild>
    </w:div>
    <w:div w:id="1044401976">
      <w:bodyDiv w:val="1"/>
      <w:marLeft w:val="0"/>
      <w:marRight w:val="0"/>
      <w:marTop w:val="0"/>
      <w:marBottom w:val="0"/>
      <w:divBdr>
        <w:top w:val="none" w:sz="0" w:space="0" w:color="auto"/>
        <w:left w:val="none" w:sz="0" w:space="0" w:color="auto"/>
        <w:bottom w:val="none" w:sz="0" w:space="0" w:color="auto"/>
        <w:right w:val="none" w:sz="0" w:space="0" w:color="auto"/>
      </w:divBdr>
    </w:div>
    <w:div w:id="1069157309">
      <w:bodyDiv w:val="1"/>
      <w:marLeft w:val="0"/>
      <w:marRight w:val="0"/>
      <w:marTop w:val="0"/>
      <w:marBottom w:val="0"/>
      <w:divBdr>
        <w:top w:val="none" w:sz="0" w:space="0" w:color="auto"/>
        <w:left w:val="none" w:sz="0" w:space="0" w:color="auto"/>
        <w:bottom w:val="none" w:sz="0" w:space="0" w:color="auto"/>
        <w:right w:val="none" w:sz="0" w:space="0" w:color="auto"/>
      </w:divBdr>
    </w:div>
    <w:div w:id="1077627707">
      <w:bodyDiv w:val="1"/>
      <w:marLeft w:val="0"/>
      <w:marRight w:val="0"/>
      <w:marTop w:val="0"/>
      <w:marBottom w:val="0"/>
      <w:divBdr>
        <w:top w:val="none" w:sz="0" w:space="0" w:color="auto"/>
        <w:left w:val="none" w:sz="0" w:space="0" w:color="auto"/>
        <w:bottom w:val="none" w:sz="0" w:space="0" w:color="auto"/>
        <w:right w:val="none" w:sz="0" w:space="0" w:color="auto"/>
      </w:divBdr>
    </w:div>
    <w:div w:id="1177112528">
      <w:bodyDiv w:val="1"/>
      <w:marLeft w:val="0"/>
      <w:marRight w:val="0"/>
      <w:marTop w:val="0"/>
      <w:marBottom w:val="0"/>
      <w:divBdr>
        <w:top w:val="none" w:sz="0" w:space="0" w:color="auto"/>
        <w:left w:val="none" w:sz="0" w:space="0" w:color="auto"/>
        <w:bottom w:val="none" w:sz="0" w:space="0" w:color="auto"/>
        <w:right w:val="none" w:sz="0" w:space="0" w:color="auto"/>
      </w:divBdr>
    </w:div>
    <w:div w:id="1181355945">
      <w:bodyDiv w:val="1"/>
      <w:marLeft w:val="0"/>
      <w:marRight w:val="0"/>
      <w:marTop w:val="0"/>
      <w:marBottom w:val="0"/>
      <w:divBdr>
        <w:top w:val="none" w:sz="0" w:space="0" w:color="auto"/>
        <w:left w:val="none" w:sz="0" w:space="0" w:color="auto"/>
        <w:bottom w:val="none" w:sz="0" w:space="0" w:color="auto"/>
        <w:right w:val="none" w:sz="0" w:space="0" w:color="auto"/>
      </w:divBdr>
    </w:div>
    <w:div w:id="1246837735">
      <w:bodyDiv w:val="1"/>
      <w:marLeft w:val="0"/>
      <w:marRight w:val="0"/>
      <w:marTop w:val="0"/>
      <w:marBottom w:val="0"/>
      <w:divBdr>
        <w:top w:val="none" w:sz="0" w:space="0" w:color="auto"/>
        <w:left w:val="none" w:sz="0" w:space="0" w:color="auto"/>
        <w:bottom w:val="none" w:sz="0" w:space="0" w:color="auto"/>
        <w:right w:val="none" w:sz="0" w:space="0" w:color="auto"/>
      </w:divBdr>
    </w:div>
    <w:div w:id="1279335834">
      <w:bodyDiv w:val="1"/>
      <w:marLeft w:val="0"/>
      <w:marRight w:val="0"/>
      <w:marTop w:val="0"/>
      <w:marBottom w:val="0"/>
      <w:divBdr>
        <w:top w:val="none" w:sz="0" w:space="0" w:color="auto"/>
        <w:left w:val="none" w:sz="0" w:space="0" w:color="auto"/>
        <w:bottom w:val="none" w:sz="0" w:space="0" w:color="auto"/>
        <w:right w:val="none" w:sz="0" w:space="0" w:color="auto"/>
      </w:divBdr>
    </w:div>
    <w:div w:id="1283461332">
      <w:bodyDiv w:val="1"/>
      <w:marLeft w:val="0"/>
      <w:marRight w:val="0"/>
      <w:marTop w:val="0"/>
      <w:marBottom w:val="0"/>
      <w:divBdr>
        <w:top w:val="none" w:sz="0" w:space="0" w:color="auto"/>
        <w:left w:val="none" w:sz="0" w:space="0" w:color="auto"/>
        <w:bottom w:val="none" w:sz="0" w:space="0" w:color="auto"/>
        <w:right w:val="none" w:sz="0" w:space="0" w:color="auto"/>
      </w:divBdr>
      <w:divsChild>
        <w:div w:id="900137099">
          <w:marLeft w:val="0"/>
          <w:marRight w:val="0"/>
          <w:marTop w:val="0"/>
          <w:marBottom w:val="0"/>
          <w:divBdr>
            <w:top w:val="none" w:sz="0" w:space="0" w:color="auto"/>
            <w:left w:val="none" w:sz="0" w:space="0" w:color="auto"/>
            <w:bottom w:val="none" w:sz="0" w:space="0" w:color="auto"/>
            <w:right w:val="none" w:sz="0" w:space="0" w:color="auto"/>
          </w:divBdr>
        </w:div>
      </w:divsChild>
    </w:div>
    <w:div w:id="1386835148">
      <w:bodyDiv w:val="1"/>
      <w:marLeft w:val="0"/>
      <w:marRight w:val="0"/>
      <w:marTop w:val="0"/>
      <w:marBottom w:val="0"/>
      <w:divBdr>
        <w:top w:val="none" w:sz="0" w:space="0" w:color="auto"/>
        <w:left w:val="none" w:sz="0" w:space="0" w:color="auto"/>
        <w:bottom w:val="none" w:sz="0" w:space="0" w:color="auto"/>
        <w:right w:val="none" w:sz="0" w:space="0" w:color="auto"/>
      </w:divBdr>
    </w:div>
    <w:div w:id="1387291671">
      <w:bodyDiv w:val="1"/>
      <w:marLeft w:val="0"/>
      <w:marRight w:val="0"/>
      <w:marTop w:val="0"/>
      <w:marBottom w:val="0"/>
      <w:divBdr>
        <w:top w:val="none" w:sz="0" w:space="0" w:color="auto"/>
        <w:left w:val="none" w:sz="0" w:space="0" w:color="auto"/>
        <w:bottom w:val="none" w:sz="0" w:space="0" w:color="auto"/>
        <w:right w:val="none" w:sz="0" w:space="0" w:color="auto"/>
      </w:divBdr>
    </w:div>
    <w:div w:id="1463841353">
      <w:bodyDiv w:val="1"/>
      <w:marLeft w:val="0"/>
      <w:marRight w:val="0"/>
      <w:marTop w:val="0"/>
      <w:marBottom w:val="0"/>
      <w:divBdr>
        <w:top w:val="none" w:sz="0" w:space="0" w:color="auto"/>
        <w:left w:val="none" w:sz="0" w:space="0" w:color="auto"/>
        <w:bottom w:val="none" w:sz="0" w:space="0" w:color="auto"/>
        <w:right w:val="none" w:sz="0" w:space="0" w:color="auto"/>
      </w:divBdr>
      <w:divsChild>
        <w:div w:id="904026397">
          <w:marLeft w:val="0"/>
          <w:marRight w:val="0"/>
          <w:marTop w:val="0"/>
          <w:marBottom w:val="0"/>
          <w:divBdr>
            <w:top w:val="none" w:sz="0" w:space="0" w:color="auto"/>
            <w:left w:val="none" w:sz="0" w:space="0" w:color="auto"/>
            <w:bottom w:val="none" w:sz="0" w:space="0" w:color="auto"/>
            <w:right w:val="none" w:sz="0" w:space="0" w:color="auto"/>
          </w:divBdr>
        </w:div>
      </w:divsChild>
    </w:div>
    <w:div w:id="1484004768">
      <w:bodyDiv w:val="1"/>
      <w:marLeft w:val="0"/>
      <w:marRight w:val="0"/>
      <w:marTop w:val="0"/>
      <w:marBottom w:val="0"/>
      <w:divBdr>
        <w:top w:val="none" w:sz="0" w:space="0" w:color="auto"/>
        <w:left w:val="none" w:sz="0" w:space="0" w:color="auto"/>
        <w:bottom w:val="none" w:sz="0" w:space="0" w:color="auto"/>
        <w:right w:val="none" w:sz="0" w:space="0" w:color="auto"/>
      </w:divBdr>
    </w:div>
    <w:div w:id="1493638552">
      <w:bodyDiv w:val="1"/>
      <w:marLeft w:val="0"/>
      <w:marRight w:val="0"/>
      <w:marTop w:val="0"/>
      <w:marBottom w:val="0"/>
      <w:divBdr>
        <w:top w:val="none" w:sz="0" w:space="0" w:color="auto"/>
        <w:left w:val="none" w:sz="0" w:space="0" w:color="auto"/>
        <w:bottom w:val="none" w:sz="0" w:space="0" w:color="auto"/>
        <w:right w:val="none" w:sz="0" w:space="0" w:color="auto"/>
      </w:divBdr>
    </w:div>
    <w:div w:id="1606301652">
      <w:bodyDiv w:val="1"/>
      <w:marLeft w:val="0"/>
      <w:marRight w:val="0"/>
      <w:marTop w:val="0"/>
      <w:marBottom w:val="0"/>
      <w:divBdr>
        <w:top w:val="none" w:sz="0" w:space="0" w:color="auto"/>
        <w:left w:val="none" w:sz="0" w:space="0" w:color="auto"/>
        <w:bottom w:val="none" w:sz="0" w:space="0" w:color="auto"/>
        <w:right w:val="none" w:sz="0" w:space="0" w:color="auto"/>
      </w:divBdr>
    </w:div>
    <w:div w:id="1608080447">
      <w:bodyDiv w:val="1"/>
      <w:marLeft w:val="0"/>
      <w:marRight w:val="0"/>
      <w:marTop w:val="0"/>
      <w:marBottom w:val="0"/>
      <w:divBdr>
        <w:top w:val="none" w:sz="0" w:space="0" w:color="auto"/>
        <w:left w:val="none" w:sz="0" w:space="0" w:color="auto"/>
        <w:bottom w:val="none" w:sz="0" w:space="0" w:color="auto"/>
        <w:right w:val="none" w:sz="0" w:space="0" w:color="auto"/>
      </w:divBdr>
    </w:div>
    <w:div w:id="1614819512">
      <w:bodyDiv w:val="1"/>
      <w:marLeft w:val="0"/>
      <w:marRight w:val="0"/>
      <w:marTop w:val="0"/>
      <w:marBottom w:val="0"/>
      <w:divBdr>
        <w:top w:val="none" w:sz="0" w:space="0" w:color="auto"/>
        <w:left w:val="none" w:sz="0" w:space="0" w:color="auto"/>
        <w:bottom w:val="none" w:sz="0" w:space="0" w:color="auto"/>
        <w:right w:val="none" w:sz="0" w:space="0" w:color="auto"/>
      </w:divBdr>
      <w:divsChild>
        <w:div w:id="1171523144">
          <w:marLeft w:val="0"/>
          <w:marRight w:val="0"/>
          <w:marTop w:val="0"/>
          <w:marBottom w:val="0"/>
          <w:divBdr>
            <w:top w:val="none" w:sz="0" w:space="0" w:color="auto"/>
            <w:left w:val="none" w:sz="0" w:space="0" w:color="auto"/>
            <w:bottom w:val="none" w:sz="0" w:space="0" w:color="auto"/>
            <w:right w:val="none" w:sz="0" w:space="0" w:color="auto"/>
          </w:divBdr>
        </w:div>
      </w:divsChild>
    </w:div>
    <w:div w:id="1687753378">
      <w:bodyDiv w:val="1"/>
      <w:marLeft w:val="0"/>
      <w:marRight w:val="0"/>
      <w:marTop w:val="0"/>
      <w:marBottom w:val="0"/>
      <w:divBdr>
        <w:top w:val="none" w:sz="0" w:space="0" w:color="auto"/>
        <w:left w:val="none" w:sz="0" w:space="0" w:color="auto"/>
        <w:bottom w:val="none" w:sz="0" w:space="0" w:color="auto"/>
        <w:right w:val="none" w:sz="0" w:space="0" w:color="auto"/>
      </w:divBdr>
    </w:div>
    <w:div w:id="1708097430">
      <w:bodyDiv w:val="1"/>
      <w:marLeft w:val="0"/>
      <w:marRight w:val="0"/>
      <w:marTop w:val="0"/>
      <w:marBottom w:val="0"/>
      <w:divBdr>
        <w:top w:val="none" w:sz="0" w:space="0" w:color="auto"/>
        <w:left w:val="none" w:sz="0" w:space="0" w:color="auto"/>
        <w:bottom w:val="none" w:sz="0" w:space="0" w:color="auto"/>
        <w:right w:val="none" w:sz="0" w:space="0" w:color="auto"/>
      </w:divBdr>
    </w:div>
    <w:div w:id="1736586860">
      <w:bodyDiv w:val="1"/>
      <w:marLeft w:val="0"/>
      <w:marRight w:val="0"/>
      <w:marTop w:val="0"/>
      <w:marBottom w:val="0"/>
      <w:divBdr>
        <w:top w:val="none" w:sz="0" w:space="0" w:color="auto"/>
        <w:left w:val="none" w:sz="0" w:space="0" w:color="auto"/>
        <w:bottom w:val="none" w:sz="0" w:space="0" w:color="auto"/>
        <w:right w:val="none" w:sz="0" w:space="0" w:color="auto"/>
      </w:divBdr>
    </w:div>
    <w:div w:id="1755205473">
      <w:bodyDiv w:val="1"/>
      <w:marLeft w:val="0"/>
      <w:marRight w:val="0"/>
      <w:marTop w:val="0"/>
      <w:marBottom w:val="0"/>
      <w:divBdr>
        <w:top w:val="none" w:sz="0" w:space="0" w:color="auto"/>
        <w:left w:val="none" w:sz="0" w:space="0" w:color="auto"/>
        <w:bottom w:val="none" w:sz="0" w:space="0" w:color="auto"/>
        <w:right w:val="none" w:sz="0" w:space="0" w:color="auto"/>
      </w:divBdr>
    </w:div>
    <w:div w:id="1756853756">
      <w:bodyDiv w:val="1"/>
      <w:marLeft w:val="0"/>
      <w:marRight w:val="0"/>
      <w:marTop w:val="0"/>
      <w:marBottom w:val="0"/>
      <w:divBdr>
        <w:top w:val="none" w:sz="0" w:space="0" w:color="auto"/>
        <w:left w:val="none" w:sz="0" w:space="0" w:color="auto"/>
        <w:bottom w:val="none" w:sz="0" w:space="0" w:color="auto"/>
        <w:right w:val="none" w:sz="0" w:space="0" w:color="auto"/>
      </w:divBdr>
    </w:div>
    <w:div w:id="1769344825">
      <w:bodyDiv w:val="1"/>
      <w:marLeft w:val="0"/>
      <w:marRight w:val="0"/>
      <w:marTop w:val="0"/>
      <w:marBottom w:val="0"/>
      <w:divBdr>
        <w:top w:val="none" w:sz="0" w:space="0" w:color="auto"/>
        <w:left w:val="none" w:sz="0" w:space="0" w:color="auto"/>
        <w:bottom w:val="none" w:sz="0" w:space="0" w:color="auto"/>
        <w:right w:val="none" w:sz="0" w:space="0" w:color="auto"/>
      </w:divBdr>
    </w:div>
    <w:div w:id="1786584413">
      <w:bodyDiv w:val="1"/>
      <w:marLeft w:val="0"/>
      <w:marRight w:val="0"/>
      <w:marTop w:val="0"/>
      <w:marBottom w:val="0"/>
      <w:divBdr>
        <w:top w:val="none" w:sz="0" w:space="0" w:color="auto"/>
        <w:left w:val="none" w:sz="0" w:space="0" w:color="auto"/>
        <w:bottom w:val="none" w:sz="0" w:space="0" w:color="auto"/>
        <w:right w:val="none" w:sz="0" w:space="0" w:color="auto"/>
      </w:divBdr>
    </w:div>
    <w:div w:id="1859391486">
      <w:bodyDiv w:val="1"/>
      <w:marLeft w:val="0"/>
      <w:marRight w:val="0"/>
      <w:marTop w:val="0"/>
      <w:marBottom w:val="0"/>
      <w:divBdr>
        <w:top w:val="none" w:sz="0" w:space="0" w:color="auto"/>
        <w:left w:val="none" w:sz="0" w:space="0" w:color="auto"/>
        <w:bottom w:val="none" w:sz="0" w:space="0" w:color="auto"/>
        <w:right w:val="none" w:sz="0" w:space="0" w:color="auto"/>
      </w:divBdr>
    </w:div>
    <w:div w:id="1881278189">
      <w:bodyDiv w:val="1"/>
      <w:marLeft w:val="0"/>
      <w:marRight w:val="0"/>
      <w:marTop w:val="0"/>
      <w:marBottom w:val="0"/>
      <w:divBdr>
        <w:top w:val="none" w:sz="0" w:space="0" w:color="auto"/>
        <w:left w:val="none" w:sz="0" w:space="0" w:color="auto"/>
        <w:bottom w:val="none" w:sz="0" w:space="0" w:color="auto"/>
        <w:right w:val="none" w:sz="0" w:space="0" w:color="auto"/>
      </w:divBdr>
    </w:div>
    <w:div w:id="1899122957">
      <w:bodyDiv w:val="1"/>
      <w:marLeft w:val="0"/>
      <w:marRight w:val="0"/>
      <w:marTop w:val="0"/>
      <w:marBottom w:val="0"/>
      <w:divBdr>
        <w:top w:val="none" w:sz="0" w:space="0" w:color="auto"/>
        <w:left w:val="none" w:sz="0" w:space="0" w:color="auto"/>
        <w:bottom w:val="none" w:sz="0" w:space="0" w:color="auto"/>
        <w:right w:val="none" w:sz="0" w:space="0" w:color="auto"/>
      </w:divBdr>
    </w:div>
    <w:div w:id="1942562965">
      <w:bodyDiv w:val="1"/>
      <w:marLeft w:val="0"/>
      <w:marRight w:val="0"/>
      <w:marTop w:val="0"/>
      <w:marBottom w:val="0"/>
      <w:divBdr>
        <w:top w:val="none" w:sz="0" w:space="0" w:color="auto"/>
        <w:left w:val="none" w:sz="0" w:space="0" w:color="auto"/>
        <w:bottom w:val="none" w:sz="0" w:space="0" w:color="auto"/>
        <w:right w:val="none" w:sz="0" w:space="0" w:color="auto"/>
      </w:divBdr>
    </w:div>
    <w:div w:id="1978367976">
      <w:bodyDiv w:val="1"/>
      <w:marLeft w:val="0"/>
      <w:marRight w:val="0"/>
      <w:marTop w:val="0"/>
      <w:marBottom w:val="0"/>
      <w:divBdr>
        <w:top w:val="none" w:sz="0" w:space="0" w:color="auto"/>
        <w:left w:val="none" w:sz="0" w:space="0" w:color="auto"/>
        <w:bottom w:val="none" w:sz="0" w:space="0" w:color="auto"/>
        <w:right w:val="none" w:sz="0" w:space="0" w:color="auto"/>
      </w:divBdr>
    </w:div>
    <w:div w:id="2006515806">
      <w:bodyDiv w:val="1"/>
      <w:marLeft w:val="0"/>
      <w:marRight w:val="0"/>
      <w:marTop w:val="0"/>
      <w:marBottom w:val="0"/>
      <w:divBdr>
        <w:top w:val="none" w:sz="0" w:space="0" w:color="auto"/>
        <w:left w:val="none" w:sz="0" w:space="0" w:color="auto"/>
        <w:bottom w:val="none" w:sz="0" w:space="0" w:color="auto"/>
        <w:right w:val="none" w:sz="0" w:space="0" w:color="auto"/>
      </w:divBdr>
    </w:div>
    <w:div w:id="2012217584">
      <w:bodyDiv w:val="1"/>
      <w:marLeft w:val="0"/>
      <w:marRight w:val="0"/>
      <w:marTop w:val="0"/>
      <w:marBottom w:val="0"/>
      <w:divBdr>
        <w:top w:val="none" w:sz="0" w:space="0" w:color="auto"/>
        <w:left w:val="none" w:sz="0" w:space="0" w:color="auto"/>
        <w:bottom w:val="none" w:sz="0" w:space="0" w:color="auto"/>
        <w:right w:val="none" w:sz="0" w:space="0" w:color="auto"/>
      </w:divBdr>
    </w:div>
    <w:div w:id="2025939308">
      <w:bodyDiv w:val="1"/>
      <w:marLeft w:val="0"/>
      <w:marRight w:val="0"/>
      <w:marTop w:val="0"/>
      <w:marBottom w:val="0"/>
      <w:divBdr>
        <w:top w:val="none" w:sz="0" w:space="0" w:color="auto"/>
        <w:left w:val="none" w:sz="0" w:space="0" w:color="auto"/>
        <w:bottom w:val="none" w:sz="0" w:space="0" w:color="auto"/>
        <w:right w:val="none" w:sz="0" w:space="0" w:color="auto"/>
      </w:divBdr>
      <w:divsChild>
        <w:div w:id="1586762489">
          <w:marLeft w:val="0"/>
          <w:marRight w:val="0"/>
          <w:marTop w:val="0"/>
          <w:marBottom w:val="0"/>
          <w:divBdr>
            <w:top w:val="none" w:sz="0" w:space="0" w:color="auto"/>
            <w:left w:val="none" w:sz="0" w:space="0" w:color="auto"/>
            <w:bottom w:val="none" w:sz="0" w:space="0" w:color="auto"/>
            <w:right w:val="none" w:sz="0" w:space="0" w:color="auto"/>
          </w:divBdr>
        </w:div>
        <w:div w:id="1441801946">
          <w:marLeft w:val="0"/>
          <w:marRight w:val="0"/>
          <w:marTop w:val="0"/>
          <w:marBottom w:val="0"/>
          <w:divBdr>
            <w:top w:val="none" w:sz="0" w:space="0" w:color="auto"/>
            <w:left w:val="none" w:sz="0" w:space="0" w:color="auto"/>
            <w:bottom w:val="none" w:sz="0" w:space="0" w:color="auto"/>
            <w:right w:val="none" w:sz="0" w:space="0" w:color="auto"/>
          </w:divBdr>
        </w:div>
        <w:div w:id="362098905">
          <w:marLeft w:val="0"/>
          <w:marRight w:val="0"/>
          <w:marTop w:val="0"/>
          <w:marBottom w:val="0"/>
          <w:divBdr>
            <w:top w:val="none" w:sz="0" w:space="0" w:color="auto"/>
            <w:left w:val="none" w:sz="0" w:space="0" w:color="auto"/>
            <w:bottom w:val="none" w:sz="0" w:space="0" w:color="auto"/>
            <w:right w:val="none" w:sz="0" w:space="0" w:color="auto"/>
          </w:divBdr>
        </w:div>
        <w:div w:id="171653782">
          <w:marLeft w:val="0"/>
          <w:marRight w:val="0"/>
          <w:marTop w:val="0"/>
          <w:marBottom w:val="0"/>
          <w:divBdr>
            <w:top w:val="none" w:sz="0" w:space="0" w:color="auto"/>
            <w:left w:val="none" w:sz="0" w:space="0" w:color="auto"/>
            <w:bottom w:val="none" w:sz="0" w:space="0" w:color="auto"/>
            <w:right w:val="none" w:sz="0" w:space="0" w:color="auto"/>
          </w:divBdr>
        </w:div>
        <w:div w:id="768820830">
          <w:marLeft w:val="0"/>
          <w:marRight w:val="0"/>
          <w:marTop w:val="0"/>
          <w:marBottom w:val="0"/>
          <w:divBdr>
            <w:top w:val="none" w:sz="0" w:space="0" w:color="auto"/>
            <w:left w:val="none" w:sz="0" w:space="0" w:color="auto"/>
            <w:bottom w:val="none" w:sz="0" w:space="0" w:color="auto"/>
            <w:right w:val="none" w:sz="0" w:space="0" w:color="auto"/>
          </w:divBdr>
        </w:div>
      </w:divsChild>
    </w:div>
    <w:div w:id="2036416454">
      <w:bodyDiv w:val="1"/>
      <w:marLeft w:val="0"/>
      <w:marRight w:val="0"/>
      <w:marTop w:val="0"/>
      <w:marBottom w:val="0"/>
      <w:divBdr>
        <w:top w:val="none" w:sz="0" w:space="0" w:color="auto"/>
        <w:left w:val="none" w:sz="0" w:space="0" w:color="auto"/>
        <w:bottom w:val="none" w:sz="0" w:space="0" w:color="auto"/>
        <w:right w:val="none" w:sz="0" w:space="0" w:color="auto"/>
      </w:divBdr>
      <w:divsChild>
        <w:div w:id="2059087805">
          <w:marLeft w:val="0"/>
          <w:marRight w:val="0"/>
          <w:marTop w:val="0"/>
          <w:marBottom w:val="0"/>
          <w:divBdr>
            <w:top w:val="none" w:sz="0" w:space="0" w:color="auto"/>
            <w:left w:val="none" w:sz="0" w:space="0" w:color="auto"/>
            <w:bottom w:val="none" w:sz="0" w:space="0" w:color="auto"/>
            <w:right w:val="none" w:sz="0" w:space="0" w:color="auto"/>
          </w:divBdr>
        </w:div>
        <w:div w:id="1804151178">
          <w:marLeft w:val="0"/>
          <w:marRight w:val="0"/>
          <w:marTop w:val="0"/>
          <w:marBottom w:val="0"/>
          <w:divBdr>
            <w:top w:val="none" w:sz="0" w:space="0" w:color="auto"/>
            <w:left w:val="none" w:sz="0" w:space="0" w:color="auto"/>
            <w:bottom w:val="none" w:sz="0" w:space="0" w:color="auto"/>
            <w:right w:val="none" w:sz="0" w:space="0" w:color="auto"/>
          </w:divBdr>
        </w:div>
        <w:div w:id="418672172">
          <w:marLeft w:val="0"/>
          <w:marRight w:val="0"/>
          <w:marTop w:val="0"/>
          <w:marBottom w:val="0"/>
          <w:divBdr>
            <w:top w:val="none" w:sz="0" w:space="0" w:color="auto"/>
            <w:left w:val="none" w:sz="0" w:space="0" w:color="auto"/>
            <w:bottom w:val="none" w:sz="0" w:space="0" w:color="auto"/>
            <w:right w:val="none" w:sz="0" w:space="0" w:color="auto"/>
          </w:divBdr>
        </w:div>
        <w:div w:id="962466459">
          <w:marLeft w:val="0"/>
          <w:marRight w:val="0"/>
          <w:marTop w:val="0"/>
          <w:marBottom w:val="0"/>
          <w:divBdr>
            <w:top w:val="none" w:sz="0" w:space="0" w:color="auto"/>
            <w:left w:val="none" w:sz="0" w:space="0" w:color="auto"/>
            <w:bottom w:val="none" w:sz="0" w:space="0" w:color="auto"/>
            <w:right w:val="none" w:sz="0" w:space="0" w:color="auto"/>
          </w:divBdr>
        </w:div>
        <w:div w:id="1264458808">
          <w:marLeft w:val="0"/>
          <w:marRight w:val="0"/>
          <w:marTop w:val="0"/>
          <w:marBottom w:val="0"/>
          <w:divBdr>
            <w:top w:val="none" w:sz="0" w:space="0" w:color="auto"/>
            <w:left w:val="none" w:sz="0" w:space="0" w:color="auto"/>
            <w:bottom w:val="none" w:sz="0" w:space="0" w:color="auto"/>
            <w:right w:val="none" w:sz="0" w:space="0" w:color="auto"/>
          </w:divBdr>
        </w:div>
      </w:divsChild>
    </w:div>
    <w:div w:id="2036881464">
      <w:bodyDiv w:val="1"/>
      <w:marLeft w:val="0"/>
      <w:marRight w:val="0"/>
      <w:marTop w:val="0"/>
      <w:marBottom w:val="0"/>
      <w:divBdr>
        <w:top w:val="none" w:sz="0" w:space="0" w:color="auto"/>
        <w:left w:val="none" w:sz="0" w:space="0" w:color="auto"/>
        <w:bottom w:val="none" w:sz="0" w:space="0" w:color="auto"/>
        <w:right w:val="none" w:sz="0" w:space="0" w:color="auto"/>
      </w:divBdr>
    </w:div>
    <w:div w:id="2127920633">
      <w:bodyDiv w:val="1"/>
      <w:marLeft w:val="0"/>
      <w:marRight w:val="0"/>
      <w:marTop w:val="0"/>
      <w:marBottom w:val="0"/>
      <w:divBdr>
        <w:top w:val="none" w:sz="0" w:space="0" w:color="auto"/>
        <w:left w:val="none" w:sz="0" w:space="0" w:color="auto"/>
        <w:bottom w:val="none" w:sz="0" w:space="0" w:color="auto"/>
        <w:right w:val="none" w:sz="0" w:space="0" w:color="auto"/>
      </w:divBdr>
    </w:div>
    <w:div w:id="2131514475">
      <w:bodyDiv w:val="1"/>
      <w:marLeft w:val="0"/>
      <w:marRight w:val="0"/>
      <w:marTop w:val="0"/>
      <w:marBottom w:val="0"/>
      <w:divBdr>
        <w:top w:val="none" w:sz="0" w:space="0" w:color="auto"/>
        <w:left w:val="none" w:sz="0" w:space="0" w:color="auto"/>
        <w:bottom w:val="none" w:sz="0" w:space="0" w:color="auto"/>
        <w:right w:val="none" w:sz="0" w:space="0" w:color="auto"/>
      </w:divBdr>
    </w:div>
    <w:div w:id="2146119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3.svg"/>
  <Relationship Id="rId11" Type="http://schemas.openxmlformats.org/officeDocument/2006/relationships/image" Target="media/image3.png"/>
  <Relationship Id="rId12" Type="http://schemas.openxmlformats.org/officeDocument/2006/relationships/image" Target="media/image4.png"/>
  <Relationship Id="rId13" Type="http://schemas.openxmlformats.org/officeDocument/2006/relationships/image" Target="media/image5.png"/>
  <Relationship Id="rId14" Type="http://schemas.openxmlformats.org/officeDocument/2006/relationships/chart" Target="charts/chart1.xml"/>
  <Relationship Id="rId15" Type="http://schemas.openxmlformats.org/officeDocument/2006/relationships/image" Target="media/image6.png"/>
  <Relationship Id="rId16" Type="http://schemas.openxmlformats.org/officeDocument/2006/relationships/image" Target="media/image7.png"/>
  <Relationship Id="rId17" Type="http://schemas.openxmlformats.org/officeDocument/2006/relationships/image" Target="media/image8.png"/>
  <Relationship Id="rId19" Type="http://schemas.openxmlformats.org/officeDocument/2006/relationships/image" Target="media/image9.png"/>
  <Relationship Id="rId2" Type="http://schemas.openxmlformats.org/officeDocument/2006/relationships/styles" Target="styles.xml"/>
  <Relationship Id="rId20" Type="http://schemas.openxmlformats.org/officeDocument/2006/relationships/image" Target="media/image10.png"/>
  <Relationship Id="rId21" Type="http://schemas.openxmlformats.org/officeDocument/2006/relationships/image" Target="media/image11.png"/>
  <Relationship Id="rId22" Type="http://schemas.openxmlformats.org/officeDocument/2006/relationships/image" Target="media/image12.png"/>
  <Relationship Id="rId23" Type="http://schemas.openxmlformats.org/officeDocument/2006/relationships/image" Target="media/image13.png"/>
  <Relationship Id="rId24" Type="http://schemas.openxmlformats.org/officeDocument/2006/relationships/image" Target="media/image14.png"/>
  <Relationship Id="rId25" Type="http://schemas.openxmlformats.org/officeDocument/2006/relationships/image" Target="media/image15.png"/>
  <Relationship Id="rId26" Type="http://schemas.openxmlformats.org/officeDocument/2006/relationships/image" Target="media/image16.png"/>
  <Relationship Id="rId27" Type="http://schemas.openxmlformats.org/officeDocument/2006/relationships/chart" Target="charts/chart2.xml"/>
  <Relationship Id="rId28" Type="http://schemas.openxmlformats.org/officeDocument/2006/relationships/chart" Target="charts/chart3.xml"/>
  <Relationship Id="rId29" Type="http://schemas.openxmlformats.org/officeDocument/2006/relationships/chart" Target="charts/chart4.xml"/>
  <Relationship Id="rId3" Type="http://schemas.openxmlformats.org/officeDocument/2006/relationships/settings" Target="settings.xml"/>
  <Relationship Id="rId30" Type="http://schemas.openxmlformats.org/officeDocument/2006/relationships/chart" Target="charts/chart5.xml"/>
  <Relationship Id="rId31" Type="http://schemas.openxmlformats.org/officeDocument/2006/relationships/chart" Target="charts/chart6.xml"/>
  <Relationship Id="rId32" Type="http://schemas.openxmlformats.org/officeDocument/2006/relationships/diagramData" Target="diagrams/data1.xml"/>
  <Relationship Id="rId33" Type="http://schemas.openxmlformats.org/officeDocument/2006/relationships/diagramLayout" Target="diagrams/layout1.xml"/>
  <Relationship Id="rId34" Type="http://schemas.openxmlformats.org/officeDocument/2006/relationships/diagramQuickStyle" Target="diagrams/quickStyle1.xml"/>
  <Relationship Id="rId35" Type="http://schemas.openxmlformats.org/officeDocument/2006/relationships/diagramColors" Target="diagrams/colors1.xml"/>
  <Relationship Id="rId36" Type="http://schemas.microsoft.com/office/2007/relationships/diagramDrawing" Target="diagrams/drawing1.xml"/>
  <Relationship Id="rId37" Type="http://schemas.openxmlformats.org/officeDocument/2006/relationships/header" Target="header1.xml"/>
  <Relationship Id="rId38" Type="http://schemas.openxmlformats.org/officeDocument/2006/relationships/header" Target="header2.xml"/>
  <Relationship Id="rId39" Type="http://schemas.openxmlformats.org/officeDocument/2006/relationships/footer" Target="footer1.xml"/>
  <Relationship Id="rId4" Type="http://schemas.openxmlformats.org/officeDocument/2006/relationships/webSettings" Target="webSettings.xml"/>
  <Relationship Id="rId40" Type="http://schemas.openxmlformats.org/officeDocument/2006/relationships/footer" Target="footer2.xml"/>
  <Relationship Id="rId41" Type="http://schemas.openxmlformats.org/officeDocument/2006/relationships/header" Target="header3.xml"/>
  <Relationship Id="rId42" Type="http://schemas.openxmlformats.org/officeDocument/2006/relationships/footer" Target="footer3.xml"/>
  <Relationship Id="rId43" Type="http://schemas.openxmlformats.org/officeDocument/2006/relationships/header" Target="header4.xml"/>
  <Relationship Id="rId44" Type="http://schemas.openxmlformats.org/officeDocument/2006/relationships/header" Target="header5.xml"/>
  <Relationship Id="rId45" Type="http://schemas.openxmlformats.org/officeDocument/2006/relationships/header" Target="header6.xml"/>
  <Relationship Id="rId46" Type="http://schemas.openxmlformats.org/officeDocument/2006/relationships/footer" Target="footer4.xml"/>
  <Relationship Id="rId47" Type="http://schemas.openxmlformats.org/officeDocument/2006/relationships/header" Target="header7.xml"/>
  <Relationship Id="rId48" Type="http://schemas.openxmlformats.org/officeDocument/2006/relationships/fontTable" Target="fontTable.xml"/>
  <Relationship Id="rId49" Type="http://schemas.openxmlformats.org/officeDocument/2006/relationships/theme" Target="theme/theme1.xml"/>
  <Relationship Id="rId5" Type="http://schemas.openxmlformats.org/officeDocument/2006/relationships/footnotes" Target="footnotes.xml"/>
  <Relationship Id="rId50" Type="http://schemas.openxmlformats.org/officeDocument/2006/relationships/customXml" Target="../customXml/item2.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package" Target="../embeddings/Microsoft_Excel_Worksheet3.xlsx"/>
</Relationships>

</file>

<file path=word/charts/_rels/chart5.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package" Target="../embeddings/Microsoft_Excel_Worksheet4.xlsx"/>
</Relationships>

</file>

<file path=word/charts/_rels/chart6.xml.rels><?xml version="1.0" encoding="UTF-8"?>

<Relationships xmlns="http://schemas.openxmlformats.org/package/2006/relationships">
  <Relationship Id="rId1" Type="http://schemas.microsoft.com/office/2011/relationships/chartStyle" Target="style6.xml"/>
  <Relationship Id="rId2" Type="http://schemas.microsoft.com/office/2011/relationships/chartColorStyle" Target="colors6.xml"/>
  <Relationship Id="rId3" Type="http://schemas.openxmlformats.org/officeDocument/2006/relationships/package" Target="../embeddings/Microsoft_Excel_Worksheet5.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'Gyventojų prognozė'!$C$9</c:f>
              <c:strCache>
                <c:ptCount val="1"/>
                <c:pt idx="0">
                  <c:v>Labiausiai tikėtinas scenarijus</c:v>
                </c:pt>
              </c:strCache>
            </c:strRef>
          </c:tx>
          <c:spPr>
            <a:ln w="34925" cap="rnd">
              <a:solidFill>
                <a:schemeClr val="accent6"/>
              </a:solidFill>
              <a:round/>
            </a:ln>
            <a:effectLst>
              <a:outerShdw blurRad="57150" dist="19050" dir="5400000" algn="ctr" rotWithShape="0">
                <a:srgbClr val="000000">
                  <a:alpha val="63000"/>
                </a:srgbClr>
              </a:outerShdw>
            </a:effectLst>
          </c:spPr>
          <c:marker>
            <c:symbol val="none"/>
          </c:marker>
          <c:cat>
            <c:numRef>
              <c:f>'Gyventojų prognozė'!$D$8:$AB$8</c:f>
              <c:numCache>
                <c:formatCode>General</c:formatCode>
                <c:ptCount val="25"/>
                <c:pt idx="0">
                  <c:v>2017</c:v>
                </c:pt>
                <c:pt idx="1">
                  <c:v>2018</c:v>
                </c:pt>
                <c:pt idx="2">
                  <c:v>2019</c:v>
                </c:pt>
                <c:pt idx="3">
                  <c:v>2020</c:v>
                </c:pt>
                <c:pt idx="4">
                  <c:v>2021</c:v>
                </c:pt>
                <c:pt idx="5">
                  <c:v>2022</c:v>
                </c:pt>
                <c:pt idx="6">
                  <c:v>2023</c:v>
                </c:pt>
                <c:pt idx="7">
                  <c:v>2024</c:v>
                </c:pt>
                <c:pt idx="8">
                  <c:v>2025</c:v>
                </c:pt>
                <c:pt idx="9">
                  <c:v>2026</c:v>
                </c:pt>
                <c:pt idx="10">
                  <c:v>2027</c:v>
                </c:pt>
                <c:pt idx="11">
                  <c:v>2028</c:v>
                </c:pt>
                <c:pt idx="12">
                  <c:v>2029</c:v>
                </c:pt>
                <c:pt idx="13">
                  <c:v>2030</c:v>
                </c:pt>
                <c:pt idx="14">
                  <c:v>2031</c:v>
                </c:pt>
                <c:pt idx="15">
                  <c:v>2032</c:v>
                </c:pt>
                <c:pt idx="16">
                  <c:v>2033</c:v>
                </c:pt>
                <c:pt idx="17">
                  <c:v>2034</c:v>
                </c:pt>
                <c:pt idx="18">
                  <c:v>2034</c:v>
                </c:pt>
                <c:pt idx="19">
                  <c:v>2035</c:v>
                </c:pt>
                <c:pt idx="20">
                  <c:v>2036</c:v>
                </c:pt>
                <c:pt idx="21">
                  <c:v>2037</c:v>
                </c:pt>
                <c:pt idx="22">
                  <c:v>2038</c:v>
                </c:pt>
                <c:pt idx="23">
                  <c:v>2039</c:v>
                </c:pt>
                <c:pt idx="24">
                  <c:v>2040</c:v>
                </c:pt>
              </c:numCache>
            </c:numRef>
          </c:cat>
          <c:val>
            <c:numRef>
              <c:f>'Gyventojų prognozė'!$D$9:$AB$9</c:f>
              <c:numCache>
                <c:formatCode>General</c:formatCode>
                <c:ptCount val="25"/>
                <c:pt idx="0">
                  <c:v>21583</c:v>
                </c:pt>
                <c:pt idx="1">
                  <c:v>21115</c:v>
                </c:pt>
                <c:pt idx="2">
                  <c:v>20730</c:v>
                </c:pt>
                <c:pt idx="3">
                  <c:v>21284</c:v>
                </c:pt>
                <c:pt idx="4">
                  <c:v>20898</c:v>
                </c:pt>
                <c:pt idx="5">
                  <c:v>20732.9058</c:v>
                </c:pt>
                <c:pt idx="6">
                  <c:v>20569.11584418</c:v>
                </c:pt>
                <c:pt idx="7">
                  <c:v>20406.619829010979</c:v>
                </c:pt>
                <c:pt idx="8">
                  <c:v>20245.407532361791</c:v>
                </c:pt>
                <c:pt idx="9">
                  <c:v>20085.468812856132</c:v>
                </c:pt>
                <c:pt idx="10">
                  <c:v>19926.79360923457</c:v>
                </c:pt>
                <c:pt idx="11">
                  <c:v>19769.371939721615</c:v>
                </c:pt>
                <c:pt idx="12">
                  <c:v>19613.193901397815</c:v>
                </c:pt>
                <c:pt idx="13">
                  <c:v>19458.249669576773</c:v>
                </c:pt>
                <c:pt idx="14">
                  <c:v>19304.529497187115</c:v>
                </c:pt>
                <c:pt idx="15">
                  <c:v>19152.023714159335</c:v>
                </c:pt>
                <c:pt idx="16">
                  <c:v>19000.722726817476</c:v>
                </c:pt>
                <c:pt idx="17">
                  <c:v>18850.617017275617</c:v>
                </c:pt>
                <c:pt idx="18">
                  <c:v>18701.697142839141</c:v>
                </c:pt>
                <c:pt idx="19">
                  <c:v>18553.953735410712</c:v>
                </c:pt>
                <c:pt idx="20">
                  <c:v>18407.377500900966</c:v>
                </c:pt>
                <c:pt idx="21">
                  <c:v>18261.959218643849</c:v>
                </c:pt>
                <c:pt idx="22">
                  <c:v>18117.689740816564</c:v>
                </c:pt>
                <c:pt idx="23">
                  <c:v>17974.559991864113</c:v>
                </c:pt>
                <c:pt idx="24">
                  <c:v>17832.560967928384</c:v>
                </c:pt>
              </c:numCache>
            </c:numRef>
          </c:val>
          <c:smooth val="0"/>
          <c:extLst>
            <c:ext xmlns:c16="http://schemas.microsoft.com/office/drawing/2014/chart" uri="{C3380CC4-5D6E-409C-BE32-E72D297353CC}">
              <c16:uniqueId val="{00000000-6396-4E24-B991-677B608814DC}"/>
            </c:ext>
          </c:extLst>
        </c:ser>
        <c:ser>
          <c:idx val="1"/>
          <c:order val="1"/>
          <c:tx>
            <c:strRef>
              <c:f>'Gyventojų prognozė'!$C$10</c:f>
              <c:strCache>
                <c:ptCount val="1"/>
                <c:pt idx="0">
                  <c:v>Optimistinis scenarijus</c:v>
                </c:pt>
              </c:strCache>
            </c:strRef>
          </c:tx>
          <c:spPr>
            <a:ln w="34925" cap="rnd">
              <a:solidFill>
                <a:schemeClr val="accent5"/>
              </a:solidFill>
              <a:round/>
            </a:ln>
            <a:effectLst>
              <a:outerShdw blurRad="57150" dist="19050" dir="5400000" algn="ctr" rotWithShape="0">
                <a:srgbClr val="000000">
                  <a:alpha val="63000"/>
                </a:srgbClr>
              </a:outerShdw>
            </a:effectLst>
          </c:spPr>
          <c:marker>
            <c:symbol val="none"/>
          </c:marker>
          <c:cat>
            <c:numRef>
              <c:f>'Gyventojų prognozė'!$D$8:$AB$8</c:f>
              <c:numCache>
                <c:formatCode>General</c:formatCode>
                <c:ptCount val="25"/>
                <c:pt idx="0">
                  <c:v>2017</c:v>
                </c:pt>
                <c:pt idx="1">
                  <c:v>2018</c:v>
                </c:pt>
                <c:pt idx="2">
                  <c:v>2019</c:v>
                </c:pt>
                <c:pt idx="3">
                  <c:v>2020</c:v>
                </c:pt>
                <c:pt idx="4">
                  <c:v>2021</c:v>
                </c:pt>
                <c:pt idx="5">
                  <c:v>2022</c:v>
                </c:pt>
                <c:pt idx="6">
                  <c:v>2023</c:v>
                </c:pt>
                <c:pt idx="7">
                  <c:v>2024</c:v>
                </c:pt>
                <c:pt idx="8">
                  <c:v>2025</c:v>
                </c:pt>
                <c:pt idx="9">
                  <c:v>2026</c:v>
                </c:pt>
                <c:pt idx="10">
                  <c:v>2027</c:v>
                </c:pt>
                <c:pt idx="11">
                  <c:v>2028</c:v>
                </c:pt>
                <c:pt idx="12">
                  <c:v>2029</c:v>
                </c:pt>
                <c:pt idx="13">
                  <c:v>2030</c:v>
                </c:pt>
                <c:pt idx="14">
                  <c:v>2031</c:v>
                </c:pt>
                <c:pt idx="15">
                  <c:v>2032</c:v>
                </c:pt>
                <c:pt idx="16">
                  <c:v>2033</c:v>
                </c:pt>
                <c:pt idx="17">
                  <c:v>2034</c:v>
                </c:pt>
                <c:pt idx="18">
                  <c:v>2034</c:v>
                </c:pt>
                <c:pt idx="19">
                  <c:v>2035</c:v>
                </c:pt>
                <c:pt idx="20">
                  <c:v>2036</c:v>
                </c:pt>
                <c:pt idx="21">
                  <c:v>2037</c:v>
                </c:pt>
                <c:pt idx="22">
                  <c:v>2038</c:v>
                </c:pt>
                <c:pt idx="23">
                  <c:v>2039</c:v>
                </c:pt>
                <c:pt idx="24">
                  <c:v>2040</c:v>
                </c:pt>
              </c:numCache>
            </c:numRef>
          </c:cat>
          <c:val>
            <c:numRef>
              <c:f>'Gyventojų prognozė'!$D$10:$AB$10</c:f>
              <c:numCache>
                <c:formatCode>General</c:formatCode>
                <c:ptCount val="25"/>
                <c:pt idx="4">
                  <c:v>20898</c:v>
                </c:pt>
                <c:pt idx="5">
                  <c:v>21456.489725036179</c:v>
                </c:pt>
                <c:pt idx="6">
                  <c:v>22029.904838768452</c:v>
                </c:pt>
                <c:pt idx="7">
                  <c:v>22618.644215549819</c:v>
                </c:pt>
                <c:pt idx="8">
                  <c:v>23223.117389472376</c:v>
                </c:pt>
                <c:pt idx="9">
                  <c:v>23843.744839244093</c:v>
                </c:pt>
                <c:pt idx="10">
                  <c:v>24480.958280678788</c:v>
                </c:pt>
                <c:pt idx="11">
                  <c:v>25135.200967002766</c:v>
                </c:pt>
                <c:pt idx="12">
                  <c:v>25806.927997187016</c:v>
                </c:pt>
                <c:pt idx="13">
                  <c:v>26496.606632519462</c:v>
                </c:pt>
                <c:pt idx="14">
                  <c:v>27204.716621637443</c:v>
                </c:pt>
                <c:pt idx="15">
                  <c:v>27931.750534246567</c:v>
                </c:pt>
                <c:pt idx="16">
                  <c:v>28678.214103758026</c:v>
                </c:pt>
                <c:pt idx="17">
                  <c:v>29444.626579082767</c:v>
                </c:pt>
                <c:pt idx="18">
                  <c:v>30231.521085827186</c:v>
                </c:pt>
                <c:pt idx="19">
                  <c:v>31039.444997141622</c:v>
                </c:pt>
                <c:pt idx="20">
                  <c:v>31868.960314479606</c:v>
                </c:pt>
                <c:pt idx="21">
                  <c:v>32720.644058532751</c:v>
                </c:pt>
                <c:pt idx="22">
                  <c:v>33595.088670613171</c:v>
                </c:pt>
                <c:pt idx="23">
                  <c:v>34492.902424762695</c:v>
                </c:pt>
                <c:pt idx="24">
                  <c:v>35414.709850875501</c:v>
                </c:pt>
              </c:numCache>
            </c:numRef>
          </c:val>
          <c:smooth val="0"/>
          <c:extLst>
            <c:ext xmlns:c16="http://schemas.microsoft.com/office/drawing/2014/chart" uri="{C3380CC4-5D6E-409C-BE32-E72D297353CC}">
              <c16:uniqueId val="{00000001-6396-4E24-B991-677B608814DC}"/>
            </c:ext>
          </c:extLst>
        </c:ser>
        <c:ser>
          <c:idx val="2"/>
          <c:order val="2"/>
          <c:tx>
            <c:strRef>
              <c:f>'Gyventojų prognozė'!$C$11</c:f>
              <c:strCache>
                <c:ptCount val="1"/>
                <c:pt idx="0">
                  <c:v>Pesimistinis scenarijus</c:v>
                </c:pt>
              </c:strCache>
            </c:strRef>
          </c:tx>
          <c:spPr>
            <a:ln w="34925" cap="rnd">
              <a:solidFill>
                <a:schemeClr val="accent4"/>
              </a:solidFill>
              <a:round/>
            </a:ln>
            <a:effectLst>
              <a:outerShdw blurRad="57150" dist="19050" dir="5400000" algn="ctr" rotWithShape="0">
                <a:srgbClr val="000000">
                  <a:alpha val="63000"/>
                </a:srgbClr>
              </a:outerShdw>
            </a:effectLst>
          </c:spPr>
          <c:marker>
            <c:symbol val="none"/>
          </c:marker>
          <c:cat>
            <c:numRef>
              <c:f>'Gyventojų prognozė'!$D$8:$AB$8</c:f>
              <c:numCache>
                <c:formatCode>General</c:formatCode>
                <c:ptCount val="25"/>
                <c:pt idx="0">
                  <c:v>2017</c:v>
                </c:pt>
                <c:pt idx="1">
                  <c:v>2018</c:v>
                </c:pt>
                <c:pt idx="2">
                  <c:v>2019</c:v>
                </c:pt>
                <c:pt idx="3">
                  <c:v>2020</c:v>
                </c:pt>
                <c:pt idx="4">
                  <c:v>2021</c:v>
                </c:pt>
                <c:pt idx="5">
                  <c:v>2022</c:v>
                </c:pt>
                <c:pt idx="6">
                  <c:v>2023</c:v>
                </c:pt>
                <c:pt idx="7">
                  <c:v>2024</c:v>
                </c:pt>
                <c:pt idx="8">
                  <c:v>2025</c:v>
                </c:pt>
                <c:pt idx="9">
                  <c:v>2026</c:v>
                </c:pt>
                <c:pt idx="10">
                  <c:v>2027</c:v>
                </c:pt>
                <c:pt idx="11">
                  <c:v>2028</c:v>
                </c:pt>
                <c:pt idx="12">
                  <c:v>2029</c:v>
                </c:pt>
                <c:pt idx="13">
                  <c:v>2030</c:v>
                </c:pt>
                <c:pt idx="14">
                  <c:v>2031</c:v>
                </c:pt>
                <c:pt idx="15">
                  <c:v>2032</c:v>
                </c:pt>
                <c:pt idx="16">
                  <c:v>2033</c:v>
                </c:pt>
                <c:pt idx="17">
                  <c:v>2034</c:v>
                </c:pt>
                <c:pt idx="18">
                  <c:v>2034</c:v>
                </c:pt>
                <c:pt idx="19">
                  <c:v>2035</c:v>
                </c:pt>
                <c:pt idx="20">
                  <c:v>2036</c:v>
                </c:pt>
                <c:pt idx="21">
                  <c:v>2037</c:v>
                </c:pt>
                <c:pt idx="22">
                  <c:v>2038</c:v>
                </c:pt>
                <c:pt idx="23">
                  <c:v>2039</c:v>
                </c:pt>
                <c:pt idx="24">
                  <c:v>2040</c:v>
                </c:pt>
              </c:numCache>
            </c:numRef>
          </c:cat>
          <c:val>
            <c:numRef>
              <c:f>'Gyventojų prognozė'!$D$11:$AB$11</c:f>
              <c:numCache>
                <c:formatCode>General</c:formatCode>
                <c:ptCount val="25"/>
                <c:pt idx="4">
                  <c:v>20898</c:v>
                </c:pt>
                <c:pt idx="5">
                  <c:v>20534.374800000001</c:v>
                </c:pt>
                <c:pt idx="6">
                  <c:v>20177.076678480003</c:v>
                </c:pt>
                <c:pt idx="7">
                  <c:v>19825.99554427445</c:v>
                </c:pt>
                <c:pt idx="8">
                  <c:v>19481.023221804076</c:v>
                </c:pt>
                <c:pt idx="9">
                  <c:v>19142.053417744686</c:v>
                </c:pt>
                <c:pt idx="10">
                  <c:v>18808.98168827593</c:v>
                </c:pt>
                <c:pt idx="11">
                  <c:v>18481.705406899928</c:v>
                </c:pt>
                <c:pt idx="12">
                  <c:v>18160.123732819869</c:v>
                </c:pt>
                <c:pt idx="13">
                  <c:v>17844.137579868806</c:v>
                </c:pt>
                <c:pt idx="14">
                  <c:v>17533.649585979088</c:v>
                </c:pt>
                <c:pt idx="15">
                  <c:v>17228.564083183053</c:v>
                </c:pt>
                <c:pt idx="16">
                  <c:v>16928.787068135669</c:v>
                </c:pt>
                <c:pt idx="17">
                  <c:v>16634.226173150109</c:v>
                </c:pt>
                <c:pt idx="18">
                  <c:v>16344.790637737298</c:v>
                </c:pt>
                <c:pt idx="19">
                  <c:v>16060.39128064067</c:v>
                </c:pt>
                <c:pt idx="20">
                  <c:v>15780.940472357523</c:v>
                </c:pt>
                <c:pt idx="21">
                  <c:v>15506.352108138502</c:v>
                </c:pt>
                <c:pt idx="22">
                  <c:v>15236.541581456893</c:v>
                </c:pt>
                <c:pt idx="23">
                  <c:v>14971.425757939543</c:v>
                </c:pt>
                <c:pt idx="24">
                  <c:v>14710.922949751395</c:v>
                </c:pt>
              </c:numCache>
            </c:numRef>
          </c:val>
          <c:smooth val="0"/>
          <c:extLst>
            <c:ext xmlns:c16="http://schemas.microsoft.com/office/drawing/2014/chart" uri="{C3380CC4-5D6E-409C-BE32-E72D297353CC}">
              <c16:uniqueId val="{00000002-6396-4E24-B991-677B608814DC}"/>
            </c:ext>
          </c:extLst>
        </c:ser>
        <c:dLbls>
          <c:showLegendKey val="0"/>
          <c:showVal val="0"/>
          <c:showCatName val="0"/>
          <c:showSerName val="0"/>
          <c:showPercent val="0"/>
          <c:showBubbleSize val="0"/>
        </c:dLbls>
        <c:smooth val="0"/>
        <c:axId val="785300352"/>
        <c:axId val="785299104"/>
      </c:lineChart>
      <c:catAx>
        <c:axId val="7853003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5299104"/>
        <c:crosses val="autoZero"/>
        <c:auto val="1"/>
        <c:lblAlgn val="ctr"/>
        <c:lblOffset val="100"/>
        <c:noMultiLvlLbl val="0"/>
      </c:catAx>
      <c:valAx>
        <c:axId val="785299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5300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'Pokytis 2021-2030'!$C$4</c:f>
              <c:strCache>
                <c:ptCount val="1"/>
                <c:pt idx="0">
                  <c:v>Dyzelinas</c:v>
                </c:pt>
              </c:strCache>
            </c:strRef>
          </c:tx>
          <c:spPr>
            <a:solidFill>
              <a:schemeClr val="accent6"/>
            </a:solidFill>
            <a:ln>
              <a:noFill/>
            </a:ln>
            <a:effectLst/>
          </c:spPr>
          <c:invertIfNegative val="0"/>
          <c:cat>
            <c:numRef>
              <c:f>'Pokytis 2021-2030'!$D$3:$N$3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2021-2030'!$D$4:$N$4</c:f>
              <c:numCache>
                <c:formatCode>0.0</c:formatCode>
                <c:ptCount val="11"/>
                <c:pt idx="0">
                  <c:v>414.08081638646757</c:v>
                </c:pt>
                <c:pt idx="1">
                  <c:v>416.65639906439139</c:v>
                </c:pt>
                <c:pt idx="2">
                  <c:v>419.99798338488779</c:v>
                </c:pt>
                <c:pt idx="3">
                  <c:v>423.36636721163461</c:v>
                </c:pt>
                <c:pt idx="4">
                  <c:v>426.76176547667194</c:v>
                </c:pt>
                <c:pt idx="5">
                  <c:v>430.18439483579488</c:v>
                </c:pt>
                <c:pt idx="6">
                  <c:v>433.63447368237797</c:v>
                </c:pt>
                <c:pt idx="7">
                  <c:v>437.11222216131063</c:v>
                </c:pt>
                <c:pt idx="8">
                  <c:v>440.61786218304434</c:v>
                </c:pt>
                <c:pt idx="9">
                  <c:v>444.15161743775235</c:v>
                </c:pt>
                <c:pt idx="10">
                  <c:v>447.71371340960314</c:v>
                </c:pt>
              </c:numCache>
            </c:numRef>
          </c:val>
          <c:extLst>
            <c:ext xmlns:c16="http://schemas.microsoft.com/office/drawing/2014/chart" uri="{C3380CC4-5D6E-409C-BE32-E72D297353CC}">
              <c16:uniqueId val="{00000000-D966-4542-B52C-E3C275F13B48}"/>
            </c:ext>
          </c:extLst>
        </c:ser>
        <c:ser>
          <c:idx val="1"/>
          <c:order val="1"/>
          <c:tx>
            <c:strRef>
              <c:f>'Pokytis 2021-2030'!$C$5</c:f>
              <c:strCache>
                <c:ptCount val="1"/>
                <c:pt idx="0">
                  <c:v>Benzinas</c:v>
                </c:pt>
              </c:strCache>
            </c:strRef>
          </c:tx>
          <c:spPr>
            <a:solidFill>
              <a:schemeClr val="accent5"/>
            </a:solidFill>
            <a:ln>
              <a:noFill/>
            </a:ln>
            <a:effectLst/>
          </c:spPr>
          <c:invertIfNegative val="0"/>
          <c:cat>
            <c:numRef>
              <c:f>'Pokytis 2021-2030'!$D$3:$N$3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2021-2030'!$D$5:$N$5</c:f>
              <c:numCache>
                <c:formatCode>0.0</c:formatCode>
                <c:ptCount val="11"/>
                <c:pt idx="0">
                  <c:v>40.607763742701145</c:v>
                </c:pt>
                <c:pt idx="1">
                  <c:v>40.860344033180745</c:v>
                </c:pt>
                <c:pt idx="2">
                  <c:v>41.188043992326854</c:v>
                </c:pt>
                <c:pt idx="3">
                  <c:v>41.518372105145318</c:v>
                </c:pt>
                <c:pt idx="4">
                  <c:v>41.851349449428582</c:v>
                </c:pt>
                <c:pt idx="5">
                  <c:v>42.186997272013002</c:v>
                </c:pt>
                <c:pt idx="6">
                  <c:v>42.525336990134548</c:v>
                </c:pt>
                <c:pt idx="7">
                  <c:v>42.866390192795429</c:v>
                </c:pt>
                <c:pt idx="8">
                  <c:v>43.210178642141649</c:v>
                </c:pt>
                <c:pt idx="9">
                  <c:v>43.556724274851625</c:v>
                </c:pt>
                <c:pt idx="10">
                  <c:v>43.906049203535936</c:v>
                </c:pt>
              </c:numCache>
            </c:numRef>
          </c:val>
          <c:extLst>
            <c:ext xmlns:c16="http://schemas.microsoft.com/office/drawing/2014/chart" uri="{C3380CC4-5D6E-409C-BE32-E72D297353CC}">
              <c16:uniqueId val="{00000001-D966-4542-B52C-E3C275F13B48}"/>
            </c:ext>
          </c:extLst>
        </c:ser>
        <c:ser>
          <c:idx val="2"/>
          <c:order val="2"/>
          <c:tx>
            <c:strRef>
              <c:f>'Pokytis 2021-2030'!$C$6</c:f>
              <c:strCache>
                <c:ptCount val="1"/>
                <c:pt idx="0">
                  <c:v>Suskystintos naftos dujos</c:v>
                </c:pt>
              </c:strCache>
            </c:strRef>
          </c:tx>
          <c:spPr>
            <a:solidFill>
              <a:schemeClr val="accent4"/>
            </a:solidFill>
            <a:ln>
              <a:noFill/>
            </a:ln>
            <a:effectLst/>
          </c:spPr>
          <c:invertIfNegative val="0"/>
          <c:cat>
            <c:numRef>
              <c:f>'Pokytis 2021-2030'!$D$3:$N$3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2021-2030'!$D$6:$N$6</c:f>
              <c:numCache>
                <c:formatCode>0.0</c:formatCode>
                <c:ptCount val="11"/>
                <c:pt idx="0">
                  <c:v>17.797278888236111</c:v>
                </c:pt>
                <c:pt idx="1">
                  <c:v>17.907977962920938</c:v>
                </c:pt>
                <c:pt idx="2">
                  <c:v>18.051599946183565</c:v>
                </c:pt>
                <c:pt idx="3">
                  <c:v>18.196373777751958</c:v>
                </c:pt>
                <c:pt idx="4">
                  <c:v>18.342308695449528</c:v>
                </c:pt>
                <c:pt idx="5">
                  <c:v>18.489414011187034</c:v>
                </c:pt>
                <c:pt idx="6">
                  <c:v>18.637699111556753</c:v>
                </c:pt>
                <c:pt idx="7">
                  <c:v>18.78717345843144</c:v>
                </c:pt>
                <c:pt idx="8">
                  <c:v>18.937846589568061</c:v>
                </c:pt>
                <c:pt idx="9">
                  <c:v>19.089728119216396</c:v>
                </c:pt>
                <c:pt idx="10">
                  <c:v>19.242827738732512</c:v>
                </c:pt>
              </c:numCache>
            </c:numRef>
          </c:val>
          <c:extLst>
            <c:ext xmlns:c16="http://schemas.microsoft.com/office/drawing/2014/chart" uri="{C3380CC4-5D6E-409C-BE32-E72D297353CC}">
              <c16:uniqueId val="{00000002-D966-4542-B52C-E3C275F13B48}"/>
            </c:ext>
          </c:extLst>
        </c:ser>
        <c:dLbls>
          <c:showLegendKey val="0"/>
          <c:showVal val="0"/>
          <c:showCatName val="0"/>
          <c:showSerName val="0"/>
          <c:showPercent val="0"/>
          <c:showBubbleSize val="0"/>
        </c:dLbls>
        <c:gapWidth val="150"/>
        <c:overlap val="100"/>
        <c:axId val="1201906592"/>
        <c:axId val="1201907840"/>
      </c:barChart>
      <c:catAx>
        <c:axId val="1201906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907840"/>
        <c:crosses val="autoZero"/>
        <c:auto val="1"/>
        <c:lblAlgn val="ctr"/>
        <c:lblOffset val="100"/>
        <c:noMultiLvlLbl val="0"/>
      </c:catAx>
      <c:valAx>
        <c:axId val="12019078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906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'Pokytis 2021-2030'!$C$17</c:f>
              <c:strCache>
                <c:ptCount val="1"/>
                <c:pt idx="0">
                  <c:v>Elektros energija</c:v>
                </c:pt>
              </c:strCache>
            </c:strRef>
          </c:tx>
          <c:spPr>
            <a:solidFill>
              <a:schemeClr val="accent6"/>
            </a:solidFill>
            <a:ln>
              <a:noFill/>
            </a:ln>
            <a:effectLst/>
          </c:spPr>
          <c:invertIfNegative val="0"/>
          <c:cat>
            <c:numRef>
              <c:f>'Pokytis 2021-2030'!$D$16:$N$16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2021-2030'!$D$17:$N$17</c:f>
              <c:numCache>
                <c:formatCode>0.0</c:formatCode>
                <c:ptCount val="11"/>
                <c:pt idx="0" formatCode="General">
                  <c:v>297.89999999999998</c:v>
                </c:pt>
                <c:pt idx="1">
                  <c:v>305.6454</c:v>
                </c:pt>
                <c:pt idx="2">
                  <c:v>315.42605279999998</c:v>
                </c:pt>
                <c:pt idx="3">
                  <c:v>325.51968648959996</c:v>
                </c:pt>
                <c:pt idx="4">
                  <c:v>335.93631645726714</c:v>
                </c:pt>
                <c:pt idx="5">
                  <c:v>346.68627858389971</c:v>
                </c:pt>
                <c:pt idx="6">
                  <c:v>357.78023949858448</c:v>
                </c:pt>
                <c:pt idx="7">
                  <c:v>369.22920716253918</c:v>
                </c:pt>
                <c:pt idx="8">
                  <c:v>381.04454179174041</c:v>
                </c:pt>
                <c:pt idx="9">
                  <c:v>393.23796712907608</c:v>
                </c:pt>
                <c:pt idx="10">
                  <c:v>405.82158207720653</c:v>
                </c:pt>
              </c:numCache>
            </c:numRef>
          </c:val>
          <c:extLst>
            <c:ext xmlns:c16="http://schemas.microsoft.com/office/drawing/2014/chart" uri="{C3380CC4-5D6E-409C-BE32-E72D297353CC}">
              <c16:uniqueId val="{00000000-959F-4453-AC07-8E99F84E4B95}"/>
            </c:ext>
          </c:extLst>
        </c:ser>
        <c:ser>
          <c:idx val="1"/>
          <c:order val="1"/>
          <c:tx>
            <c:strRef>
              <c:f>'Pokytis 2021-2030'!$C$18</c:f>
              <c:strCache>
                <c:ptCount val="1"/>
                <c:pt idx="0">
                  <c:v>Biokuras (mediena)</c:v>
                </c:pt>
              </c:strCache>
            </c:strRef>
          </c:tx>
          <c:spPr>
            <a:solidFill>
              <a:schemeClr val="accent5"/>
            </a:solidFill>
            <a:ln>
              <a:noFill/>
            </a:ln>
            <a:effectLst/>
          </c:spPr>
          <c:invertIfNegative val="0"/>
          <c:cat>
            <c:numRef>
              <c:f>'Pokytis 2021-2030'!$D$16:$N$16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2021-2030'!$D$18:$N$18</c:f>
              <c:numCache>
                <c:formatCode>0.0</c:formatCode>
                <c:ptCount val="11"/>
                <c:pt idx="0" formatCode="General">
                  <c:v>77.400000000000006</c:v>
                </c:pt>
                <c:pt idx="1">
                  <c:v>78.406200000000013</c:v>
                </c:pt>
                <c:pt idx="2">
                  <c:v>79.66069920000001</c:v>
                </c:pt>
                <c:pt idx="3">
                  <c:v>80.935270387200006</c:v>
                </c:pt>
                <c:pt idx="4">
                  <c:v>82.230234713395205</c:v>
                </c:pt>
                <c:pt idx="5">
                  <c:v>83.545918468809532</c:v>
                </c:pt>
                <c:pt idx="6">
                  <c:v>84.882653164310483</c:v>
                </c:pt>
                <c:pt idx="7">
                  <c:v>86.240775614939452</c:v>
                </c:pt>
                <c:pt idx="8">
                  <c:v>87.620628024778483</c:v>
                </c:pt>
                <c:pt idx="9">
                  <c:v>89.022558073174935</c:v>
                </c:pt>
                <c:pt idx="10">
                  <c:v>90.446919002345737</c:v>
                </c:pt>
              </c:numCache>
            </c:numRef>
          </c:val>
          <c:extLst>
            <c:ext xmlns:c16="http://schemas.microsoft.com/office/drawing/2014/chart" uri="{C3380CC4-5D6E-409C-BE32-E72D297353CC}">
              <c16:uniqueId val="{00000001-959F-4453-AC07-8E99F84E4B95}"/>
            </c:ext>
          </c:extLst>
        </c:ser>
        <c:ser>
          <c:idx val="2"/>
          <c:order val="2"/>
          <c:tx>
            <c:strRef>
              <c:f>'Pokytis 2021-2030'!$C$19</c:f>
              <c:strCache>
                <c:ptCount val="1"/>
                <c:pt idx="0">
                  <c:v>Gamtines dujos</c:v>
                </c:pt>
              </c:strCache>
            </c:strRef>
          </c:tx>
          <c:spPr>
            <a:solidFill>
              <a:schemeClr val="accent4"/>
            </a:solidFill>
            <a:ln>
              <a:noFill/>
            </a:ln>
            <a:effectLst/>
          </c:spPr>
          <c:invertIfNegative val="0"/>
          <c:cat>
            <c:numRef>
              <c:f>'Pokytis 2021-2030'!$D$16:$N$16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2021-2030'!$D$19:$N$19</c:f>
              <c:numCache>
                <c:formatCode>0.0</c:formatCode>
                <c:ptCount val="11"/>
                <c:pt idx="0" formatCode="0.00">
                  <c:v>0</c:v>
                </c:pt>
                <c:pt idx="1">
                  <c:v>0</c:v>
                </c:pt>
                <c:pt idx="2">
                  <c:v>0</c:v>
                </c:pt>
                <c:pt idx="3">
                  <c:v>0</c:v>
                </c:pt>
                <c:pt idx="4">
                  <c:v>0</c:v>
                </c:pt>
                <c:pt idx="5">
                  <c:v>0</c:v>
                </c:pt>
                <c:pt idx="6">
                  <c:v>0</c:v>
                </c:pt>
                <c:pt idx="7">
                  <c:v>0</c:v>
                </c:pt>
                <c:pt idx="8">
                  <c:v>0</c:v>
                </c:pt>
                <c:pt idx="9">
                  <c:v>0</c:v>
                </c:pt>
                <c:pt idx="10">
                  <c:v>0</c:v>
                </c:pt>
              </c:numCache>
            </c:numRef>
          </c:val>
          <c:extLst>
            <c:ext xmlns:c16="http://schemas.microsoft.com/office/drawing/2014/chart" uri="{C3380CC4-5D6E-409C-BE32-E72D297353CC}">
              <c16:uniqueId val="{00000002-959F-4453-AC07-8E99F84E4B95}"/>
            </c:ext>
          </c:extLst>
        </c:ser>
        <c:dLbls>
          <c:showLegendKey val="0"/>
          <c:showVal val="0"/>
          <c:showCatName val="0"/>
          <c:showSerName val="0"/>
          <c:showPercent val="0"/>
          <c:showBubbleSize val="0"/>
        </c:dLbls>
        <c:gapWidth val="150"/>
        <c:overlap val="100"/>
        <c:axId val="581363376"/>
        <c:axId val="581365456"/>
      </c:barChart>
      <c:catAx>
        <c:axId val="581363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1365456"/>
        <c:crosses val="autoZero"/>
        <c:auto val="1"/>
        <c:lblAlgn val="ctr"/>
        <c:lblOffset val="100"/>
        <c:noMultiLvlLbl val="0"/>
      </c:catAx>
      <c:valAx>
        <c:axId val="581365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1363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'Pokytis 2021-2030'!$C$45</c:f>
              <c:strCache>
                <c:ptCount val="1"/>
                <c:pt idx="0">
                  <c:v>Biokuras (mediena)</c:v>
                </c:pt>
              </c:strCache>
            </c:strRef>
          </c:tx>
          <c:spPr>
            <a:solidFill>
              <a:schemeClr val="accent6"/>
            </a:solidFill>
            <a:ln>
              <a:noFill/>
            </a:ln>
            <a:effectLst/>
          </c:spPr>
          <c:invertIfNegative val="0"/>
          <c:cat>
            <c:numRef>
              <c:f>'Pokytis 2021-2030'!$D$44:$N$44</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2021-2030'!$D$45:$N$45</c:f>
              <c:numCache>
                <c:formatCode>0.0</c:formatCode>
                <c:ptCount val="11"/>
                <c:pt idx="0">
                  <c:v>927.8</c:v>
                </c:pt>
                <c:pt idx="1">
                  <c:v>939.8614</c:v>
                </c:pt>
                <c:pt idx="2">
                  <c:v>954.89918239999997</c:v>
                </c:pt>
                <c:pt idx="3">
                  <c:v>970.17756931839995</c:v>
                </c:pt>
                <c:pt idx="4">
                  <c:v>985.70041042749438</c:v>
                </c:pt>
                <c:pt idx="5">
                  <c:v>1001.4716169943343</c:v>
                </c:pt>
                <c:pt idx="6">
                  <c:v>1017.4951628662437</c:v>
                </c:pt>
                <c:pt idx="7">
                  <c:v>1033.7750854721037</c:v>
                </c:pt>
                <c:pt idx="8">
                  <c:v>1050.3154868396573</c:v>
                </c:pt>
                <c:pt idx="9">
                  <c:v>1067.1205346290917</c:v>
                </c:pt>
                <c:pt idx="10">
                  <c:v>1084.1944631831573</c:v>
                </c:pt>
              </c:numCache>
            </c:numRef>
          </c:val>
          <c:extLst>
            <c:ext xmlns:c16="http://schemas.microsoft.com/office/drawing/2014/chart" uri="{C3380CC4-5D6E-409C-BE32-E72D297353CC}">
              <c16:uniqueId val="{00000000-4013-4DE6-84E0-D59C8EB89383}"/>
            </c:ext>
          </c:extLst>
        </c:ser>
        <c:ser>
          <c:idx val="1"/>
          <c:order val="1"/>
          <c:tx>
            <c:strRef>
              <c:f>'Pokytis 2021-2030'!$C$46</c:f>
              <c:strCache>
                <c:ptCount val="1"/>
                <c:pt idx="0">
                  <c:v>Elektros energija</c:v>
                </c:pt>
              </c:strCache>
            </c:strRef>
          </c:tx>
          <c:spPr>
            <a:solidFill>
              <a:schemeClr val="accent5"/>
            </a:solidFill>
            <a:ln>
              <a:noFill/>
            </a:ln>
            <a:effectLst/>
          </c:spPr>
          <c:invertIfNegative val="0"/>
          <c:cat>
            <c:numRef>
              <c:f>'Pokytis 2021-2030'!$D$44:$N$44</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2021-2030'!$D$46:$N$46</c:f>
              <c:numCache>
                <c:formatCode>0.0</c:formatCode>
                <c:ptCount val="11"/>
                <c:pt idx="0">
                  <c:v>1489.6</c:v>
                </c:pt>
                <c:pt idx="1">
                  <c:v>1528.3295999999998</c:v>
                </c:pt>
                <c:pt idx="2">
                  <c:v>1577.2361471999998</c:v>
                </c:pt>
                <c:pt idx="3">
                  <c:v>1627.7077039103997</c:v>
                </c:pt>
                <c:pt idx="4">
                  <c:v>1679.7943504355326</c:v>
                </c:pt>
                <c:pt idx="5">
                  <c:v>1733.5477696494697</c:v>
                </c:pt>
                <c:pt idx="6">
                  <c:v>1789.0212982782527</c:v>
                </c:pt>
                <c:pt idx="7">
                  <c:v>1846.2699798231567</c:v>
                </c:pt>
                <c:pt idx="8">
                  <c:v>1905.3506191774977</c:v>
                </c:pt>
                <c:pt idx="9">
                  <c:v>1966.3218389911776</c:v>
                </c:pt>
                <c:pt idx="10">
                  <c:v>2029.2441378388953</c:v>
                </c:pt>
              </c:numCache>
            </c:numRef>
          </c:val>
          <c:extLst>
            <c:ext xmlns:c16="http://schemas.microsoft.com/office/drawing/2014/chart" uri="{C3380CC4-5D6E-409C-BE32-E72D297353CC}">
              <c16:uniqueId val="{00000001-4013-4DE6-84E0-D59C8EB89383}"/>
            </c:ext>
          </c:extLst>
        </c:ser>
        <c:ser>
          <c:idx val="2"/>
          <c:order val="2"/>
          <c:tx>
            <c:strRef>
              <c:f>'Pokytis 2021-2030'!$C$47</c:f>
              <c:strCache>
                <c:ptCount val="1"/>
                <c:pt idx="0">
                  <c:v>SND</c:v>
                </c:pt>
              </c:strCache>
            </c:strRef>
          </c:tx>
          <c:spPr>
            <a:solidFill>
              <a:schemeClr val="accent4"/>
            </a:solidFill>
            <a:ln>
              <a:noFill/>
            </a:ln>
            <a:effectLst/>
          </c:spPr>
          <c:invertIfNegative val="0"/>
          <c:cat>
            <c:numRef>
              <c:f>'Pokytis 2021-2030'!$D$44:$N$44</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2021-2030'!$D$47:$N$47</c:f>
              <c:numCache>
                <c:formatCode>0.0</c:formatCode>
                <c:ptCount val="11"/>
                <c:pt idx="0" formatCode="General">
                  <c:v>21.2</c:v>
                </c:pt>
                <c:pt idx="1">
                  <c:v>21.751200000000001</c:v>
                </c:pt>
                <c:pt idx="2">
                  <c:v>22.3167312</c:v>
                </c:pt>
                <c:pt idx="3">
                  <c:v>22.896966211199999</c:v>
                </c:pt>
                <c:pt idx="4">
                  <c:v>23.492287332691198</c:v>
                </c:pt>
                <c:pt idx="5">
                  <c:v>24.103086803341171</c:v>
                </c:pt>
                <c:pt idx="6">
                  <c:v>24.729767060228042</c:v>
                </c:pt>
                <c:pt idx="7">
                  <c:v>25.372741003793973</c:v>
                </c:pt>
                <c:pt idx="8">
                  <c:v>26.032432269892617</c:v>
                </c:pt>
                <c:pt idx="9">
                  <c:v>26.709275508909826</c:v>
                </c:pt>
                <c:pt idx="10">
                  <c:v>27.403716672141481</c:v>
                </c:pt>
              </c:numCache>
            </c:numRef>
          </c:val>
          <c:extLst>
            <c:ext xmlns:c16="http://schemas.microsoft.com/office/drawing/2014/chart" uri="{C3380CC4-5D6E-409C-BE32-E72D297353CC}">
              <c16:uniqueId val="{00000002-4013-4DE6-84E0-D59C8EB89383}"/>
            </c:ext>
          </c:extLst>
        </c:ser>
        <c:ser>
          <c:idx val="3"/>
          <c:order val="3"/>
          <c:tx>
            <c:strRef>
              <c:f>'Pokytis 2021-2030'!$C$48</c:f>
              <c:strCache>
                <c:ptCount val="1"/>
                <c:pt idx="0">
                  <c:v>Gamtinės dujos</c:v>
                </c:pt>
              </c:strCache>
            </c:strRef>
          </c:tx>
          <c:spPr>
            <a:solidFill>
              <a:schemeClr val="accent6">
                <a:lumMod val="60000"/>
              </a:schemeClr>
            </a:solidFill>
            <a:ln>
              <a:noFill/>
            </a:ln>
            <a:effectLst/>
          </c:spPr>
          <c:invertIfNegative val="0"/>
          <c:cat>
            <c:numRef>
              <c:f>'Pokytis 2021-2030'!$D$44:$N$44</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2021-2030'!$D$48:$N$48</c:f>
              <c:numCache>
                <c:formatCode>0.0</c:formatCode>
                <c:ptCount val="11"/>
                <c:pt idx="0" formatCode="General">
                  <c:v>228.4</c:v>
                </c:pt>
                <c:pt idx="1">
                  <c:v>234.33840000000001</c:v>
                </c:pt>
                <c:pt idx="2">
                  <c:v>240.4311984</c:v>
                </c:pt>
                <c:pt idx="3">
                  <c:v>246.6824095584</c:v>
                </c:pt>
                <c:pt idx="4">
                  <c:v>253.09615220691839</c:v>
                </c:pt>
                <c:pt idx="5">
                  <c:v>259.67665216429828</c:v>
                </c:pt>
                <c:pt idx="6">
                  <c:v>266.42824512057001</c:v>
                </c:pt>
                <c:pt idx="7">
                  <c:v>273.35537949370485</c:v>
                </c:pt>
                <c:pt idx="8">
                  <c:v>280.46261936054117</c:v>
                </c:pt>
                <c:pt idx="9">
                  <c:v>287.75464746391526</c:v>
                </c:pt>
                <c:pt idx="10">
                  <c:v>295.23626829797706</c:v>
                </c:pt>
              </c:numCache>
            </c:numRef>
          </c:val>
          <c:extLst>
            <c:ext xmlns:c16="http://schemas.microsoft.com/office/drawing/2014/chart" uri="{C3380CC4-5D6E-409C-BE32-E72D297353CC}">
              <c16:uniqueId val="{00000003-4013-4DE6-84E0-D59C8EB89383}"/>
            </c:ext>
          </c:extLst>
        </c:ser>
        <c:dLbls>
          <c:showLegendKey val="0"/>
          <c:showVal val="0"/>
          <c:showCatName val="0"/>
          <c:showSerName val="0"/>
          <c:showPercent val="0"/>
          <c:showBubbleSize val="0"/>
        </c:dLbls>
        <c:gapWidth val="150"/>
        <c:overlap val="100"/>
        <c:axId val="1201901600"/>
        <c:axId val="1201906176"/>
      </c:barChart>
      <c:catAx>
        <c:axId val="1201901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906176"/>
        <c:crosses val="autoZero"/>
        <c:auto val="1"/>
        <c:lblAlgn val="ctr"/>
        <c:lblOffset val="100"/>
        <c:noMultiLvlLbl val="0"/>
      </c:catAx>
      <c:valAx>
        <c:axId val="120190617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901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'Pokytis 2021-2030'!$C$24</c:f>
              <c:strCache>
                <c:ptCount val="1"/>
                <c:pt idx="0">
                  <c:v>Biokuras (mediena)</c:v>
                </c:pt>
              </c:strCache>
            </c:strRef>
          </c:tx>
          <c:spPr>
            <a:solidFill>
              <a:schemeClr val="accent6"/>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2021-2030'!$D$24:$N$24</c:f>
              <c:numCache>
                <c:formatCode>0.0</c:formatCode>
                <c:ptCount val="11"/>
                <c:pt idx="0">
                  <c:v>7777.6722763350381</c:v>
                </c:pt>
                <c:pt idx="1">
                  <c:v>7746.9504708435143</c:v>
                </c:pt>
                <c:pt idx="2">
                  <c:v>7716.3500164836823</c:v>
                </c:pt>
                <c:pt idx="3">
                  <c:v>7685.8704339185715</c:v>
                </c:pt>
                <c:pt idx="4">
                  <c:v>7655.5112457045934</c:v>
                </c:pt>
                <c:pt idx="5">
                  <c:v>7625.2719762840607</c:v>
                </c:pt>
                <c:pt idx="6">
                  <c:v>7595.1521519777389</c:v>
                </c:pt>
                <c:pt idx="7">
                  <c:v>7565.1513009774271</c:v>
                </c:pt>
                <c:pt idx="8">
                  <c:v>7535.2689533385665</c:v>
                </c:pt>
                <c:pt idx="9">
                  <c:v>7505.5046409728793</c:v>
                </c:pt>
                <c:pt idx="10">
                  <c:v>7475.8578976410363</c:v>
                </c:pt>
              </c:numCache>
            </c:numRef>
          </c:val>
          <c:extLst>
            <c:ext xmlns:c16="http://schemas.microsoft.com/office/drawing/2014/chart" uri="{C3380CC4-5D6E-409C-BE32-E72D297353CC}">
              <c16:uniqueId val="{00000000-AED5-458E-9A58-0FD3736C274D}"/>
            </c:ext>
          </c:extLst>
        </c:ser>
        <c:ser>
          <c:idx val="1"/>
          <c:order val="1"/>
          <c:tx>
            <c:strRef>
              <c:f>'Pokytis 2021-2030'!$C$25</c:f>
              <c:strCache>
                <c:ptCount val="1"/>
                <c:pt idx="0">
                  <c:v>Elektros energija</c:v>
                </c:pt>
              </c:strCache>
            </c:strRef>
          </c:tx>
          <c:spPr>
            <a:solidFill>
              <a:schemeClr val="accent5"/>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2021-2030'!$D$25:$N$25</c:f>
              <c:numCache>
                <c:formatCode>0.0</c:formatCode>
                <c:ptCount val="11"/>
                <c:pt idx="0">
                  <c:v>1923.3</c:v>
                </c:pt>
                <c:pt idx="1">
                  <c:v>1920.7035449999998</c:v>
                </c:pt>
                <c:pt idx="2">
                  <c:v>1919.2630173412499</c:v>
                </c:pt>
                <c:pt idx="3">
                  <c:v>1917.8235700782441</c:v>
                </c:pt>
                <c:pt idx="4">
                  <c:v>1916.3852024006853</c:v>
                </c:pt>
                <c:pt idx="5">
                  <c:v>1914.9479134988849</c:v>
                </c:pt>
                <c:pt idx="6">
                  <c:v>1913.5117025637608</c:v>
                </c:pt>
                <c:pt idx="7">
                  <c:v>1912.0765687868379</c:v>
                </c:pt>
                <c:pt idx="8">
                  <c:v>1910.6425113602479</c:v>
                </c:pt>
                <c:pt idx="9">
                  <c:v>1909.2095294767278</c:v>
                </c:pt>
                <c:pt idx="10">
                  <c:v>1907.7776223296203</c:v>
                </c:pt>
              </c:numCache>
            </c:numRef>
          </c:val>
          <c:extLst>
            <c:ext xmlns:c16="http://schemas.microsoft.com/office/drawing/2014/chart" uri="{C3380CC4-5D6E-409C-BE32-E72D297353CC}">
              <c16:uniqueId val="{00000001-AED5-458E-9A58-0FD3736C274D}"/>
            </c:ext>
          </c:extLst>
        </c:ser>
        <c:ser>
          <c:idx val="2"/>
          <c:order val="2"/>
          <c:tx>
            <c:strRef>
              <c:f>'Pokytis 2021-2030'!$C$26</c:f>
              <c:strCache>
                <c:ptCount val="1"/>
                <c:pt idx="0">
                  <c:v>Gamtinės dujos</c:v>
                </c:pt>
              </c:strCache>
            </c:strRef>
          </c:tx>
          <c:spPr>
            <a:solidFill>
              <a:schemeClr val="accent4"/>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2021-2030'!$D$26:$N$26</c:f>
              <c:numCache>
                <c:formatCode>0.0</c:formatCode>
                <c:ptCount val="11"/>
                <c:pt idx="0">
                  <c:v>818.12821981083846</c:v>
                </c:pt>
                <c:pt idx="1">
                  <c:v>814.89661334258562</c:v>
                </c:pt>
                <c:pt idx="2">
                  <c:v>811.67777171988246</c:v>
                </c:pt>
                <c:pt idx="3">
                  <c:v>808.47164452158893</c:v>
                </c:pt>
                <c:pt idx="4">
                  <c:v>805.27818152572866</c:v>
                </c:pt>
                <c:pt idx="5">
                  <c:v>802.09733270870208</c:v>
                </c:pt>
                <c:pt idx="6">
                  <c:v>798.92904824450272</c:v>
                </c:pt>
                <c:pt idx="7">
                  <c:v>795.77327850393692</c:v>
                </c:pt>
                <c:pt idx="8">
                  <c:v>792.62997405384635</c:v>
                </c:pt>
                <c:pt idx="9">
                  <c:v>789.4990856563337</c:v>
                </c:pt>
                <c:pt idx="10">
                  <c:v>786.38056426799119</c:v>
                </c:pt>
              </c:numCache>
            </c:numRef>
          </c:val>
          <c:extLst>
            <c:ext xmlns:c16="http://schemas.microsoft.com/office/drawing/2014/chart" uri="{C3380CC4-5D6E-409C-BE32-E72D297353CC}">
              <c16:uniqueId val="{00000002-AED5-458E-9A58-0FD3736C274D}"/>
            </c:ext>
          </c:extLst>
        </c:ser>
        <c:ser>
          <c:idx val="3"/>
          <c:order val="3"/>
          <c:tx>
            <c:strRef>
              <c:f>'Pokytis 2021-2030'!$C$27</c:f>
              <c:strCache>
                <c:ptCount val="1"/>
                <c:pt idx="0">
                  <c:v>Anglys ir durpės</c:v>
                </c:pt>
              </c:strCache>
            </c:strRef>
          </c:tx>
          <c:spPr>
            <a:solidFill>
              <a:schemeClr val="accent6">
                <a:lumMod val="6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2021-2030'!$D$27:$N$27</c:f>
              <c:numCache>
                <c:formatCode>0.0</c:formatCode>
                <c:ptCount val="11"/>
                <c:pt idx="0">
                  <c:v>632.68582332038181</c:v>
                </c:pt>
                <c:pt idx="1">
                  <c:v>630.18671431826635</c:v>
                </c:pt>
                <c:pt idx="2">
                  <c:v>627.69747679670922</c:v>
                </c:pt>
                <c:pt idx="3">
                  <c:v>625.21807176336222</c:v>
                </c:pt>
                <c:pt idx="4">
                  <c:v>622.74846037989698</c:v>
                </c:pt>
                <c:pt idx="5">
                  <c:v>620.28860396139635</c:v>
                </c:pt>
                <c:pt idx="6">
                  <c:v>617.83846397574882</c:v>
                </c:pt>
                <c:pt idx="7">
                  <c:v>615.39800204304458</c:v>
                </c:pt>
                <c:pt idx="8">
                  <c:v>612.96717993497452</c:v>
                </c:pt>
                <c:pt idx="9">
                  <c:v>610.54595957423135</c:v>
                </c:pt>
                <c:pt idx="10">
                  <c:v>608.13430303391317</c:v>
                </c:pt>
              </c:numCache>
            </c:numRef>
          </c:val>
          <c:extLst>
            <c:ext xmlns:c16="http://schemas.microsoft.com/office/drawing/2014/chart" uri="{C3380CC4-5D6E-409C-BE32-E72D297353CC}">
              <c16:uniqueId val="{00000003-AED5-458E-9A58-0FD3736C274D}"/>
            </c:ext>
          </c:extLst>
        </c:ser>
        <c:ser>
          <c:idx val="4"/>
          <c:order val="4"/>
          <c:tx>
            <c:strRef>
              <c:f>'Pokytis 2021-2030'!$C$28</c:f>
              <c:strCache>
                <c:ptCount val="1"/>
                <c:pt idx="0">
                  <c:v>Šilumos energija (CŠT)</c:v>
                </c:pt>
              </c:strCache>
            </c:strRef>
          </c:tx>
          <c:spPr>
            <a:solidFill>
              <a:schemeClr val="accent5">
                <a:lumMod val="6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2021-2030'!$D$28:$N$28</c:f>
              <c:numCache>
                <c:formatCode>0.0</c:formatCode>
                <c:ptCount val="11"/>
                <c:pt idx="0">
                  <c:v>1208.7959619999999</c:v>
                </c:pt>
                <c:pt idx="1">
                  <c:v>1204.0212179501</c:v>
                </c:pt>
                <c:pt idx="2">
                  <c:v>1199.2653341391972</c:v>
                </c:pt>
                <c:pt idx="3">
                  <c:v>1194.5282360693473</c:v>
                </c:pt>
                <c:pt idx="4">
                  <c:v>1189.8098495368733</c:v>
                </c:pt>
                <c:pt idx="5">
                  <c:v>1078.8101006312027</c:v>
                </c:pt>
                <c:pt idx="6">
                  <c:v>1074.5488007337094</c:v>
                </c:pt>
                <c:pt idx="7">
                  <c:v>1070.3043329708112</c:v>
                </c:pt>
                <c:pt idx="8">
                  <c:v>1066.0766308555765</c:v>
                </c:pt>
                <c:pt idx="9">
                  <c:v>1061.865628163697</c:v>
                </c:pt>
                <c:pt idx="10">
                  <c:v>1057.6712589324504</c:v>
                </c:pt>
              </c:numCache>
            </c:numRef>
          </c:val>
          <c:extLst>
            <c:ext xmlns:c16="http://schemas.microsoft.com/office/drawing/2014/chart" uri="{C3380CC4-5D6E-409C-BE32-E72D297353CC}">
              <c16:uniqueId val="{00000004-AED5-458E-9A58-0FD3736C274D}"/>
            </c:ext>
          </c:extLst>
        </c:ser>
        <c:ser>
          <c:idx val="5"/>
          <c:order val="5"/>
          <c:tx>
            <c:strRef>
              <c:f>'Pokytis 2021-2030'!$C$29</c:f>
              <c:strCache>
                <c:ptCount val="1"/>
                <c:pt idx="0">
                  <c:v>Aplinkos šiluminė energija</c:v>
                </c:pt>
              </c:strCache>
            </c:strRef>
          </c:tx>
          <c:spPr>
            <a:solidFill>
              <a:schemeClr val="accent4">
                <a:lumMod val="6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2021-2030'!$D$29:$N$29</c:f>
              <c:numCache>
                <c:formatCode>0.0</c:formatCode>
                <c:ptCount val="11"/>
                <c:pt idx="0">
                  <c:v>392.70154550920245</c:v>
                </c:pt>
                <c:pt idx="1">
                  <c:v>391.1503744044411</c:v>
                </c:pt>
                <c:pt idx="2">
                  <c:v>389.60533042554357</c:v>
                </c:pt>
                <c:pt idx="3">
                  <c:v>388.06638937036269</c:v>
                </c:pt>
                <c:pt idx="4">
                  <c:v>386.53352713234978</c:v>
                </c:pt>
                <c:pt idx="5">
                  <c:v>385.00671970017697</c:v>
                </c:pt>
                <c:pt idx="6">
                  <c:v>383.48594315736125</c:v>
                </c:pt>
                <c:pt idx="7">
                  <c:v>381.9711736818897</c:v>
                </c:pt>
                <c:pt idx="8">
                  <c:v>380.46238754584624</c:v>
                </c:pt>
                <c:pt idx="9">
                  <c:v>378.95956111504017</c:v>
                </c:pt>
                <c:pt idx="10">
                  <c:v>377.46267084863575</c:v>
                </c:pt>
              </c:numCache>
            </c:numRef>
          </c:val>
          <c:extLst>
            <c:ext xmlns:c16="http://schemas.microsoft.com/office/drawing/2014/chart" uri="{C3380CC4-5D6E-409C-BE32-E72D297353CC}">
              <c16:uniqueId val="{00000005-AED5-458E-9A58-0FD3736C274D}"/>
            </c:ext>
          </c:extLst>
        </c:ser>
        <c:ser>
          <c:idx val="6"/>
          <c:order val="6"/>
          <c:tx>
            <c:strRef>
              <c:f>'Pokytis 2021-2030'!$C$30</c:f>
              <c:strCache>
                <c:ptCount val="1"/>
                <c:pt idx="0">
                  <c:v>Skystas kuras</c:v>
                </c:pt>
              </c:strCache>
            </c:strRef>
          </c:tx>
          <c:spPr>
            <a:solidFill>
              <a:schemeClr val="accent6">
                <a:lumMod val="80000"/>
                <a:lumOff val="2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2021-2030'!$D$30:$N$30</c:f>
              <c:numCache>
                <c:formatCode>0.0</c:formatCode>
                <c:ptCount val="11"/>
                <c:pt idx="0">
                  <c:v>349.06804045262447</c:v>
                </c:pt>
                <c:pt idx="1">
                  <c:v>347.68922169283661</c:v>
                </c:pt>
                <c:pt idx="2">
                  <c:v>346.31584926714993</c:v>
                </c:pt>
                <c:pt idx="3">
                  <c:v>344.94790166254467</c:v>
                </c:pt>
                <c:pt idx="4">
                  <c:v>343.5853574509776</c:v>
                </c:pt>
                <c:pt idx="5">
                  <c:v>342.22819528904625</c:v>
                </c:pt>
                <c:pt idx="6">
                  <c:v>340.87639391765453</c:v>
                </c:pt>
                <c:pt idx="7">
                  <c:v>339.52993216167977</c:v>
                </c:pt>
                <c:pt idx="8">
                  <c:v>338.18878892964113</c:v>
                </c:pt>
                <c:pt idx="9">
                  <c:v>336.85294321336903</c:v>
                </c:pt>
                <c:pt idx="10">
                  <c:v>335.52237408767621</c:v>
                </c:pt>
              </c:numCache>
            </c:numRef>
          </c:val>
          <c:extLst>
            <c:ext xmlns:c16="http://schemas.microsoft.com/office/drawing/2014/chart" uri="{C3380CC4-5D6E-409C-BE32-E72D297353CC}">
              <c16:uniqueId val="{00000006-AED5-458E-9A58-0FD3736C274D}"/>
            </c:ext>
          </c:extLst>
        </c:ser>
        <c:ser>
          <c:idx val="7"/>
          <c:order val="7"/>
          <c:tx>
            <c:strRef>
              <c:f>'Pokytis 2021-2030'!$C$31</c:f>
              <c:strCache>
                <c:ptCount val="1"/>
                <c:pt idx="0">
                  <c:v>Kitos kuro ir energijos rūšys</c:v>
                </c:pt>
              </c:strCache>
            </c:strRef>
          </c:tx>
          <c:spPr>
            <a:solidFill>
              <a:schemeClr val="accent5">
                <a:lumMod val="80000"/>
                <a:lumOff val="2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2021-2030'!$D$31:$N$31</c:f>
              <c:numCache>
                <c:formatCode>0.0</c:formatCode>
                <c:ptCount val="11"/>
                <c:pt idx="0">
                  <c:v>294.52615913190186</c:v>
                </c:pt>
                <c:pt idx="1">
                  <c:v>293.36278080333085</c:v>
                </c:pt>
                <c:pt idx="2">
                  <c:v>292.20399781915768</c:v>
                </c:pt>
                <c:pt idx="3">
                  <c:v>291.04979202777201</c:v>
                </c:pt>
                <c:pt idx="4">
                  <c:v>289.90014534926229</c:v>
                </c:pt>
                <c:pt idx="5">
                  <c:v>288.75503977513273</c:v>
                </c:pt>
                <c:pt idx="6">
                  <c:v>287.61445736802096</c:v>
                </c:pt>
                <c:pt idx="7">
                  <c:v>286.47838026141727</c:v>
                </c:pt>
                <c:pt idx="8">
                  <c:v>285.34679065938468</c:v>
                </c:pt>
                <c:pt idx="9">
                  <c:v>284.2196708362801</c:v>
                </c:pt>
                <c:pt idx="10">
                  <c:v>283.09700313647681</c:v>
                </c:pt>
              </c:numCache>
            </c:numRef>
          </c:val>
          <c:extLst>
            <c:ext xmlns:c16="http://schemas.microsoft.com/office/drawing/2014/chart" uri="{C3380CC4-5D6E-409C-BE32-E72D297353CC}">
              <c16:uniqueId val="{00000007-AED5-458E-9A58-0FD3736C274D}"/>
            </c:ext>
          </c:extLst>
        </c:ser>
        <c:ser>
          <c:idx val="8"/>
          <c:order val="8"/>
          <c:tx>
            <c:strRef>
              <c:f>'Pokytis 2021-2030'!$C$32</c:f>
              <c:strCache>
                <c:ptCount val="1"/>
                <c:pt idx="0">
                  <c:v>Suskystintos naftos dujos</c:v>
                </c:pt>
              </c:strCache>
            </c:strRef>
          </c:tx>
          <c:spPr>
            <a:solidFill>
              <a:schemeClr val="accent4">
                <a:lumMod val="80000"/>
                <a:lumOff val="20000"/>
              </a:schemeClr>
            </a:solidFill>
            <a:ln>
              <a:noFill/>
            </a:ln>
            <a:effectLst/>
          </c:spPr>
          <c:invertIfNegative val="0"/>
          <c:cat>
            <c:numRef>
              <c:f>'Pokytis 2021-2030'!$D$23:$N$23</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2021-2030'!$D$32:$N$32</c:f>
              <c:numCache>
                <c:formatCode>0.0</c:formatCode>
                <c:ptCount val="11"/>
                <c:pt idx="0">
                  <c:v>10.908376264144515</c:v>
                </c:pt>
                <c:pt idx="1">
                  <c:v>10.865288177901144</c:v>
                </c:pt>
                <c:pt idx="2">
                  <c:v>10.822370289598435</c:v>
                </c:pt>
                <c:pt idx="3">
                  <c:v>10.779621926954521</c:v>
                </c:pt>
                <c:pt idx="4">
                  <c:v>10.73704242034305</c:v>
                </c:pt>
                <c:pt idx="5">
                  <c:v>10.694631102782695</c:v>
                </c:pt>
                <c:pt idx="6">
                  <c:v>10.652387309926704</c:v>
                </c:pt>
                <c:pt idx="7">
                  <c:v>10.610310380052493</c:v>
                </c:pt>
                <c:pt idx="8">
                  <c:v>10.568399654051285</c:v>
                </c:pt>
                <c:pt idx="9">
                  <c:v>10.526654475417782</c:v>
                </c:pt>
                <c:pt idx="10">
                  <c:v>10.485074190239882</c:v>
                </c:pt>
              </c:numCache>
            </c:numRef>
          </c:val>
          <c:extLst>
            <c:ext xmlns:c16="http://schemas.microsoft.com/office/drawing/2014/chart" uri="{C3380CC4-5D6E-409C-BE32-E72D297353CC}">
              <c16:uniqueId val="{00000008-AED5-458E-9A58-0FD3736C274D}"/>
            </c:ext>
          </c:extLst>
        </c:ser>
        <c:dLbls>
          <c:showLegendKey val="0"/>
          <c:showVal val="0"/>
          <c:showCatName val="0"/>
          <c:showSerName val="0"/>
          <c:showPercent val="0"/>
          <c:showBubbleSize val="0"/>
        </c:dLbls>
        <c:gapWidth val="150"/>
        <c:overlap val="100"/>
        <c:axId val="126664239"/>
        <c:axId val="126674639"/>
      </c:barChart>
      <c:catAx>
        <c:axId val="126664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674639"/>
        <c:crosses val="autoZero"/>
        <c:auto val="1"/>
        <c:lblAlgn val="ctr"/>
        <c:lblOffset val="100"/>
        <c:noMultiLvlLbl val="0"/>
      </c:catAx>
      <c:valAx>
        <c:axId val="12667463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664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'Pokytis 2021-2030'!$C$37</c:f>
              <c:strCache>
                <c:ptCount val="1"/>
                <c:pt idx="0">
                  <c:v>Biokuras (mediena)</c:v>
                </c:pt>
              </c:strCache>
            </c:strRef>
          </c:tx>
          <c:spPr>
            <a:solidFill>
              <a:schemeClr val="accent6"/>
            </a:solidFill>
            <a:ln>
              <a:noFill/>
            </a:ln>
            <a:effectLst/>
          </c:spPr>
          <c:invertIfNegative val="0"/>
          <c:cat>
            <c:numRef>
              <c:f>'Pokytis 2021-2030'!$D$36:$N$36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2021-2030'!$D$37:$N$37</c:f>
              <c:numCache>
                <c:formatCode>0.0</c:formatCode>
                <c:ptCount val="11"/>
                <c:pt idx="0">
                  <c:v>133.9</c:v>
                </c:pt>
                <c:pt idx="1">
                  <c:v>134.38471799999999</c:v>
                </c:pt>
                <c:pt idx="2">
                  <c:v>135.03245234075999</c:v>
                </c:pt>
                <c:pt idx="3">
                  <c:v>135.68330876104244</c:v>
                </c:pt>
                <c:pt idx="4">
                  <c:v>136.33730230927065</c:v>
                </c:pt>
                <c:pt idx="5">
                  <c:v>136.99444810640134</c:v>
                </c:pt>
                <c:pt idx="6">
                  <c:v>137.6547613462742</c:v>
                </c:pt>
                <c:pt idx="7">
                  <c:v>138.31825729596324</c:v>
                </c:pt>
                <c:pt idx="8">
                  <c:v>138.98495129612976</c:v>
                </c:pt>
                <c:pt idx="9">
                  <c:v>139.65485876137711</c:v>
                </c:pt>
                <c:pt idx="10">
                  <c:v>140.32799518060696</c:v>
                </c:pt>
              </c:numCache>
            </c:numRef>
          </c:val>
          <c:extLst>
            <c:ext xmlns:c16="http://schemas.microsoft.com/office/drawing/2014/chart" uri="{C3380CC4-5D6E-409C-BE32-E72D297353CC}">
              <c16:uniqueId val="{00000000-3EB7-4BD9-9E67-38B7BF0D319E}"/>
            </c:ext>
          </c:extLst>
        </c:ser>
        <c:ser>
          <c:idx val="1"/>
          <c:order val="1"/>
          <c:tx>
            <c:strRef>
              <c:f>'Pokytis 2021-2030'!$C$38</c:f>
              <c:strCache>
                <c:ptCount val="1"/>
                <c:pt idx="0">
                  <c:v>Elektros energija</c:v>
                </c:pt>
              </c:strCache>
            </c:strRef>
          </c:tx>
          <c:spPr>
            <a:solidFill>
              <a:schemeClr val="accent5"/>
            </a:solidFill>
            <a:ln>
              <a:noFill/>
            </a:ln>
            <a:effectLst/>
          </c:spPr>
          <c:invertIfNegative val="0"/>
          <c:cat>
            <c:numRef>
              <c:f>'Pokytis 2021-2030'!$D$36:$N$36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2021-2030'!$D$38:$N$38</c:f>
              <c:numCache>
                <c:formatCode>0.0</c:formatCode>
                <c:ptCount val="11"/>
                <c:pt idx="0">
                  <c:v>1191.7</c:v>
                </c:pt>
                <c:pt idx="1">
                  <c:v>1196.013954</c:v>
                </c:pt>
                <c:pt idx="2">
                  <c:v>1201.77874125828</c:v>
                </c:pt>
                <c:pt idx="3">
                  <c:v>1207.5713147911449</c:v>
                </c:pt>
                <c:pt idx="4">
                  <c:v>1213.3918085284383</c:v>
                </c:pt>
                <c:pt idx="5">
                  <c:v>1219.2403570455454</c:v>
                </c:pt>
                <c:pt idx="6">
                  <c:v>1225.117095566505</c:v>
                </c:pt>
                <c:pt idx="7">
                  <c:v>1231.0221599671356</c:v>
                </c:pt>
                <c:pt idx="8">
                  <c:v>1236.9556867781773</c:v>
                </c:pt>
                <c:pt idx="9">
                  <c:v>1242.9178131884482</c:v>
                </c:pt>
                <c:pt idx="10">
                  <c:v>1248.9086770480164</c:v>
                </c:pt>
              </c:numCache>
            </c:numRef>
          </c:val>
          <c:extLst>
            <c:ext xmlns:c16="http://schemas.microsoft.com/office/drawing/2014/chart" uri="{C3380CC4-5D6E-409C-BE32-E72D297353CC}">
              <c16:uniqueId val="{00000001-3EB7-4BD9-9E67-38B7BF0D319E}"/>
            </c:ext>
          </c:extLst>
        </c:ser>
        <c:ser>
          <c:idx val="2"/>
          <c:order val="2"/>
          <c:tx>
            <c:strRef>
              <c:f>'Pokytis 2021-2030'!$C$39</c:f>
              <c:strCache>
                <c:ptCount val="1"/>
                <c:pt idx="0">
                  <c:v>Šilumos energija (CŠT)</c:v>
                </c:pt>
              </c:strCache>
            </c:strRef>
          </c:tx>
          <c:spPr>
            <a:solidFill>
              <a:schemeClr val="accent4"/>
            </a:solidFill>
            <a:ln>
              <a:noFill/>
            </a:ln>
            <a:effectLst/>
          </c:spPr>
          <c:invertIfNegative val="0"/>
          <c:cat>
            <c:numRef>
              <c:f>'Pokytis 2021-2030'!$D$36:$N$36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2021-2030'!$D$39:$N$39</c:f>
              <c:numCache>
                <c:formatCode>0.0</c:formatCode>
                <c:ptCount val="11"/>
                <c:pt idx="0" formatCode="0.00">
                  <c:v>405.213596</c:v>
                </c:pt>
                <c:pt idx="1">
                  <c:v>406.68046921752</c:v>
                </c:pt>
                <c:pt idx="2">
                  <c:v>408.64066907914844</c:v>
                </c:pt>
                <c:pt idx="3">
                  <c:v>410.61031710410992</c:v>
                </c:pt>
                <c:pt idx="4">
                  <c:v>412.58945883255171</c:v>
                </c:pt>
                <c:pt idx="5">
                  <c:v>414.57814002412459</c:v>
                </c:pt>
                <c:pt idx="6">
                  <c:v>416.57640665904086</c:v>
                </c:pt>
                <c:pt idx="7">
                  <c:v>418.58430493913744</c:v>
                </c:pt>
                <c:pt idx="8">
                  <c:v>420.60188128894407</c:v>
                </c:pt>
                <c:pt idx="9">
                  <c:v>422.62918235675676</c:v>
                </c:pt>
                <c:pt idx="10">
                  <c:v>424.66625501571633</c:v>
                </c:pt>
              </c:numCache>
            </c:numRef>
          </c:val>
          <c:extLst>
            <c:ext xmlns:c16="http://schemas.microsoft.com/office/drawing/2014/chart" uri="{C3380CC4-5D6E-409C-BE32-E72D297353CC}">
              <c16:uniqueId val="{00000002-3EB7-4BD9-9E67-38B7BF0D319E}"/>
            </c:ext>
          </c:extLst>
        </c:ser>
        <c:ser>
          <c:idx val="3"/>
          <c:order val="3"/>
          <c:tx>
            <c:strRef>
              <c:f>'Pokytis 2021-2030'!$C$40</c:f>
              <c:strCache>
                <c:ptCount val="1"/>
                <c:pt idx="0">
                  <c:v>Anglys ir durpės</c:v>
                </c:pt>
              </c:strCache>
            </c:strRef>
          </c:tx>
          <c:spPr>
            <a:solidFill>
              <a:schemeClr val="accent6">
                <a:lumMod val="60000"/>
              </a:schemeClr>
            </a:solidFill>
            <a:ln>
              <a:noFill/>
            </a:ln>
            <a:effectLst/>
          </c:spPr>
          <c:invertIfNegative val="0"/>
          <c:cat>
            <c:numRef>
              <c:f>'Pokytis 2021-2030'!$D$36:$N$36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2021-2030'!$D$40:$N$40</c:f>
              <c:numCache>
                <c:formatCode>0.0</c:formatCode>
                <c:ptCount val="11"/>
                <c:pt idx="0">
                  <c:v>53.1</c:v>
                </c:pt>
                <c:pt idx="1">
                  <c:v>53.292222000000002</c:v>
                </c:pt>
                <c:pt idx="2">
                  <c:v>53.549090510040003</c:v>
                </c:pt>
                <c:pt idx="3">
                  <c:v>53.807197126298398</c:v>
                </c:pt>
                <c:pt idx="4">
                  <c:v>54.066547816447155</c:v>
                </c:pt>
                <c:pt idx="5">
                  <c:v>54.327148576922433</c:v>
                </c:pt>
                <c:pt idx="6">
                  <c:v>54.5890054330632</c:v>
                </c:pt>
                <c:pt idx="7">
                  <c:v>54.852124439250566</c:v>
                </c:pt>
                <c:pt idx="8">
                  <c:v>55.116511679047754</c:v>
                </c:pt>
                <c:pt idx="9">
                  <c:v>55.382173265340761</c:v>
                </c:pt>
                <c:pt idx="10">
                  <c:v>55.649115340479703</c:v>
                </c:pt>
              </c:numCache>
            </c:numRef>
          </c:val>
          <c:extLst>
            <c:ext xmlns:c16="http://schemas.microsoft.com/office/drawing/2014/chart" uri="{C3380CC4-5D6E-409C-BE32-E72D297353CC}">
              <c16:uniqueId val="{00000003-3EB7-4BD9-9E67-38B7BF0D319E}"/>
            </c:ext>
          </c:extLst>
        </c:ser>
        <c:ser>
          <c:idx val="4"/>
          <c:order val="4"/>
          <c:tx>
            <c:strRef>
              <c:f>'Pokytis 2021-2030'!$C$41</c:f>
              <c:strCache>
                <c:ptCount val="1"/>
                <c:pt idx="0">
                  <c:v>Gamtinės dujos</c:v>
                </c:pt>
              </c:strCache>
            </c:strRef>
          </c:tx>
          <c:spPr>
            <a:solidFill>
              <a:schemeClr val="accent5">
                <a:lumMod val="60000"/>
              </a:schemeClr>
            </a:solidFill>
            <a:ln>
              <a:noFill/>
            </a:ln>
            <a:effectLst/>
          </c:spPr>
          <c:invertIfNegative val="0"/>
          <c:cat>
            <c:numRef>
              <c:f>'Pokytis 2021-2030'!$D$36:$N$36</c:f>
              <c:numCache>
                <c:formatCode>General</c:formatCode>
                <c:ptCount val="11"/>
                <c:pt idx="0">
                  <c:v>2020</c:v>
                </c:pt>
                <c:pt idx="1">
                  <c:v>2021</c:v>
                </c:pt>
                <c:pt idx="2">
                  <c:v>2022</c:v>
                </c:pt>
                <c:pt idx="3">
                  <c:v>2023</c:v>
                </c:pt>
                <c:pt idx="4">
                  <c:v>2024</c:v>
                </c:pt>
                <c:pt idx="5">
                  <c:v>2025</c:v>
                </c:pt>
                <c:pt idx="6">
                  <c:v>2026</c:v>
                </c:pt>
                <c:pt idx="7">
                  <c:v>2027</c:v>
                </c:pt>
                <c:pt idx="8">
                  <c:v>2028</c:v>
                </c:pt>
                <c:pt idx="9">
                  <c:v>2029</c:v>
                </c:pt>
                <c:pt idx="10">
                  <c:v>2030</c:v>
                </c:pt>
              </c:numCache>
            </c:numRef>
          </c:cat>
          <c:val>
            <c:numRef>
              <c:f>'Pokytis 2021-2030'!$D$41:$N$41</c:f>
              <c:numCache>
                <c:formatCode>0.0</c:formatCode>
                <c:ptCount val="11"/>
                <c:pt idx="0" formatCode="0.00">
                  <c:v>321.5</c:v>
                </c:pt>
                <c:pt idx="1">
                  <c:v>322.66383000000002</c:v>
                </c:pt>
                <c:pt idx="2">
                  <c:v>324.21906966060004</c:v>
                </c:pt>
                <c:pt idx="3">
                  <c:v>325.78180557636415</c:v>
                </c:pt>
                <c:pt idx="4">
                  <c:v>327.3520738792422</c:v>
                </c:pt>
                <c:pt idx="5">
                  <c:v>328.92991087534017</c:v>
                </c:pt>
                <c:pt idx="6">
                  <c:v>330.5153530457593</c:v>
                </c:pt>
                <c:pt idx="7">
                  <c:v>332.10843704743985</c:v>
                </c:pt>
                <c:pt idx="8">
                  <c:v>333.70919971400849</c:v>
                </c:pt>
                <c:pt idx="9">
                  <c:v>335.31767805663003</c:v>
                </c:pt>
                <c:pt idx="10">
                  <c:v>336.93390926486296</c:v>
                </c:pt>
              </c:numCache>
            </c:numRef>
          </c:val>
          <c:extLst>
            <c:ext xmlns:c16="http://schemas.microsoft.com/office/drawing/2014/chart" uri="{C3380CC4-5D6E-409C-BE32-E72D297353CC}">
              <c16:uniqueId val="{00000004-3EB7-4BD9-9E67-38B7BF0D319E}"/>
            </c:ext>
          </c:extLst>
        </c:ser>
        <c:dLbls>
          <c:showLegendKey val="0"/>
          <c:showVal val="0"/>
          <c:showCatName val="0"/>
          <c:showSerName val="0"/>
          <c:showPercent val="0"/>
          <c:showBubbleSize val="0"/>
        </c:dLbls>
        <c:gapWidth val="150"/>
        <c:overlap val="100"/>
        <c:axId val="1211302783"/>
        <c:axId val="1211303199"/>
      </c:barChart>
      <c:catAx>
        <c:axId val="1211302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303199"/>
        <c:crosses val="autoZero"/>
        <c:auto val="1"/>
        <c:lblAlgn val="ctr"/>
        <c:lblOffset val="100"/>
        <c:noMultiLvlLbl val="0"/>
      </c:catAx>
      <c:valAx>
        <c:axId val="121130319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302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1.xml.rels><?xml version="1.0" encoding="UTF-8"?>

<Relationships xmlns="http://schemas.openxmlformats.org/package/2006/relationships">
  <Relationship Id="rId1" Type="http://schemas.openxmlformats.org/officeDocument/2006/relationships/image" Target="../media/image17.jpeg"/>
  <Relationship Id="rId2" Type="http://schemas.openxmlformats.org/officeDocument/2006/relationships/image" Target="../media/image18.jpeg"/>
  <Relationship Id="rId3" Type="http://schemas.openxmlformats.org/officeDocument/2006/relationships/image" Target="../media/image19.jpeg"/>
  <Relationship Id="rId4" Type="http://schemas.openxmlformats.org/officeDocument/2006/relationships/image" Target="../media/image20.jpeg"/>
  <Relationship Id="rId5" Type="http://schemas.openxmlformats.org/officeDocument/2006/relationships/image" Target="../media/image21.jpeg"/>
</Relationships>

</file>

<file path=word/diagrams/_rels/drawing1.xml.rels><?xml version="1.0" encoding="UTF-8"?>

<Relationships xmlns="http://schemas.openxmlformats.org/package/2006/relationships">
  <Relationship Id="rId1" Type="http://schemas.openxmlformats.org/officeDocument/2006/relationships/image" Target="../media/image17.jpeg"/>
  <Relationship Id="rId2" Type="http://schemas.openxmlformats.org/officeDocument/2006/relationships/image" Target="../media/image18.jpeg"/>
  <Relationship Id="rId3" Type="http://schemas.openxmlformats.org/officeDocument/2006/relationships/image" Target="../media/image19.jpeg"/>
  <Relationship Id="rId4" Type="http://schemas.openxmlformats.org/officeDocument/2006/relationships/image" Target="../media/image20.jpeg"/>
  <Relationship Id="rId5" Type="http://schemas.openxmlformats.org/officeDocument/2006/relationships/image" Target="../media/image21.jpeg"/>
</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FE87B7-C8D3-4758-B7CB-CF80A00F9EA4}" type="doc">
      <dgm:prSet loTypeId="urn:microsoft.com/office/officeart/2008/layout/BendingPictureCaptionList" loCatId="picture" qsTypeId="urn:microsoft.com/office/officeart/2005/8/quickstyle/simple5" qsCatId="simple" csTypeId="urn:microsoft.com/office/officeart/2005/8/colors/accent1_4" csCatId="accent1" phldr="1"/>
      <dgm:spPr/>
      <dgm:t>
        <a:bodyPr/>
        <a:lstStyle/>
        <a:p>
          <a:endParaRPr lang="lt-LT"/>
        </a:p>
      </dgm:t>
    </dgm:pt>
    <dgm:pt modelId="{1D82B883-D60D-4F9D-B6A5-5EE2E59710D6}">
      <dgm:prSet phldrT="[Tekstas]" custT="1"/>
      <dgm:spPr>
        <a:solidFill>
          <a:schemeClr val="accent6">
            <a:lumMod val="60000"/>
            <a:lumOff val="40000"/>
          </a:schemeClr>
        </a:solidFill>
      </dgm:spPr>
      <dgm:t>
        <a:bodyPr/>
        <a:lstStyle/>
        <a:p>
          <a:pPr algn="ctr"/>
          <a:r>
            <a:rPr lang="en-US" sz="1000" b="1">
              <a:latin typeface="Arial" panose="020B0604020202020204" pitchFamily="34" charset="0"/>
              <a:cs typeface="Arial" panose="020B0604020202020204" pitchFamily="34" charset="0"/>
            </a:rPr>
            <a:t>2021–2022</a:t>
          </a:r>
          <a:r>
            <a:rPr lang="lt-LT" sz="1000" b="1">
              <a:latin typeface="Arial" panose="020B0604020202020204" pitchFamily="34" charset="0"/>
              <a:cs typeface="Arial" panose="020B0604020202020204" pitchFamily="34" charset="0"/>
            </a:rPr>
            <a:t> </a:t>
          </a:r>
        </a:p>
        <a:p>
          <a:pPr algn="ctr"/>
          <a:r>
            <a:rPr lang="lt-LT" sz="1000" b="1">
              <a:latin typeface="Arial" panose="020B0604020202020204" pitchFamily="34" charset="0"/>
              <a:cs typeface="Arial" panose="020B0604020202020204" pitchFamily="34" charset="0"/>
            </a:rPr>
            <a:t>60,6 proc.</a:t>
          </a:r>
        </a:p>
      </dgm:t>
    </dgm:pt>
    <dgm:pt modelId="{C8F756F3-AB25-409E-B789-0313902A6823}" type="parTrans" cxnId="{FF2ED544-7851-4D47-8DB4-2CE1A197D2D7}">
      <dgm:prSet/>
      <dgm:spPr/>
      <dgm:t>
        <a:bodyPr/>
        <a:lstStyle/>
        <a:p>
          <a:pPr algn="ctr"/>
          <a:endParaRPr lang="lt-LT" sz="1000">
            <a:latin typeface="Arial" panose="020B0604020202020204" pitchFamily="34" charset="0"/>
            <a:cs typeface="Arial" panose="020B0604020202020204" pitchFamily="34" charset="0"/>
          </a:endParaRPr>
        </a:p>
      </dgm:t>
    </dgm:pt>
    <dgm:pt modelId="{D1079B54-C958-48C9-85D3-2D13A4EACFAC}" type="sibTrans" cxnId="{FF2ED544-7851-4D47-8DB4-2CE1A197D2D7}">
      <dgm:prSet custT="1"/>
      <dgm:spPr/>
      <dgm:t>
        <a:bodyPr/>
        <a:lstStyle/>
        <a:p>
          <a:pPr algn="ctr"/>
          <a:endParaRPr lang="lt-LT" sz="1000">
            <a:latin typeface="Arial" panose="020B0604020202020204" pitchFamily="34" charset="0"/>
            <a:cs typeface="Arial" panose="020B0604020202020204" pitchFamily="34" charset="0"/>
          </a:endParaRPr>
        </a:p>
      </dgm:t>
    </dgm:pt>
    <dgm:pt modelId="{EE76D8E3-2E26-4ED9-9492-E65A4B85A79D}">
      <dgm:prSet phldrT="[Tekstas]" custT="1"/>
      <dgm:spPr>
        <a:solidFill>
          <a:schemeClr val="accent6">
            <a:lumMod val="75000"/>
          </a:schemeClr>
        </a:solidFill>
      </dgm:spPr>
      <dgm:t>
        <a:bodyPr/>
        <a:lstStyle/>
        <a:p>
          <a:pPr algn="ctr"/>
          <a:r>
            <a:rPr lang="en-US" sz="1000" b="1">
              <a:latin typeface="Arial" panose="020B0604020202020204" pitchFamily="34" charset="0"/>
              <a:cs typeface="Arial" panose="020B0604020202020204" pitchFamily="34" charset="0"/>
            </a:rPr>
            <a:t>2023–2024</a:t>
          </a:r>
          <a:r>
            <a:rPr lang="lt-LT" sz="1000" b="1">
              <a:latin typeface="Arial" panose="020B0604020202020204" pitchFamily="34" charset="0"/>
              <a:cs typeface="Arial" panose="020B0604020202020204" pitchFamily="34" charset="0"/>
            </a:rPr>
            <a:t> </a:t>
          </a:r>
        </a:p>
        <a:p>
          <a:pPr algn="ctr"/>
          <a:r>
            <a:rPr lang="lt-LT" sz="1000" b="1">
              <a:latin typeface="Arial" panose="020B0604020202020204" pitchFamily="34" charset="0"/>
              <a:cs typeface="Arial" panose="020B0604020202020204" pitchFamily="34" charset="0"/>
            </a:rPr>
            <a:t>63,8 proc.</a:t>
          </a:r>
        </a:p>
      </dgm:t>
    </dgm:pt>
    <dgm:pt modelId="{B94099A4-67EB-48D0-85DE-AB15AACC82FD}" type="parTrans" cxnId="{E6D23471-6835-4EC1-A3A0-8B9AF9CCD3CF}">
      <dgm:prSet/>
      <dgm:spPr/>
      <dgm:t>
        <a:bodyPr/>
        <a:lstStyle/>
        <a:p>
          <a:pPr algn="ctr"/>
          <a:endParaRPr lang="lt-LT" sz="1000">
            <a:latin typeface="Arial" panose="020B0604020202020204" pitchFamily="34" charset="0"/>
            <a:cs typeface="Arial" panose="020B0604020202020204" pitchFamily="34" charset="0"/>
          </a:endParaRPr>
        </a:p>
      </dgm:t>
    </dgm:pt>
    <dgm:pt modelId="{F3A17632-35F2-4900-9E0D-D438D0740A5A}" type="sibTrans" cxnId="{E6D23471-6835-4EC1-A3A0-8B9AF9CCD3CF}">
      <dgm:prSet custT="1"/>
      <dgm:spPr/>
      <dgm:t>
        <a:bodyPr/>
        <a:lstStyle/>
        <a:p>
          <a:pPr algn="ctr"/>
          <a:endParaRPr lang="lt-LT" sz="1000">
            <a:latin typeface="Arial" panose="020B0604020202020204" pitchFamily="34" charset="0"/>
            <a:cs typeface="Arial" panose="020B0604020202020204" pitchFamily="34" charset="0"/>
          </a:endParaRPr>
        </a:p>
      </dgm:t>
    </dgm:pt>
    <dgm:pt modelId="{AD9F8405-8B9B-4A47-B9F9-B73AD16AC565}">
      <dgm:prSet phldrT="[Tekstas]" custT="1"/>
      <dgm:spPr>
        <a:solidFill>
          <a:srgbClr val="002060"/>
        </a:solidFill>
      </dgm:spPr>
      <dgm:t>
        <a:bodyPr/>
        <a:lstStyle/>
        <a:p>
          <a:pPr algn="ctr"/>
          <a:r>
            <a:rPr lang="en-US" sz="1000" b="1">
              <a:latin typeface="Arial" panose="020B0604020202020204" pitchFamily="34" charset="0"/>
              <a:cs typeface="Arial" panose="020B0604020202020204" pitchFamily="34" charset="0"/>
            </a:rPr>
            <a:t>2025–2026</a:t>
          </a:r>
          <a:r>
            <a:rPr lang="lt-LT" sz="1000" b="1">
              <a:latin typeface="Arial" panose="020B0604020202020204" pitchFamily="34" charset="0"/>
              <a:cs typeface="Arial" panose="020B0604020202020204" pitchFamily="34" charset="0"/>
            </a:rPr>
            <a:t> </a:t>
          </a:r>
        </a:p>
        <a:p>
          <a:pPr algn="ctr"/>
          <a:r>
            <a:rPr lang="lt-LT" sz="1000" b="1">
              <a:latin typeface="Arial" panose="020B0604020202020204" pitchFamily="34" charset="0"/>
              <a:cs typeface="Arial" panose="020B0604020202020204" pitchFamily="34" charset="0"/>
            </a:rPr>
            <a:t>66,9 proc.</a:t>
          </a:r>
        </a:p>
      </dgm:t>
    </dgm:pt>
    <dgm:pt modelId="{9F74A94D-2191-4076-8374-23C599B74391}" type="parTrans" cxnId="{0E2D4002-47B3-4375-B08E-58C64E0C1008}">
      <dgm:prSet/>
      <dgm:spPr/>
      <dgm:t>
        <a:bodyPr/>
        <a:lstStyle/>
        <a:p>
          <a:pPr algn="ctr"/>
          <a:endParaRPr lang="lt-LT" sz="1000">
            <a:latin typeface="Arial" panose="020B0604020202020204" pitchFamily="34" charset="0"/>
            <a:cs typeface="Arial" panose="020B0604020202020204" pitchFamily="34" charset="0"/>
          </a:endParaRPr>
        </a:p>
      </dgm:t>
    </dgm:pt>
    <dgm:pt modelId="{77511A96-9BAE-4A67-87A5-6ED06E51AF4D}" type="sibTrans" cxnId="{0E2D4002-47B3-4375-B08E-58C64E0C1008}">
      <dgm:prSet custT="1"/>
      <dgm:spPr/>
      <dgm:t>
        <a:bodyPr/>
        <a:lstStyle/>
        <a:p>
          <a:pPr algn="ctr"/>
          <a:endParaRPr lang="lt-LT" sz="1000">
            <a:latin typeface="Arial" panose="020B0604020202020204" pitchFamily="34" charset="0"/>
            <a:cs typeface="Arial" panose="020B0604020202020204" pitchFamily="34" charset="0"/>
          </a:endParaRPr>
        </a:p>
      </dgm:t>
    </dgm:pt>
    <dgm:pt modelId="{714B6E30-84D2-4EB0-AD9F-19008F51C171}">
      <dgm:prSet phldrT="[Tekstas]" custT="1"/>
      <dgm:spPr>
        <a:solidFill>
          <a:srgbClr val="4472C4"/>
        </a:solidFill>
      </dgm:spPr>
      <dgm:t>
        <a:bodyPr/>
        <a:lstStyle/>
        <a:p>
          <a:pPr algn="ctr"/>
          <a:r>
            <a:rPr lang="en-US" sz="1000" b="1">
              <a:latin typeface="Arial" panose="020B0604020202020204" pitchFamily="34" charset="0"/>
              <a:cs typeface="Arial" panose="020B0604020202020204" pitchFamily="34" charset="0"/>
            </a:rPr>
            <a:t>2027–2028</a:t>
          </a:r>
          <a:r>
            <a:rPr lang="lt-LT" sz="1000" b="1">
              <a:latin typeface="Arial" panose="020B0604020202020204" pitchFamily="34" charset="0"/>
              <a:cs typeface="Arial" panose="020B0604020202020204" pitchFamily="34" charset="0"/>
            </a:rPr>
            <a:t> </a:t>
          </a:r>
        </a:p>
        <a:p>
          <a:pPr algn="ctr"/>
          <a:r>
            <a:rPr lang="lt-LT" sz="1000" b="1">
              <a:latin typeface="Arial" panose="020B0604020202020204" pitchFamily="34" charset="0"/>
              <a:cs typeface="Arial" panose="020B0604020202020204" pitchFamily="34" charset="0"/>
            </a:rPr>
            <a:t>70,1 proc.</a:t>
          </a:r>
        </a:p>
      </dgm:t>
    </dgm:pt>
    <dgm:pt modelId="{4DFCB9F8-3406-4528-BBC1-477523DBE8A7}" type="parTrans" cxnId="{C7A2874B-0D4B-492D-9F94-2F25DB979AAF}">
      <dgm:prSet/>
      <dgm:spPr/>
      <dgm:t>
        <a:bodyPr/>
        <a:lstStyle/>
        <a:p>
          <a:pPr algn="ctr"/>
          <a:endParaRPr lang="lt-LT" sz="1000">
            <a:latin typeface="Arial" panose="020B0604020202020204" pitchFamily="34" charset="0"/>
            <a:cs typeface="Arial" panose="020B0604020202020204" pitchFamily="34" charset="0"/>
          </a:endParaRPr>
        </a:p>
      </dgm:t>
    </dgm:pt>
    <dgm:pt modelId="{80F8ADFC-8DA9-4569-AC3A-325BB5787209}" type="sibTrans" cxnId="{C7A2874B-0D4B-492D-9F94-2F25DB979AAF}">
      <dgm:prSet custT="1"/>
      <dgm:spPr/>
      <dgm:t>
        <a:bodyPr/>
        <a:lstStyle/>
        <a:p>
          <a:pPr algn="ctr"/>
          <a:endParaRPr lang="lt-LT" sz="1000">
            <a:latin typeface="Arial" panose="020B0604020202020204" pitchFamily="34" charset="0"/>
            <a:cs typeface="Arial" panose="020B0604020202020204" pitchFamily="34" charset="0"/>
          </a:endParaRPr>
        </a:p>
      </dgm:t>
    </dgm:pt>
    <dgm:pt modelId="{5F425D65-083D-49D7-B021-CF1194EE40AC}">
      <dgm:prSet phldrT="[Tekstas]" custT="1"/>
      <dgm:spPr>
        <a:solidFill>
          <a:schemeClr val="accent4">
            <a:lumMod val="75000"/>
          </a:schemeClr>
        </a:solidFill>
      </dgm:spPr>
      <dgm:t>
        <a:bodyPr/>
        <a:lstStyle/>
        <a:p>
          <a:pPr algn="ctr"/>
          <a:r>
            <a:rPr lang="en-US" sz="1000" b="1">
              <a:latin typeface="Arial" panose="020B0604020202020204" pitchFamily="34" charset="0"/>
              <a:cs typeface="Arial" panose="020B0604020202020204" pitchFamily="34" charset="0"/>
            </a:rPr>
            <a:t>2030</a:t>
          </a:r>
          <a:r>
            <a:rPr lang="lt-LT" sz="1000" b="1">
              <a:latin typeface="Arial" panose="020B0604020202020204" pitchFamily="34" charset="0"/>
              <a:cs typeface="Arial" panose="020B0604020202020204" pitchFamily="34" charset="0"/>
            </a:rPr>
            <a:t> </a:t>
          </a:r>
        </a:p>
        <a:p>
          <a:pPr algn="ctr"/>
          <a:r>
            <a:rPr lang="lt-LT" sz="1000" b="1">
              <a:latin typeface="Arial" panose="020B0604020202020204" pitchFamily="34" charset="0"/>
              <a:cs typeface="Arial" panose="020B0604020202020204" pitchFamily="34" charset="0"/>
            </a:rPr>
            <a:t>73,2 proc.</a:t>
          </a:r>
        </a:p>
      </dgm:t>
    </dgm:pt>
    <dgm:pt modelId="{A3F3810E-3B89-46B3-B7E2-8901D0395540}" type="parTrans" cxnId="{866773AA-33C3-4A69-B813-1E3680739F08}">
      <dgm:prSet/>
      <dgm:spPr/>
      <dgm:t>
        <a:bodyPr/>
        <a:lstStyle/>
        <a:p>
          <a:pPr algn="ctr"/>
          <a:endParaRPr lang="lt-LT" sz="1000">
            <a:latin typeface="Arial" panose="020B0604020202020204" pitchFamily="34" charset="0"/>
            <a:cs typeface="Arial" panose="020B0604020202020204" pitchFamily="34" charset="0"/>
          </a:endParaRPr>
        </a:p>
      </dgm:t>
    </dgm:pt>
    <dgm:pt modelId="{84250E67-CF74-479B-B86E-B216BC089922}" type="sibTrans" cxnId="{866773AA-33C3-4A69-B813-1E3680739F08}">
      <dgm:prSet/>
      <dgm:spPr/>
      <dgm:t>
        <a:bodyPr/>
        <a:lstStyle/>
        <a:p>
          <a:pPr algn="ctr"/>
          <a:endParaRPr lang="lt-LT" sz="1000">
            <a:latin typeface="Arial" panose="020B0604020202020204" pitchFamily="34" charset="0"/>
            <a:cs typeface="Arial" panose="020B0604020202020204" pitchFamily="34" charset="0"/>
          </a:endParaRPr>
        </a:p>
      </dgm:t>
    </dgm:pt>
    <dgm:pt modelId="{1C8C1B13-D4F6-4615-99FC-51941F75C1E9}" type="pres">
      <dgm:prSet presAssocID="{CFFE87B7-C8D3-4758-B7CB-CF80A00F9EA4}" presName="Name0" presStyleCnt="0">
        <dgm:presLayoutVars>
          <dgm:dir/>
          <dgm:resizeHandles val="exact"/>
        </dgm:presLayoutVars>
      </dgm:prSet>
      <dgm:spPr/>
      <dgm:t>
        <a:bodyPr/>
        <a:lstStyle/>
        <a:p>
          <a:endParaRPr lang="en-US"/>
        </a:p>
      </dgm:t>
    </dgm:pt>
    <dgm:pt modelId="{A7935139-BC90-4D62-877E-EB36BC60736B}" type="pres">
      <dgm:prSet presAssocID="{1D82B883-D60D-4F9D-B6A5-5EE2E59710D6}" presName="composite" presStyleCnt="0"/>
      <dgm:spPr/>
    </dgm:pt>
    <dgm:pt modelId="{CA22079C-4289-43E2-923C-BE801D7DA21F}" type="pres">
      <dgm:prSet presAssocID="{1D82B883-D60D-4F9D-B6A5-5EE2E59710D6}" presName="rect1" presStyleLbl="bgImgPlace1" presStyleIdx="0" presStyleCnt="5"/>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27000" r="-27000"/>
          </a:stretch>
        </a:blipFill>
      </dgm:spPr>
      <dgm:extLst>
        <a:ext uri="{E40237B7-FDA0-4F09-8148-C483321AD2D9}">
          <dgm14:cNvPr xmlns:dgm14="http://schemas.microsoft.com/office/drawing/2010/diagram" id="0" name="" descr="Wind farm at twilight"/>
        </a:ext>
      </dgm:extLst>
    </dgm:pt>
    <dgm:pt modelId="{6E22DAB9-44A6-4239-9206-E0E3F85625B7}" type="pres">
      <dgm:prSet presAssocID="{1D82B883-D60D-4F9D-B6A5-5EE2E59710D6}" presName="wedgeRectCallout1" presStyleLbl="node1" presStyleIdx="0" presStyleCnt="5">
        <dgm:presLayoutVars>
          <dgm:bulletEnabled val="1"/>
        </dgm:presLayoutVars>
      </dgm:prSet>
      <dgm:spPr/>
      <dgm:t>
        <a:bodyPr/>
        <a:lstStyle/>
        <a:p>
          <a:endParaRPr lang="en-US"/>
        </a:p>
      </dgm:t>
    </dgm:pt>
    <dgm:pt modelId="{ACCC378D-3023-4DB5-A6CD-DD07FF24ED4F}" type="pres">
      <dgm:prSet presAssocID="{D1079B54-C958-48C9-85D3-2D13A4EACFAC}" presName="sibTrans" presStyleCnt="0"/>
      <dgm:spPr/>
    </dgm:pt>
    <dgm:pt modelId="{A04B8B92-FFFB-429D-92EC-C991877E4AD1}" type="pres">
      <dgm:prSet presAssocID="{EE76D8E3-2E26-4ED9-9492-E65A4B85A79D}" presName="composite" presStyleCnt="0"/>
      <dgm:spPr/>
    </dgm:pt>
    <dgm:pt modelId="{BB721DBF-4034-46DE-AF1F-35D716FB442D}" type="pres">
      <dgm:prSet presAssocID="{EE76D8E3-2E26-4ED9-9492-E65A4B85A79D}" presName="rect1" presStyleLbl="bgImgPlace1" presStyleIdx="1" presStyleCnt="5"/>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Close up of a solar panel"/>
        </a:ext>
      </dgm:extLst>
    </dgm:pt>
    <dgm:pt modelId="{92C1DFDD-5AEA-4627-BFEA-1F7DB44DD05E}" type="pres">
      <dgm:prSet presAssocID="{EE76D8E3-2E26-4ED9-9492-E65A4B85A79D}" presName="wedgeRectCallout1" presStyleLbl="node1" presStyleIdx="1" presStyleCnt="5">
        <dgm:presLayoutVars>
          <dgm:bulletEnabled val="1"/>
        </dgm:presLayoutVars>
      </dgm:prSet>
      <dgm:spPr/>
      <dgm:t>
        <a:bodyPr/>
        <a:lstStyle/>
        <a:p>
          <a:endParaRPr lang="en-US"/>
        </a:p>
      </dgm:t>
    </dgm:pt>
    <dgm:pt modelId="{192664E0-62AA-49A8-B3E3-44EA99094CBB}" type="pres">
      <dgm:prSet presAssocID="{F3A17632-35F2-4900-9E0D-D438D0740A5A}" presName="sibTrans" presStyleCnt="0"/>
      <dgm:spPr/>
    </dgm:pt>
    <dgm:pt modelId="{CC48CF89-CE10-494E-9355-31515D93F05A}" type="pres">
      <dgm:prSet presAssocID="{AD9F8405-8B9B-4A47-B9F9-B73AD16AC565}" presName="composite" presStyleCnt="0"/>
      <dgm:spPr/>
    </dgm:pt>
    <dgm:pt modelId="{2DA54824-637C-4D27-8E11-59BBD5BA908F}" type="pres">
      <dgm:prSet presAssocID="{AD9F8405-8B9B-4A47-B9F9-B73AD16AC565}" presName="rect1" presStyleLbl="bgImgPlace1" presStyleIdx="2" presStyleCnt="5"/>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Light bulb on green grass"/>
        </a:ext>
      </dgm:extLst>
    </dgm:pt>
    <dgm:pt modelId="{B50BD230-BAF5-4377-A15F-88C4F5BE6062}" type="pres">
      <dgm:prSet presAssocID="{AD9F8405-8B9B-4A47-B9F9-B73AD16AC565}" presName="wedgeRectCallout1" presStyleLbl="node1" presStyleIdx="2" presStyleCnt="5">
        <dgm:presLayoutVars>
          <dgm:bulletEnabled val="1"/>
        </dgm:presLayoutVars>
      </dgm:prSet>
      <dgm:spPr/>
      <dgm:t>
        <a:bodyPr/>
        <a:lstStyle/>
        <a:p>
          <a:endParaRPr lang="en-US"/>
        </a:p>
      </dgm:t>
    </dgm:pt>
    <dgm:pt modelId="{FE12415A-7779-4F89-B165-491718F2BBD8}" type="pres">
      <dgm:prSet presAssocID="{77511A96-9BAE-4A67-87A5-6ED06E51AF4D}" presName="sibTrans" presStyleCnt="0"/>
      <dgm:spPr/>
    </dgm:pt>
    <dgm:pt modelId="{684B3C4D-E0D1-42EE-A432-DF9AB92E6DEB}" type="pres">
      <dgm:prSet presAssocID="{714B6E30-84D2-4EB0-AD9F-19008F51C171}" presName="composite" presStyleCnt="0"/>
      <dgm:spPr/>
    </dgm:pt>
    <dgm:pt modelId="{83AD50D4-6DF0-4B5E-A7BC-E4B81D5A75C1}" type="pres">
      <dgm:prSet presAssocID="{714B6E30-84D2-4EB0-AD9F-19008F51C171}" presName="rect1" presStyleLbl="bgImgPlace1" presStyleIdx="3" presStyleCnt="5"/>
      <dgm:spPr>
        <a:blipFill>
          <a:blip xmlns:r="http://schemas.openxmlformats.org/officeDocument/2006/relationships" r:embed="rId4"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A growing plant"/>
        </a:ext>
      </dgm:extLst>
    </dgm:pt>
    <dgm:pt modelId="{18511A43-C6BF-4EAF-BEA2-945E767C8278}" type="pres">
      <dgm:prSet presAssocID="{714B6E30-84D2-4EB0-AD9F-19008F51C171}" presName="wedgeRectCallout1" presStyleLbl="node1" presStyleIdx="3" presStyleCnt="5">
        <dgm:presLayoutVars>
          <dgm:bulletEnabled val="1"/>
        </dgm:presLayoutVars>
      </dgm:prSet>
      <dgm:spPr/>
      <dgm:t>
        <a:bodyPr/>
        <a:lstStyle/>
        <a:p>
          <a:endParaRPr lang="en-US"/>
        </a:p>
      </dgm:t>
    </dgm:pt>
    <dgm:pt modelId="{A9E10495-0396-43A9-A629-0124BD74412F}" type="pres">
      <dgm:prSet presAssocID="{80F8ADFC-8DA9-4569-AC3A-325BB5787209}" presName="sibTrans" presStyleCnt="0"/>
      <dgm:spPr/>
    </dgm:pt>
    <dgm:pt modelId="{427B896D-8AF6-4C3F-9388-2BCBDF5FD874}" type="pres">
      <dgm:prSet presAssocID="{5F425D65-083D-49D7-B021-CF1194EE40AC}" presName="composite" presStyleCnt="0"/>
      <dgm:spPr/>
    </dgm:pt>
    <dgm:pt modelId="{7E1F72F4-4587-46B0-A74F-DE93D42CFE82}" type="pres">
      <dgm:prSet presAssocID="{5F425D65-083D-49D7-B021-CF1194EE40AC}" presName="rect1" presStyleLbl="bgImgPlace1" presStyleIdx="4" presStyleCnt="5"/>
      <dgm:spPr>
        <a:blipFill>
          <a:blip xmlns:r="http://schemas.openxmlformats.org/officeDocument/2006/relationships" r:embed="rId5"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Scientist examining plants in laboratory"/>
        </a:ext>
      </dgm:extLst>
    </dgm:pt>
    <dgm:pt modelId="{68CEA084-CE9A-4608-9058-1BCE7104A779}" type="pres">
      <dgm:prSet presAssocID="{5F425D65-083D-49D7-B021-CF1194EE40AC}" presName="wedgeRectCallout1" presStyleLbl="node1" presStyleIdx="4" presStyleCnt="5">
        <dgm:presLayoutVars>
          <dgm:bulletEnabled val="1"/>
        </dgm:presLayoutVars>
      </dgm:prSet>
      <dgm:spPr/>
      <dgm:t>
        <a:bodyPr/>
        <a:lstStyle/>
        <a:p>
          <a:endParaRPr lang="en-US"/>
        </a:p>
      </dgm:t>
    </dgm:pt>
  </dgm:ptLst>
  <dgm:cxnLst>
    <dgm:cxn modelId="{EC62EDFC-5BDC-4289-AC41-25391954A93C}" type="presOf" srcId="{AD9F8405-8B9B-4A47-B9F9-B73AD16AC565}" destId="{B50BD230-BAF5-4377-A15F-88C4F5BE6062}" srcOrd="0" destOrd="0" presId="urn:microsoft.com/office/officeart/2008/layout/BendingPictureCaptionList"/>
    <dgm:cxn modelId="{94EB8DE4-4B90-4149-A5F8-FD5D86010A5E}" type="presOf" srcId="{EE76D8E3-2E26-4ED9-9492-E65A4B85A79D}" destId="{92C1DFDD-5AEA-4627-BFEA-1F7DB44DD05E}" srcOrd="0" destOrd="0" presId="urn:microsoft.com/office/officeart/2008/layout/BendingPictureCaptionList"/>
    <dgm:cxn modelId="{6F45E480-3464-4681-B10C-3BE020716FC8}" type="presOf" srcId="{5F425D65-083D-49D7-B021-CF1194EE40AC}" destId="{68CEA084-CE9A-4608-9058-1BCE7104A779}" srcOrd="0" destOrd="0" presId="urn:microsoft.com/office/officeart/2008/layout/BendingPictureCaptionList"/>
    <dgm:cxn modelId="{866773AA-33C3-4A69-B813-1E3680739F08}" srcId="{CFFE87B7-C8D3-4758-B7CB-CF80A00F9EA4}" destId="{5F425D65-083D-49D7-B021-CF1194EE40AC}" srcOrd="4" destOrd="0" parTransId="{A3F3810E-3B89-46B3-B7E2-8901D0395540}" sibTransId="{84250E67-CF74-479B-B86E-B216BC089922}"/>
    <dgm:cxn modelId="{309A2922-E7CE-4DE8-8C6F-0D9DFCBA4A4A}" type="presOf" srcId="{CFFE87B7-C8D3-4758-B7CB-CF80A00F9EA4}" destId="{1C8C1B13-D4F6-4615-99FC-51941F75C1E9}" srcOrd="0" destOrd="0" presId="urn:microsoft.com/office/officeart/2008/layout/BendingPictureCaptionList"/>
    <dgm:cxn modelId="{F92F5A3E-2456-4848-BC2B-C754E61A21CA}" type="presOf" srcId="{1D82B883-D60D-4F9D-B6A5-5EE2E59710D6}" destId="{6E22DAB9-44A6-4239-9206-E0E3F85625B7}" srcOrd="0" destOrd="0" presId="urn:microsoft.com/office/officeart/2008/layout/BendingPictureCaptionList"/>
    <dgm:cxn modelId="{DCA2C390-C7FF-4874-90CD-C374BD102C46}" type="presOf" srcId="{714B6E30-84D2-4EB0-AD9F-19008F51C171}" destId="{18511A43-C6BF-4EAF-BEA2-945E767C8278}" srcOrd="0" destOrd="0" presId="urn:microsoft.com/office/officeart/2008/layout/BendingPictureCaptionList"/>
    <dgm:cxn modelId="{FF2ED544-7851-4D47-8DB4-2CE1A197D2D7}" srcId="{CFFE87B7-C8D3-4758-B7CB-CF80A00F9EA4}" destId="{1D82B883-D60D-4F9D-B6A5-5EE2E59710D6}" srcOrd="0" destOrd="0" parTransId="{C8F756F3-AB25-409E-B789-0313902A6823}" sibTransId="{D1079B54-C958-48C9-85D3-2D13A4EACFAC}"/>
    <dgm:cxn modelId="{C7A2874B-0D4B-492D-9F94-2F25DB979AAF}" srcId="{CFFE87B7-C8D3-4758-B7CB-CF80A00F9EA4}" destId="{714B6E30-84D2-4EB0-AD9F-19008F51C171}" srcOrd="3" destOrd="0" parTransId="{4DFCB9F8-3406-4528-BBC1-477523DBE8A7}" sibTransId="{80F8ADFC-8DA9-4569-AC3A-325BB5787209}"/>
    <dgm:cxn modelId="{0E2D4002-47B3-4375-B08E-58C64E0C1008}" srcId="{CFFE87B7-C8D3-4758-B7CB-CF80A00F9EA4}" destId="{AD9F8405-8B9B-4A47-B9F9-B73AD16AC565}" srcOrd="2" destOrd="0" parTransId="{9F74A94D-2191-4076-8374-23C599B74391}" sibTransId="{77511A96-9BAE-4A67-87A5-6ED06E51AF4D}"/>
    <dgm:cxn modelId="{E6D23471-6835-4EC1-A3A0-8B9AF9CCD3CF}" srcId="{CFFE87B7-C8D3-4758-B7CB-CF80A00F9EA4}" destId="{EE76D8E3-2E26-4ED9-9492-E65A4B85A79D}" srcOrd="1" destOrd="0" parTransId="{B94099A4-67EB-48D0-85DE-AB15AACC82FD}" sibTransId="{F3A17632-35F2-4900-9E0D-D438D0740A5A}"/>
    <dgm:cxn modelId="{09B93C4E-DEA0-4B04-8E37-D0070C87142D}" type="presParOf" srcId="{1C8C1B13-D4F6-4615-99FC-51941F75C1E9}" destId="{A7935139-BC90-4D62-877E-EB36BC60736B}" srcOrd="0" destOrd="0" presId="urn:microsoft.com/office/officeart/2008/layout/BendingPictureCaptionList"/>
    <dgm:cxn modelId="{A20BDE0E-D251-40C0-B455-3A5A4343DF92}" type="presParOf" srcId="{A7935139-BC90-4D62-877E-EB36BC60736B}" destId="{CA22079C-4289-43E2-923C-BE801D7DA21F}" srcOrd="0" destOrd="0" presId="urn:microsoft.com/office/officeart/2008/layout/BendingPictureCaptionList"/>
    <dgm:cxn modelId="{41D11D3D-31A1-44F4-B991-41E2C0A80CD8}" type="presParOf" srcId="{A7935139-BC90-4D62-877E-EB36BC60736B}" destId="{6E22DAB9-44A6-4239-9206-E0E3F85625B7}" srcOrd="1" destOrd="0" presId="urn:microsoft.com/office/officeart/2008/layout/BendingPictureCaptionList"/>
    <dgm:cxn modelId="{E9BAFD60-5886-4579-8D8F-7DA779A42123}" type="presParOf" srcId="{1C8C1B13-D4F6-4615-99FC-51941F75C1E9}" destId="{ACCC378D-3023-4DB5-A6CD-DD07FF24ED4F}" srcOrd="1" destOrd="0" presId="urn:microsoft.com/office/officeart/2008/layout/BendingPictureCaptionList"/>
    <dgm:cxn modelId="{BDB9C6BE-5C5B-41C9-B099-E45E8C5A5958}" type="presParOf" srcId="{1C8C1B13-D4F6-4615-99FC-51941F75C1E9}" destId="{A04B8B92-FFFB-429D-92EC-C991877E4AD1}" srcOrd="2" destOrd="0" presId="urn:microsoft.com/office/officeart/2008/layout/BendingPictureCaptionList"/>
    <dgm:cxn modelId="{864374C3-791B-4E1B-835D-764CB1237684}" type="presParOf" srcId="{A04B8B92-FFFB-429D-92EC-C991877E4AD1}" destId="{BB721DBF-4034-46DE-AF1F-35D716FB442D}" srcOrd="0" destOrd="0" presId="urn:microsoft.com/office/officeart/2008/layout/BendingPictureCaptionList"/>
    <dgm:cxn modelId="{24111667-0BF3-44AF-8218-1A4C01FE2436}" type="presParOf" srcId="{A04B8B92-FFFB-429D-92EC-C991877E4AD1}" destId="{92C1DFDD-5AEA-4627-BFEA-1F7DB44DD05E}" srcOrd="1" destOrd="0" presId="urn:microsoft.com/office/officeart/2008/layout/BendingPictureCaptionList"/>
    <dgm:cxn modelId="{6BE8B3AC-01E6-404D-B11D-E6931AD09FC8}" type="presParOf" srcId="{1C8C1B13-D4F6-4615-99FC-51941F75C1E9}" destId="{192664E0-62AA-49A8-B3E3-44EA99094CBB}" srcOrd="3" destOrd="0" presId="urn:microsoft.com/office/officeart/2008/layout/BendingPictureCaptionList"/>
    <dgm:cxn modelId="{90656894-8F0E-4746-BA31-8928CB8DAE99}" type="presParOf" srcId="{1C8C1B13-D4F6-4615-99FC-51941F75C1E9}" destId="{CC48CF89-CE10-494E-9355-31515D93F05A}" srcOrd="4" destOrd="0" presId="urn:microsoft.com/office/officeart/2008/layout/BendingPictureCaptionList"/>
    <dgm:cxn modelId="{AB358E5F-1DA7-4245-BE24-EFCD8B2B179F}" type="presParOf" srcId="{CC48CF89-CE10-494E-9355-31515D93F05A}" destId="{2DA54824-637C-4D27-8E11-59BBD5BA908F}" srcOrd="0" destOrd="0" presId="urn:microsoft.com/office/officeart/2008/layout/BendingPictureCaptionList"/>
    <dgm:cxn modelId="{4ECB1B64-F5A0-4AE3-BD2F-913A7E1B870C}" type="presParOf" srcId="{CC48CF89-CE10-494E-9355-31515D93F05A}" destId="{B50BD230-BAF5-4377-A15F-88C4F5BE6062}" srcOrd="1" destOrd="0" presId="urn:microsoft.com/office/officeart/2008/layout/BendingPictureCaptionList"/>
    <dgm:cxn modelId="{232A0170-632A-41F3-A534-C3955DB212C9}" type="presParOf" srcId="{1C8C1B13-D4F6-4615-99FC-51941F75C1E9}" destId="{FE12415A-7779-4F89-B165-491718F2BBD8}" srcOrd="5" destOrd="0" presId="urn:microsoft.com/office/officeart/2008/layout/BendingPictureCaptionList"/>
    <dgm:cxn modelId="{01C68B1A-18B5-42E2-9BA2-BBF9153559ED}" type="presParOf" srcId="{1C8C1B13-D4F6-4615-99FC-51941F75C1E9}" destId="{684B3C4D-E0D1-42EE-A432-DF9AB92E6DEB}" srcOrd="6" destOrd="0" presId="urn:microsoft.com/office/officeart/2008/layout/BendingPictureCaptionList"/>
    <dgm:cxn modelId="{D49B7232-220F-4B5C-9023-4C0C93B58D73}" type="presParOf" srcId="{684B3C4D-E0D1-42EE-A432-DF9AB92E6DEB}" destId="{83AD50D4-6DF0-4B5E-A7BC-E4B81D5A75C1}" srcOrd="0" destOrd="0" presId="urn:microsoft.com/office/officeart/2008/layout/BendingPictureCaptionList"/>
    <dgm:cxn modelId="{4CDF0B9D-6103-41CD-A5DA-436065080880}" type="presParOf" srcId="{684B3C4D-E0D1-42EE-A432-DF9AB92E6DEB}" destId="{18511A43-C6BF-4EAF-BEA2-945E767C8278}" srcOrd="1" destOrd="0" presId="urn:microsoft.com/office/officeart/2008/layout/BendingPictureCaptionList"/>
    <dgm:cxn modelId="{CE743105-E2C0-4B69-80D2-993DDFE1BDB3}" type="presParOf" srcId="{1C8C1B13-D4F6-4615-99FC-51941F75C1E9}" destId="{A9E10495-0396-43A9-A629-0124BD74412F}" srcOrd="7" destOrd="0" presId="urn:microsoft.com/office/officeart/2008/layout/BendingPictureCaptionList"/>
    <dgm:cxn modelId="{83A72BD3-9D5D-48F7-A858-0D6ADAE672E5}" type="presParOf" srcId="{1C8C1B13-D4F6-4615-99FC-51941F75C1E9}" destId="{427B896D-8AF6-4C3F-9388-2BCBDF5FD874}" srcOrd="8" destOrd="0" presId="urn:microsoft.com/office/officeart/2008/layout/BendingPictureCaptionList"/>
    <dgm:cxn modelId="{E5660A3E-7A18-4B13-8E48-1D5963BBEB37}" type="presParOf" srcId="{427B896D-8AF6-4C3F-9388-2BCBDF5FD874}" destId="{7E1F72F4-4587-46B0-A74F-DE93D42CFE82}" srcOrd="0" destOrd="0" presId="urn:microsoft.com/office/officeart/2008/layout/BendingPictureCaptionList"/>
    <dgm:cxn modelId="{D9C51A2F-9A87-4B27-9897-A5E5143AE9EC}" type="presParOf" srcId="{427B896D-8AF6-4C3F-9388-2BCBDF5FD874}" destId="{68CEA084-CE9A-4608-9058-1BCE7104A779}" srcOrd="1" destOrd="0" presId="urn:microsoft.com/office/officeart/2008/layout/BendingPictureCaptionLis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CA22079C-4289-43E2-923C-BE801D7DA21F}">
      <dsp:nvSpPr>
        <dsp:cNvPr id="0" name=""/>
        <dsp:cNvSpPr/>
      </dsp:nvSpPr>
      <dsp:spPr>
        <a:xfrm>
          <a:off x="2197" y="63071"/>
          <a:ext cx="1189576" cy="951660"/>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27000" r="-27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6E22DAB9-44A6-4239-9206-E0E3F85625B7}">
      <dsp:nvSpPr>
        <dsp:cNvPr id="0" name=""/>
        <dsp:cNvSpPr/>
      </dsp:nvSpPr>
      <dsp:spPr>
        <a:xfrm>
          <a:off x="109258" y="919566"/>
          <a:ext cx="1058722" cy="333081"/>
        </a:xfrm>
        <a:prstGeom prst="wedgeRectCallout">
          <a:avLst>
            <a:gd name="adj1" fmla="val 20250"/>
            <a:gd name="adj2" fmla="val -60700"/>
          </a:avLst>
        </a:prstGeom>
        <a:solidFill>
          <a:schemeClr val="accent6">
            <a:lumMod val="60000"/>
            <a:lumOff val="40000"/>
          </a:scheme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2021–2022</a:t>
          </a:r>
          <a:r>
            <a:rPr lang="lt-LT" sz="1000" b="1" kern="1200">
              <a:latin typeface="Arial" panose="020B0604020202020204" pitchFamily="34" charset="0"/>
              <a:cs typeface="Arial" panose="020B0604020202020204" pitchFamily="34" charset="0"/>
            </a:rPr>
            <a:t> </a:t>
          </a:r>
        </a:p>
        <a:p>
          <a:pPr lvl="0" algn="ctr" defTabSz="444500">
            <a:lnSpc>
              <a:spcPct val="90000"/>
            </a:lnSpc>
            <a:spcBef>
              <a:spcPct val="0"/>
            </a:spcBef>
            <a:spcAft>
              <a:spcPct val="35000"/>
            </a:spcAft>
          </a:pPr>
          <a:r>
            <a:rPr lang="lt-LT" sz="1000" b="1" kern="1200">
              <a:latin typeface="Arial" panose="020B0604020202020204" pitchFamily="34" charset="0"/>
              <a:cs typeface="Arial" panose="020B0604020202020204" pitchFamily="34" charset="0"/>
            </a:rPr>
            <a:t>60,6 proc.</a:t>
          </a:r>
        </a:p>
      </dsp:txBody>
      <dsp:txXfrm>
        <a:off x="109258" y="919566"/>
        <a:ext cx="1058722" cy="333081"/>
      </dsp:txXfrm>
    </dsp:sp>
    <dsp:sp modelId="{BB721DBF-4034-46DE-AF1F-35D716FB442D}">
      <dsp:nvSpPr>
        <dsp:cNvPr id="0" name=""/>
        <dsp:cNvSpPr/>
      </dsp:nvSpPr>
      <dsp:spPr>
        <a:xfrm>
          <a:off x="1310730" y="63071"/>
          <a:ext cx="1189576" cy="951660"/>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92C1DFDD-5AEA-4627-BFEA-1F7DB44DD05E}">
      <dsp:nvSpPr>
        <dsp:cNvPr id="0" name=""/>
        <dsp:cNvSpPr/>
      </dsp:nvSpPr>
      <dsp:spPr>
        <a:xfrm>
          <a:off x="1417792" y="919566"/>
          <a:ext cx="1058722" cy="333081"/>
        </a:xfrm>
        <a:prstGeom prst="wedgeRectCallout">
          <a:avLst>
            <a:gd name="adj1" fmla="val 20250"/>
            <a:gd name="adj2" fmla="val -60700"/>
          </a:avLst>
        </a:prstGeom>
        <a:solidFill>
          <a:schemeClr val="accent6">
            <a:lumMod val="75000"/>
          </a:scheme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2023–2024</a:t>
          </a:r>
          <a:r>
            <a:rPr lang="lt-LT" sz="1000" b="1" kern="1200">
              <a:latin typeface="Arial" panose="020B0604020202020204" pitchFamily="34" charset="0"/>
              <a:cs typeface="Arial" panose="020B0604020202020204" pitchFamily="34" charset="0"/>
            </a:rPr>
            <a:t> </a:t>
          </a:r>
        </a:p>
        <a:p>
          <a:pPr lvl="0" algn="ctr" defTabSz="444500">
            <a:lnSpc>
              <a:spcPct val="90000"/>
            </a:lnSpc>
            <a:spcBef>
              <a:spcPct val="0"/>
            </a:spcBef>
            <a:spcAft>
              <a:spcPct val="35000"/>
            </a:spcAft>
          </a:pPr>
          <a:r>
            <a:rPr lang="lt-LT" sz="1000" b="1" kern="1200">
              <a:latin typeface="Arial" panose="020B0604020202020204" pitchFamily="34" charset="0"/>
              <a:cs typeface="Arial" panose="020B0604020202020204" pitchFamily="34" charset="0"/>
            </a:rPr>
            <a:t>63,8 proc.</a:t>
          </a:r>
        </a:p>
      </dsp:txBody>
      <dsp:txXfrm>
        <a:off x="1417792" y="919566"/>
        <a:ext cx="1058722" cy="333081"/>
      </dsp:txXfrm>
    </dsp:sp>
    <dsp:sp modelId="{2DA54824-637C-4D27-8E11-59BBD5BA908F}">
      <dsp:nvSpPr>
        <dsp:cNvPr id="0" name=""/>
        <dsp:cNvSpPr/>
      </dsp:nvSpPr>
      <dsp:spPr>
        <a:xfrm>
          <a:off x="2619264" y="63071"/>
          <a:ext cx="1189576" cy="951660"/>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25000" r="-25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B50BD230-BAF5-4377-A15F-88C4F5BE6062}">
      <dsp:nvSpPr>
        <dsp:cNvPr id="0" name=""/>
        <dsp:cNvSpPr/>
      </dsp:nvSpPr>
      <dsp:spPr>
        <a:xfrm>
          <a:off x="2726326" y="919566"/>
          <a:ext cx="1058722" cy="333081"/>
        </a:xfrm>
        <a:prstGeom prst="wedgeRectCallout">
          <a:avLst>
            <a:gd name="adj1" fmla="val 20250"/>
            <a:gd name="adj2" fmla="val -60700"/>
          </a:avLst>
        </a:prstGeom>
        <a:solidFill>
          <a:srgbClr val="002060"/>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2025–2026</a:t>
          </a:r>
          <a:r>
            <a:rPr lang="lt-LT" sz="1000" b="1" kern="1200">
              <a:latin typeface="Arial" panose="020B0604020202020204" pitchFamily="34" charset="0"/>
              <a:cs typeface="Arial" panose="020B0604020202020204" pitchFamily="34" charset="0"/>
            </a:rPr>
            <a:t> </a:t>
          </a:r>
        </a:p>
        <a:p>
          <a:pPr lvl="0" algn="ctr" defTabSz="444500">
            <a:lnSpc>
              <a:spcPct val="90000"/>
            </a:lnSpc>
            <a:spcBef>
              <a:spcPct val="0"/>
            </a:spcBef>
            <a:spcAft>
              <a:spcPct val="35000"/>
            </a:spcAft>
          </a:pPr>
          <a:r>
            <a:rPr lang="lt-LT" sz="1000" b="1" kern="1200">
              <a:latin typeface="Arial" panose="020B0604020202020204" pitchFamily="34" charset="0"/>
              <a:cs typeface="Arial" panose="020B0604020202020204" pitchFamily="34" charset="0"/>
            </a:rPr>
            <a:t>66,9 proc.</a:t>
          </a:r>
        </a:p>
      </dsp:txBody>
      <dsp:txXfrm>
        <a:off x="2726326" y="919566"/>
        <a:ext cx="1058722" cy="333081"/>
      </dsp:txXfrm>
    </dsp:sp>
    <dsp:sp modelId="{83AD50D4-6DF0-4B5E-A7BC-E4B81D5A75C1}">
      <dsp:nvSpPr>
        <dsp:cNvPr id="0" name=""/>
        <dsp:cNvSpPr/>
      </dsp:nvSpPr>
      <dsp:spPr>
        <a:xfrm>
          <a:off x="3927798" y="63071"/>
          <a:ext cx="1189576" cy="951660"/>
        </a:xfrm>
        <a:prstGeom prst="rect">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l="-25000" r="-25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18511A43-C6BF-4EAF-BEA2-945E767C8278}">
      <dsp:nvSpPr>
        <dsp:cNvPr id="0" name=""/>
        <dsp:cNvSpPr/>
      </dsp:nvSpPr>
      <dsp:spPr>
        <a:xfrm>
          <a:off x="4034859" y="919566"/>
          <a:ext cx="1058722" cy="333081"/>
        </a:xfrm>
        <a:prstGeom prst="wedgeRectCallout">
          <a:avLst>
            <a:gd name="adj1" fmla="val 20250"/>
            <a:gd name="adj2" fmla="val -60700"/>
          </a:avLst>
        </a:prstGeom>
        <a:solidFill>
          <a:srgbClr val="4472C4"/>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2027–2028</a:t>
          </a:r>
          <a:r>
            <a:rPr lang="lt-LT" sz="1000" b="1" kern="1200">
              <a:latin typeface="Arial" panose="020B0604020202020204" pitchFamily="34" charset="0"/>
              <a:cs typeface="Arial" panose="020B0604020202020204" pitchFamily="34" charset="0"/>
            </a:rPr>
            <a:t> </a:t>
          </a:r>
        </a:p>
        <a:p>
          <a:pPr lvl="0" algn="ctr" defTabSz="444500">
            <a:lnSpc>
              <a:spcPct val="90000"/>
            </a:lnSpc>
            <a:spcBef>
              <a:spcPct val="0"/>
            </a:spcBef>
            <a:spcAft>
              <a:spcPct val="35000"/>
            </a:spcAft>
          </a:pPr>
          <a:r>
            <a:rPr lang="lt-LT" sz="1000" b="1" kern="1200">
              <a:latin typeface="Arial" panose="020B0604020202020204" pitchFamily="34" charset="0"/>
              <a:cs typeface="Arial" panose="020B0604020202020204" pitchFamily="34" charset="0"/>
            </a:rPr>
            <a:t>70,1 proc.</a:t>
          </a:r>
        </a:p>
      </dsp:txBody>
      <dsp:txXfrm>
        <a:off x="4034859" y="919566"/>
        <a:ext cx="1058722" cy="333081"/>
      </dsp:txXfrm>
    </dsp:sp>
    <dsp:sp modelId="{7E1F72F4-4587-46B0-A74F-DE93D42CFE82}">
      <dsp:nvSpPr>
        <dsp:cNvPr id="0" name=""/>
        <dsp:cNvSpPr/>
      </dsp:nvSpPr>
      <dsp:spPr>
        <a:xfrm>
          <a:off x="5236331" y="63071"/>
          <a:ext cx="1189576" cy="951660"/>
        </a:xfrm>
        <a:prstGeom prst="rect">
          <a:avLst/>
        </a:prstGeom>
        <a:blipFill>
          <a:blip xmlns:r="http://schemas.openxmlformats.org/officeDocument/2006/relationships" r:embed="rId5" cstate="print">
            <a:extLst>
              <a:ext uri="{28A0092B-C50C-407E-A947-70E740481C1C}">
                <a14:useLocalDpi xmlns:a14="http://schemas.microsoft.com/office/drawing/2010/main" val="0"/>
              </a:ext>
            </a:extLst>
          </a:blip>
          <a:srcRect/>
          <a:stretch>
            <a:fillRect l="-25000" r="-25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68CEA084-CE9A-4608-9058-1BCE7104A779}">
      <dsp:nvSpPr>
        <dsp:cNvPr id="0" name=""/>
        <dsp:cNvSpPr/>
      </dsp:nvSpPr>
      <dsp:spPr>
        <a:xfrm>
          <a:off x="5343393" y="919566"/>
          <a:ext cx="1058722" cy="333081"/>
        </a:xfrm>
        <a:prstGeom prst="wedgeRectCallout">
          <a:avLst>
            <a:gd name="adj1" fmla="val 20250"/>
            <a:gd name="adj2" fmla="val -60700"/>
          </a:avLst>
        </a:prstGeom>
        <a:solidFill>
          <a:schemeClr val="accent4">
            <a:lumMod val="75000"/>
          </a:scheme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2030</a:t>
          </a:r>
          <a:r>
            <a:rPr lang="lt-LT" sz="1000" b="1" kern="1200">
              <a:latin typeface="Arial" panose="020B0604020202020204" pitchFamily="34" charset="0"/>
              <a:cs typeface="Arial" panose="020B0604020202020204" pitchFamily="34" charset="0"/>
            </a:rPr>
            <a:t> </a:t>
          </a:r>
        </a:p>
        <a:p>
          <a:pPr lvl="0" algn="ctr" defTabSz="444500">
            <a:lnSpc>
              <a:spcPct val="90000"/>
            </a:lnSpc>
            <a:spcBef>
              <a:spcPct val="0"/>
            </a:spcBef>
            <a:spcAft>
              <a:spcPct val="35000"/>
            </a:spcAft>
          </a:pPr>
          <a:r>
            <a:rPr lang="lt-LT" sz="1000" b="1" kern="1200">
              <a:latin typeface="Arial" panose="020B0604020202020204" pitchFamily="34" charset="0"/>
              <a:cs typeface="Arial" panose="020B0604020202020204" pitchFamily="34" charset="0"/>
            </a:rPr>
            <a:t>73,2 proc.</a:t>
          </a:r>
        </a:p>
      </dsp:txBody>
      <dsp:txXfrm>
        <a:off x="5343393" y="919566"/>
        <a:ext cx="1058722" cy="333081"/>
      </dsp:txXfrm>
    </dsp:sp>
  </dsp:spTree>
</dsp:drawing>
</file>

<file path=word/diagrams/layout1.xml><?xml version="1.0" encoding="utf-8"?>
<dgm:layoutDef xmlns:dgm="http://schemas.openxmlformats.org/drawingml/2006/diagram" xmlns:a="http://schemas.openxmlformats.org/drawingml/2006/main" uniqueId="urn:microsoft.com/office/officeart/2008/layout/BendingPictureCaptionList">
  <dgm:title val=""/>
  <dgm:desc val=""/>
  <dgm:catLst>
    <dgm:cat type="picture" pri="9000"/>
    <dgm:cat type="pictureconvert" pri="90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w" fact="1.11"/>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
        </dgm:alg>
        <dgm:shape xmlns:r="http://schemas.openxmlformats.org/officeDocument/2006/relationships" r:blip="">
          <dgm:adjLst/>
        </dgm:shape>
        <dgm:choose name="Name4">
          <dgm:if name="Name5" func="var" arg="dir" op="equ" val="norm">
            <dgm:constrLst>
              <dgm:constr type="l" for="ch" forName="rect1" refType="w" fact="0"/>
              <dgm:constr type="t" for="ch" forName="rect1" refType="h" fact="0"/>
              <dgm:constr type="w" for="ch" forName="rect1" refType="w"/>
              <dgm:constr type="h" for="ch" forName="rect1" refType="h" fact="0.8"/>
              <dgm:constr type="l" for="ch" forName="wedgeRectCallout1" refType="w" fact="0.09"/>
              <dgm:constr type="t" for="ch" forName="wedgeRectCallout1" refType="h" fact="0.72"/>
              <dgm:constr type="w" for="ch" forName="wedgeRectCallout1" refType="w" fact="0.89"/>
              <dgm:constr type="h" for="ch" forName="wedgeRectCallout1" refType="h" fact="0.28"/>
            </dgm:constrLst>
          </dgm:if>
          <dgm:else name="Name6">
            <dgm:constrLst>
              <dgm:constr type="l" for="ch" forName="rect1" refType="w" fact="0"/>
              <dgm:constr type="t" for="ch" forName="rect1" refType="h" fact="0"/>
              <dgm:constr type="w" for="ch" forName="rect1" refType="w"/>
              <dgm:constr type="h" for="ch" forName="rect1" refType="h" fact="0.8"/>
              <dgm:constr type="l" for="ch" forName="wedgeRectCallout1" refType="w" fact="0.02"/>
              <dgm:constr type="t" for="ch" forName="wedgeRectCallout1" refType="h" fact="0.72"/>
              <dgm:constr type="w" for="ch" forName="wedgeRectCallout1" refType="w" fact="0.89"/>
              <dgm:constr type="h" for="ch" forName="wedgeRectCallout1" refType="h" fact="0.28"/>
            </dgm:constrLst>
          </dgm:else>
        </dgm:choose>
        <dgm:layoutNode name="rect1" styleLbl="bgImgPlace1">
          <dgm:alg type="sp"/>
          <dgm:shape xmlns:r="http://schemas.openxmlformats.org/officeDocument/2006/relationships" type="rect" r:blip="" blipPhldr="1">
            <dgm:adjLst/>
          </dgm:shape>
          <dgm:presOf/>
        </dgm:layoutNode>
        <dgm:layoutNode name="wedgeRectCallout1" styleLbl="node1">
          <dgm:varLst>
            <dgm:bulletEnabled val="1"/>
          </dgm:varLst>
          <dgm:alg type="tx"/>
          <dgm:choose name="Name7">
            <dgm:if name="Name8" func="var" arg="dir" op="equ" val="norm">
              <dgm:shape xmlns:r="http://schemas.openxmlformats.org/officeDocument/2006/relationships" type="wedgeRectCallout" r:blip="">
                <dgm:adjLst>
                  <dgm:adj idx="1" val="0.2025"/>
                  <dgm:adj idx="2" val="-0.607"/>
                </dgm:adjLst>
              </dgm:shape>
            </dgm:if>
            <dgm:else name="Name9">
              <dgm:shape xmlns:r="http://schemas.openxmlformats.org/officeDocument/2006/relationships" type="wedgeRectCallout" r:blip="">
                <dgm:adjLst>
                  <dgm:adj idx="1" val="-0.2025"/>
                  <dgm:adj idx="2" val="-0.607"/>
                </dgm:adjLst>
              </dgm:shape>
            </dgm:else>
          </dgm:choos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Žalia">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abe8d8c10bf41d7b433839f6f94484e" PartId="277598bcd00c45ed857a7076a270adf6"/>
  <Part Type="patvirtinta" Title="TURINYS" DocPartId="4097312ba9dc455fa4496aba12f008e4" PartId="fcd14928b30f4c21805af6639487d1c2">
    <Part Type="punktas" Nr="1" Abbr="1 p." DocPartId="e69cc132e6c046c7bca94682fe180ec1" PartId="6432717bc92445b0b2e1d1974e360880">
      <Part Type="papunktis" Nr="1.1" Abbr="1.1 pp." DocPartId="5f303855d9434480b902eb72a4fe0715" PartId="0226134a049d4e4f822099e530953baf"/>
      <Part Type="papunktis" Nr="1.2" Abbr="1.2 pp." DocPartId="0cf15ef6aa94417dab0f8164264c029a" PartId="806066806654480398340ae008442edc"/>
      <Part Type="papunktis" Nr="1.3" Abbr="1.3 pp." DocPartId="b76b42022e0b4078b6cf6d9070de697a" PartId="1e28976715ec46f590abfaa92fa79896">
        <Part Type="papunktis" Nr="1.3.1" Abbr="1.3.1 pp." DocPartId="689f50d62ec34e0cadaf3552257ab097" PartId="009302e590e74f1cb321f5598369f040"/>
        <Part Type="papunktis" Nr="1.3.2" Abbr="1.3.2 pp." DocPartId="3319b82df41c4c11817ff9b64c8d0195" PartId="6ee7cab901f4447abbed31601a941c3a"/>
        <Part Type="papunktis" Nr="1.3.3" Abbr="1.3.3 pp." DocPartId="2af484a6f7624330b13b224b60b6dfbb" PartId="a55a2d117b844a13b947558bddf122aa"/>
        <Part Type="papunktis" Nr="1.3.4" Abbr="1.3.4 pp." DocPartId="23787d22f687403f9a130e87efba44ee" PartId="1b29622ef99f405e82c40f661a3493cd"/>
        <Part Type="papunktis" Nr="1.3.5" Abbr="1.3.5 pp." DocPartId="191bb0ff931b4fbb938e52effbf5719d" PartId="9edca198ca0a48ee89479ef99a00df73"/>
        <Part Type="papunktis" Nr="1.3.6" Abbr="1.3.6 pp." DocPartId="ff9980e810ab43c3b63ea9f05579eaf6" PartId="eae5a6e46b5244beb415f57823921c00"/>
      </Part>
      <Part Type="papunktis" Nr="1.4" Abbr="1.4 pp." DocPartId="96acfbb1897346a380b655ec561ef023" PartId="605253a190d847b8a14774c3be2525cd"/>
      <Part Type="papunktis" Nr="1.5" Abbr="1.5 pp." DocPartId="10bcbe7b59e742f88e0bd5d02a313302" PartId="9150b4bb6ab34db1b8192e7615e1ca6d">
        <Part Type="papunktis" Nr="1.5.1" Abbr="1.5.1 pp." DocPartId="85f0c1624e074ec08eaa816c9b08b4ca" PartId="259de81ecb1f40a8bc3d00cc91cd0f1b"/>
        <Part Type="papunktis" Nr="1.5.2" Abbr="1.5.2 pp." DocPartId="f3940eedd7aa48a38a424be78b55bda7" PartId="e5dd1a3616df4eccb8fed94bac17c4af"/>
      </Part>
      <Part Type="papunktis" Nr="1.6" Abbr="1.6 pp." DocPartId="4be49ca01b6d48cfbd07245e56257f05" PartId="1dea8f8721c64f0c8c520d4e1ebd9007"/>
      <Part Type="papunktis" Nr="1.7" Abbr="1.7 pp." DocPartId="9d9ca2caeb5f4c15b0fdad7b3c25a7ec" PartId="87f5d3ab23824081a4b766ad3b4e9937"/>
    </Part>
    <Part Type="punktas" Nr="2" Abbr="2 p." DocPartId="b88c9bd73a4f4b0da48bc21833df7a92" PartId="acbf36524f9441dc981b29b88a96a41d">
      <Part Type="papunktis" Nr="2.1" Abbr="2.1 pp." DocPartId="e020bbed1136419490a467f5f4fd1721" PartId="4f3c5d5db26e4afeb9eeb7d1024a391d"/>
      <Part Type="papunktis" Nr="2.2" Abbr="2.2 pp." DocPartId="bc197e1cf6db4eb9818792ecec1b5c1b" PartId="bb0c17705cb840779c60815fa662d808"/>
      <Part Type="papunktis" Nr="2.3" Abbr="2.3 pp." DocPartId="509d129387874a35873df4ae521e64e6" PartId="f39b34df677445fb9f10fe2659b27277"/>
      <Part Type="papunktis" Nr="2.4" Abbr="2.4 pp." DocPartId="17f13fdc045b41ba83c0277958562ab1" PartId="edd657c2211b4038ab41d9a3af801a25"/>
      <Part Type="papunktis" Nr="2.5" Abbr="2.5 pp." DocPartId="a882cab1109d49e4985525b8de08622e" PartId="d0b816697e734dc8810f36809035c12f"/>
      <Part Type="papunktis" Nr="2.6" Abbr="2.6 pp." DocPartId="029f41ebf25e4ebc845137d104a195f0" PartId="464824fc81504443a0aae1b5c8da94ba"/>
    </Part>
    <Part Type="punktas" Nr="3" Abbr="3 p." DocPartId="8a2fab0a3d724cf9a3daeb4ac5a9d44a" PartId="bce88cff32cc479aaaa2da9eb5a51b5b">
      <Part Type="papunktis" Nr="3.1" Abbr="3.1 pp." DocPartId="69f7372ab4ca424586763f3371b806e4" PartId="df99459230864118a4be74d17d7b3c10"/>
      <Part Type="papunktis" Nr="3.2" Abbr="3.2 pp." DocPartId="b722239ce8e949579c3e67f7e8049a4b" PartId="f7964b6dbce8480d9657cdd1428d1a1d"/>
      <Part Type="papunktis" Nr="3.3" Abbr="3.3 pp." DocPartId="acf8f6e1002c4db2ae5dab4907ae3cda" PartId="0e1dbd5b1ac24be1b65ba171abd55c64"/>
      <Part Type="papunktis" Nr="3.4" Abbr="3.4 pp." DocPartId="2aecfe1b5cf74ab2a218d80dabd0b59e" PartId="bc6d44f28713460b8299369c6afb7ed6"/>
      <Part Type="papunktis" Nr="3.5" Abbr="3.5 pp." DocPartId="af4d3095fb6c429a8d3bf4aca692bf4b" PartId="17f654e0c9b74003bb212968f934e5f6"/>
    </Part>
    <Part Type="punktas" Nr="4" Abbr="4 p." DocPartId="2af5d00c5d724d768770a508f708dcb7" PartId="04899b8bbdb744e2bf22fdb59650023f">
      <Part Type="papunktis" Nr="4.1" Abbr="4.1 pp." DocPartId="431076cef67c4edf95681a6909768c9e" PartId="6816639b0cda4d42bcf651ae532b2650"/>
      <Part Type="papunktis" Nr="4.2" Abbr="4.2 pp." DocPartId="da34fc7b9ef642f59bcf3379f749f6f9" PartId="8b84fe03c3274d7e891ce243e1d180ec"/>
      <Part Type="papunktis" Nr="4.3" Abbr="4.3 pp." DocPartId="082140af78d8426188953c8e5c5083f6" PartId="c058055135a546049349317e6220f4f1"/>
      <Part Type="papunktis" Nr="4.4" Abbr="4.4 pp." DocPartId="06f755aaa5324ab9a1fcdad5eb3aec8c" PartId="b53c0b83653d42f682037b6fa26269b6">
        <Part Type="papunktis" Nr="4.4.1" Abbr="4.4.1 pp." DocPartId="a11804dfc4e34e58a04c48f6c86182d1" PartId="1751a9c8036043e6ba9a24294c97e289"/>
        <Part Type="papunktis" Nr="4.4.2" Abbr="4.4.2 pp." DocPartId="eb1e1c6948274230bf2e0ff07a144a9a" PartId="7477d1347c2043cfb2acbad596ce8014"/>
        <Part Type="papunktis" Nr="4.4.3" Abbr="4.4.3 pp." DocPartId="c8728d6cfc894f22a16e3b2080f63b41" PartId="ec3e9a85b2084299b0acd2ae407f17a5"/>
      </Part>
      <Part Type="papunktis" Nr="4.5" Abbr="4.5 pp." DocPartId="a6cac43a5916457890efd34ef0cb33c5" PartId="1a9e3d07d3a44cb9b1a0d39aed11ece7"/>
      <Part Type="papunktis" Nr="4.6" Abbr="4.6 pp." DocPartId="0de6132a4e9241328bad9a74f31ee22d" PartId="3e1e22549c604eb08f80424fabac0a91"/>
      <Part Type="papunktis" Nr="4.7" Abbr="4.7 pp." DocPartId="48a50bb0c5ae4b9395c3fcda4ec4e4fc" PartId="1410b28eecc74c54a05c8e4e3afbc419"/>
      <Part Type="papunktis" Nr="4.8" Abbr="4.8 pp." DocPartId="9598fe43193f4c41abc2319fbf122cc8" PartId="ee266bf560a942e89a3a9ee972b5d4a3"/>
      <Part Type="papunktis" Nr="4.9" Abbr="4.9 pp." DocPartId="a368b2a178ab4613820448900aa2ca44" PartId="f479c1e2e34e485a8a8a01622b8fcb65"/>
      <Part Type="papunktis" Nr="4.10" Abbr="4.10 pp." DocPartId="255572ee8e89465e811836c2f9eb822e" PartId="f2f9fdfe541249f2bc183ce0b1db9443"/>
      <Part Type="papunktis" Nr="4.11" Abbr="4.11 pp." DocPartId="5d690718e0f64e519d50bd3f03f9ca99" PartId="243e7371701e4f62bbcf70861097d132">
        <Part Type="papunktis" Nr="4.11.1" Abbr="4.11.1 pp." DocPartId="2da27cd1c1654e38a93d4343f179d334" PartId="c9398a5d07574c21a0ee6b75589a87e4"/>
        <Part Type="papunktis" Nr="4.11.2" Abbr="4.11.2 pp." DocPartId="bb3bb0f99af64a2992a8f667f8b3b64f" PartId="d443a441820a4d999087c889e81c7f3a"/>
        <Part Type="papunktis" Nr="4.11.3" Abbr="4.11.3 pp." DocPartId="0e72a9bed2a74409b05a8f2743bdc08c" PartId="e2d8b6e64b2f4489a491b8b715aca9b2"/>
        <Part Type="papunktis" Nr="4.11.4" Abbr="4.11.4 pp." DocPartId="78ec15c84ab54c99ab6bd4bf30eb4f10" PartId="c9cb1f63e8684d62956e56346a81b41b"/>
        <Part Type="papunktis" Nr="4.11.5" Abbr="4.11.5 pp." DocPartId="246fff474b034f148cd747acf582b3f4" PartId="5da535ed8dd54b4d9d7f2ac376188fe9"/>
      </Part>
      <Part Type="papunktis" Nr="4.12" Abbr="4.12 pp." DocPartId="4f0f85c4729b42e8a370399b28f64a0c" PartId="38642880a5b14b3cad30f73e8b3ab032"/>
    </Part>
    <Part Type="punktas" Nr="5" Abbr="5 p." DocPartId="dc6499af2bd64d8c85ed0cf9c26edf2a" PartId="a9fbd05ba86748b7bf4ad9ed21fb42fa">
      <Part Type="papunktis" Nr="5.1" Abbr="5.1 pp." DocPartId="db5e58c6028444ecace6f1ff2cf99fab" PartId="3b69399cc6924a7582db9c39953ec259"/>
      <Part Type="papunktis" Nr="5.2" Abbr="5.2 pp." DocPartId="3068f22f64fd4722be86f3f0d56b1e9a" PartId="ce392746ff3d4e37af8716c3f25bd104"/>
      <Part Type="papunktis" Nr="5.3" Abbr="5.3 pp." DocPartId="84ec1cb0967b45b0bab4909f49dc5ad3" PartId="097c1de76064409bab7848f4e68b2db9"/>
    </Part>
    <Part Type="punktas" Nr="6" Abbr="6 p." DocPartId="ec679ec2c54e40b7bea00cc4303b6f22" PartId="4ba76bfc89054b57aa368b8786d63b4b"/>
    <Part Type="punktas" Nr="7" Abbr="7 p." DocPartId="3471ef85f2d14fcf823ad20338dfbca3" PartId="321d606530e54ab2a35f5e0c9c5e4e44"/>
    <Part Type="punktas" Nr="8" Abbr="8 p." DocPartId="b62a3a31e87c46f0907da58f379c5515" PartId="c86967dbb73d4b60ba01b319a10749a6">
      <Part Type="papunktis" Nr="8.1" Abbr="8.1 pp." DocPartId="fd4ca99946504eeb958ed87d70b3d4c3" PartId="1dc567325a91489da4ee71c1f6985339"/>
      <Part Type="papunktis" Nr="8.2" Abbr="8.2 pp." DocPartId="371c479ccba8422fa9e1d636dd4b4651" PartId="68332699c51d461ab74cd60c1eb33cff"/>
      <Part Type="papunktis" Nr="8.3" Abbr="8.3 pp." DocPartId="b3a367376dd14ef9ac6001c343df6f27" PartId="d74bca2c35da450aad3d06ccce418f1a"/>
      <Part Type="papunktis" Nr="8.4" Abbr="8.4 pp." DocPartId="242dc425295a4a2d86166263f6d746b8" PartId="f699044a76884f3cafd43667862d2f69"/>
      <Part Type="papunktis" Nr="8.5" Abbr="8.5 pp." DocPartId="ecfc7b0887a8474c88a7b72bc30d7e49" PartId="174dc34346da46f2b6d685ae8d056c7a"/>
    </Part>
    <Part Type="punktas" Nr="9" Abbr="9 p." DocPartId="711221219f59427082cd3a57f0ba3542" PartId="48c057ff22834d019d7a19aa6ef04abb">
      <Part Type="papunktis" Nr="9.1" Abbr="9.1 pp." DocPartId="38c9ad1b01984e69ad0176e1b87e7383" PartId="b75d4be1990b4a46a02c2693bcf9a0a6"/>
      <Part Type="papunktis" Nr="9.2" Abbr="9.2 pp." DocPartId="91acedca8e5e44e4b188d242efb79426" PartId="6f1f0e2e3e014603b4fef0e72db00a49"/>
    </Part>
    <Part Type="punktas" Nr="10" Abbr="10 p." DocPartId="0381df5f36a44180a0524ab093945ae3" PartId="0dbe4cfe5a944fe4aed778b80321927d">
      <Part Type="papunktis" Nr="10.1" Abbr="10.1 pp." DocPartId="153af48871404bd3b58f443d403cc552" PartId="2e89d813973f4a02b206474d401398bf"/>
      <Part Type="papunktis" Nr="10.2" Abbr="10.2 pp." DocPartId="b68913d6d6174d288b8a124556bde612" PartId="c12b4749e26d47b58115e23896dad83a">
        <Part Type="papunktis" Nr="10.2.1" Abbr="10.2.1 pp." DocPartId="74662ad72ef946b4957bf0ee3549d98e" PartId="8d6954ce30ae4e43b2b2d2ccd5ab2454"/>
        <Part Type="papunktis" Nr="10.2.2" Abbr="10.2.2 pp." DocPartId="ddca943c025a4a21b997b67189cc3f09" PartId="1f2b61b02f814e71ab5a03e3c45cad89"/>
        <Part Type="papunktis" Nr="10.2.3" Abbr="10.2.3 pp." DocPartId="bfea8248ac384c87960725673b26dc1d" PartId="7a30320918624480a71856add06bed4e"/>
      </Part>
      <Part Type="papunktis" Nr="10.3" Abbr="10.3 pp." DocPartId="3227587f572b4d25a3b37e9f892559bf" PartId="84a0bf008fb94557a7d9d31f914a278c"/>
    </Part>
    <Part Type="punktas" Nr="11" Abbr="11 p." DocPartId="fec9576e206a4089b4bf0163d14bdbcf" PartId="ca6abc6929f149d19c7d0c26c296b42a"/>
    <Part Type="skirsnis" Title="LENTELIŲ SĄRAŠAS" DocPartId="518d55c0726345dcb02dc86be42a9001" PartId="ec2354f1f4aa4431b0e30113a00c478b">
      <Part Type="papunktis" Nr="1.3.1.2" Abbr="1.3.1.2 pp." Notes="Numeris ne iš eilės. Trūksta dalių? [DocDalys]" DocPartId="e9f779af8eae4d648a23fe77e2cac862" PartId="5b0a0efc0d584a13a6e1c34b056937ce"/>
      <Part Type="papunktis" Nr="1.3.2.1" Abbr="1.3.2.1 pp." Notes="Numeris ne iš eilės. Trūksta dalių? [DocDalys]" DocPartId="521382ba7e1847939961e9d1a05007bd" PartId="938939ef1a6b4572923577c8713ce5a9"/>
      <Part Type="papunktis" Nr="1.3.2.2" Abbr="1.3.2.2 pp." DocPartId="4ba6aceda4584ff9abaf6762e0e259a3" PartId="6c326ec77a3f430c929eac26c9a21185"/>
      <Part Type="papunktis" Nr="1.3.2.3" Abbr="1.3.2.3 pp." DocPartId="7098301f062248289542985bdeb6ce72" PartId="137e333f8d9f4b81a5dd112332a62b68"/>
      <Part Type="papunktis" Nr="1.3.3.1" Abbr="1.3.3.1 pp." Notes="Numeris ne iš eilės. Trūksta dalių? [DocDalys]" DocPartId="e1c7235a2f01422096a6924798c7f7a0" PartId="6bec05b5b3d145e6927b88ebe1d7ece1"/>
      <Part Type="papunktis" Nr="1.3.3.2" Abbr="1.3.3.2 pp." DocPartId="e9626539348640a1b8c71529b678ae2b" PartId="bcb2255194af4508a55b77ebea86830a"/>
      <Part Type="papunktis" Nr="1.3.5.1" Abbr="1.3.5.1 pp." Notes="Numeris ne iš eilės. Trūksta dalių? [DocDalys]" DocPartId="1bc490cc6a8d45e7a2a03589d77fa174" PartId="477bdb5af88b457ab1f0c9305733bac0"/>
      <Part Type="papunktis" Nr="1.3.5.2" Abbr="1.3.5.2 pp." DocPartId="1c231d3d638e4423a1cd2a7ee96b18b6" PartId="7db476e07940451183f297f68e2d973b"/>
      <Part Type="papunktis" Nr="1.3.6.1" Abbr="1.3.6.1 pp." Notes="Numeris ne iš eilės. Trūksta dalių? [DocDalys]" DocPartId="892e2c4c45544787a0a6c7733895dbc6" PartId="fe70cfc3b0f54c4ea7eeecd587bd3637"/>
      <Part Type="papunktis" Nr="1.3.6.2" Abbr="1.3.6.2 pp." DocPartId="011645a704824569a2cb1b3248a7f9e8" PartId="449afef66eef4f579d0ee6ac0b0ebf86"/>
      <Part Type="papunktis" Nr="1.4.2" Abbr="1.4.2 pp." Notes="Numeris ne iš eilės. Trūksta dalių? [DocDalys]" DocPartId="504bfa6a42974e8288de2f27dc12eb1b" PartId="4c9c3f4464b94dd3ba596468f65ca5ab"/>
      <Part Type="papunktis" Nr="1.4.4" Abbr="1.4.4 pp." Notes="Numeris ne iš eilės. Trūksta dalių? [DocDalys]" DocPartId="cb87a12a433f476b8ca3c4dbd26598f4" PartId="68906ac9836c4f488e68341ec1f002f6"/>
      <Part Type="papunktis" Nr="1.5.1.1" Abbr="1.5.1.1 pp." Notes="Numeris ne iš eilės. Trūksta dalių? [DocDalys]" DocPartId="54d1bbc74db54c0288c903a809bb64d0" PartId="c95eed5c8bf648c5b36d93a7e356d134"/>
      <Part Type="papunktis" Nr="1.5.2.2" Abbr="1.5.2.2 pp." Notes="Numeris ne iš eilės. Trūksta dalių? [DocDalys]" DocPartId="21816e03be654c60921e2f5c3a7f8afa" PartId="f179af704f014671bf45fbc0158240b3"/>
      <Part Type="papunktis" Nr="1.5.2.3" Abbr="1.5.2.3 pp." DocPartId="7dee4516759a45d7b936c377406f4799" PartId="14f550a533e242b39a983008c591922b"/>
      <Part Type="papunktis" Nr="1.6.1" Abbr="1.6.1 pp." Notes="Numeris ne iš eilės. Trūksta dalių? [DocDalys]" DocPartId="f27bfc6dad034a52b9d7cc6d1c51f916" PartId="a434efd4b1964556bc2ff3a141a1cbd3"/>
      <Part Type="papunktis" Nr="2.1.1" Abbr="2.1.1 pp." Notes="Numeris ne iš eilės. Trūksta dalių? [DocDalys]" DocPartId="26504e112fe344c6815766cbfaabcd2c" PartId="dc370ecd2a9045e183310b5b98cee551"/>
      <Part Type="papunktis" Nr="2.1.2" Abbr="2.1.2 pp." DocPartId="3b413fc375a6463b81291a607ac66eba" PartId="ea8f711de6ad4b0e9f142335ef136e21"/>
      <Part Type="papunktis" Nr="2.1.3" Abbr="2.1.3 pp." DocPartId="f9ebb7979c0d455bbf06b343deee63dc" PartId="5453397aef5d413f92735d3dfff11198"/>
      <Part Type="papunktis" Nr="2.1.4" Abbr="2.1.4 pp." DocPartId="0bdfb4f9bb984e72aec22928626dc1a9" PartId="d1f70b4b02514c3087ac8a9f828dc533"/>
      <Part Type="papunktis" Nr="2.6.1" Abbr="2.6.1 pp." Notes="Numeris ne iš eilės. Trūksta dalių? [DocDalys]" DocPartId="32bb27b2feff4099bdc32964be871e40" PartId="11f00259ce864b88949efdc8db24e0ad"/>
      <Part Type="papunktis" Nr="3.1" Abbr="3.1 pp." Notes="Numeris ne iš eilės. Trūksta dalių? [DocDalys]" DocPartId="ff8bd52bf0604348ab87329d3727fa7d" PartId="44b4a9b9d99c44c28db745536ce5d7f2"/>
      <Part Type="papunktis" Nr="3.2.1" Abbr="3.2.1 pp." Notes="Numeris ne iš eilės. Trūksta dalių? [DocDalys]" DocPartId="b73fec2fdf29423bbd38a8ba5f71f35d" PartId="0f4c5ff8d9494ea7ac789a5e14f309dc"/>
      <Part Type="papunktis" Nr="3.3.1" Abbr="3.3.1 pp." Notes="Numeris ne iš eilės. Trūksta dalių? [DocDalys]" DocPartId="7477d46b0766495697352d1bbc5fb189" PartId="95da6c7820424d3f9d4134bf07ab0e65"/>
      <Part Type="papunktis" Nr="3.3.2" Abbr="3.3.2 pp." DocPartId="87bd41a6b5de48d2ab172096639d8931" PartId="1096dc9d8892455f959fbe0bc6066dc8"/>
      <Part Type="papunktis" Nr="3.4.1" Abbr="3.4.1 pp." Notes="Numeris ne iš eilės. Trūksta dalių? [DocDalys]" DocPartId="45d24940d6624a708f09975af70d601d" PartId="661faff173d04584a70c77016fa39b5e"/>
      <Part Type="papunktis" Nr="3.5.1" Abbr="3.5.1 pp." Notes="Numeris ne iš eilės. Trūksta dalių? [DocDalys]" DocPartId="252824f2060941d4a638e4fbb5d57728" PartId="284803f714634e1b8e5f4a810d3b0438"/>
      <Part Type="papunktis" Nr="4.1.2" Abbr="4.1.2 pp." Notes="Numeris ne iš eilės. Trūksta dalių? [DocDalys]" DocPartId="4ca427c52881459488ddbc128510cc5b" PartId="d627592a97784595be9fac6cc3670178"/>
      <Part Type="papunktis" Nr="4.1.3" Abbr="4.1.3 pp." DocPartId="faf6c5dcd9b54b3c96c6333dce95f293" PartId="19bc8b2eabb7400a9e3c048a82ef0348"/>
      <Part Type="papunktis" Nr="4.1.4" Abbr="4.1.4 pp." DocPartId="0fb3d3607e664691b272748dcbb66fd0" PartId="bd2de208b66f411d9732c1e32284ecfe"/>
      <Part Type="papunktis" Nr="4.3.1" Abbr="4.3.1 pp." Notes="Numeris ne iš eilės. Trūksta dalių? [DocDalys]" DocPartId="d2bb1db05ca84e19a65b74ee4aae8fca" PartId="8052d2eed0a143a9aea3888712fbb9ae"/>
      <Part Type="papunktis" Nr="4.4.1" Abbr="4.4.1 pp." Notes="Numeris ne iš eilės. Trūksta dalių? [DocDalys]" DocPartId="fa8c75cc9e3c447b9f2c277d2eb259a9" PartId="4a6f378d67d9463fb1572bcbcfb24e44"/>
      <Part Type="papunktis" Nr="4.4.3.1" Abbr="4.4.3.1 pp." Notes="Numeris ne iš eilės. Trūksta dalių? [DocDalys]" DocPartId="fb00fb984d3a4cff901000e242ebb47a" PartId="6d10e5a7d2364ce28a9c2add56a64f16"/>
      <Part Type="papunktis" Nr="4.7.1" Abbr="4.7.1 pp." Notes="Numeris ne iš eilės. Trūksta dalių? [DocDalys]" DocPartId="07538dab163f44968fb1693e518cf821" PartId="a540a2f6fcf14040b6988c109c839595"/>
      <Part Type="papunktis" Nr="4.7.2" Abbr="4.7.2 pp." DocPartId="02cf57ebdf094bc98dcd02a8836a2932" PartId="1ba42977da4049239d3db5f6f59bf2e1"/>
      <Part Type="papunktis" Nr="4.8.1" Abbr="4.8.1 pp." Notes="Numeris ne iš eilės. Trūksta dalių? [DocDalys]" DocPartId="0949ec02940a41669a96aaa28cb49010" PartId="50352e74dc4a423f9cbed8e5bae79a72"/>
      <Part Type="papunktis" Nr="4.8.2" Abbr="4.8.2 pp." DocPartId="26918419cb0e441b8ef4717940fac198" PartId="9a4a1d5c8e1e420caa3daf96ac3e11fd"/>
      <Part Type="papunktis" Nr="4.12.1" Abbr="4.12.1 pp." Notes="Numeris ne iš eilės. Trūksta dalių? [DocDalys]" DocPartId="8e081df0de544f81a5242cf91fe6ecc5" PartId="9e2b20f0146945f7beb4d3a15b85b5a9"/>
      <Part Type="papunktis" Nr="5.1" Abbr="5.1 pp." Notes="Numeris ne iš eilės. Trūksta dalių? [DocDalys]" DocPartId="d16e425cc4c54412b4a5c287f9c7a7e8" PartId="90364cda3a3345839e259b6253213e2b"/>
      <Part Type="papunktis" Nr="5.2" Abbr="5.2 pp." DocPartId="147e230d33e14be6ac094713fab30d65" PartId="72107f6dae994c7a969cf3577abecc15"/>
      <Part Type="papunktis" Nr="5.1.1" Abbr="5.1.1 pp." Notes="Numeris ne iš eilės. Trūksta dalių? [DocDalys]" DocPartId="b47ace290fdf4f94a00159e59740a87d" PartId="3cbe64d57791438ebd2eb1f16df3ac20"/>
      <Part Type="papunktis" Nr="7.1" Abbr="7.1 pp." Notes="Numeris ne iš eilės. Trūksta dalių? [DocDalys]" DocPartId="3ddf139d7a3044789c3a573d979b2a14" PartId="f6d2ccb616984db19d3a82edcbc65563"/>
      <Part Type="papunktis" Nr="8.2.1" Abbr="8.2.1 pp." Notes="Numeris ne iš eilės. Trūksta dalių? [DocDalys]" DocPartId="bd7c0870945f4437aac0dec8645a76b5" PartId="08036c1b4a814fbb91d5da1609b47ae7"/>
      <Part Type="papunktis" Nr="8.3.1" Abbr="8.3.1 pp." Notes="Numeris ne iš eilės. Trūksta dalių? [DocDalys]" DocPartId="2daa514075104f8f9ad34a18e198415e" PartId="cced59ffde3142bdb49fbdeb9e0a7c6a"/>
      <Part Type="papunktis" Nr="8.3.2" Abbr="8.3.2 pp." DocPartId="58de0be33f9a458c9ef78daa46bec7d7" PartId="5b164e1a2a8b4fa4a405840bff709b67"/>
      <Part Type="papunktis" Nr="8.4.1" Abbr="8.4.1 pp." Notes="Numeris ne iš eilės. Trūksta dalių? [DocDalys]" DocPartId="5f3b78ecb0f34c8fbbf9d40fb0b72b90" PartId="005ac184ba65487e87abe2f2a9b1c15e"/>
      <Part Type="papunktis" Nr="8.5.1" Abbr="8.5.1 pp." Notes="Numeris ne iš eilės. Trūksta dalių? [DocDalys]" DocPartId="bb11b79ded6546ed924ddeef795d2ce0" PartId="c0da637b6f064317bc0dd8b243eb6418"/>
      <Part Type="papunktis" Nr="10.1.1" Abbr="10.1.1 pp." Notes="Numeris ne iš eilės. Trūksta dalių? [DocDalys]" DocPartId="ab4f8d34abfc47d5866a8c9b080d9810" PartId="a2829d8ef20b47769d69984c207f3159"/>
      <Part Type="papunktis" Nr="10.1.2" Abbr="10.1.2 pp." DocPartId="eaacf9df283b4c9b9e293046297be099" PartId="3478a4076f994d4cb69a9720073ba3ba"/>
      <Part Type="papunktis" Nr="9.2.1" Abbr="9.2.1 pp." Notes="Numeris ne iš eilės. Trūksta dalių? [DocDalys]" DocPartId="fec3616a8c4d4666b5ed7135d2947e6a" PartId="6c486ceb674f4f7fb3dc91455f80caf2"/>
      <Part Type="papunktis" Nr="9.2.2" Abbr="9.2.2 pp." DocPartId="5fb8b8dc13344ca5b524a12e28da0e35" PartId="6a31c68ea2d748a69047d9f94ec77a56"/>
      <Part Type="papunktis" Nr="9.2.3" Abbr="9.2.3 pp." DocPartId="05291a6df81c4c578f243dcb5304d36a" PartId="a652b502177c424ab13c8d8a916c3fb5"/>
      <Part Type="papunktis" Nr="10.2.2.1" Abbr="10.2.2.1 pp." Notes="Numeris ne iš eilės. Trūksta dalių? [DocDalys]" DocPartId="7174cdb50d824c18bfac635942412513" PartId="cb0cc94e366f4344ad1eda840e468b10"/>
      <Part Type="papunktis" Nr="10.3.1" Abbr="10.3.1 pp." Notes="Numeris ne iš eilės. Trūksta dalių? [DocDalys]" DocPartId="4c30709d4e8344cf9971ff7cd2391b03" PartId="73ccaf17abdf4d8db2835f0d05d71d9f"/>
      <Part Type="papunktis" Nr="10.3.2" Abbr="10.3.2 pp." DocPartId="ac31b08f8e93496087a5ad185eb13481" PartId="517baaeea0b44b10aecaeb15855c782d"/>
      <Part Type="papunktis" Nr="11.1" Abbr="11.1 pp." Notes="Numeris ne iš eilės. Trūksta dalių? [DocDalys]" DocPartId="9cf2c4b3db8a4e59bcbd793a66b6303e" PartId="a46e91eed237433288ffb8f0518bbcfe"/>
    </Part>
    <Part Type="skirsnis" Title="PAVEIKSLŲ SĄRAŠAS" DocPartId="98f6e67bc00b442496172e391ccb5b06" PartId="27242e21799a4e96bc442ee8cc0bb840">
      <Part Type="papunktis" Nr="1.1.1" Abbr="1.1.1 pp." Notes="Numeris ne iš eilės. Trūksta dalių? [DocDalys]" DocPartId="a013285c0d834bcb8d53d13397499aeb" PartId="b3bb540a0faf4d2387230983013212d7"/>
      <Part Type="papunktis" Nr="1.2.1" Abbr="1.2.1 pp." Notes="Numeris ne iš eilės. Trūksta dalių? [DocDalys]" DocPartId="7fc369c948054eee839a134b5d64fbc5" PartId="c3514ff684fe431cafd18242cccb1e34"/>
      <Part Type="papunktis" Nr="1.3.1" Abbr="1.3.1 pp." Notes="Numeris ne iš eilės. Trūksta dalių? [DocDalys]" DocPartId="f5e229a3fc8e4618bf907de43bbc97ec" PartId="b8d30f898683403c8df7ef4fc14c874e"/>
      <Part Type="papunktis" Nr="1.3.2.1" Abbr="1.3.2.1 pp." Notes="Numeris ne iš eilės. Trūksta dalių? [DocDalys]" DocPartId="4d943733fbaa4735b0d6d8d61b6a7ab0" PartId="661d422d6b084a428b33d8e1775ddf14"/>
      <Part Type="papunktis" Nr="1.3.2.2" Abbr="1.3.2.2 pp." DocPartId="3dedca6d50c24679b1014cd50a1d6bc4" PartId="2be948d801ea445194855caca9e628b0"/>
      <Part Type="papunktis" Nr="1.3.2.3" Abbr="1.3.2.3 pp." DocPartId="9be7a7bb12a142a2ae47288c123eddbf" PartId="e32350d31e31492d880cd4e2ac904883"/>
      <Part Type="papunktis" Nr="1.7.1" Abbr="1.7.1 pp." Notes="Numeris ne iš eilės. Trūksta dalių? [DocDalys]" DocPartId="429e1f71d58640ffbf14bf7ab5dae61c" PartId="b1ef8bbe7a8649f0afe84c41fccf7b42"/>
      <Part Type="papunktis" Nr="3.1" Abbr="3.1 pp." Notes="Numeris ne iš eilės. Trūksta dalių? [DocDalys]" DocPartId="826ffeb38613457a9aa8b465fe62c250" PartId="7ada4402e9e641b8b1c392aeecde16de"/>
      <Part Type="papunktis" Nr="4.6.1" Abbr="4.6.1 pp." Notes="Numeris ne iš eilės. Trūksta dalių? [DocDalys]" DocPartId="775a007eafa64214a9440fcf587d01de" PartId="278c9ad42a1e40cc84b050930a4be3a7"/>
      <Part Type="papunktis" Nr="4.6.2" Abbr="4.6.2 pp." DocPartId="b664a5a3550d48cbb26cbe07b195e29e" PartId="2969f8cf176141f4b19657d81a704563"/>
      <Part Type="papunktis" Nr="4.7.1" Abbr="4.7.1 pp." Notes="Numeris ne iš eilės. Trūksta dalių? [DocDalys]" DocPartId="ff8e59b1b26a403aaff3aefeecf57810" PartId="c406998104504dfcb129d86e191fe0c2"/>
      <Part Type="papunktis" Nr="4.8.1" Abbr="4.8.1 pp." Notes="Numeris ne iš eilės. Trūksta dalių? [DocDalys]" DocPartId="3baa962efcfb438daf17c481143b9655" PartId="2126e5425b3c4d78a239810bb3576d36"/>
      <Part Type="papunktis" Nr="4.9.1" Abbr="4.9.1 pp." Notes="Numeris ne iš eilės. Trūksta dalių? [DocDalys]" DocPartId="8787e5bbc8db4b10afd436ce62c160f8" PartId="1b1cbc242e7041c4a72531356bace88a"/>
      <Part Type="papunktis" Nr="5.3.1" Abbr="5.3.1 pp." Notes="Numeris ne iš eilės. Trūksta dalių? [DocDalys]" DocPartId="d84c49407389453a958b5ba2d4f41026" PartId="e9c21b4fbe9b4723a6ff878858c5ed5a"/>
      <Part Type="papunktis" Nr="5.3.2" Abbr="5.3.2 pp." DocPartId="d89753d67dcc45e0b7d03296106f5375" PartId="d4ef0ffb98ff40aca9540dd70dc4cd3d"/>
      <Part Type="papunktis" Nr="5.3.3" Abbr="5.3.3 pp." DocPartId="4645b53ac5b34ae1b1221bc660aed624" PartId="0b7f445177e647ad8db1a47ea344452b"/>
      <Part Type="papunktis" Nr="6.1" Abbr="6.1 pp." Notes="Numeris ne iš eilės. Trūksta dalių? [DocDalys]" DocPartId="d5b5c5ef2ba846299d87f4b7235a497a" PartId="a6f6d5b3d1534dc0bf5920eff96bcf8b"/>
    </Part>
    <Part Type="skirsnis" Title="ĮVADAS" DocPartId="ff68c152af184648a07f41fa4211467c" PartId="c3ed85bc421d4ffdaf746a17ebd6b3a3"/>
    <Part Type="skirsnis" Title="SANTRAUKA" DocPartId="2b7784f038a146eba068d288319917e3" PartId="21a85c26cff74fd590c2516aa51fb9f5"/>
    <Part Type="skirsnis" Title="EXTENDED SUMMARY" DocPartId="0d51a4272f5749d5b9d59b9773942ff6" PartId="d5fc7d1157204a3e99ba27546196b215">
      <Part Type="punktas" Nr="1" Abbr="1 p." DocPartId="9d9f9268af81482bb66c18b0269e66ab" PartId="7e21cb26bd8e413b8f3344401d2fa77d">
        <Part Type="papunktis" Nr="1.1" Abbr="1.1 pp." DocPartId="695ea56a698a424388e35f269c274fa0" PartId="2ac22c8fd4ea4ebebe4bf506290fd4db">
          <Part Type="papunktis" Nr="1.1.1" Abbr="1.1.1 pp." DocPartId="717e1a00342f491d9ee94f0fed65c5c6" PartId="b558d735dc4d43f689d0f48a7dd261f6"/>
        </Part>
        <Part Type="papunktis" Nr="1.2" Abbr="1.2 pp." DocPartId="e7ab10460e4247c2832741e9088c39af" PartId="d502af952e2b42e4a1b496b535e31a3b">
          <Part Type="papunktis" Nr="1.2.1" Abbr="1.2.1 pp." DocPartId="8159bf17db9344f2bc56f1257a5612c5" PartId="0abfb39d31a24565a3b944c1f87d47c7"/>
        </Part>
        <Part Type="papunktis" Nr="1.3" Abbr="1.3 pp." DocPartId="56fc8f49d6794af29b4996430450ffdc" PartId="d4596e1864fe499baa6828571f450004">
          <Part Type="papunktis" Nr="1.3.1" Abbr="1.3.1 pp." DocPartId="26ac55fccc04446a843d187fbe27657d" PartId="08ca999b4fb94319a6ecd32f89f7c164">
            <Part Type="papunktis" Nr="1.3.1.1" Abbr="1.3.1.1 pp." DocPartId="68e2208313be4c41bceb7aef06a238ac" PartId="400ecf97607647649c92385225bf8d0e"/>
            <Part Type="papunktis" Nr="1.3.1.2" Abbr="1.3.1.2 pp." DocPartId="94e0049e57e547c6ad352b121c094b4e" PartId="b526780216714e8cbd62593ce9c52f5b"/>
          </Part>
          <Part Type="papunktis" Nr="1.3.1" Abbr="1.3.1 pp." Notes="Numeris ne iš eilės. Trūksta dalių? [DocDalys]" DocPartId="00afa8d9231e40189b29b749dc2db3d3" PartId="6c3c7a10c5a84c209a2767153a98ca9a"/>
          <Part Type="papunktis" Nr="1.3.2" Abbr="1.3.2 pp." DocPartId="0f7869b706894d30a5271e0eb7089091" PartId="060388fc31b847e99d4943c63ae089dd">
            <Part Type="papunktis" Nr="1.3.2.1" Abbr="1.3.2.1 pp." DocPartId="457e0f4b729d4854b4ca2c07dbedb5fc" PartId="cf2c49fead2f4834bdbd73e6d04e94ee"/>
            <Part Type="papunktis" Nr="1.3.2.1" Abbr="1.3.2.1 pp." Notes="Numeris ne iš eilės. Trūksta dalių? [DocDalys]" DocPartId="318a0570c64045f1ac6e9a86ba1605e5" PartId="97afd8cd2ab24742b2efe9ed6437de2f"/>
            <Part Type="papunktis" Nr="1.3.2.2" Abbr="1.3.2.2 pp." DocPartId="7a5327f955a24448bd55559114914232" PartId="e8d9799cb5714e778a5d63af12fddedc"/>
            <Part Type="papunktis" Nr="1.3.2.2" Abbr="1.3.2.2 pp." Notes="Numeris ne iš eilės. Trūksta dalių? [DocDalys]" DocPartId="56aee7a02c424f17b5b28156ec5745b2" PartId="f279818e664c4ed9abde83cda7430c1c"/>
            <Part Type="papunktis" Nr="1.3.2.2" Abbr="1.3.2.2 pp." Notes="Numeris ne iš eilės. Trūksta dalių? [DocDalys]" DocPartId="f84a89e5305c4f9692271b18a363f076" PartId="3e2c863c67524a428c039c986357f985"/>
            <Part Type="papunktis" Nr="1.3.2.3" Abbr="1.3.2.3 pp." DocPartId="4afbd60510284741be82982bf0ff433e" PartId="4982cba4d65646f0b6709554422253a9"/>
            <Part Type="papunktis" Nr="1.3.2.3" Abbr="1.3.2.3 pp." Notes="Numeris ne iš eilės. Trūksta dalių? [DocDalys]" DocPartId="7587b6f44f0145eeb4635855ec6b1df6" PartId="a5e78ac8ef924546820e001281a22946"/>
          </Part>
          <Part Type="papunktis" Nr="1.3.3" Abbr="1.3.3 pp." DocPartId="530b9a5f51cf4ae5b09c88c10a6eef4d" PartId="438c3069edb0473d8bf7c5f8ac760c32">
            <Part Type="papunktis" Nr="1.3.3.1" Abbr="1.3.3.1 pp." DocPartId="1794fab23b37494283f34c6e8f0c7d4a" PartId="308eea4e1adc4a20baf7bea9e635b3c8"/>
            <Part Type="papunktis" Nr="1.3.3.2" Abbr="1.3.3.2 pp." DocPartId="0f89e52bc5674244b5988c4022a92073" PartId="dcb17c072c06419c93a60ee1eff653cd"/>
          </Part>
          <Part Type="papunktis" Nr="1.3.4" Abbr="1.3.4 pp." DocPartId="25603c9003c84d0db0c63fa0a4ba2eea" PartId="080515abedfb475782f701e46a7eb72c"/>
          <Part Type="papunktis" Nr="1.3.5" Abbr="1.3.5 pp." DocPartId="2fc394529cbb4e149e3e91d6b1b347a9" PartId="51b54b9b2c754e4fad4e97e80b5b2fa8">
            <Part Type="papunktis" Nr="1.3.5.1" Abbr="1.3.5.1 pp." DocPartId="abea51fda0304b79a4f1aa80c550321c" PartId="2c5828afb9244a18ba7a34678c9c7116"/>
            <Part Type="papunktis" Nr="1.3.5.2" Abbr="1.3.5.2 pp." DocPartId="a9a00c5e7b404f6983f72ce4c7266b6d" PartId="77549f95310b42b7a7c89183d068b8d1"/>
          </Part>
          <Part Type="papunktis" Nr="1.3.6" Abbr="1.3.6 pp." DocPartId="70e01262501b40c983ea6e147b33a2cf" PartId="7f76be64b286465eb8d0c370f220c377">
            <Part Type="papunktis" Nr="1.3.6.1" Abbr="1.3.6.1 pp." DocPartId="2f50f5895c8246afa22716c3cf32de7d" PartId="ec3c666cfc2d406e822206f0d730c16f"/>
            <Part Type="papunktis" Nr="1.3.6.2" Abbr="1.3.6.2 pp." DocPartId="7f7aab2245994f47ad0180d2c29d8214" PartId="dc17c53f3d9347a381d13f5444fa39ce"/>
          </Part>
        </Part>
        <Part Type="papunktis" Nr="1.4" Abbr="1.4 pp." DocPartId="eeed5ff595714f4085ed2bbb0e39b978" PartId="1c66bbca099c49bba1e82d4cedf54772">
          <Part Type="papunktis" Nr="1.4.2" Abbr="1.4.2 pp." Notes="Numeris ne iš eilės. Trūksta dalių? [DocDalys]" DocPartId="95738a44539b4ff19e126df1a01a8a46" PartId="ddafe2e98c254595a4b15cfd1cb202dc"/>
          <Part Type="papunktis" Nr="1.4.4" Abbr="1.4.4 pp." Notes="Numeris ne iš eilės. Trūksta dalių? [DocDalys]" DocPartId="4a7c45bf7a574547b8f474111b394f21" PartId="aa5426b25bf44fc5bfdd4a0d2423036c"/>
        </Part>
        <Part Type="papunktis" Nr="1.5" Abbr="1.5 pp." DocPartId="7c90518eef1b4313bc4ad6890978f65d" PartId="794ec2e501234772a3c79d5f509aa6f3">
          <Part Type="papunktis" Nr="1.5.1" Abbr="1.5.1 pp." DocPartId="4b04ca7b32934f93bd44f38af8d59298" PartId="53e9434819384795be31417f6d82aca1">
            <Part Type="papunktis" Nr="1.5.1.1" Abbr="1.5.1.1 pp." DocPartId="70714f55b38241629d949728c34a7259" PartId="f1ed316f805446b4a285c740aafb932a"/>
          </Part>
          <Part Type="papunktis" Nr="1.5.2" Abbr="1.5.2 pp." DocPartId="fcb6fb9f19d4475596d07f33a309e6c8" PartId="e33de512d30e416ba7320614f275a608">
            <Part Type="papunktis" Nr="1.5.2.2" Abbr="1.5.2.2 pp." Notes="Numeris ne iš eilės. Trūksta dalių? [DocDalys]" DocPartId="26e97fc920a147e19736e556d95cc187" PartId="1c6a8bfd4711465da6a22e10867a0ca4"/>
            <Part Type="papunktis" Nr="1.5.2.3" Abbr="1.5.2.3 pp." DocPartId="32e2e0dbacf44f589b28aaed05cc47f7" PartId="d2cf8d35018a4cc29ec3835ae1ce62d1"/>
          </Part>
        </Part>
        <Part Type="papunktis" Nr="1.6" Abbr="1.6 pp." DocPartId="5373c41a4b0b475ca49b1dc57992b791" PartId="dde44dd5190e477783f739393e309dd0">
          <Part Type="papunktis" Nr="1.6.1" Abbr="1.6.1 pp." DocPartId="ed5b397b0bd64dff80519b4840b78390" PartId="1338539a1b8b418d83c4e15e517d9d29"/>
        </Part>
        <Part Type="papunktis" Nr="1.7" Abbr="1.7 pp." DocPartId="e435b1d4ffb94bb5a619b8d3e0b55081" PartId="530d74fd02ff4c9d98a7888209070209">
          <Part Type="papunktis" Nr="1.7.1" Abbr="1.7.1 pp." DocPartId="921ec371062c42c9aac0b387280334f5" PartId="654fb47c4f114e94ae9c7fc69bb58684"/>
        </Part>
      </Part>
      <Part Type="punktas" Nr="2" Abbr="2 p." DocPartId="322623adbe1b4a0f844053039aa3fa14" PartId="4012d9132a5d4a6eb7552ae00cecc535">
        <Part Type="papunktis" Nr="2.1" Abbr="2.1 pp." DocPartId="18258eed6be84376a1f6716c04c984ba" PartId="8bf8640ac4cd4fc5a755dd6bc15b81c7">
          <Part Type="papunktis" Nr="2.1.1" Abbr="2.1.1 pp." DocPartId="c7752b1f6bf949f59e3b99cd17805dee" PartId="aeb931c02a0e4e89aa928ae20d235237"/>
          <Part Type="papunktis" Nr="2.1.2" Abbr="2.1.2 pp." DocPartId="59671748370440478ab9a836f431d677" PartId="2031e808de72454ea42aaada318dbbae"/>
          <Part Type="papunktis" Nr="2.1.3" Abbr="2.1.3 pp." DocPartId="467514234d134b4a964c9d52aca62ad9" PartId="71998973ecac4984a8f0aa73d520b9aa"/>
          <Part Type="papunktis" Nr="2.1.4" Abbr="2.1.4 pp." DocPartId="0f985fc1e38a45b5971d7e9f6659a94d" PartId="e7f1714228c54214a657abefb598bd68"/>
        </Part>
        <Part Type="papunktis" Nr="2.2" Abbr="2.2 pp." DocPartId="418c9173dcfc48ac8ad1a5773a25852a" PartId="4517f732620d4b17abc467c236e3e9ad"/>
        <Part Type="papunktis" Nr="2.3" Abbr="2.3 pp." DocPartId="60abc3383a9c4502a20eda0d0853153d" PartId="49ae4f44ed604255a1bb303a2b24c566"/>
        <Part Type="papunktis" Nr="2.4" Abbr="2.4 pp." DocPartId="aa56964a6c2643dcaf54afc59a2e50e8" PartId="48d2e660cf424a9c8d85fdc9c7455115"/>
        <Part Type="papunktis" Nr="2.5" Abbr="2.5 pp." DocPartId="2baded62256d42e69519c6e23d1ffd02" PartId="96b8e7a6a3aa458b8f2b30ff84e8c29f"/>
        <Part Type="papunktis" Nr="2.6" Abbr="2.6 pp." DocPartId="17c7dacc93364ef0aed786b9f5a4dcbb" PartId="7dded3422b0340a4ba186625b06fc8da">
          <Part Type="papunktis" Nr="2.6.1" Abbr="2.6.1 pp." DocPartId="124d30f9d908408cb5c182538fc5c187" PartId="8c011b22ec114a46b3341ceff792c9d4"/>
        </Part>
      </Part>
      <Part Type="punktas" Nr="3" Abbr="3 p." DocPartId="3a3d430be7144fec8a2a958f04856212" PartId="b4fd029db13f42639a63f318333ac928">
        <Part Type="papunktis" Nr="3.1" Abbr="3.1 pp." DocPartId="6de435a52a8b4a96a332a8ccfe88b602" PartId="286bf05777ae492791af142bfa3186a6"/>
        <Part Type="papunktis" Nr="3.1" Abbr="3.1 pp." Notes="Numeris ne iš eilės. Trūksta dalių? [DocDalys]" DocPartId="aa5350d13f3c4518b87c626c9f994670" PartId="7676e42ef6564f269aa894ffd7c63914"/>
        <Part Type="papunktis" Nr="3.1" Abbr="3.1 pp." Notes="Numeris ne iš eilės. Trūksta dalių? [DocDalys]" DocPartId="7b8929e4adc04923aee1f2312f1ada7d" PartId="8f15526169b746628549327aa95c1275"/>
        <Part Type="papunktis" Nr="3.2" Abbr="3.2 pp." DocPartId="ef02193248b1457aa52a2b0fb22ba6a2" PartId="cb70c5de1dbb42698af5d9376f63f2ce">
          <Part Type="papunktis" Nr="3.2.1" Abbr="3.2.1 pp." DocPartId="84abac56e42f4bdf8ca6916a007f0c68" PartId="c8b97187382c469d8a27105cc9dad84d"/>
        </Part>
        <Part Type="papunktis" Nr="3.3" Abbr="3.3 pp." DocPartId="5f94fde565744dffbee7a5e8736e8733" PartId="9e043502c5774bc88394c674d301debf">
          <Part Type="papunktis" Nr="3.3.1" Abbr="3.3.1 pp." DocPartId="581b795b727349dd9f55f995e32652d9" PartId="4d0bfee2966441169c5696c390076646"/>
          <Part Type="papunktis" Nr="3.3.2" Abbr="3.3.2 pp." DocPartId="01d56a11698c4c339380f26a21e9ddd0" PartId="42c8b841f24140b9b362825fb42b8188"/>
        </Part>
        <Part Type="papunktis" Nr="3.4" Abbr="3.4 pp." DocPartId="415b8de7f45c499cbfcc149d6c2f8bbf" PartId="9078483f97ba4e8eb6a8b0ae83fda4be">
          <Part Type="papunktis" Nr="3.4.1" Abbr="3.4.1 pp." DocPartId="e71f04923b5c43989dedd17c86b69940" PartId="3c140b58f36c4e20b57ffc9f332b1996"/>
        </Part>
        <Part Type="papunktis" Nr="3.5" Abbr="3.5 pp." DocPartId="fdc7f595c4a14e059d8e3334e69e0750" PartId="30be06da22434f0b92296aee3a547260">
          <Part Type="papunktis" Nr="3.5.1" Abbr="3.5.1 pp." DocPartId="2267db4a8464485680c6886efceb2b17" PartId="22d82b196ae14706b75df45ed61cb7c6"/>
        </Part>
      </Part>
      <Part Type="punktas" Nr="4" Abbr="4 p." DocPartId="4adf60ba0261494db0bc45f0752aaaa3" PartId="f82eba350d4e455a8f65f64dddc8eeb7">
        <Part Type="papunktis" Nr="4.1" Abbr="4.1 pp." DocPartId="a51372595fd24892901844063a3877f3" PartId="ce67b22af453479f807ec0e3cb2acec2">
          <Part Type="papunktis" Nr="4.1.2" Abbr="4.1.2 pp." Notes="Numeris ne iš eilės. Trūksta dalių? [DocDalys]" DocPartId="572d67d150a9431292104756313c6aaf" PartId="fb8c9e273bd74f228ea65a5fefbe2c79"/>
          <Part Type="papunktis" Nr="4.1.3" Abbr="4.1.3 pp." DocPartId="a25514994b7046deb1fcc953747853c5" PartId="43b2bc1cecb44c2aab8888c4407f291f"/>
          <Part Type="papunktis" Nr="4.1.4" Abbr="4.1.4 pp." DocPartId="678943b1b1374c21916c44615ad293be" PartId="683f27e0572945949e1e0e85f949c16d"/>
        </Part>
        <Part Type="papunktis" Nr="4.2" Abbr="4.2 pp." DocPartId="97e7b81c17fe47d39819e7f41c6aaf6c" PartId="746ff70fc6314e2c8b0d4ba4a35b9ee4"/>
        <Part Type="papunktis" Nr="4.3" Abbr="4.3 pp." DocPartId="6aa4c69ad45a465198b982890b6d9086" PartId="7fefc8a0237b4ec8951e2e2ee141ee54">
          <Part Type="papunktis" Nr="4.3.1" Abbr="4.3.1 pp." DocPartId="272277a717fc4356a79541199b9a36e9" PartId="4cca80b784204594a895d164d5f67134"/>
        </Part>
        <Part Type="papunktis" Nr="4.4" Abbr="4.4 pp." DocPartId="29cbf6e0a5694b8e8411b9c635c67617" PartId="8e6079ca1ba14e75992a8d254e79d64f">
          <Part Type="papunktis" Nr="4.4.1" Abbr="4.4.1 pp." DocPartId="ab701a1e30374be8a371552b8a3c4579" PartId="c4f7e8c76fb044baab6d58d4c8209875"/>
          <Part Type="papunktis" Nr="4.4.1" Abbr="4.4.1 pp." Notes="Numeris ne iš eilės. Trūksta dalių? [DocDalys]" DocPartId="a9e0ac132b0947618046382a6fb0f255" PartId="b52fdd11d6ee401a80c67d8c153fb685"/>
          <Part Type="papunktis" Nr="4.4.2" Abbr="4.4.2 pp." DocPartId="ef402cf9ae7348118da18984c1775a9f" PartId="91b325e33af54d5b86de9194629244f3"/>
          <Part Type="papunktis" Nr="4.4.3" Abbr="4.4.3 pp." DocPartId="c562613791954f4e965a99731e814f2a" PartId="b9329e3cda2d4fa087ed6587a0dfbce9">
            <Part Type="papunktis" Nr="4.4.3.1" Abbr="4.4.3.1 pp." DocPartId="4694fb36154e425fbc62b73064c20c9d" PartId="b43d95af443846d6a0661c93d8039e17"/>
          </Part>
        </Part>
        <Part Type="papunktis" Nr="4.5" Abbr="4.5 pp." DocPartId="3a5031abce4541b79cf69aa93ebb7adc" PartId="34ec84c8a49c459187335e422cdf393d"/>
        <Part Type="papunktis" Nr="4.6" Abbr="4.6 pp." DocPartId="24448803196445ca901f70eea1a97d02" PartId="474b61cf35d648a0b44fb57803d830b0">
          <Part Type="papunktis" Nr="4.6.1" Abbr="4.6.1 pp." DocPartId="749f35a8e54c423da2dd93114faa74e3" PartId="aa48bc1b87924bfdb0243143e2aff13b"/>
          <Part Type="papunktis" Nr="4.6.2" Abbr="4.6.2 pp." DocPartId="64ecb319c2ba4454bf3af4c4680515f4" PartId="d746007abda4462cb07a94b85dae1ec0"/>
        </Part>
        <Part Type="papunktis" Nr="4.7" Abbr="4.7 pp." DocPartId="2999af292b37440dabfe4d9cb84db149" PartId="7b74469d9a394106b0e05fa673cdd953">
          <Part Type="papunktis" Nr="4.7.1" Abbr="4.7.1 pp." DocPartId="eb6b685f45e34e43a9897d58c35ce5e0" PartId="152fe47af60a4f36869a5a236c083e12"/>
          <Part Type="papunktis" Nr="4.7.1" Abbr="4.7.1 pp." Notes="Numeris ne iš eilės. Trūksta dalių? [DocDalys]" DocPartId="3fd4f3b009d74eafa9081be67f38b047" PartId="66302420376546c19640e0c16b8edefd"/>
          <Part Type="papunktis" Nr="4.7.2" Abbr="4.7.2 pp." DocPartId="e0ff1a025a7f46c3b2a5b1cf33a5a047" PartId="d7a2520b2aea4e1795f2b27dce264bc2"/>
        </Part>
        <Part Type="papunktis" Nr="4.8" Abbr="4.8 pp." DocPartId="5608a54cc55b456bbbc8e6da6650cf29" PartId="9b67fc3a8a0243eaa92df8afbec51bf9">
          <Part Type="papunktis" Nr="4.8.1" Abbr="4.8.1 pp." DocPartId="d91d27c465014d868ab6b7066723246a" PartId="879158914a3e455db29224fde61a717b"/>
          <Part Type="papunktis" Nr="4.8.1" Abbr="4.8.1 pp." Notes="Numeris ne iš eilės. Trūksta dalių? [DocDalys]" DocPartId="4ed7abd8e5e741e787a412450aec4274" PartId="f8abc3c8a1d34a8b81719f8f88c5c145"/>
          <Part Type="papunktis" Nr="4.8.2" Abbr="4.8.2 pp." DocPartId="acb6f904b8ca492f8044476587bfdf8c" PartId="feed7e41254b44a68b68035150946a75"/>
        </Part>
        <Part Type="papunktis" Nr="4.9" Abbr="4.9 pp." DocPartId="937ba6aaa8e44515b476071c7b6b546b" PartId="2889097d649349a49d2712a440d4734b">
          <Part Type="papunktis" Nr="4.9.1" Abbr="4.9.1 pp." DocPartId="52b206d37be14459acf6278b788cf33e" PartId="177ec530ac074f8f9357e3be945325c2">
            <Part Type="strPapunktis" Nr="1" Abbr="4.9.1 pp. 1 pp." DocPartId="97dbe4fabde146e48fd6a96b454df5ae" PartId="39771bcf7420478ba1837eeaa77ce33c"/>
            <Part Type="strPapunktis" Nr="2" Abbr="4.9.1 pp. 2 pp." DocPartId="57bdb71e4a02414bb281a16ecc435231" PartId="0b49bbe3fbe244cd9bde669df21cd513"/>
            <Part Type="strPapunktis" Nr="3" Abbr="4.9.1 pp. 3 pp." DocPartId="d5dfe7d7ad8448b3a90b696c6e593864" PartId="0f22840b35324bebbde9d0482936ecd4"/>
          </Part>
        </Part>
        <Part Type="papunktis" Nr="4.10" Abbr="4.10 pp." DocPartId="702a20fcf4df4956a371d81a75e271d0" PartId="cc7eacb979674dcab517142562944df4"/>
        <Part Type="papunktis" Nr="4.11" Abbr="4.11 pp." DocPartId="5ce6eab131124a558cff7e155e7a4456" PartId="71fe772268224b04a1bce3dbd03f38d7">
          <Part Type="papunktis" Nr="4.11.1" Abbr="4.11.1 pp." DocPartId="e32c6ce946be494988c6d87461426482" PartId="e626cdf604354c758cf6fe8e1c597d1e"/>
          <Part Type="papunktis" Nr="4.11.2" Abbr="4.11.2 pp." DocPartId="1f9482db23324fbe9fa7baeb6111ba6c" PartId="b61e1c48c1514fbc90ffb9f45550857d"/>
          <Part Type="papunktis" Nr="4.11.3" Abbr="4.11.3 pp." DocPartId="8461c1d755d3471fb189ddb436f0d8c4" PartId="098e4311d1634520bf21c483435ad238"/>
          <Part Type="papunktis" Nr="4.11.4" Abbr="4.11.4 pp." DocPartId="1908af30ffc4405191c8bdc20fa48cd5" PartId="d44cb223565b46538820843b8bba0712"/>
          <Part Type="papunktis" Nr="4.11.5" Abbr="4.11.5 pp." DocPartId="69053374f9144f6fb2726f3ec9996daa" PartId="fe55518ba9eb42719b18968790955bec"/>
        </Part>
        <Part Type="papunktis" Nr="4.12" Abbr="4.12 pp." DocPartId="5d0b4291063942dbb94559781408b93e" PartId="37d28ade305546308321bd86b3f59cc2">
          <Part Type="papunktis" Nr="4.12.1" Abbr="4.12.1 pp." DocPartId="dc99025589fd442d80f8fa77486a9233" PartId="18aa5b876e3f427daccc96a553772db1"/>
          <Part Type="papunktis" Nr="4.12.1" Abbr="4.12.1 pp." Notes="Numeris ne iš eilės. Trūksta dalių? [DocDalys]" DocPartId="518db8325abd4dd7851a4509a9fbd488" PartId="8a7d55da2eae4538b782960385419e06"/>
        </Part>
      </Part>
      <Part Type="punktas" Nr="5" Abbr="5 p." DocPartId="d88fc8785bb24a00b1a0006559eb9950" PartId="5ba9993fd5cc4bd4b339c25540a5b1f6">
        <Part Type="papunktis" Nr="5.1" Abbr="5.1 pp." DocPartId="8acfca5e42c54e438b76b1f1daecbe16" PartId="064704029b744ae7a73fe59a55b1cecd"/>
        <Part Type="papunktis" Nr="5.2" Abbr="5.2 pp." DocPartId="00113c68064b448f9b354992e44c36f0" PartId="7969d4a7522541d5b505ddcbe06e4687"/>
        <Part Type="papunktis" Nr="5.1" Abbr="5.1 pp." Notes="Numeris ne iš eilės. Trūksta dalių? [DocDalys]" DocPartId="21986da545294f06aa29990fcd145600" PartId="64c6cb7bbfda43a4b446dba858d4b321">
          <Part Type="papunktis" Nr="5.1.1" Abbr="5.1.1 pp." DocPartId="81386669f7404cd1bc45aa375356d23c" PartId="52e71b349a0e4805a1146d311f6e5b73"/>
        </Part>
        <Part Type="papunktis" Nr="5.2" Abbr="5.2 pp." DocPartId="80985a7684924211b28132d31d57b20b" PartId="5c0abd0ab7d948bead9f94e2194a53e9"/>
        <Part Type="papunktis" Nr="5.3" Abbr="5.3 pp." DocPartId="60c2b709c29e45439c9691ec44246192" PartId="e330c76c112440859c07dc5282e2c88e">
          <Part Type="papunktis" Nr="5.3.1" Abbr="5.3.1 pp." DocPartId="3c4bdb7a97284571a8c21ea4dc4f380c" PartId="3f79d6dbed00448587c09b7c70180668"/>
          <Part Type="papunktis" Nr="5.3.2" Abbr="5.3.2 pp." DocPartId="75328016723d4601903a7f62ccab9a25" PartId="3e3b491c84844e5aa783e053b5b63257"/>
          <Part Type="papunktis" Nr="5.3.2" Abbr="5.3.2 pp." Notes="Numeris ne iš eilės. Trūksta dalių? [DocDalys]" DocPartId="16d3981eeb2a4defb6c9de5e3dd52396" PartId="12743ea7db034482a4df86b59f3891a7"/>
          <Part Type="papunktis" Nr="5.3.3" Abbr="5.3.3 pp." DocPartId="9783c48f5296468ba7160951a4aa9d45" PartId="141fa0bda5b2480f85f93017ffd4a35d"/>
          <Part Type="papunktis" Nr="5.3.4" Abbr="5.3.4 pp." DocPartId="c79a7d6f23584cb9b0d7eb8708f1f0d6" PartId="4e654de2d3444d1ea66e2c23fab5fe4d"/>
        </Part>
      </Part>
      <Part Type="punktas" Nr="6" Abbr="6 p." DocPartId="39f64419143f431d934573c1c59430e9" PartId="096c2752cf6d44668f35e71361a25fc5">
        <Part Type="papunktis" Nr="6.1" Abbr="6.1 pp." DocPartId="275a5e1416ba4d409d1f324a91e92975" PartId="52ba61aa249946ddb63d36750bf2b6b9"/>
      </Part>
      <Part Type="punktas" Nr="7" Abbr="7 p." DocPartId="6f1ae9f5e49b4244b1a3b65cee760859" PartId="bf07ce9a02f540afba69727f902890a8">
        <Part Type="papunktis" Nr="4.7" Abbr="4.7 pp." Notes="Numeris ne iš eilės. Trūksta dalių? [DocDalys]" DocPartId="2bbc11009721484ea95d13bf90824817" PartId="33150f072d2644bc9f3487715e6bffb4">
          <Part Type="strPapunktis" Nr="1" Abbr="4.7 pp. 1 pp." DocPartId="da0f3f58d3dd4aa2b50ff2ce9f9b983d" PartId="b49713db50b04d919556bb5166e31252"/>
          <Part Type="strPapunktis" Nr="2" Abbr="4.7 pp. 2 pp." DocPartId="8a88e344dbda4815a575a5ef6b6e27c3" PartId="4c4150f6fd2d492f8e7e1ceb66160183"/>
          <Part Type="strPapunktis" Nr="3" Abbr="4.7 pp. 3 pp." DocPartId="e6447e5265434dc98474e10baa349b2e" PartId="0b1ce5f6434947b0b0160a75a0396b34"/>
          <Part Type="strPapunktis" Nr="1" Abbr="4.7 pp. 1 pp." DocPartId="f0abe253422d45c4ae7e0ae080895634" PartId="aae4b4ba1ef4482b820587f0e5429cd7"/>
          <Part Type="strPapunktis" Nr="2" Abbr="4.7 pp. 2 pp." DocPartId="a5671fe8297b432ea6ee9d7bb8862f57" PartId="11c506e19e714b03b9866da3f9f97b70"/>
          <Part Type="strPapunktis" Nr="3" Abbr="4.7 pp. 3 pp." DocPartId="79a13b16c117404c851654f3e2f3b28e" PartId="23ed8a6def7740d0894a1f7fcb29d934"/>
          <Part Type="strPapunktis" Nr="4" Abbr="4.7 pp. 4 pp." DocPartId="0701d723efb1415a9665b0495f92a99b" PartId="688099047da44dc7af0cd74fc8a17ef5"/>
        </Part>
        <Part Type="papunktis" Nr="7.1" Abbr="7.1 pp." DocPartId="0d200735bc4c45b69ca19247b98efb7a" PartId="d92a7edb870d4b52a4b499675db6a1aa"/>
      </Part>
    </Part>
    <Part Type="skirsnis" Title="Joniškio rajono savivaldybės atsinaujinančių išteklių energijos naudojimo plėtros veiksmų planas iki 2030 m." DocPartId="8dd1bed6983f476c8ca927dc8f543e7b" PartId="13bf7fcb924d425fa97b0906107c216b">
      <Part Type="papunktis" Nr="7.1" Abbr="7.1 pp." Notes="Numeris ne iš eilės. Trūksta dalių? [DocDalys]" DocPartId="8423c24ef1844259a2400222633dd871" PartId="2de5ac8c507047889a0fcf332224afe1"/>
    </Part>
    <Part Type="skirsnis" Title="Joniškio rajono savivaldybės atsinaujinančių išteklių energijos naudojimo plėtros veiksmų planas iki 2030 m." DocPartId="086335f83e5247aa86ccbe761c4ebbb6" PartId="f08f166313844a9fa5a4d0371502a2de">
      <Part Type="punktas" Nr="8" Abbr="8 p." DocPartId="5c9bc03f375645988199d348cda05c57" PartId="be6ecffe544f4953841ee6f76edb20aa"/>
      <Part Type="punktas" Nr="1" Abbr="1 p." Notes="Numeris ne iš eilės. Trūksta dalių? [DocDalys]" DocPartId="6ddb4f35484b4d7fa21c5fc1d84f59b7" PartId="4df84b91157a4590b5c2ae486299851e"/>
      <Part Type="punktas" Nr="2" Abbr="2 p." DocPartId="982a70bed2954bf2ba12ef99066b69bb" PartId="593abd392fad44a48e155edafb878db2"/>
      <Part Type="punktas" Nr="3" Abbr="3 p." DocPartId="03f7cb56673f497cb8eac7bc95bb21fd" PartId="067a5e43217b4a218e08e7d70a34b2de">
        <Part Type="papunktis" Nr="8.1" Abbr="8.1 pp." Notes="Numeris ne iš eilės. Trūksta dalių? [DocDalys]" DocPartId="2cd527e2db2e4d908809feaccd382750" PartId="008bfb01293e49f39feacfc4db9e23cf"/>
      </Part>
      <Part Type="punktas" Nr="1" Abbr="1 p." Notes="Numeris ne iš eilės. Trūksta dalių? [DocDalys]" DocPartId="14f507f5f4b7462eb1ad2bb9742d900e" PartId="3aedc30a9ee74331a913adbfca110f11"/>
      <Part Type="punktas" Nr="2" Abbr="2 p." DocPartId="be36a6efd98e47dfa6addb9a509b9b46" PartId="bb43ca07c1f542c5ab98c4354fee69ed"/>
      <Part Type="punktas" Nr="3" Abbr="3 p." DocPartId="f4fecc1bb93c4a65816711aa88a0eb97" PartId="1a9c03c51e42480fa1b2d777f0d8271e"/>
      <Part Type="punktas" Nr="1" Abbr="1 p." Notes="Numeris ne iš eilės. Trūksta dalių? [DocDalys]" DocPartId="30044a3e266940b3925a254e5a2c2c31" PartId="0dd1dd187ad4405a850d7150183210c1"/>
      <Part Type="punktas" Nr="2" Abbr="2 p." DocPartId="871e4e6cfd9c4d90afceb6920c18cec7" PartId="57515baad2aa4e19a40727a7318e26f5"/>
      <Part Type="punktas" Nr="3" Abbr="3 p." DocPartId="2e2a25cdab064167b4d4679e0a533972" PartId="56926a94748f426e976e72e2261f15ff"/>
      <Part Type="punktas" Nr="4" Abbr="4 p." DocPartId="a7aca327adcc43c38ac2113cad46974f" PartId="3610805be32c4d5694a40c7c90fd21c8">
        <Part Type="papunktis" Nr="8.2" Abbr="8.2 pp." DocPartId="f21757a99f87471cad6b5148e66ae83c" PartId="82332a2854bc4022b90b8036b73e429e">
          <Part Type="papunktis" Nr="8.2.1" Abbr="8.2.1 pp." DocPartId="3b47b360aa624d02a28c54bec469c246" PartId="c3698fef359749c6aaf2649aa495d70a"/>
        </Part>
        <Part Type="papunktis" Nr="8.3" Abbr="8.3 pp." DocPartId="2be55cc925e0494e83cae0a6547f474d" PartId="173d93fb1c0d43a88c2c44fc9f12693b"/>
      </Part>
      <Part Type="punktas" Nr="1" Abbr="1 p." Notes="Numeris ne iš eilės. Trūksta dalių? [DocDalys]" DocPartId="81441a12c47e44d6914fa44f5efb68ea" PartId="2a1b43d91c764ad682ebe50f90f29983"/>
      <Part Type="punktas" Nr="2" Abbr="2 p." DocPartId="2838fb46c5b1411c83e3aaf2004cb361" PartId="a262fb08df5a41d2b96eb82ae6dd72f2">
        <Part Type="papunktis" Nr="8.3.1" Abbr="8.3.1 pp." DocPartId="a30835bda8cb497b9019a90cbae3a03e" PartId="88d391b7b1ac4851a5cecc9596ceaef4"/>
        <Part Type="papunktis" Nr="8.3.2" Abbr="8.3.2 pp." DocPartId="1b6e87dd720742d982d6b48526d170a1" PartId="bf00e728babd4416863eac7cb23d9156"/>
        <Part Type="papunktis" Nr="8.4" Abbr="8.4 pp." DocPartId="9eb7fae3d5da461497ece27737791df0" PartId="73811d305abe4ed3a99f0bfe7250c602"/>
      </Part>
      <Part Type="punktas" Nr="1" Abbr="1 p." Notes="Numeris ne iš eilės. Trūksta dalių? [DocDalys]" DocPartId="b5d585286bbc45959f788a55ad92646c" PartId="a17c3eea1b394ce1a8a9821d4a5f54cd"/>
      <Part Type="punktas" Nr="2" Abbr="2 p." DocPartId="705f4ba578724f5b997405c74d867050" PartId="5a0b6f0925234f12b78c27f6533ccbcc"/>
      <Part Type="punktas" Nr="3" Abbr="3 p." DocPartId="2813f0cb85d643db8d0b4d321d90aa7f" PartId="fb55f64a5b5745a0bebfb4c2b5b861d8">
        <Part Type="papunktis" Nr="1.5.2" Abbr="1.5.2 pp." Notes="Numeris ne iš eilės. Trūksta dalių? [DocDalys]" DocPartId="bae5ab3e914845509ee03986adf04d27" PartId="4f23b5466d924a83bff2c96693719f18"/>
        <Part Type="papunktis" Nr="8.4.1" Abbr="8.4.1 pp." Notes="Numeris ne iš eilės. Trūksta dalių? [DocDalys]" DocPartId="9ac957f926574ac9bba9eda7f2bdf04e" PartId="67cad4308d554885b17913624e907c42"/>
        <Part Type="papunktis" Nr="8.5" Abbr="8.5 pp." DocPartId="c7d0732213e644979e42480166dfad77" PartId="460bd4f24aa646a9972f81b2d753dab8">
          <Part Type="papunktis" Nr="8.5.1" Abbr="8.5.1 pp." DocPartId="bad12d0ae59245f4a3498fe13cb818e6" PartId="4c3b0f8725084c81861edcc2f9fd4c51"/>
        </Part>
      </Part>
      <Part Type="punktas" Nr="9" Abbr="9 p." Notes="Numeris ne iš eilės. Trūksta dalių? [DocDalys]" DocPartId="792976ce69af456592fda491b1b1d1ec" PartId="5195cc68776c49cebecbc07974ef282c">
        <Part Type="papunktis" Nr="9.1" Abbr="9.1 pp." DocPartId="d8c8a475837944dfb5e19da530093cb3" PartId="63deadb5e22b4f48bab767b0fd5af770">
          <Part Type="papunktis" Nr="9.1.1" Abbr="9.1.1 pp." DocPartId="f96698f3751546b2b64483d441ff2244" PartId="617b42719ece4e6e87e682b46a0518e2"/>
          <Part Type="papunktis" Nr="9.1.2" Abbr="9.1.2 pp." DocPartId="f170f63f27f24c56b418216b3ca9596d" PartId="6f0596b902b442a787ff61a630a77579"/>
        </Part>
        <Part Type="papunktis" Nr="9.2" Abbr="9.2 pp." DocPartId="9a5289a75bd44da6b8286ffe5eb60ade" PartId="330104eab2ee44ff83fbe38fc5107a16">
          <Part Type="papunktis" Nr="9.2.1" Abbr="9.2.1 pp." DocPartId="26f03588f25a4bce85820aa9bc417a9c" PartId="317eb8331e80484b9152ae6100b14ae1"/>
          <Part Type="papunktis" Nr="9.2.2" Abbr="9.2.2 pp." DocPartId="d8b9527b2f0241299195675b465814a3" PartId="cd6d33407d434b11bd1dcb2916cc8a7e"/>
          <Part Type="papunktis" Nr="9.2.3" Abbr="9.2.3 pp." DocPartId="2e45aa75ad464a19b1f58b8981f77a47" PartId="02ff7e5f27634af18ddde61d73753b01"/>
        </Part>
      </Part>
      <Part Type="punktas" Nr="10" Abbr="10 p." DocPartId="6ed41fbd9e5145b2899838f97a5f2f0a" PartId="6036c5e47be84849a1e8bd39a12a1847">
        <Part Type="papunktis" Nr="10.1" Abbr="10.1 pp." DocPartId="f34321ecc13b4c699cf992f95cb0307a" PartId="ced6f99e2e4b4306b9a145c43fa3bf20"/>
        <Part Type="papunktis" Nr="10.2" Abbr="10.2 pp." DocPartId="7fcda49ff5794433a001a727c4ca9467" PartId="ddd63229ccb149cc976e2663de119631">
          <Part Type="papunktis" Nr="10.2.1" Abbr="10.2.1 pp." DocPartId="fbc5c9433e4e47058d5e3bd090b70b82" PartId="94a72a8ed5224f24a5ba669c0ee10b4f"/>
          <Part Type="papunktis" Nr="10.2.2" Abbr="10.2.2 pp." DocPartId="0364c3e9e62548cd9fe18165392a9d24" PartId="67e5ab047835446c9d8f2bbf2f9eabc9">
            <Part Type="papunktis" Nr="10.2.2.1" Abbr="10.2.2.1 pp." DocPartId="5934f534a66346618e7f354483f39ba7" PartId="1502f684beb747b181a46945f98268ba"/>
          </Part>
          <Part Type="papunktis" Nr="10.2.3" Abbr="10.2.3 pp." DocPartId="181cd184d9564264a5aa408ffcb40d38" PartId="e79ee12445124cd4bafb4b9a7107fa63"/>
        </Part>
        <Part Type="papunktis" Nr="10.3" Abbr="10.3 pp." DocPartId="ebf66e60eb22451196d25a47921e2de3" PartId="7fabc6df922d47bcaf505907de8d3c81">
          <Part Type="papunktis" Nr="10.3.1" Abbr="10.3.1 pp." DocPartId="4a31b5796e8a4a1992bf795414ae8ce1" PartId="0eeb1e9ed294412abd20a4ad6b86d9f2"/>
          <Part Type="papunktis" Nr="10.3.2" Abbr="10.3.2 pp." DocPartId="413b0427e6be4ce8a92150a9507491d3" PartId="ac3f85a745004661b878d9707f1bac63"/>
        </Part>
      </Part>
      <Part Type="punktas" Nr="11" Abbr="11 p." DocPartId="28c488059eaf4c7499084012da4d6b68" PartId="a47b07e26084436f82f4a1ddf85892af">
        <Part Type="papunktis" Nr="11.1" Abbr="11.1 pp." DocPartId="fcd3c581008f47aca774cb299f9dc610" PartId="28e8e42af28b41cf8e4b381cfa2352f4"/>
        <Part Type="papunktis" Nr="11.1" Abbr="11.1 pp." Notes="Numeris ne iš eilės. Trūksta dalių? [DocDalys]" DocPartId="e0c1afc4025a4bf7aa92cc7e7aba3c1b" PartId="964a6272400f4d1387d9ba503d481f7f"/>
      </Part>
    </Part>
  </Part>
</Parts>
</file>

<file path=customXml/itemProps1.xml><?xml version="1.0" encoding="utf-8"?>
<ds:datastoreItem xmlns:ds="http://schemas.openxmlformats.org/officeDocument/2006/customXml" ds:itemID="{6C746AF3-16A7-421C-93E2-9B525DDF10A7}">
  <ds:schemaRefs>
    <ds:schemaRef ds:uri="http://schemas.openxmlformats.org/officeDocument/2006/bibliography"/>
  </ds:schemaRefs>
</ds:datastoreItem>
</file>

<file path=customXml/itemProps2.xml><?xml version="1.0" encoding="utf-8"?>
<ds:datastoreItem xmlns:ds="http://schemas.openxmlformats.org/officeDocument/2006/customXml" ds:itemID="{AD5CA0C8-08CF-47D1-AFA9-B0A6777E83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30641</Words>
  <Characters>208668</Characters>
  <Application>Microsoft Office Word</Application>
  <DocSecurity>4</DocSecurity>
  <Lines>5089</Lines>
  <Paragraphs>3278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236031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2023-04-03T13:11:00Z</dcterms:created>
  <dc:creator>Gintaras Lubauskas</dc:creator>
  <lastModifiedBy>adlibuser</lastModifiedBy>
  <lastPrinted>2022-03-29T06:24:00Z</lastPrinted>
  <dcterms:modified xsi:type="dcterms:W3CDTF">2023-04-03T13:11:00Z</dcterms:modified>
  <revision>2</revision>
</coreProperties>
</file>