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r."/>
        <w:tag w:val="part_548f7fcfd2e74cbca897e064cd217f1c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 w:val="22"/>
              <w:szCs w:val="22"/>
              <w:lang w:val="en-GB"/>
            </w:rPr>
          </w:pPr>
        </w:p>
        <w:p>
          <w:pPr>
            <w:ind w:left="6237"/>
            <w:rPr>
              <w:szCs w:val="24"/>
            </w:rPr>
          </w:pPr>
          <w:r>
            <w:rPr>
              <w:szCs w:val="24"/>
            </w:rPr>
            <w:t xml:space="preserve">Lietuvos Respublikos sveikatos apsaugos ministro – valstybės lygio ekstremaliosios situacijos valstybės operacijų vadovo 2020 m. gruodžio 4 d. </w:t>
          </w:r>
        </w:p>
        <w:p>
          <w:pPr>
            <w:ind w:left="6237"/>
            <w:rPr>
              <w:szCs w:val="24"/>
            </w:rPr>
          </w:pPr>
          <w:r>
            <w:rPr>
              <w:szCs w:val="24"/>
            </w:rPr>
            <w:t>sprendimo Nr. V-2819</w:t>
          </w:r>
        </w:p>
        <w:p>
          <w:pPr>
            <w:ind w:left="6237"/>
            <w:rPr>
              <w:b/>
              <w:bCs/>
              <w:szCs w:val="24"/>
            </w:rPr>
          </w:pPr>
          <w:r>
            <w:rPr>
              <w:szCs w:val="24"/>
            </w:rPr>
            <w:t>priedas</w:t>
          </w:r>
        </w:p>
        <w:p>
          <w:pPr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caps/>
              <w:szCs w:val="24"/>
            </w:rPr>
          </w:pPr>
          <w:sdt>
            <w:sdtPr>
              <w:alias w:val="Pavadinimas"/>
              <w:tag w:val="title_548f7fcfd2e74cbca897e064cd217f1c"/>
              <w:lock w:val="sdtLocked"/>
              <w:richText/>
            </w:sdtPr>
            <w:sdtContent>
              <w:r>
                <w:rPr>
                  <w:b/>
                  <w:bCs/>
                  <w:caps/>
                  <w:szCs w:val="24"/>
                </w:rPr>
                <w:t>savivaldybėje esančių prioritetinių vakcinacijos grupių skaičius</w:t>
              </w:r>
            </w:sdtContent>
          </w:sdt>
        </w:p>
        <w:p>
          <w:pPr>
            <w:rPr>
              <w:b/>
              <w:bCs/>
              <w:szCs w:val="24"/>
            </w:rPr>
          </w:pPr>
        </w:p>
        <w:tbl>
          <w:tblPr>
            <w:tblW w:w="12157" w:type="dxa"/>
            <w:tblInd w:w="-428" w:type="dxa"/>
            <w:tblLook w:val="04A0" w:firstRow="1" w:lastRow="0" w:firstColumn="1" w:lastColumn="0" w:noHBand="0" w:noVBand="1"/>
          </w:tblPr>
          <w:tblGrid>
            <w:gridCol w:w="570"/>
            <w:gridCol w:w="3822"/>
            <w:gridCol w:w="284"/>
            <w:gridCol w:w="1288"/>
            <w:gridCol w:w="456"/>
            <w:gridCol w:w="2105"/>
            <w:gridCol w:w="1809"/>
            <w:gridCol w:w="410"/>
            <w:gridCol w:w="1137"/>
            <w:gridCol w:w="276"/>
          </w:tblGrid>
          <w:tr>
            <w:trPr>
              <w:gridAfter w:val="3"/>
              <w:wAfter w:w="1823" w:type="dxa"/>
              <w:trHeight w:val="438"/>
            </w:trPr>
            <w:tc>
              <w:tcPr>
                <w:tcW w:w="4676" w:type="dxa"/>
                <w:gridSpan w:val="3"/>
                <w:tcBorders>
                  <w:top w:val="single" w:sz="4" w:space="0" w:color="366092"/>
                  <w:left w:val="single" w:sz="4" w:space="0" w:color="366092"/>
                  <w:bottom w:val="single" w:sz="4" w:space="0" w:color="366092"/>
                  <w:right w:val="single" w:sz="4" w:space="0" w:color="366092"/>
                </w:tcBorders>
                <w:shd w:val="clear" w:color="000000" w:fill="DCE6F1"/>
                <w:noWrap/>
                <w:vAlign w:val="center"/>
                <w:hideMark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SAVIVALDYBĖ</w:t>
                </w:r>
              </w:p>
            </w:tc>
            <w:tc>
              <w:tcPr>
                <w:tcW w:w="5658" w:type="dxa"/>
                <w:gridSpan w:val="4"/>
                <w:tcBorders>
                  <w:top w:val="single" w:sz="4" w:space="0" w:color="366092"/>
                  <w:left w:val="nil"/>
                  <w:bottom w:val="single" w:sz="4" w:space="0" w:color="366092"/>
                  <w:right w:val="single" w:sz="4" w:space="0" w:color="366092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ind w:firstLine="62"/>
                  <w:rPr>
                    <w:szCs w:val="24"/>
                  </w:rPr>
                </w:pPr>
              </w:p>
            </w:tc>
          </w:tr>
          <w:tr>
            <w:trPr>
              <w:trHeight w:val="120"/>
            </w:trPr>
            <w:tc>
              <w:tcPr>
                <w:tcW w:w="57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ind w:firstLine="62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5394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ind w:firstLine="62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2561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ind w:firstLine="62"/>
                  <w:rPr>
                    <w:szCs w:val="24"/>
                  </w:rPr>
                </w:pPr>
              </w:p>
            </w:tc>
            <w:tc>
              <w:tcPr>
                <w:tcW w:w="2219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ind w:firstLine="62"/>
                  <w:rPr>
                    <w:szCs w:val="24"/>
                  </w:rPr>
                </w:pPr>
              </w:p>
            </w:tc>
            <w:tc>
              <w:tcPr>
                <w:tcW w:w="113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ind w:firstLine="62"/>
                  <w:rPr>
                    <w:b/>
                    <w:bCs/>
                    <w:szCs w:val="24"/>
                  </w:rPr>
                </w:pPr>
              </w:p>
            </w:tc>
            <w:tc>
              <w:tcPr>
                <w:tcW w:w="2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ind w:firstLine="62"/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gridAfter w:val="3"/>
              <w:wAfter w:w="1823" w:type="dxa"/>
              <w:trHeight w:val="360"/>
            </w:trPr>
            <w:tc>
              <w:tcPr>
                <w:tcW w:w="4392" w:type="dxa"/>
                <w:gridSpan w:val="2"/>
                <w:tcBorders>
                  <w:top w:val="single" w:sz="4" w:space="0" w:color="366092"/>
                  <w:left w:val="single" w:sz="4" w:space="0" w:color="366092"/>
                  <w:bottom w:val="single" w:sz="4" w:space="0" w:color="366092"/>
                  <w:right w:val="single" w:sz="4" w:space="0" w:color="366092"/>
                </w:tcBorders>
                <w:shd w:val="clear" w:color="000000" w:fill="DCE6F1"/>
                <w:noWrap/>
                <w:vAlign w:val="center"/>
                <w:hideMark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Skiepijimo vakcina nuo COVID-19 koordinatorius savivaldybėje</w:t>
                </w:r>
              </w:p>
            </w:tc>
            <w:tc>
              <w:tcPr>
                <w:tcW w:w="2028" w:type="dxa"/>
                <w:gridSpan w:val="3"/>
                <w:tcBorders>
                  <w:top w:val="single" w:sz="4" w:space="0" w:color="366092"/>
                  <w:left w:val="nil"/>
                  <w:bottom w:val="single" w:sz="4" w:space="0" w:color="366092"/>
                  <w:right w:val="single" w:sz="4" w:space="0" w:color="366092"/>
                </w:tcBorders>
                <w:shd w:val="clear" w:color="000000" w:fill="DCE6F1"/>
                <w:noWrap/>
                <w:vAlign w:val="center"/>
                <w:hideMark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Telefono numeris</w:t>
                </w:r>
              </w:p>
            </w:tc>
            <w:tc>
              <w:tcPr>
                <w:tcW w:w="3914" w:type="dxa"/>
                <w:gridSpan w:val="2"/>
                <w:tcBorders>
                  <w:top w:val="single" w:sz="4" w:space="0" w:color="366092"/>
                  <w:left w:val="nil"/>
                  <w:bottom w:val="single" w:sz="4" w:space="0" w:color="366092"/>
                  <w:right w:val="single" w:sz="4" w:space="0" w:color="366092"/>
                </w:tcBorders>
                <w:shd w:val="clear" w:color="000000" w:fill="DCE6F1"/>
                <w:noWrap/>
                <w:vAlign w:val="center"/>
                <w:hideMark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El. paštas</w:t>
                </w:r>
              </w:p>
            </w:tc>
          </w:tr>
          <w:tr>
            <w:trPr>
              <w:gridAfter w:val="3"/>
              <w:wAfter w:w="1823" w:type="dxa"/>
              <w:trHeight w:val="510"/>
            </w:trPr>
            <w:tc>
              <w:tcPr>
                <w:tcW w:w="4392" w:type="dxa"/>
                <w:gridSpan w:val="2"/>
                <w:tcBorders>
                  <w:top w:val="single" w:sz="4" w:space="0" w:color="366092"/>
                  <w:left w:val="single" w:sz="4" w:space="0" w:color="366092"/>
                  <w:bottom w:val="single" w:sz="4" w:space="0" w:color="366092"/>
                  <w:right w:val="single" w:sz="4" w:space="0" w:color="366092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ind w:firstLine="62"/>
                  <w:rPr>
                    <w:szCs w:val="24"/>
                  </w:rPr>
                </w:pPr>
              </w:p>
            </w:tc>
            <w:tc>
              <w:tcPr>
                <w:tcW w:w="2028" w:type="dxa"/>
                <w:gridSpan w:val="3"/>
                <w:tcBorders>
                  <w:top w:val="nil"/>
                  <w:left w:val="nil"/>
                  <w:bottom w:val="single" w:sz="4" w:space="0" w:color="366092"/>
                  <w:right w:val="single" w:sz="4" w:space="0" w:color="366092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62"/>
                  <w:rPr>
                    <w:szCs w:val="24"/>
                  </w:rPr>
                </w:pPr>
              </w:p>
            </w:tc>
            <w:tc>
              <w:tcPr>
                <w:tcW w:w="3914" w:type="dxa"/>
                <w:gridSpan w:val="2"/>
                <w:tcBorders>
                  <w:top w:val="single" w:sz="4" w:space="0" w:color="366092"/>
                  <w:left w:val="nil"/>
                  <w:bottom w:val="single" w:sz="4" w:space="0" w:color="366092"/>
                  <w:right w:val="single" w:sz="4" w:space="0" w:color="366092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ind w:firstLine="62"/>
                  <w:rPr>
                    <w:szCs w:val="24"/>
                  </w:rPr>
                </w:pPr>
              </w:p>
            </w:tc>
          </w:tr>
        </w:tbl>
        <w:p>
          <w:pPr>
            <w:spacing w:line="259" w:lineRule="auto"/>
            <w:rPr>
              <w:sz w:val="22"/>
              <w:szCs w:val="22"/>
            </w:rPr>
          </w:pPr>
        </w:p>
        <w:p>
          <w:pPr>
            <w:rPr>
              <w:sz w:val="14"/>
              <w:szCs w:val="14"/>
            </w:rPr>
          </w:pPr>
        </w:p>
        <w:tbl>
          <w:tblPr>
            <w:tblW w:w="10346" w:type="dxa"/>
            <w:tblInd w:w="-428" w:type="dxa"/>
            <w:tblLook w:val="04A0" w:firstRow="1" w:lastRow="0" w:firstColumn="1" w:lastColumn="0" w:noHBand="0" w:noVBand="1"/>
          </w:tblPr>
          <w:tblGrid>
            <w:gridCol w:w="5101"/>
            <w:gridCol w:w="2126"/>
            <w:gridCol w:w="3119"/>
          </w:tblGrid>
          <w:tr>
            <w:trPr>
              <w:trHeight w:val="360"/>
            </w:trPr>
            <w:tc>
              <w:tcPr>
                <w:tcW w:w="5101" w:type="dxa"/>
                <w:tcBorders>
                  <w:top w:val="single" w:sz="4" w:space="0" w:color="366092"/>
                  <w:left w:val="single" w:sz="4" w:space="0" w:color="366092"/>
                  <w:bottom w:val="single" w:sz="4" w:space="0" w:color="366092"/>
                  <w:right w:val="single" w:sz="4" w:space="0" w:color="366092"/>
                </w:tcBorders>
                <w:shd w:val="clear" w:color="000000" w:fill="DCE6F1"/>
                <w:noWrap/>
                <w:vAlign w:val="center"/>
                <w:hideMark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Skiepijimą vakcina nuo COVID-19 organizuojanti ASPĮ </w:t>
                </w:r>
                <w:r>
                  <w:rPr>
                    <w:sz w:val="15"/>
                    <w:szCs w:val="15"/>
                  </w:rPr>
                  <w:t>(pridėti papildomas eilutes, jei yra poreikis)</w:t>
                </w:r>
              </w:p>
            </w:tc>
            <w:tc>
              <w:tcPr>
                <w:tcW w:w="2126" w:type="dxa"/>
                <w:tcBorders>
                  <w:top w:val="single" w:sz="4" w:space="0" w:color="366092"/>
                  <w:left w:val="nil"/>
                  <w:bottom w:val="single" w:sz="4" w:space="0" w:color="366092"/>
                  <w:right w:val="single" w:sz="4" w:space="0" w:color="366092"/>
                </w:tcBorders>
                <w:shd w:val="clear" w:color="000000" w:fill="DCE6F1"/>
                <w:noWrap/>
                <w:vAlign w:val="center"/>
                <w:hideMark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Telefono numeris</w:t>
                </w:r>
              </w:p>
            </w:tc>
            <w:tc>
              <w:tcPr>
                <w:tcW w:w="3119" w:type="dxa"/>
                <w:tcBorders>
                  <w:top w:val="single" w:sz="4" w:space="0" w:color="366092"/>
                  <w:left w:val="nil"/>
                  <w:bottom w:val="single" w:sz="4" w:space="0" w:color="366092"/>
                  <w:right w:val="single" w:sz="4" w:space="0" w:color="366092"/>
                </w:tcBorders>
                <w:shd w:val="clear" w:color="000000" w:fill="DCE6F1"/>
                <w:noWrap/>
                <w:vAlign w:val="center"/>
                <w:hideMark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El. paštas</w:t>
                </w:r>
              </w:p>
            </w:tc>
          </w:tr>
          <w:tr>
            <w:trPr>
              <w:trHeight w:val="510"/>
            </w:trPr>
            <w:tc>
              <w:tcPr>
                <w:tcW w:w="5101" w:type="dxa"/>
                <w:tcBorders>
                  <w:top w:val="single" w:sz="4" w:space="0" w:color="366092"/>
                  <w:left w:val="single" w:sz="4" w:space="0" w:color="366092"/>
                  <w:bottom w:val="single" w:sz="4" w:space="0" w:color="366092"/>
                  <w:right w:val="single" w:sz="4" w:space="0" w:color="366092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ind w:firstLine="62"/>
                  <w:rPr>
                    <w:szCs w:val="24"/>
                  </w:rPr>
                </w:pP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366092"/>
                  <w:right w:val="single" w:sz="4" w:space="0" w:color="366092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62"/>
                  <w:rPr>
                    <w:szCs w:val="24"/>
                  </w:rPr>
                </w:pPr>
              </w:p>
            </w:tc>
            <w:tc>
              <w:tcPr>
                <w:tcW w:w="3119" w:type="dxa"/>
                <w:tcBorders>
                  <w:top w:val="single" w:sz="4" w:space="0" w:color="366092"/>
                  <w:left w:val="nil"/>
                  <w:bottom w:val="single" w:sz="4" w:space="0" w:color="366092"/>
                  <w:right w:val="single" w:sz="4" w:space="0" w:color="366092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ind w:firstLine="62"/>
                  <w:rPr>
                    <w:szCs w:val="24"/>
                  </w:rPr>
                </w:pPr>
              </w:p>
            </w:tc>
          </w:tr>
        </w:tbl>
        <w:p>
          <w:pPr>
            <w:spacing w:line="259" w:lineRule="auto"/>
            <w:rPr>
              <w:sz w:val="22"/>
              <w:szCs w:val="22"/>
            </w:rPr>
          </w:pPr>
        </w:p>
        <w:p>
          <w:pPr>
            <w:rPr>
              <w:sz w:val="14"/>
              <w:szCs w:val="14"/>
            </w:rPr>
          </w:pPr>
        </w:p>
        <w:tbl>
          <w:tblPr>
            <w:tblW w:w="10346" w:type="dxa"/>
            <w:tblInd w:w="-428" w:type="dxa"/>
            <w:tblLook w:val="04A0" w:firstRow="1" w:lastRow="0" w:firstColumn="1" w:lastColumn="0" w:noHBand="0" w:noVBand="1"/>
          </w:tblPr>
          <w:tblGrid>
            <w:gridCol w:w="6519"/>
            <w:gridCol w:w="3827"/>
          </w:tblGrid>
          <w:tr>
            <w:trPr>
              <w:trHeight w:val="964"/>
            </w:trPr>
            <w:tc>
              <w:tcPr>
                <w:tcW w:w="6519" w:type="dxa"/>
                <w:tcBorders>
                  <w:top w:val="single" w:sz="4" w:space="0" w:color="4F81BD"/>
                  <w:left w:val="single" w:sz="4" w:space="0" w:color="4F81BD"/>
                  <w:bottom w:val="single" w:sz="8" w:space="0" w:color="4F81BD"/>
                  <w:right w:val="single" w:sz="4" w:space="0" w:color="4F81BD"/>
                </w:tcBorders>
                <w:shd w:val="clear" w:color="000000" w:fill="DCE6F1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PRIORITETINĖ GRUPĖ</w:t>
                </w:r>
              </w:p>
            </w:tc>
            <w:tc>
              <w:tcPr>
                <w:tcW w:w="3827" w:type="dxa"/>
                <w:tcBorders>
                  <w:top w:val="single" w:sz="4" w:space="0" w:color="4F81BD"/>
                  <w:left w:val="single" w:sz="4" w:space="0" w:color="4F81BD"/>
                  <w:bottom w:val="single" w:sz="8" w:space="0" w:color="4F81BD"/>
                  <w:right w:val="single" w:sz="4" w:space="0" w:color="4F81BD"/>
                </w:tcBorders>
                <w:shd w:val="clear" w:color="000000" w:fill="DCE6F1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PRIORITETINEI GRUPEI PRIKLAUSANČIŲ ASMENŲ SKAIČIUS SAVIVALDYBĖJE</w:t>
                </w:r>
              </w:p>
            </w:tc>
          </w:tr>
          <w:tr>
            <w:trPr>
              <w:trHeight w:val="907"/>
            </w:trPr>
            <w:tc>
              <w:tcPr>
                <w:tcW w:w="6519" w:type="dxa"/>
                <w:tcBorders>
                  <w:top w:val="single" w:sz="4" w:space="0" w:color="4F81BD"/>
                  <w:left w:val="single" w:sz="8" w:space="0" w:color="4F81BD"/>
                  <w:bottom w:val="single" w:sz="8" w:space="0" w:color="4F81BD"/>
                  <w:right w:val="single" w:sz="8" w:space="0" w:color="4F81BD"/>
                </w:tcBorders>
                <w:shd w:val="clear" w:color="auto" w:fill="auto"/>
                <w:vAlign w:val="center"/>
                <w:hideMark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Slaugos ir palaikomojo gydymo paslaugas teikiančių asmens sveikatos priežiūros įstaigų pacientai bei stacionarinių socialinės globos įstaigų gyventojai.</w:t>
                </w:r>
              </w:p>
            </w:tc>
            <w:tc>
              <w:tcPr>
                <w:tcW w:w="3827" w:type="dxa"/>
                <w:tcBorders>
                  <w:top w:val="single" w:sz="4" w:space="0" w:color="4F81BD"/>
                  <w:left w:val="single" w:sz="4" w:space="0" w:color="4F81BD"/>
                  <w:bottom w:val="single" w:sz="4" w:space="0" w:color="4F81BD"/>
                  <w:right w:val="single" w:sz="4" w:space="0" w:color="4F81BD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szCs w:val="24"/>
                  </w:rPr>
                </w:pPr>
              </w:p>
            </w:tc>
          </w:tr>
          <w:tr>
            <w:trPr>
              <w:trHeight w:val="907"/>
            </w:trPr>
            <w:tc>
              <w:tcPr>
                <w:tcW w:w="6519" w:type="dxa"/>
                <w:tcBorders>
                  <w:top w:val="single" w:sz="4" w:space="0" w:color="4F81BD"/>
                  <w:left w:val="single" w:sz="8" w:space="0" w:color="4F81BD"/>
                  <w:bottom w:val="single" w:sz="4" w:space="0" w:color="4F81BD"/>
                  <w:right w:val="single" w:sz="8" w:space="0" w:color="4F81BD"/>
                </w:tcBorders>
                <w:shd w:val="clear" w:color="auto" w:fill="auto"/>
                <w:vAlign w:val="center"/>
                <w:hideMark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Slaugos ir palaikomojo gydymo paslaugas teikiančių asmens sveikatos priežiūros įstaigų darbuotojai bei socialinių paslaugų įstaigų darbuotojai.</w:t>
                </w:r>
              </w:p>
            </w:tc>
            <w:tc>
              <w:tcPr>
                <w:tcW w:w="3827" w:type="dxa"/>
                <w:tcBorders>
                  <w:top w:val="single" w:sz="4" w:space="0" w:color="4F81BD"/>
                  <w:left w:val="single" w:sz="4" w:space="0" w:color="4F81BD"/>
                  <w:bottom w:val="single" w:sz="4" w:space="0" w:color="4F81BD"/>
                  <w:right w:val="single" w:sz="4" w:space="0" w:color="4F81BD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szCs w:val="24"/>
                  </w:rPr>
                </w:pPr>
              </w:p>
            </w:tc>
          </w:tr>
          <w:tr>
            <w:trPr>
              <w:trHeight w:val="2551"/>
            </w:trPr>
            <w:tc>
              <w:tcPr>
                <w:tcW w:w="6519" w:type="dxa"/>
                <w:tcBorders>
                  <w:top w:val="single" w:sz="8" w:space="0" w:color="4F81BD"/>
                  <w:left w:val="single" w:sz="8" w:space="0" w:color="4F81BD"/>
                  <w:bottom w:val="single" w:sz="8" w:space="0" w:color="4F81BD"/>
                  <w:right w:val="single" w:sz="8" w:space="0" w:color="4F81BD"/>
                </w:tcBorders>
                <w:shd w:val="clear" w:color="auto" w:fill="auto"/>
                <w:vAlign w:val="center"/>
                <w:hideMark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Labai didelės rizikos sveikatos sistemos darbuotojai</w:t>
                </w:r>
                <w:r>
                  <w:rPr>
                    <w:szCs w:val="24"/>
                    <w:vertAlign w:val="superscript"/>
                  </w:rPr>
                  <w:endnoteReference w:id="1"/>
                </w:r>
                <w:r>
                  <w:rPr>
                    <w:szCs w:val="24"/>
                  </w:rPr>
                  <w:t>. Atliekamos funkcijos ir užduotys susijusios galimai patiriamu kontaktu su SARS-CoV-2 virusu infekuotais aerozoliais (aerozolius generuojančios procedūros COVID-19 liga sergantiems pacientams, tokios kaip trachėjinė intubacija, neinvazinė plaučių ventiliacija, tracheotomija, bronchoskopija, spirometrija, autopsija, darbas su COVID-19 liga sergančiais pacientais mažose, blogai vėdinamose patalpose ir pan.).</w:t>
                </w:r>
              </w:p>
            </w:tc>
            <w:tc>
              <w:tcPr>
                <w:tcW w:w="3827" w:type="dxa"/>
                <w:tcBorders>
                  <w:top w:val="single" w:sz="4" w:space="0" w:color="4F81BD"/>
                  <w:left w:val="single" w:sz="4" w:space="0" w:color="4F81BD"/>
                  <w:bottom w:val="single" w:sz="4" w:space="0" w:color="4F81BD"/>
                  <w:right w:val="single" w:sz="4" w:space="0" w:color="4F81BD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szCs w:val="24"/>
                  </w:rPr>
                </w:pPr>
              </w:p>
            </w:tc>
          </w:tr>
          <w:tr>
            <w:trPr>
              <w:trHeight w:val="1701"/>
            </w:trPr>
            <w:tc>
              <w:tcPr>
                <w:tcW w:w="6519" w:type="dxa"/>
                <w:tcBorders>
                  <w:top w:val="single" w:sz="4" w:space="0" w:color="4F81BD"/>
                  <w:left w:val="single" w:sz="8" w:space="0" w:color="4F81BD"/>
                  <w:bottom w:val="single" w:sz="8" w:space="0" w:color="4F81BD"/>
                  <w:right w:val="single" w:sz="8" w:space="0" w:color="4F81BD"/>
                </w:tcBorders>
                <w:shd w:val="clear" w:color="auto" w:fill="auto"/>
                <w:vAlign w:val="center"/>
                <w:hideMark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Didelės rizikos sveikatos sistemos darbuotojai</w:t>
                </w:r>
                <w:r>
                  <w:rPr>
                    <w:szCs w:val="24"/>
                    <w:vertAlign w:val="superscript"/>
                  </w:rPr>
                  <w:t>*</w:t>
                </w:r>
                <w:r>
                  <w:rPr>
                    <w:szCs w:val="24"/>
                  </w:rPr>
                  <w:t>. Atliekamos funkcijos ir užduotys susijusios su didele sąlyčio tikimybe su asmenimis, kuriems nustatyta COVID-19 liga arba kurie įtariami sergantys COVID-19 liga (pvz., išvardytų asmenų pervežimas, jų priežiūra, odontologijos paslaugos).</w:t>
                </w:r>
              </w:p>
            </w:tc>
            <w:tc>
              <w:tcPr>
                <w:tcW w:w="3827" w:type="dxa"/>
                <w:tcBorders>
                  <w:top w:val="single" w:sz="4" w:space="0" w:color="4F81BD"/>
                  <w:left w:val="single" w:sz="4" w:space="0" w:color="4F81BD"/>
                  <w:bottom w:val="single" w:sz="4" w:space="0" w:color="4F81BD"/>
                  <w:right w:val="single" w:sz="4" w:space="0" w:color="4F81BD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szCs w:val="24"/>
                  </w:rPr>
                </w:pPr>
              </w:p>
            </w:tc>
          </w:tr>
          <w:tr>
            <w:trPr>
              <w:trHeight w:val="2551"/>
            </w:trPr>
            <w:tc>
              <w:tcPr>
                <w:tcW w:w="6519" w:type="dxa"/>
                <w:tcBorders>
                  <w:top w:val="single" w:sz="4" w:space="0" w:color="4F81BD"/>
                  <w:left w:val="single" w:sz="8" w:space="0" w:color="4F81BD"/>
                  <w:bottom w:val="single" w:sz="8" w:space="0" w:color="4F81BD"/>
                  <w:right w:val="single" w:sz="8" w:space="0" w:color="4F81BD"/>
                </w:tcBorders>
                <w:shd w:val="clear" w:color="auto" w:fill="auto"/>
                <w:vAlign w:val="center"/>
                <w:hideMark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Vidutinės rizikos sveikatos sistemos darbuotojai</w:t>
                </w:r>
                <w:r>
                  <w:rPr>
                    <w:szCs w:val="24"/>
                    <w:vertAlign w:val="superscript"/>
                  </w:rPr>
                  <w:t>*</w:t>
                </w:r>
                <w:r>
                  <w:rPr>
                    <w:szCs w:val="24"/>
                  </w:rPr>
                  <w:t>. Atliekamos funkcijos ir užduotys susijusios su dažnais ir (ar) artimais kontaktais su plačiąja visuomene, tačiau nebūtinas sąlytis su asmenimis, kuriems nustatyta COVID-19 liga arba jie įtariami sergantys COVID-19 liga, apima darbo vietas ASPĮ, kuriose sunku laikytis saugaus atstumo, dažni kontaktai su kitu personalu (pvz., stacionarinės ir ambulatorinės kontaktinės paslaugos užkrečiamų jų ligų požymių neturintiems pacientams, medicininė reabilitacija).</w:t>
                </w:r>
              </w:p>
            </w:tc>
            <w:tc>
              <w:tcPr>
                <w:tcW w:w="3827" w:type="dxa"/>
                <w:tcBorders>
                  <w:top w:val="single" w:sz="4" w:space="0" w:color="4F81BD"/>
                  <w:left w:val="single" w:sz="4" w:space="0" w:color="4F81BD"/>
                  <w:bottom w:val="single" w:sz="4" w:space="0" w:color="4F81BD"/>
                  <w:right w:val="single" w:sz="4" w:space="0" w:color="4F81BD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szCs w:val="24"/>
                  </w:rPr>
                </w:pPr>
              </w:p>
            </w:tc>
          </w:tr>
          <w:tr>
            <w:trPr>
              <w:trHeight w:val="1701"/>
            </w:trPr>
            <w:tc>
              <w:tcPr>
                <w:tcW w:w="6519" w:type="dxa"/>
                <w:tcBorders>
                  <w:top w:val="single" w:sz="4" w:space="0" w:color="4F81BD"/>
                  <w:left w:val="single" w:sz="8" w:space="0" w:color="4F81BD"/>
                  <w:bottom w:val="single" w:sz="8" w:space="0" w:color="4F81BD"/>
                  <w:right w:val="single" w:sz="8" w:space="0" w:color="4F81BD"/>
                </w:tcBorders>
                <w:shd w:val="clear" w:color="auto" w:fill="auto"/>
                <w:vAlign w:val="center"/>
                <w:hideMark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Mažos rizikos sveikatos sistemos darbuotojai</w:t>
                </w:r>
                <w:r>
                  <w:rPr>
                    <w:szCs w:val="24"/>
                    <w:vertAlign w:val="superscript"/>
                  </w:rPr>
                  <w:t>*</w:t>
                </w:r>
                <w:r>
                  <w:rPr>
                    <w:szCs w:val="24"/>
                  </w:rPr>
                  <w:t>. Atliekamoms funkcijoms ir užduotims atlikti reikalingi minimalūs profesiniai kontaktai su kolegomis, dirbama atokiai nuo likusio personalo, teikiamos nuotolinės sveikatos priežiūros paslaugos, įtraukiant ir vaistinių darbuotojus.</w:t>
                </w:r>
              </w:p>
            </w:tc>
            <w:tc>
              <w:tcPr>
                <w:tcW w:w="3827" w:type="dxa"/>
                <w:tcBorders>
                  <w:top w:val="single" w:sz="4" w:space="0" w:color="4F81BD"/>
                  <w:left w:val="single" w:sz="4" w:space="0" w:color="4F81BD"/>
                  <w:bottom w:val="single" w:sz="4" w:space="0" w:color="4F81BD"/>
                  <w:right w:val="single" w:sz="4" w:space="0" w:color="4F81BD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szCs w:val="24"/>
                  </w:rPr>
                </w:pPr>
              </w:p>
            </w:tc>
          </w:tr>
          <w:tr>
            <w:trPr>
              <w:trHeight w:val="850"/>
            </w:trPr>
            <w:tc>
              <w:tcPr>
                <w:tcW w:w="6519" w:type="dxa"/>
                <w:tcBorders>
                  <w:top w:val="single" w:sz="4" w:space="0" w:color="4F81BD"/>
                  <w:left w:val="single" w:sz="8" w:space="0" w:color="4F81BD"/>
                  <w:bottom w:val="single" w:sz="4" w:space="0" w:color="4F81BD"/>
                  <w:right w:val="single" w:sz="8" w:space="0" w:color="4F81BD"/>
                </w:tcBorders>
                <w:shd w:val="clear" w:color="auto" w:fill="auto"/>
                <w:vAlign w:val="center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Vyresni nei 65 m. amžiaus asmenys</w:t>
                </w:r>
              </w:p>
            </w:tc>
            <w:tc>
              <w:tcPr>
                <w:tcW w:w="3827" w:type="dxa"/>
                <w:tcBorders>
                  <w:top w:val="single" w:sz="4" w:space="0" w:color="4F81BD"/>
                  <w:left w:val="single" w:sz="4" w:space="0" w:color="4F81BD"/>
                  <w:bottom w:val="single" w:sz="4" w:space="0" w:color="4F81BD"/>
                  <w:right w:val="single" w:sz="4" w:space="0" w:color="4F81BD"/>
                </w:tcBorders>
                <w:shd w:val="clear" w:color="auto" w:fill="auto"/>
                <w:vAlign w:val="center"/>
              </w:tcPr>
              <w:p>
                <w:pPr>
                  <w:rPr>
                    <w:szCs w:val="24"/>
                  </w:rPr>
                </w:pPr>
              </w:p>
            </w:tc>
          </w:tr>
          <w:tr>
            <w:trPr>
              <w:trHeight w:val="850"/>
            </w:trPr>
            <w:tc>
              <w:tcPr>
                <w:tcW w:w="6519" w:type="dxa"/>
                <w:tcBorders>
                  <w:top w:val="single" w:sz="4" w:space="0" w:color="4F81BD"/>
                  <w:left w:val="single" w:sz="8" w:space="0" w:color="4F81BD"/>
                  <w:bottom w:val="single" w:sz="4" w:space="0" w:color="4F81BD"/>
                  <w:right w:val="single" w:sz="8" w:space="0" w:color="4F81BD"/>
                </w:tcBorders>
                <w:shd w:val="clear" w:color="auto" w:fill="auto"/>
                <w:vAlign w:val="center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Asmenys, sergantys lėtinėmis ligomis</w:t>
                </w:r>
              </w:p>
            </w:tc>
            <w:tc>
              <w:tcPr>
                <w:tcW w:w="3827" w:type="dxa"/>
                <w:tcBorders>
                  <w:top w:val="single" w:sz="4" w:space="0" w:color="4F81BD"/>
                  <w:left w:val="single" w:sz="4" w:space="0" w:color="4F81BD"/>
                  <w:bottom w:val="single" w:sz="4" w:space="0" w:color="4F81BD"/>
                  <w:right w:val="single" w:sz="4" w:space="0" w:color="4F81BD"/>
                </w:tcBorders>
                <w:shd w:val="clear" w:color="auto" w:fill="auto"/>
                <w:vAlign w:val="center"/>
              </w:tcPr>
              <w:p>
                <w:pPr>
                  <w:rPr>
                    <w:i/>
                    <w:iCs/>
                    <w:szCs w:val="24"/>
                  </w:rPr>
                </w:pPr>
                <w:r>
                  <w:rPr>
                    <w:i/>
                    <w:iCs/>
                    <w:szCs w:val="24"/>
                  </w:rPr>
                  <w:t>Sveikatos apsaugos ministerija šiuos duomenis pateiks už savivaldybes.</w:t>
                </w:r>
              </w:p>
            </w:tc>
          </w:tr>
        </w:tbl>
        <w:p>
          <w:pPr>
            <w:spacing w:line="259" w:lineRule="auto"/>
            <w:rPr>
              <w:sz w:val="22"/>
              <w:szCs w:val="22"/>
              <w:lang w:val="en-US"/>
            </w:rPr>
          </w:pPr>
        </w:p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endnotePr>
        <w:numFmt w:val="chicago"/>
      </w:endnotePr>
      <w:pgSz w:w="11906" w:h="16838"/>
      <w:pgMar w:top="1134" w:right="850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endnote>
  <w:endnote w:type="continuationSeparator" w:id="0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endnote>
  <w:endnote w:id="1">
    <w:p>
      <w:pPr>
        <w:ind w:left="-426"/>
        <w:jc w:val="both"/>
        <w:rPr>
          <w:sz w:val="22"/>
          <w:szCs w:val="22"/>
        </w:rPr>
      </w:pPr>
      <w:r>
        <w:rPr>
          <w:sz w:val="22"/>
          <w:szCs w:val="22"/>
          <w:vertAlign w:val="superscript"/>
        </w:rPr>
        <w:endnoteRef/>
      </w:r>
      <w:r>
        <w:rPr>
          <w:sz w:val="22"/>
          <w:szCs w:val="22"/>
        </w:rPr>
        <w:t xml:space="preserve"> Sveikatos sistemos darbuotojai suprantami kaip visi asmens sveikatos priežiūros įstaigų ir visuomenės sveikatos priežiūros įstaigų darbuotojai, nepriklausomai nuo jų profesijos ar atliekamų pareigų.</w:t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footnote>
  <w:footnote w:type="continuationSeparator" w:id="0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 w:val="22"/>
        <w:szCs w:val="22"/>
        <w:lang w:val="en-GB"/>
      </w:rPr>
    </w:pPr>
    <w:r>
      <w:rPr>
        <w:sz w:val="22"/>
        <w:szCs w:val="22"/>
        <w:lang w:val="en-GB"/>
      </w:rPr>
      <w:fldChar w:fldCharType="begin"/>
    </w:r>
    <w:r>
      <w:rPr>
        <w:sz w:val="22"/>
        <w:szCs w:val="22"/>
        <w:lang w:val="en-GB"/>
      </w:rPr>
      <w:instrText>PAGE   \* MERGEFORMAT</w:instrText>
    </w:r>
    <w:r>
      <w:rPr>
        <w:sz w:val="22"/>
        <w:szCs w:val="22"/>
        <w:lang w:val="en-GB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  <w:lang w:val="en-GB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hideSpellingErrors/>
  <w:hideGrammaticalErrors/>
  <w:defaultTabStop w:val="720"/>
  <w:hyphenationZone w:val="396"/>
  <w:doNotHyphenateCaps/>
  <w:characterSpacingControl w:val="doNotCompress"/>
  <w:footnotePr>
    <w:footnote w:id="-1"/>
    <w:footnote w:id="0"/>
  </w:footnotePr>
  <w:endnotePr>
    <w:numFmt w:val="chicago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5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SAVIVALDYBĖJE ESANČIŲ PRIORITETINIŲ VAKCINACIJOS GRUPIŲ SKAIČIUS" DocPartId="1246c30502b840e5a028eaaa8b4634dd" PartId="548f7fcfd2e74cbca897e064cd217f1c"/>
</Parts>
</file>

<file path=customXml/itemProps1.xml><?xml version="1.0" encoding="utf-8"?>
<ds:datastoreItem xmlns:ds="http://schemas.openxmlformats.org/officeDocument/2006/customXml" ds:itemID="{85EF8629-F843-4472-A69F-75ABFB493EC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294</Words>
  <Characters>2274</Characters>
  <Application>Microsoft Office Word</Application>
  <DocSecurity>4</DocSecurity>
  <Lines>84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2021-04-12T08:38:00Z</dcterms:created>
  <dc:creator>Lukas Galkus</dc:creator>
  <lastModifiedBy>adlibuser</lastModifiedBy>
  <dcterms:modified xsi:type="dcterms:W3CDTF">2021-04-12T08:38:00Z</dcterms:modified>
  <revision>2</revision>
</coreProperties>
</file>