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36B6" w14:textId="760EB32E" w:rsidR="00A227CB" w:rsidRDefault="00630274">
      <w:pPr>
        <w:widowControl w:val="0"/>
        <w:ind w:left="4535"/>
        <w:rPr>
          <w:color w:val="000000"/>
        </w:rPr>
      </w:pPr>
      <w:r>
        <w:rPr>
          <w:color w:val="000000"/>
        </w:rPr>
        <w:t>Užsienio šalių institucijose ar pagal tarptautinių organizacijų švietimo programas išsilavinimą įgijusių asmenų konkuravimo dėl priėmimo į valstybės finansuojamas studijų aukštosiose mokyklose vietas tvarkos aprašo</w:t>
      </w:r>
    </w:p>
    <w:p w14:paraId="2BB5D257" w14:textId="77777777" w:rsidR="00A227CB" w:rsidRDefault="003C25FE">
      <w:pPr>
        <w:widowControl w:val="0"/>
        <w:ind w:left="4535"/>
      </w:pPr>
      <w:r>
        <w:rPr>
          <w:color w:val="000000"/>
        </w:rPr>
        <w:t>1 priedas</w:t>
      </w:r>
    </w:p>
    <w:p w14:paraId="79530E92" w14:textId="77777777" w:rsidR="00A227CB" w:rsidRDefault="00A227CB">
      <w:pPr>
        <w:widowControl w:val="0"/>
        <w:ind w:left="4535"/>
        <w:rPr>
          <w:color w:val="000000"/>
        </w:rPr>
      </w:pPr>
    </w:p>
    <w:p w14:paraId="0262F55F" w14:textId="77777777" w:rsidR="00A227CB" w:rsidRDefault="003C25FE">
      <w:pPr>
        <w:widowControl w:val="0"/>
        <w:jc w:val="center"/>
      </w:pPr>
      <w:r>
        <w:rPr>
          <w:b/>
          <w:bCs/>
          <w:caps/>
          <w:color w:val="000000"/>
        </w:rPr>
        <w:t>TARPTAUTINIO BAKALAUREATO DIPLOMO PROGRAMOS BAIGIAMŲJŲ EGZAMINŲ ĮVERTINIMŲ IR BRANDOS EGZAMINŲ ĮVERTINIMŲ ATITIKMENYS</w:t>
      </w:r>
    </w:p>
    <w:p w14:paraId="296BFA94" w14:textId="77777777" w:rsidR="00A227CB" w:rsidRDefault="00A227CB">
      <w:pPr>
        <w:widowControl w:val="0"/>
        <w:ind w:firstLine="567"/>
        <w:jc w:val="both"/>
        <w:rPr>
          <w:color w:val="000000"/>
        </w:rPr>
      </w:pPr>
    </w:p>
    <w:p w14:paraId="2E78DB08" w14:textId="77777777" w:rsidR="00A227CB" w:rsidRDefault="003C25FE">
      <w:pPr>
        <w:widowControl w:val="0"/>
        <w:ind w:firstLine="567"/>
        <w:jc w:val="both"/>
      </w:pPr>
      <w:r>
        <w:rPr>
          <w:color w:val="000000"/>
        </w:rPr>
        <w:t xml:space="preserve">1. Tarptautinio </w:t>
      </w:r>
      <w:proofErr w:type="spellStart"/>
      <w:r>
        <w:rPr>
          <w:color w:val="000000"/>
        </w:rPr>
        <w:t>bakalaureato</w:t>
      </w:r>
      <w:proofErr w:type="spellEnd"/>
      <w:r>
        <w:rPr>
          <w:color w:val="000000"/>
        </w:rPr>
        <w:t xml:space="preserve"> diplomo (toliau – TBD) programos baigiamųjų egzaminų įvertinimų ir brandos egzaminų įvertinimų atitikmenų nustatyme išskiriami šie dalykų lygiai: aukštesnysis lygis (santrumpa iš anglų kalbos </w:t>
      </w:r>
      <w:proofErr w:type="spellStart"/>
      <w:r>
        <w:rPr>
          <w:i/>
          <w:iCs/>
          <w:color w:val="000000"/>
        </w:rPr>
        <w:t>Higher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Level</w:t>
      </w:r>
      <w:proofErr w:type="spellEnd"/>
      <w:r>
        <w:rPr>
          <w:color w:val="000000"/>
        </w:rPr>
        <w:t xml:space="preserve">; toliau – </w:t>
      </w:r>
      <w:r>
        <w:rPr>
          <w:i/>
          <w:iCs/>
          <w:color w:val="000000"/>
        </w:rPr>
        <w:t>HL</w:t>
      </w:r>
      <w:r>
        <w:rPr>
          <w:color w:val="000000"/>
        </w:rPr>
        <w:t xml:space="preserve">) ir standartinis lygis (santrumpa iš anglų kalbos </w:t>
      </w:r>
      <w:proofErr w:type="spellStart"/>
      <w:r>
        <w:rPr>
          <w:i/>
          <w:iCs/>
          <w:color w:val="000000"/>
        </w:rPr>
        <w:t>Standart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Level</w:t>
      </w:r>
      <w:proofErr w:type="spellEnd"/>
      <w:r>
        <w:rPr>
          <w:color w:val="000000"/>
        </w:rPr>
        <w:t>; toliau – SL).</w:t>
      </w:r>
    </w:p>
    <w:p w14:paraId="6D779586" w14:textId="77777777" w:rsidR="00A227CB" w:rsidRDefault="003C25FE">
      <w:pPr>
        <w:widowControl w:val="0"/>
        <w:ind w:firstLine="567"/>
        <w:jc w:val="both"/>
      </w:pPr>
      <w:r>
        <w:rPr>
          <w:color w:val="000000"/>
        </w:rPr>
        <w:t>2. Nustatyti šie TBD programos dalykų atitikmenys dalykams, iš kurių sudaromas konkursinis balas Lietuvoje:</w:t>
      </w:r>
    </w:p>
    <w:p w14:paraId="1FB02ACB" w14:textId="77777777" w:rsidR="00A227CB" w:rsidRDefault="00A227CB">
      <w:pPr>
        <w:widowControl w:val="0"/>
        <w:ind w:firstLine="567"/>
        <w:jc w:val="both"/>
        <w:rPr>
          <w:color w:val="00000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744"/>
        <w:gridCol w:w="3418"/>
        <w:gridCol w:w="1397"/>
        <w:gridCol w:w="1438"/>
      </w:tblGrid>
      <w:tr w:rsidR="00A227CB" w14:paraId="2624E4E6" w14:textId="77777777" w:rsidTr="00577859">
        <w:trPr>
          <w:trHeight w:val="20"/>
          <w:tblHeader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683FD" w14:textId="77777777" w:rsidR="00A227CB" w:rsidRDefault="003C25F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TBD programos dalykai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25D60" w14:textId="77777777" w:rsidR="00A227CB" w:rsidRDefault="003C25F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Dalykai, iš kurių sudaromas konkursinis balas Lietuvoje</w:t>
            </w:r>
          </w:p>
        </w:tc>
      </w:tr>
      <w:tr w:rsidR="00A227CB" w14:paraId="33F3D3AB" w14:textId="77777777" w:rsidTr="00577859">
        <w:trPr>
          <w:trHeight w:val="20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E07CB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Grupės numeris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DF872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Grupės pavadinimas ir atitikmuo anglų kalba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11771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Dalyko pavadinimas arba apibūdinimas ir atitikmuo anglų kalba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CFE5B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Brandos egzaminas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6944B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Metinis pažymys</w:t>
            </w:r>
          </w:p>
        </w:tc>
      </w:tr>
      <w:tr w:rsidR="00A227CB" w14:paraId="220CFE1B" w14:textId="77777777" w:rsidTr="00577859">
        <w:trPr>
          <w:trHeight w:val="2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C1978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9DBF8" w14:textId="28F900E1" w:rsidR="00A227CB" w:rsidRDefault="003C25FE" w:rsidP="006302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Kalba A </w:t>
            </w:r>
            <w:r w:rsidRPr="0063027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30274">
              <w:rPr>
                <w:i/>
                <w:iCs/>
                <w:color w:val="000000"/>
                <w:sz w:val="22"/>
                <w:szCs w:val="22"/>
              </w:rPr>
              <w:t>Language</w:t>
            </w:r>
            <w:proofErr w:type="spellEnd"/>
            <w:r w:rsidRPr="00630274">
              <w:rPr>
                <w:i/>
                <w:iCs/>
                <w:color w:val="000000"/>
                <w:sz w:val="22"/>
                <w:szCs w:val="22"/>
              </w:rPr>
              <w:t xml:space="preserve"> A: </w:t>
            </w:r>
            <w:proofErr w:type="spellStart"/>
            <w:r w:rsidR="00630274" w:rsidRPr="00630274">
              <w:rPr>
                <w:i/>
                <w:iCs/>
                <w:color w:val="000000"/>
                <w:sz w:val="22"/>
                <w:szCs w:val="22"/>
              </w:rPr>
              <w:t>Literature</w:t>
            </w:r>
            <w:proofErr w:type="spellEnd"/>
            <w:r w:rsidRPr="006302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8AEF5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Gimtoji kalba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CBC22" w14:textId="77777777" w:rsidR="00A227CB" w:rsidRDefault="003C25FE">
            <w:pPr>
              <w:widowControl w:val="0"/>
            </w:pPr>
            <w:r>
              <w:rPr>
                <w:color w:val="000000"/>
                <w:szCs w:val="24"/>
                <w:lang w:eastAsia="lt-LT"/>
              </w:rPr>
              <w:t>Lietuvių kalba ir literatūra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A10A3" w14:textId="77777777" w:rsidR="00A227CB" w:rsidRDefault="003C25FE">
            <w:pPr>
              <w:widowControl w:val="0"/>
            </w:pPr>
            <w:r>
              <w:rPr>
                <w:color w:val="000000"/>
                <w:szCs w:val="24"/>
                <w:lang w:eastAsia="lt-LT"/>
              </w:rPr>
              <w:t>Lietuvių kalba ir literatūra</w:t>
            </w:r>
            <w:r>
              <w:rPr>
                <w:color w:val="000000"/>
                <w:sz w:val="22"/>
                <w:szCs w:val="22"/>
              </w:rPr>
              <w:t xml:space="preserve"> arba gimtoji kalba</w:t>
            </w:r>
          </w:p>
        </w:tc>
      </w:tr>
      <w:tr w:rsidR="00A227CB" w14:paraId="2A1DB52E" w14:textId="77777777" w:rsidTr="00577859">
        <w:trPr>
          <w:trHeight w:val="2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D10D2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B3F46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Užsienio kalba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acquisition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74B5B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Užsienio kalbos: šiuolaikinės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Ab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Initio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B,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Language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A2</w:t>
            </w:r>
            <w:r>
              <w:rPr>
                <w:color w:val="000000"/>
                <w:sz w:val="22"/>
                <w:szCs w:val="22"/>
              </w:rPr>
              <w:t>) ir klasikinės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Latin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Classical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Greek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29D40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Užsienio kalba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78D20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Užsienio kalba</w:t>
            </w:r>
          </w:p>
        </w:tc>
      </w:tr>
      <w:tr w:rsidR="00A227CB" w14:paraId="0BA7DCD7" w14:textId="77777777" w:rsidTr="00577859">
        <w:trPr>
          <w:trHeight w:val="2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C7429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1298D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Individai ir visuomenė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Individuals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Societies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3EC33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Istorija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History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History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Islamic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F0EAE" w14:textId="77777777" w:rsidR="00294622" w:rsidRDefault="0029462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45F3181B" w14:textId="77777777" w:rsidR="00294622" w:rsidRDefault="0029462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19F0970E" w14:textId="3288C638" w:rsidR="00294622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Istorija arba geografija</w:t>
            </w:r>
          </w:p>
          <w:p w14:paraId="3DDFC65C" w14:textId="77777777" w:rsidR="00294622" w:rsidRDefault="0029462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5694288" w14:textId="5382285A" w:rsidR="00294622" w:rsidRDefault="0029462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A4BB9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Istorija arba geografija</w:t>
            </w:r>
          </w:p>
        </w:tc>
      </w:tr>
      <w:tr w:rsidR="005523E4" w14:paraId="448B6A31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A3938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1FE7F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D305F" w14:textId="1A6B9C2F" w:rsidR="005523E4" w:rsidRPr="00630274" w:rsidRDefault="005523E4" w:rsidP="005523E4">
            <w:pPr>
              <w:jc w:val="both"/>
              <w:rPr>
                <w:i/>
                <w:iCs/>
                <w:lang w:val="de-DE"/>
              </w:rPr>
            </w:pPr>
            <w:proofErr w:type="spellStart"/>
            <w:r w:rsidRPr="00630274">
              <w:rPr>
                <w:i/>
                <w:iCs/>
                <w:lang w:val="de-DE"/>
              </w:rPr>
              <w:t>Globalioji</w:t>
            </w:r>
            <w:proofErr w:type="spellEnd"/>
            <w:r w:rsidRPr="00630274">
              <w:rPr>
                <w:i/>
                <w:iCs/>
                <w:lang w:val="de-DE"/>
              </w:rPr>
              <w:t xml:space="preserve"> </w:t>
            </w:r>
            <w:proofErr w:type="spellStart"/>
            <w:r w:rsidRPr="00630274">
              <w:rPr>
                <w:i/>
                <w:iCs/>
                <w:lang w:val="de-DE"/>
              </w:rPr>
              <w:t>politika</w:t>
            </w:r>
            <w:proofErr w:type="spellEnd"/>
            <w:r w:rsidRPr="00630274">
              <w:rPr>
                <w:i/>
                <w:iCs/>
                <w:lang w:val="de-DE"/>
              </w:rPr>
              <w:t xml:space="preserve"> (Global </w:t>
            </w:r>
            <w:proofErr w:type="spellStart"/>
            <w:r w:rsidRPr="00630274">
              <w:rPr>
                <w:i/>
                <w:iCs/>
                <w:lang w:val="de-DE"/>
              </w:rPr>
              <w:t>politics</w:t>
            </w:r>
            <w:proofErr w:type="spellEnd"/>
            <w:r w:rsidRPr="00630274">
              <w:rPr>
                <w:i/>
                <w:iCs/>
                <w:lang w:val="de-DE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56502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0D5EB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227CB" w14:paraId="15C861AA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FD569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AE48D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ED309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Geografija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Geography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2C3A1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7DCA4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78F28797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76164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020BC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472E2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Ekonomika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Economics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836D8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CE824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1C20A8D1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895E2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AB379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427E4" w14:textId="520795C9" w:rsidR="00294622" w:rsidRPr="00294622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Filosofija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Philosophy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AFDE9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BDAAB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24222CC9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91379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CCF9E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59EE4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Psichologija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Psychology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D570A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0D5AD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035AF317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CD3D1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6C6A0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ECFD4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Socialinė ir kultūrinė antropologija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Social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Cultural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Anthropology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7BA79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9B894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05FAF6B2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C6D5B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C1825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72659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Verslas ir organizavimas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Business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Management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6F52D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8BF2E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147F86D2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6B9DF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5641F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ED760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Informacinės technologijos globalioje visuomenėje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Technology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a Global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Society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936BE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6120F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7EE72FFA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3D0B2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A3586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42F12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Pasaulio religijos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Religions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E93C3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791F4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</w:tr>
      <w:tr w:rsidR="005523E4" w14:paraId="48818D22" w14:textId="77777777" w:rsidTr="00C836E7">
        <w:trPr>
          <w:trHeight w:val="2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89112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20DC5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Gamtos /eksperimentiniai mokslai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Experimental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Sciences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71B2E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Biologija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Biology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A7AAB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Biologija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0CC7C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Biologija</w:t>
            </w:r>
          </w:p>
        </w:tc>
      </w:tr>
      <w:tr w:rsidR="005523E4" w14:paraId="79B26CEA" w14:textId="77777777" w:rsidTr="00C836E7">
        <w:trPr>
          <w:trHeight w:val="20"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03442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198D3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0B01D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Chemija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Chemistry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14417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Chemija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E146D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Chemija</w:t>
            </w:r>
          </w:p>
        </w:tc>
      </w:tr>
      <w:tr w:rsidR="005523E4" w14:paraId="545BABE5" w14:textId="77777777" w:rsidTr="00C836E7">
        <w:trPr>
          <w:trHeight w:val="20"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94C9C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CE365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C9B04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Fizika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Physics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3D613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866C6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Fizika</w:t>
            </w:r>
          </w:p>
        </w:tc>
      </w:tr>
      <w:tr w:rsidR="005523E4" w14:paraId="1B5DEE4F" w14:textId="77777777" w:rsidTr="00C836E7">
        <w:trPr>
          <w:trHeight w:val="20"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14226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38D23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A4FAF" w14:textId="2F20CFB7" w:rsidR="005523E4" w:rsidRPr="00181EC1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 w:rsidRPr="00181EC1">
              <w:t>Integruotas gamtos mokslų kursas (</w:t>
            </w:r>
            <w:proofErr w:type="spellStart"/>
            <w:r w:rsidRPr="00012DF6">
              <w:rPr>
                <w:i/>
              </w:rPr>
              <w:t>Nature</w:t>
            </w:r>
            <w:proofErr w:type="spellEnd"/>
            <w:r w:rsidRPr="00012DF6">
              <w:rPr>
                <w:i/>
              </w:rPr>
              <w:t xml:space="preserve"> </w:t>
            </w:r>
            <w:proofErr w:type="spellStart"/>
            <w:r w:rsidRPr="00012DF6">
              <w:rPr>
                <w:i/>
              </w:rPr>
              <w:t>of</w:t>
            </w:r>
            <w:proofErr w:type="spellEnd"/>
            <w:r w:rsidRPr="00012DF6">
              <w:rPr>
                <w:i/>
              </w:rPr>
              <w:t xml:space="preserve"> </w:t>
            </w:r>
            <w:proofErr w:type="spellStart"/>
            <w:r w:rsidRPr="00012DF6">
              <w:rPr>
                <w:i/>
              </w:rPr>
              <w:t>Science</w:t>
            </w:r>
            <w:proofErr w:type="spellEnd"/>
            <w:r w:rsidRPr="00181EC1"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FA97E" w14:textId="252A61D9" w:rsidR="005523E4" w:rsidRPr="00012DF6" w:rsidRDefault="00AB46A8" w:rsidP="0069677B">
            <w:pPr>
              <w:widowControl w:val="0"/>
              <w:rPr>
                <w:color w:val="000000"/>
                <w:sz w:val="22"/>
                <w:szCs w:val="22"/>
              </w:rPr>
            </w:pPr>
            <w:r w:rsidRPr="00012DF6">
              <w:rPr>
                <w:color w:val="000000"/>
                <w:sz w:val="22"/>
                <w:szCs w:val="22"/>
              </w:rPr>
              <w:t>Fizika</w:t>
            </w:r>
            <w:r w:rsidR="0069677B">
              <w:rPr>
                <w:color w:val="000000"/>
                <w:sz w:val="22"/>
                <w:szCs w:val="22"/>
              </w:rPr>
              <w:t xml:space="preserve"> (j</w:t>
            </w:r>
            <w:r w:rsidR="0069677B">
              <w:rPr>
                <w:color w:val="000000"/>
              </w:rPr>
              <w:t>ei stojama į aplinkotyros krypties studijų programas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6141A" w14:textId="4CA92A9D" w:rsidR="005523E4" w:rsidRDefault="00AB46A8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Fizika</w:t>
            </w:r>
          </w:p>
        </w:tc>
      </w:tr>
      <w:tr w:rsidR="005523E4" w14:paraId="3ED40C00" w14:textId="77777777" w:rsidTr="00C836E7">
        <w:trPr>
          <w:trHeight w:val="20"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E5498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03457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4E7BD" w14:textId="77777777" w:rsidR="005523E4" w:rsidRPr="00181EC1" w:rsidRDefault="005523E4">
            <w:pPr>
              <w:widowControl w:val="0"/>
            </w:pPr>
            <w:r w:rsidRPr="00181EC1">
              <w:rPr>
                <w:color w:val="000000"/>
                <w:sz w:val="22"/>
                <w:szCs w:val="22"/>
              </w:rPr>
              <w:t>Aplinkos sistemos (</w:t>
            </w:r>
            <w:proofErr w:type="spellStart"/>
            <w:r w:rsidRPr="00181EC1">
              <w:rPr>
                <w:i/>
                <w:iCs/>
                <w:color w:val="000000"/>
                <w:sz w:val="22"/>
                <w:szCs w:val="22"/>
              </w:rPr>
              <w:t>Environmental</w:t>
            </w:r>
            <w:proofErr w:type="spellEnd"/>
            <w:r w:rsidRPr="00181EC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EC1">
              <w:rPr>
                <w:i/>
                <w:iCs/>
                <w:color w:val="000000"/>
                <w:sz w:val="22"/>
                <w:szCs w:val="22"/>
              </w:rPr>
              <w:t>Systems</w:t>
            </w:r>
            <w:proofErr w:type="spellEnd"/>
            <w:r w:rsidRPr="00181EC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B1A80" w14:textId="31320ECA" w:rsidR="005523E4" w:rsidRDefault="005523E4" w:rsidP="0069677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Biologija</w:t>
            </w:r>
            <w:r w:rsidR="0069677B">
              <w:rPr>
                <w:color w:val="000000"/>
                <w:sz w:val="22"/>
                <w:szCs w:val="22"/>
              </w:rPr>
              <w:t xml:space="preserve"> </w:t>
            </w:r>
            <w:r w:rsidR="0069677B">
              <w:rPr>
                <w:color w:val="000000"/>
                <w:sz w:val="22"/>
                <w:szCs w:val="22"/>
              </w:rPr>
              <w:t>(j</w:t>
            </w:r>
            <w:r w:rsidR="0069677B">
              <w:rPr>
                <w:color w:val="000000"/>
              </w:rPr>
              <w:t>ei stojama į aplinkotyros krypties studijų programas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45600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Biologija</w:t>
            </w:r>
          </w:p>
        </w:tc>
      </w:tr>
      <w:tr w:rsidR="005523E4" w14:paraId="26EA7086" w14:textId="77777777" w:rsidTr="00C836E7">
        <w:trPr>
          <w:trHeight w:val="20"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D44AC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0712C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27408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Aplinkos sistemos ir visuomenės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Environmental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Systems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Societies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A48F3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D5749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Biologija</w:t>
            </w:r>
          </w:p>
        </w:tc>
      </w:tr>
      <w:tr w:rsidR="005523E4" w14:paraId="06F1853F" w14:textId="77777777" w:rsidTr="00C836E7">
        <w:trPr>
          <w:trHeight w:val="20"/>
        </w:trPr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B98D4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2AFD2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FC49B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Dizaino technologijos (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Design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Technology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66CCB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84C3C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5523E4" w:rsidRPr="00577859" w14:paraId="32B1A8C5" w14:textId="77777777" w:rsidTr="00C836E7">
        <w:trPr>
          <w:trHeight w:val="20"/>
        </w:trPr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32E37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0D40A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3583A" w14:textId="7F2C04B4" w:rsidR="005523E4" w:rsidRPr="00181EC1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 w:rsidRPr="00181EC1">
              <w:rPr>
                <w:color w:val="000000"/>
                <w:sz w:val="22"/>
                <w:szCs w:val="22"/>
              </w:rPr>
              <w:t>Kompiuterių mokslas (</w:t>
            </w:r>
            <w:r w:rsidRPr="00181EC1">
              <w:rPr>
                <w:i/>
                <w:iCs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181EC1">
              <w:rPr>
                <w:i/>
                <w:iCs/>
                <w:color w:val="000000"/>
                <w:sz w:val="22"/>
                <w:szCs w:val="22"/>
              </w:rPr>
              <w:t>Science</w:t>
            </w:r>
            <w:proofErr w:type="spellEnd"/>
            <w:r w:rsidRPr="00181EC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C85AF" w14:textId="4DCEF759" w:rsidR="005523E4" w:rsidRPr="00181EC1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 w:rsidRPr="00181EC1">
              <w:rPr>
                <w:color w:val="000000"/>
                <w:sz w:val="22"/>
                <w:szCs w:val="22"/>
              </w:rPr>
              <w:t>Informacinės technologijos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15189" w14:textId="17F3ED0C" w:rsidR="005523E4" w:rsidRPr="00181EC1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 w:rsidRPr="00181EC1">
              <w:rPr>
                <w:color w:val="000000"/>
                <w:sz w:val="22"/>
                <w:szCs w:val="22"/>
              </w:rPr>
              <w:t>Informacinės technologijos</w:t>
            </w:r>
          </w:p>
        </w:tc>
      </w:tr>
      <w:tr w:rsidR="005523E4" w14:paraId="12820D6C" w14:textId="77777777" w:rsidTr="001D6DE6">
        <w:trPr>
          <w:trHeight w:val="2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187A4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DA2E7" w14:textId="5E0AC443" w:rsidR="005523E4" w:rsidRDefault="005523E4" w:rsidP="00577859">
            <w:pPr>
              <w:widowControl w:val="0"/>
            </w:pPr>
            <w:r w:rsidRPr="00936DD5">
              <w:rPr>
                <w:color w:val="000000"/>
                <w:sz w:val="22"/>
                <w:szCs w:val="22"/>
              </w:rPr>
              <w:t>Matematikos moksla</w:t>
            </w:r>
            <w:r w:rsidR="00936DD5" w:rsidRPr="00936DD5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Mathematics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F495D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Matematika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Mathematics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E5FA3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7A496" w14:textId="77777777" w:rsidR="005523E4" w:rsidRDefault="005523E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</w:p>
        </w:tc>
      </w:tr>
      <w:tr w:rsidR="005523E4" w14:paraId="0714A708" w14:textId="77777777" w:rsidTr="001D6DE6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9B6B0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2383C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41569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Matematikos metodai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Mathematical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Methods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63F28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19095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</w:tr>
      <w:tr w:rsidR="005523E4" w14:paraId="55D66D03" w14:textId="77777777" w:rsidTr="001D6DE6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89DF8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1188B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78A73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Matematikos studijos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Mathematical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Studies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74494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EC3B3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</w:tr>
      <w:tr w:rsidR="005523E4" w14:paraId="0DCDC3B6" w14:textId="77777777" w:rsidTr="001D6DE6">
        <w:trPr>
          <w:trHeight w:val="506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0F4C4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AD386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1B118" w14:textId="77777777" w:rsidR="005523E4" w:rsidRDefault="005523E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Teorinė matematika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Further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Mathematics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3B178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C3AF0" w14:textId="77777777" w:rsidR="005523E4" w:rsidRDefault="005523E4">
            <w:pPr>
              <w:widowControl w:val="0"/>
              <w:rPr>
                <w:sz w:val="22"/>
                <w:szCs w:val="22"/>
              </w:rPr>
            </w:pPr>
          </w:p>
        </w:tc>
      </w:tr>
      <w:tr w:rsidR="00A227CB" w14:paraId="71A473CA" w14:textId="77777777" w:rsidTr="00577859">
        <w:trPr>
          <w:trHeight w:val="2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A9C20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43C55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Menai (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B7860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Dailė (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Visual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5B924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C71BE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902E4A" w14:paraId="1E6042BC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CAEEA" w14:textId="77777777" w:rsidR="00902E4A" w:rsidRDefault="00902E4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2BCA" w14:textId="77777777" w:rsidR="00902E4A" w:rsidRDefault="00902E4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FA3A0" w14:textId="23D717D8" w:rsidR="00902E4A" w:rsidRDefault="006244D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Menai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4F04A" w14:textId="0DBA8DD7" w:rsidR="00902E4A" w:rsidRDefault="006244D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Menai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32571" w14:textId="48E038D0" w:rsidR="00902E4A" w:rsidRDefault="006244D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Menai</w:t>
            </w:r>
          </w:p>
        </w:tc>
      </w:tr>
      <w:tr w:rsidR="00A227CB" w14:paraId="6F2BB830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B10A1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9E141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3629D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Muzika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AFF60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Muzikologija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3AD49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A227CB" w14:paraId="22308B6E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5F99A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58600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28DFD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Teatras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Theatre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DCA2C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1DAB8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A227CB" w14:paraId="5896CFA4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1B27C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90961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988E9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Literatūra ir menas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Literature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Performance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60EBE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0360F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A227CB" w14:paraId="3A4100BF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89986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68671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071F3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Šokis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02308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CED1B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A227CB" w14:paraId="38E21AFC" w14:textId="77777777" w:rsidTr="00577859">
        <w:trPr>
          <w:trHeight w:val="2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6745A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AA026" w14:textId="77777777" w:rsidR="00A227CB" w:rsidRDefault="00A227C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EAA98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Kinas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Film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36C6C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357F5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A227CB" w14:paraId="25CA6E7B" w14:textId="77777777" w:rsidTr="00577859">
        <w:trPr>
          <w:trHeight w:val="2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20C3D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Kiti privalomi </w:t>
            </w:r>
            <w:r>
              <w:rPr>
                <w:color w:val="000000"/>
                <w:sz w:val="22"/>
                <w:szCs w:val="22"/>
              </w:rPr>
              <w:lastRenderedPageBreak/>
              <w:t>dalykai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C6011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Centriniai programos </w:t>
            </w:r>
            <w:r>
              <w:rPr>
                <w:color w:val="000000"/>
                <w:sz w:val="22"/>
                <w:szCs w:val="22"/>
              </w:rPr>
              <w:lastRenderedPageBreak/>
              <w:t>komponentai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Subjects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E5933" w14:textId="77777777" w:rsidR="00A227CB" w:rsidRDefault="003C25F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lastRenderedPageBreak/>
              <w:t>Kūryba, sportas ir visuomenei naudingas darbas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Creativity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Service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santrumpa anglų kalba – </w:t>
            </w:r>
            <w:r>
              <w:rPr>
                <w:i/>
                <w:iCs/>
                <w:color w:val="000000"/>
                <w:sz w:val="22"/>
                <w:szCs w:val="22"/>
              </w:rPr>
              <w:t>CAS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0B817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33DE6" w14:textId="77777777" w:rsidR="00A227CB" w:rsidRDefault="003C25F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Bendroji kūno kultūra</w:t>
            </w:r>
          </w:p>
        </w:tc>
      </w:tr>
    </w:tbl>
    <w:p w14:paraId="61FD3AED" w14:textId="77777777" w:rsidR="00A227CB" w:rsidRDefault="00A227CB">
      <w:pPr>
        <w:widowControl w:val="0"/>
        <w:ind w:firstLine="567"/>
        <w:jc w:val="both"/>
        <w:rPr>
          <w:color w:val="000000"/>
        </w:rPr>
      </w:pPr>
    </w:p>
    <w:p w14:paraId="4B1B1A7C" w14:textId="77777777" w:rsidR="00A227CB" w:rsidRDefault="003C25FE">
      <w:pPr>
        <w:widowControl w:val="0"/>
        <w:ind w:firstLine="567"/>
        <w:jc w:val="both"/>
      </w:pPr>
      <w:r>
        <w:rPr>
          <w:color w:val="000000"/>
          <w:szCs w:val="24"/>
          <w:lang w:eastAsia="lt-LT"/>
        </w:rPr>
        <w:t xml:space="preserve">3. Nustatyti šie TBD programos baigiamųjų egzaminų įvertinimų atitikmenys valstybinių brandos egzaminų </w:t>
      </w:r>
      <w:proofErr w:type="spellStart"/>
      <w:r>
        <w:rPr>
          <w:color w:val="000000"/>
          <w:szCs w:val="24"/>
          <w:lang w:eastAsia="lt-LT"/>
        </w:rPr>
        <w:t>įvertinimams</w:t>
      </w:r>
      <w:proofErr w:type="spellEnd"/>
      <w:r>
        <w:rPr>
          <w:color w:val="000000"/>
          <w:szCs w:val="24"/>
          <w:lang w:eastAsia="lt-LT"/>
        </w:rPr>
        <w:t>: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3154"/>
        <w:gridCol w:w="2373"/>
      </w:tblGrid>
      <w:tr w:rsidR="00A227CB" w14:paraId="30113C17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3E262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TBD programos dalyko HL įvertinimas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0B38E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brandos egzamino pasiekimų lygis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4FBEB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brandos egzamino įvertinimas</w:t>
            </w:r>
          </w:p>
        </w:tc>
      </w:tr>
      <w:tr w:rsidR="00A227CB" w14:paraId="4EB3469D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B1BE8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A5170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Aukštesnysis pasiekimų lygis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2EFB9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</w:t>
            </w:r>
          </w:p>
        </w:tc>
      </w:tr>
      <w:tr w:rsidR="00A227CB" w14:paraId="50EBBC25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8D248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80333" w14:textId="77777777" w:rsidR="00A227CB" w:rsidRDefault="00A227CB" w:rsidP="00755E7E">
            <w:pPr>
              <w:widowControl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F9CB6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95</w:t>
            </w:r>
          </w:p>
        </w:tc>
      </w:tr>
      <w:tr w:rsidR="00A227CB" w14:paraId="0A79A19B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DC2F6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D4A50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Pagrindinis pasiekimų lygis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884C1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85</w:t>
            </w:r>
          </w:p>
        </w:tc>
      </w:tr>
      <w:tr w:rsidR="00A227CB" w14:paraId="750ECE34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96157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84E7C" w14:textId="77777777" w:rsidR="00A227CB" w:rsidRDefault="00A227CB" w:rsidP="00755E7E">
            <w:pPr>
              <w:widowControl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7E7A8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68</w:t>
            </w:r>
          </w:p>
        </w:tc>
      </w:tr>
      <w:tr w:rsidR="00A227CB" w14:paraId="51B4DEE5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9873E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63429" w14:textId="77777777" w:rsidR="00A227CB" w:rsidRDefault="00A227CB" w:rsidP="00755E7E">
            <w:pPr>
              <w:widowControl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BCC2D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36</w:t>
            </w:r>
          </w:p>
        </w:tc>
      </w:tr>
      <w:tr w:rsidR="00A227CB" w14:paraId="6CC6926A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7DD78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81C1C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Patenkinamas pasiekimų lygis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B3E02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</w:p>
        </w:tc>
      </w:tr>
      <w:tr w:rsidR="00A227CB" w14:paraId="35965630" w14:textId="77777777" w:rsidTr="00755E7E">
        <w:trPr>
          <w:trHeight w:val="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BD57C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9BBF5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Nepatenkinamas pasiekimų lygis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C6B8A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nėra atitikmens</w:t>
            </w:r>
          </w:p>
        </w:tc>
      </w:tr>
    </w:tbl>
    <w:p w14:paraId="63754D19" w14:textId="77777777" w:rsidR="00A227CB" w:rsidRDefault="00A227CB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154"/>
        <w:gridCol w:w="2374"/>
      </w:tblGrid>
      <w:tr w:rsidR="00A227CB" w14:paraId="546243F6" w14:textId="77777777" w:rsidTr="00755E7E">
        <w:trPr>
          <w:trHeight w:val="12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B93DF" w14:textId="77777777" w:rsidR="00A227CB" w:rsidRDefault="003C25FE" w:rsidP="00755E7E">
            <w:pPr>
              <w:widowControl w:val="0"/>
              <w:jc w:val="center"/>
            </w:pPr>
            <w:r>
              <w:rPr>
                <w:color w:val="000000"/>
                <w:szCs w:val="24"/>
                <w:lang w:eastAsia="lt-LT"/>
              </w:rPr>
              <w:t>TBD programos dalyko SL</w:t>
            </w:r>
            <w:r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įvertinimas</w:t>
            </w:r>
          </w:p>
          <w:p w14:paraId="0B04990C" w14:textId="70EA596A" w:rsidR="00A227CB" w:rsidRPr="007D4541" w:rsidRDefault="003C25FE" w:rsidP="00755E7E">
            <w:pPr>
              <w:widowControl w:val="0"/>
              <w:jc w:val="center"/>
            </w:pPr>
            <w:r w:rsidRPr="007D4541">
              <w:rPr>
                <w:color w:val="000000"/>
                <w:szCs w:val="24"/>
                <w:lang w:eastAsia="lt-LT"/>
              </w:rPr>
              <w:t>(</w:t>
            </w:r>
            <w:r w:rsidR="007D4541">
              <w:rPr>
                <w:color w:val="000000"/>
                <w:szCs w:val="24"/>
                <w:lang w:eastAsia="lt-LT"/>
              </w:rPr>
              <w:t>išskyrus</w:t>
            </w:r>
            <w:r w:rsidRPr="007D4541">
              <w:rPr>
                <w:color w:val="000000"/>
                <w:szCs w:val="24"/>
                <w:lang w:eastAsia="lt-LT"/>
              </w:rPr>
              <w:t xml:space="preserve"> užsienio kalb</w:t>
            </w:r>
            <w:r w:rsidR="007D4541">
              <w:rPr>
                <w:color w:val="000000"/>
                <w:szCs w:val="24"/>
                <w:lang w:eastAsia="lt-LT"/>
              </w:rPr>
              <w:t>ą</w:t>
            </w:r>
            <w:r w:rsidRPr="007D4541">
              <w:rPr>
                <w:color w:val="000000"/>
                <w:szCs w:val="24"/>
                <w:lang w:eastAsia="lt-LT"/>
              </w:rPr>
              <w:t xml:space="preserve"> (</w:t>
            </w:r>
            <w:proofErr w:type="spellStart"/>
            <w:r w:rsidRPr="007D4541">
              <w:rPr>
                <w:i/>
                <w:iCs/>
                <w:color w:val="000000"/>
                <w:szCs w:val="24"/>
                <w:lang w:eastAsia="lt-LT"/>
              </w:rPr>
              <w:t>Language</w:t>
            </w:r>
            <w:proofErr w:type="spellEnd"/>
            <w:r w:rsidRPr="007D4541"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D4541">
              <w:rPr>
                <w:i/>
                <w:iCs/>
                <w:color w:val="000000"/>
                <w:szCs w:val="24"/>
                <w:lang w:eastAsia="lt-LT"/>
              </w:rPr>
              <w:t>Ab</w:t>
            </w:r>
            <w:proofErr w:type="spellEnd"/>
            <w:r w:rsidRPr="007D4541"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D4541">
              <w:rPr>
                <w:i/>
                <w:iCs/>
                <w:color w:val="000000"/>
                <w:szCs w:val="24"/>
                <w:lang w:eastAsia="lt-LT"/>
              </w:rPr>
              <w:t>Initio</w:t>
            </w:r>
            <w:proofErr w:type="spellEnd"/>
            <w:r w:rsidRPr="007D4541">
              <w:rPr>
                <w:color w:val="000000"/>
                <w:szCs w:val="24"/>
                <w:lang w:eastAsia="lt-LT"/>
              </w:rPr>
              <w:t>) ir matematikos studij</w:t>
            </w:r>
            <w:r w:rsidR="007D4541">
              <w:rPr>
                <w:color w:val="000000"/>
                <w:szCs w:val="24"/>
                <w:lang w:eastAsia="lt-LT"/>
              </w:rPr>
              <w:t>a</w:t>
            </w:r>
            <w:r w:rsidRPr="007D4541">
              <w:rPr>
                <w:color w:val="000000"/>
                <w:szCs w:val="24"/>
                <w:lang w:eastAsia="lt-LT"/>
              </w:rPr>
              <w:t>s (</w:t>
            </w:r>
            <w:proofErr w:type="spellStart"/>
            <w:r w:rsidRPr="007D4541">
              <w:rPr>
                <w:i/>
                <w:iCs/>
                <w:color w:val="000000"/>
                <w:szCs w:val="24"/>
                <w:lang w:eastAsia="lt-LT"/>
              </w:rPr>
              <w:t>Mathematical</w:t>
            </w:r>
            <w:proofErr w:type="spellEnd"/>
            <w:r w:rsidRPr="007D4541"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D4541">
              <w:rPr>
                <w:i/>
                <w:iCs/>
                <w:color w:val="000000"/>
                <w:szCs w:val="24"/>
                <w:lang w:eastAsia="lt-LT"/>
              </w:rPr>
              <w:t>Studies</w:t>
            </w:r>
            <w:proofErr w:type="spellEnd"/>
            <w:r w:rsidRPr="007D4541">
              <w:rPr>
                <w:color w:val="000000"/>
                <w:szCs w:val="24"/>
                <w:lang w:eastAsia="lt-LT"/>
              </w:rPr>
              <w:t>))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01C54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brandos egzamino pasiekimų lygis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B9A7B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brandos egzamino įvertinimas</w:t>
            </w:r>
          </w:p>
        </w:tc>
      </w:tr>
      <w:tr w:rsidR="00A227CB" w14:paraId="70FC0096" w14:textId="77777777" w:rsidTr="00755E7E">
        <w:trPr>
          <w:trHeight w:val="6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6280E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B8C4F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Aukštesnysis pasiekimų lygis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289C4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95</w:t>
            </w:r>
          </w:p>
        </w:tc>
      </w:tr>
      <w:tr w:rsidR="00A227CB" w14:paraId="7181BD5F" w14:textId="77777777" w:rsidTr="00755E7E">
        <w:trPr>
          <w:trHeight w:val="6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F7946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C32CA" w14:textId="77777777" w:rsidR="00A227CB" w:rsidRDefault="00A227CB" w:rsidP="00755E7E">
            <w:pPr>
              <w:widowControl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570B6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86</w:t>
            </w:r>
          </w:p>
        </w:tc>
      </w:tr>
      <w:tr w:rsidR="00A227CB" w14:paraId="67D6D8FC" w14:textId="77777777" w:rsidTr="00755E7E">
        <w:trPr>
          <w:trHeight w:val="6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ADBC0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D2080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Pagrindinis pasiekimų lygis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4C0D8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68</w:t>
            </w:r>
          </w:p>
        </w:tc>
      </w:tr>
      <w:tr w:rsidR="00A227CB" w14:paraId="7B729B3F" w14:textId="77777777" w:rsidTr="00755E7E">
        <w:trPr>
          <w:trHeight w:val="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F366E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  <w:p w14:paraId="51E7EF9A" w14:textId="77777777" w:rsidR="00A227CB" w:rsidRDefault="00A227CB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FD863" w14:textId="77777777" w:rsidR="00A227CB" w:rsidRDefault="00A227CB" w:rsidP="00755E7E">
            <w:pPr>
              <w:widowControl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D27F5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52</w:t>
            </w:r>
          </w:p>
        </w:tc>
      </w:tr>
      <w:tr w:rsidR="00A227CB" w14:paraId="648EE65D" w14:textId="77777777" w:rsidTr="00755E7E">
        <w:trPr>
          <w:trHeight w:val="6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AB765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A931A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Patenkinamas pasiekimų lygis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A3E90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</w:t>
            </w:r>
          </w:p>
        </w:tc>
      </w:tr>
      <w:tr w:rsidR="00A227CB" w14:paraId="3A0A87A5" w14:textId="77777777" w:rsidTr="00755E7E">
        <w:trPr>
          <w:trHeight w:val="6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865A2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FEE9C" w14:textId="77777777" w:rsidR="00A227CB" w:rsidRDefault="00A227CB" w:rsidP="00755E7E">
            <w:pPr>
              <w:widowControl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1D30E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</w:p>
        </w:tc>
      </w:tr>
      <w:tr w:rsidR="00A227CB" w14:paraId="61BD0E26" w14:textId="77777777" w:rsidTr="00755E7E">
        <w:trPr>
          <w:trHeight w:val="12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28A53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173A3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Nepatenkinamas pasiekimų lygis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DF3C2" w14:textId="77777777" w:rsidR="00A227CB" w:rsidRDefault="003C25F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nėra atitikmens</w:t>
            </w:r>
          </w:p>
        </w:tc>
      </w:tr>
    </w:tbl>
    <w:p w14:paraId="2CD4BC3F" w14:textId="77777777" w:rsidR="00A227CB" w:rsidRDefault="00A227CB">
      <w:pPr>
        <w:widowControl w:val="0"/>
        <w:ind w:firstLine="567"/>
        <w:jc w:val="both"/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56"/>
        <w:gridCol w:w="2367"/>
        <w:gridCol w:w="8"/>
      </w:tblGrid>
      <w:tr w:rsidR="00D84CAC" w14:paraId="36E6F360" w14:textId="77777777" w:rsidTr="00755E7E">
        <w:trPr>
          <w:trHeight w:val="1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0FE047" w14:textId="3F495290" w:rsidR="00755E7E" w:rsidRDefault="00755E7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Užsienio kalbos</w:t>
            </w:r>
          </w:p>
          <w:p w14:paraId="2C2E6165" w14:textId="69186136" w:rsidR="00D84CAC" w:rsidRDefault="00755E7E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iCs/>
                <w:color w:val="000000"/>
                <w:szCs w:val="24"/>
                <w:lang w:eastAsia="lt-LT"/>
              </w:rPr>
              <w:t>(</w:t>
            </w:r>
            <w:proofErr w:type="spellStart"/>
            <w:r>
              <w:rPr>
                <w:i/>
                <w:iCs/>
                <w:color w:val="000000"/>
                <w:szCs w:val="24"/>
                <w:lang w:eastAsia="lt-LT"/>
              </w:rPr>
              <w:t>Language</w:t>
            </w:r>
            <w:proofErr w:type="spellEnd"/>
            <w:r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eastAsia="lt-LT"/>
              </w:rPr>
              <w:t>Ab</w:t>
            </w:r>
            <w:proofErr w:type="spellEnd"/>
            <w:r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eastAsia="lt-LT"/>
              </w:rPr>
              <w:t>Initio</w:t>
            </w:r>
            <w:proofErr w:type="spellEnd"/>
            <w:r>
              <w:rPr>
                <w:iCs/>
                <w:color w:val="000000"/>
                <w:szCs w:val="24"/>
                <w:lang w:eastAsia="lt-LT"/>
              </w:rPr>
              <w:t>)</w:t>
            </w:r>
            <w:r>
              <w:rPr>
                <w:color w:val="000000"/>
                <w:szCs w:val="24"/>
                <w:lang w:eastAsia="lt-LT"/>
              </w:rPr>
              <w:t xml:space="preserve"> ir matematikos studijų (</w:t>
            </w:r>
            <w:proofErr w:type="spellStart"/>
            <w:r>
              <w:rPr>
                <w:i/>
                <w:iCs/>
                <w:color w:val="000000"/>
                <w:szCs w:val="24"/>
                <w:lang w:eastAsia="lt-LT"/>
              </w:rPr>
              <w:t>Mathematical</w:t>
            </w:r>
            <w:proofErr w:type="spellEnd"/>
            <w:r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eastAsia="lt-LT"/>
              </w:rPr>
              <w:t>Studies</w:t>
            </w:r>
            <w:proofErr w:type="spellEnd"/>
            <w:r>
              <w:rPr>
                <w:i/>
                <w:iCs/>
                <w:color w:val="000000"/>
                <w:szCs w:val="24"/>
                <w:lang w:eastAsia="lt-LT"/>
              </w:rPr>
              <w:t>)</w:t>
            </w:r>
            <w:r w:rsidR="00D84CAC">
              <w:rPr>
                <w:color w:val="000000"/>
                <w:szCs w:val="24"/>
                <w:lang w:eastAsia="lt-LT"/>
              </w:rPr>
              <w:t xml:space="preserve"> SL</w:t>
            </w:r>
            <w:r w:rsidR="00D84CAC"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įvertinimas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5B1AE3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brandos egzamino pasiekimų lygis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233CF8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brandos egzamino įvertinimas</w:t>
            </w:r>
          </w:p>
        </w:tc>
      </w:tr>
      <w:tr w:rsidR="00D84CAC" w14:paraId="6CFB275A" w14:textId="77777777" w:rsidTr="00755E7E">
        <w:trPr>
          <w:gridAfter w:val="1"/>
          <w:wAfter w:w="8" w:type="dxa"/>
          <w:trHeight w:val="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137853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E8CF" w14:textId="67564EFA" w:rsidR="00D84CAC" w:rsidRDefault="00D84CAC" w:rsidP="00755E7E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Aukštesnysis pasiekimų lygis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1F332D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86</w:t>
            </w:r>
          </w:p>
        </w:tc>
      </w:tr>
      <w:tr w:rsidR="00D84CAC" w14:paraId="61AA11F1" w14:textId="77777777" w:rsidTr="00755E7E">
        <w:trPr>
          <w:trHeight w:val="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219802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D18FB7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Pagrindinis pasiekimų lygis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835D97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68</w:t>
            </w:r>
          </w:p>
        </w:tc>
      </w:tr>
      <w:tr w:rsidR="00D84CAC" w14:paraId="3D71CEEB" w14:textId="77777777" w:rsidTr="00755E7E">
        <w:trPr>
          <w:trHeight w:val="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9763C" w14:textId="7520AF0C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5</w:t>
            </w: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9770" w14:textId="77777777" w:rsidR="00D84CAC" w:rsidRDefault="00D84CAC" w:rsidP="00755E7E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A39402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52</w:t>
            </w:r>
          </w:p>
        </w:tc>
      </w:tr>
      <w:tr w:rsidR="00D84CAC" w14:paraId="447EB6EB" w14:textId="77777777" w:rsidTr="00755E7E">
        <w:trPr>
          <w:trHeight w:val="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1BDE11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232412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Patenkinamas pasiekimų lygis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2B7D9C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</w:t>
            </w:r>
          </w:p>
        </w:tc>
      </w:tr>
      <w:tr w:rsidR="00D84CAC" w14:paraId="2E1B6638" w14:textId="77777777" w:rsidTr="00755E7E">
        <w:trPr>
          <w:trHeight w:val="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3C28C4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769" w14:textId="77777777" w:rsidR="00D84CAC" w:rsidRDefault="00D84CAC" w:rsidP="00755E7E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92E9AD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</w:p>
        </w:tc>
      </w:tr>
      <w:tr w:rsidR="00D84CAC" w14:paraId="372D9F73" w14:textId="77777777" w:rsidTr="00755E7E">
        <w:trPr>
          <w:trHeight w:val="1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2D3A0C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– 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18D80C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Nepatenkinamas pasiekimų lygis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24F73D" w14:textId="77777777" w:rsidR="00D84CAC" w:rsidRDefault="00D84CAC" w:rsidP="00755E7E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nėra atitikmens</w:t>
            </w:r>
          </w:p>
        </w:tc>
      </w:tr>
    </w:tbl>
    <w:p w14:paraId="735FB411" w14:textId="77777777" w:rsidR="00D84CAC" w:rsidRDefault="00D84CAC">
      <w:pPr>
        <w:widowControl w:val="0"/>
        <w:ind w:firstLine="567"/>
        <w:jc w:val="both"/>
      </w:pPr>
      <w:bookmarkStart w:id="0" w:name="_GoBack"/>
      <w:bookmarkEnd w:id="0"/>
    </w:p>
    <w:p w14:paraId="339258A0" w14:textId="72811321" w:rsidR="00A227CB" w:rsidRDefault="00755E7E">
      <w:pPr>
        <w:widowControl w:val="0"/>
        <w:ind w:firstLine="567"/>
        <w:jc w:val="both"/>
      </w:pPr>
      <w:r w:rsidRPr="0069677B">
        <w:rPr>
          <w:color w:val="000000"/>
        </w:rPr>
        <w:t>4</w:t>
      </w:r>
      <w:r w:rsidR="00AB46A8" w:rsidRPr="0069677B">
        <w:rPr>
          <w:color w:val="000000"/>
        </w:rPr>
        <w:t>.</w:t>
      </w:r>
      <w:r w:rsidR="003C25FE" w:rsidRPr="0069677B">
        <w:rPr>
          <w:color w:val="000000"/>
        </w:rPr>
        <w:t xml:space="preserve"> Balai už du rašinius (</w:t>
      </w:r>
      <w:r w:rsidR="003C25FE" w:rsidRPr="0069677B">
        <w:rPr>
          <w:i/>
          <w:iCs/>
          <w:color w:val="000000"/>
        </w:rPr>
        <w:t xml:space="preserve">The </w:t>
      </w:r>
      <w:proofErr w:type="spellStart"/>
      <w:r w:rsidR="003C25FE" w:rsidRPr="0069677B">
        <w:rPr>
          <w:i/>
          <w:iCs/>
          <w:color w:val="000000"/>
        </w:rPr>
        <w:t>extended</w:t>
      </w:r>
      <w:proofErr w:type="spellEnd"/>
      <w:r w:rsidR="003C25FE" w:rsidRPr="0069677B">
        <w:rPr>
          <w:i/>
          <w:iCs/>
          <w:color w:val="000000"/>
        </w:rPr>
        <w:t xml:space="preserve"> </w:t>
      </w:r>
      <w:proofErr w:type="spellStart"/>
      <w:r w:rsidR="003C25FE" w:rsidRPr="0069677B">
        <w:rPr>
          <w:i/>
          <w:iCs/>
          <w:color w:val="000000"/>
        </w:rPr>
        <w:t>essay</w:t>
      </w:r>
      <w:proofErr w:type="spellEnd"/>
      <w:r w:rsidR="003C25FE" w:rsidRPr="0069677B">
        <w:rPr>
          <w:i/>
          <w:iCs/>
          <w:color w:val="000000"/>
        </w:rPr>
        <w:t xml:space="preserve">, </w:t>
      </w:r>
      <w:r w:rsidR="003C25FE" w:rsidRPr="0069677B">
        <w:rPr>
          <w:color w:val="000000"/>
        </w:rPr>
        <w:t>santrumpa iš anglų kalbos </w:t>
      </w:r>
      <w:r w:rsidR="003C25FE" w:rsidRPr="0069677B">
        <w:rPr>
          <w:i/>
          <w:iCs/>
          <w:color w:val="000000"/>
        </w:rPr>
        <w:t xml:space="preserve">– EE; </w:t>
      </w:r>
      <w:proofErr w:type="spellStart"/>
      <w:r w:rsidR="003C25FE" w:rsidRPr="0069677B">
        <w:rPr>
          <w:i/>
          <w:iCs/>
          <w:color w:val="000000"/>
        </w:rPr>
        <w:t>Theory</w:t>
      </w:r>
      <w:proofErr w:type="spellEnd"/>
      <w:r w:rsidR="003C25FE" w:rsidRPr="0069677B">
        <w:rPr>
          <w:i/>
          <w:iCs/>
          <w:color w:val="000000"/>
        </w:rPr>
        <w:t xml:space="preserve"> </w:t>
      </w:r>
      <w:proofErr w:type="spellStart"/>
      <w:r w:rsidR="003C25FE" w:rsidRPr="0069677B">
        <w:rPr>
          <w:i/>
          <w:iCs/>
          <w:color w:val="000000"/>
        </w:rPr>
        <w:t>of</w:t>
      </w:r>
      <w:proofErr w:type="spellEnd"/>
      <w:r w:rsidR="003C25FE" w:rsidRPr="0069677B">
        <w:rPr>
          <w:i/>
          <w:iCs/>
          <w:color w:val="000000"/>
        </w:rPr>
        <w:t xml:space="preserve"> </w:t>
      </w:r>
      <w:proofErr w:type="spellStart"/>
      <w:r w:rsidR="003C25FE" w:rsidRPr="0069677B">
        <w:rPr>
          <w:i/>
          <w:iCs/>
          <w:color w:val="000000"/>
        </w:rPr>
        <w:t>knowledge</w:t>
      </w:r>
      <w:proofErr w:type="spellEnd"/>
      <w:r w:rsidR="003C25FE" w:rsidRPr="0069677B">
        <w:rPr>
          <w:i/>
          <w:iCs/>
          <w:color w:val="000000"/>
        </w:rPr>
        <w:t xml:space="preserve"> </w:t>
      </w:r>
      <w:proofErr w:type="spellStart"/>
      <w:r w:rsidR="003C25FE" w:rsidRPr="0069677B">
        <w:rPr>
          <w:i/>
          <w:iCs/>
          <w:color w:val="000000"/>
        </w:rPr>
        <w:t>essay</w:t>
      </w:r>
      <w:proofErr w:type="spellEnd"/>
      <w:r w:rsidR="003C25FE" w:rsidRPr="0069677B">
        <w:rPr>
          <w:i/>
          <w:iCs/>
          <w:color w:val="000000"/>
        </w:rPr>
        <w:t xml:space="preserve"> </w:t>
      </w:r>
      <w:r w:rsidR="003C25FE" w:rsidRPr="0069677B">
        <w:rPr>
          <w:color w:val="000000"/>
        </w:rPr>
        <w:t>santrumpa iš anglų kalbos </w:t>
      </w:r>
      <w:r w:rsidR="003C25FE" w:rsidRPr="0069677B">
        <w:rPr>
          <w:i/>
          <w:iCs/>
          <w:color w:val="000000"/>
        </w:rPr>
        <w:t>– TOK</w:t>
      </w:r>
      <w:r w:rsidR="003C25FE" w:rsidRPr="0069677B">
        <w:rPr>
          <w:color w:val="000000"/>
        </w:rPr>
        <w:t xml:space="preserve">) pridedami prie to konkursinio dalyko balo, kuris turi didžiausią svertinį koeficientą, iš tos dalykų grupės. Už rašinius pridedama tiek balų, kiek balų (0, +1, +2, +3) jie yra įvertinti TBD programos diplome. Papildomi balai pridedami pervedus TBD programos dalyko įvertinimą į </w:t>
      </w:r>
      <w:proofErr w:type="spellStart"/>
      <w:r w:rsidR="003C25FE" w:rsidRPr="0069677B">
        <w:rPr>
          <w:color w:val="000000"/>
        </w:rPr>
        <w:t>šimtabalę</w:t>
      </w:r>
      <w:proofErr w:type="spellEnd"/>
      <w:r w:rsidR="003C25FE" w:rsidRPr="0069677B">
        <w:rPr>
          <w:color w:val="000000"/>
        </w:rPr>
        <w:t xml:space="preserve"> sistemą.</w:t>
      </w:r>
    </w:p>
    <w:p w14:paraId="105EBF28" w14:textId="1A140840" w:rsidR="00A227CB" w:rsidRDefault="009843ED">
      <w:pPr>
        <w:widowControl w:val="0"/>
        <w:ind w:firstLine="567"/>
        <w:jc w:val="both"/>
      </w:pPr>
      <w:r>
        <w:rPr>
          <w:color w:val="000000"/>
        </w:rPr>
        <w:t>5</w:t>
      </w:r>
      <w:r w:rsidR="00AB46A8">
        <w:rPr>
          <w:color w:val="000000"/>
        </w:rPr>
        <w:t>.</w:t>
      </w:r>
      <w:r w:rsidR="003C25FE">
        <w:rPr>
          <w:color w:val="000000"/>
        </w:rPr>
        <w:t xml:space="preserve"> Galutinis dalyko pažymys (t. y. pridėjus balus už rašinį) negali viršyti </w:t>
      </w:r>
      <w:r>
        <w:rPr>
          <w:color w:val="000000"/>
        </w:rPr>
        <w:t xml:space="preserve">100 balų. </w:t>
      </w:r>
      <w:r w:rsidR="003C25FE">
        <w:rPr>
          <w:color w:val="000000"/>
        </w:rPr>
        <w:t xml:space="preserve">Jeigu atlikus </w:t>
      </w:r>
      <w:r w:rsidR="00912DC1">
        <w:rPr>
          <w:color w:val="000000"/>
        </w:rPr>
        <w:t xml:space="preserve">šio priedo </w:t>
      </w:r>
      <w:r>
        <w:rPr>
          <w:color w:val="000000"/>
        </w:rPr>
        <w:t>4</w:t>
      </w:r>
      <w:r w:rsidR="00AB46A8">
        <w:rPr>
          <w:color w:val="000000"/>
        </w:rPr>
        <w:t xml:space="preserve"> </w:t>
      </w:r>
      <w:r w:rsidR="003C25FE">
        <w:rPr>
          <w:color w:val="000000"/>
        </w:rPr>
        <w:t>punkte nurodytus veiksmus gauta suma viršija 100 balų, gautas vertinimas apvalinamas iki 100 balų</w:t>
      </w:r>
      <w:r w:rsidR="00A61974">
        <w:rPr>
          <w:color w:val="000000"/>
        </w:rPr>
        <w:t>.</w:t>
      </w:r>
    </w:p>
    <w:p w14:paraId="04185182" w14:textId="45E3285A" w:rsidR="00A227CB" w:rsidRDefault="00A61974" w:rsidP="00912DC1">
      <w:pPr>
        <w:widowControl w:val="0"/>
        <w:ind w:firstLine="567"/>
        <w:jc w:val="both"/>
      </w:pPr>
      <w:r>
        <w:rPr>
          <w:color w:val="000000"/>
        </w:rPr>
        <w:t>6</w:t>
      </w:r>
      <w:r w:rsidR="003C25FE">
        <w:rPr>
          <w:color w:val="000000"/>
        </w:rPr>
        <w:t xml:space="preserve">. Stojantysis, baigęs programą einamaisiais metais ir dar neturintis Tarptautinės </w:t>
      </w:r>
      <w:proofErr w:type="spellStart"/>
      <w:r w:rsidR="003C25FE">
        <w:rPr>
          <w:color w:val="000000"/>
        </w:rPr>
        <w:t>bakalaureato</w:t>
      </w:r>
      <w:proofErr w:type="spellEnd"/>
      <w:r w:rsidR="003C25FE">
        <w:rPr>
          <w:color w:val="000000"/>
        </w:rPr>
        <w:t xml:space="preserve"> organizacijos išduoto diplomo, </w:t>
      </w:r>
      <w:r w:rsidR="006869DD">
        <w:rPr>
          <w:color w:val="000000"/>
        </w:rPr>
        <w:t>š</w:t>
      </w:r>
      <w:r w:rsidR="003C25FE">
        <w:rPr>
          <w:color w:val="000000"/>
        </w:rPr>
        <w:t xml:space="preserve">vietimo ir mokslo </w:t>
      </w:r>
      <w:r w:rsidR="00584159">
        <w:rPr>
          <w:color w:val="000000"/>
        </w:rPr>
        <w:t xml:space="preserve">ministro </w:t>
      </w:r>
      <w:r w:rsidR="003C25FE">
        <w:rPr>
          <w:color w:val="000000"/>
        </w:rPr>
        <w:t xml:space="preserve">įgaliotos institucijos organizuojamo bendrojo priėmimo dokumentų priėmimo punktui turi pateikti </w:t>
      </w:r>
      <w:r w:rsidR="00912DC1">
        <w:rPr>
          <w:color w:val="000000"/>
        </w:rPr>
        <w:t>anglų kalba</w:t>
      </w:r>
      <w:r w:rsidR="003C25FE">
        <w:rPr>
          <w:color w:val="000000"/>
        </w:rPr>
        <w:t xml:space="preserve"> iš Tarptautinio </w:t>
      </w:r>
      <w:proofErr w:type="spellStart"/>
      <w:r w:rsidR="003C25FE">
        <w:rPr>
          <w:color w:val="000000"/>
        </w:rPr>
        <w:t>bakalaureato</w:t>
      </w:r>
      <w:proofErr w:type="spellEnd"/>
      <w:r w:rsidR="003C25FE">
        <w:rPr>
          <w:color w:val="000000"/>
        </w:rPr>
        <w:t xml:space="preserve"> organizacijos kompiuterinės duomenų bazės išspausdintą išrašą (</w:t>
      </w:r>
      <w:proofErr w:type="spellStart"/>
      <w:r w:rsidR="003C25FE">
        <w:rPr>
          <w:i/>
          <w:iCs/>
          <w:color w:val="000000"/>
        </w:rPr>
        <w:t>Results</w:t>
      </w:r>
      <w:proofErr w:type="spellEnd"/>
      <w:r w:rsidR="003C25FE">
        <w:rPr>
          <w:i/>
          <w:iCs/>
          <w:color w:val="000000"/>
        </w:rPr>
        <w:t xml:space="preserve"> </w:t>
      </w:r>
      <w:proofErr w:type="spellStart"/>
      <w:r w:rsidR="003C25FE">
        <w:rPr>
          <w:i/>
          <w:iCs/>
          <w:color w:val="000000"/>
        </w:rPr>
        <w:t>summary</w:t>
      </w:r>
      <w:proofErr w:type="spellEnd"/>
      <w:r w:rsidR="003C25FE">
        <w:rPr>
          <w:color w:val="000000"/>
        </w:rPr>
        <w:t>), patvirtintą mokyklos vadovo arba jo įgalioto asmens.</w:t>
      </w:r>
    </w:p>
    <w:p w14:paraId="33FB9CC1" w14:textId="77777777" w:rsidR="00A227CB" w:rsidRDefault="003C25FE">
      <w:pPr>
        <w:widowControl w:val="0"/>
        <w:jc w:val="center"/>
      </w:pPr>
      <w:r>
        <w:rPr>
          <w:color w:val="000000"/>
        </w:rPr>
        <w:t>_________________</w:t>
      </w:r>
    </w:p>
    <w:p w14:paraId="728D4C7F" w14:textId="6AB23413" w:rsidR="00902E4A" w:rsidRDefault="00902E4A" w:rsidP="00A61974">
      <w:pPr>
        <w:widowControl w:val="0"/>
        <w:jc w:val="center"/>
      </w:pPr>
    </w:p>
    <w:sectPr w:rsidR="00902E4A" w:rsidSect="004C2F95">
      <w:headerReference w:type="default" r:id="rId8"/>
      <w:footerReference w:type="default" r:id="rId9"/>
      <w:pgSz w:w="11907" w:h="16840"/>
      <w:pgMar w:top="1134" w:right="1134" w:bottom="1134" w:left="1701" w:header="567" w:footer="28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5331" w14:textId="77777777" w:rsidR="0058112F" w:rsidRDefault="0058112F">
      <w:r>
        <w:separator/>
      </w:r>
    </w:p>
  </w:endnote>
  <w:endnote w:type="continuationSeparator" w:id="0">
    <w:p w14:paraId="25683C08" w14:textId="77777777" w:rsidR="0058112F" w:rsidRDefault="005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2F10" w14:textId="77777777" w:rsidR="00E577E5" w:rsidRDefault="00E577E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B235" w14:textId="77777777" w:rsidR="0058112F" w:rsidRDefault="0058112F">
      <w:r>
        <w:rPr>
          <w:color w:val="000000"/>
        </w:rPr>
        <w:separator/>
      </w:r>
    </w:p>
  </w:footnote>
  <w:footnote w:type="continuationSeparator" w:id="0">
    <w:p w14:paraId="6EC40C8D" w14:textId="77777777" w:rsidR="0058112F" w:rsidRDefault="0058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531928"/>
      <w:docPartObj>
        <w:docPartGallery w:val="Page Numbers (Top of Page)"/>
        <w:docPartUnique/>
      </w:docPartObj>
    </w:sdtPr>
    <w:sdtEndPr/>
    <w:sdtContent>
      <w:p w14:paraId="2727FB78" w14:textId="0F65B63A" w:rsidR="00E577E5" w:rsidRDefault="00E577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C1">
          <w:rPr>
            <w:noProof/>
          </w:rPr>
          <w:t>4</w:t>
        </w:r>
        <w:r>
          <w:fldChar w:fldCharType="end"/>
        </w:r>
      </w:p>
    </w:sdtContent>
  </w:sdt>
  <w:p w14:paraId="5F71A8D9" w14:textId="77777777" w:rsidR="00E577E5" w:rsidRDefault="00E577E5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8428B"/>
    <w:multiLevelType w:val="multilevel"/>
    <w:tmpl w:val="FF8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CB"/>
    <w:rsid w:val="00012DF6"/>
    <w:rsid w:val="000434DA"/>
    <w:rsid w:val="000813FC"/>
    <w:rsid w:val="00096A6B"/>
    <w:rsid w:val="000A4E35"/>
    <w:rsid w:val="000E51C3"/>
    <w:rsid w:val="000E51E6"/>
    <w:rsid w:val="00100611"/>
    <w:rsid w:val="001341CE"/>
    <w:rsid w:val="001347FA"/>
    <w:rsid w:val="00181EC1"/>
    <w:rsid w:val="00197CA9"/>
    <w:rsid w:val="001C544B"/>
    <w:rsid w:val="001E0AB6"/>
    <w:rsid w:val="001E0E18"/>
    <w:rsid w:val="001F17DB"/>
    <w:rsid w:val="002023A1"/>
    <w:rsid w:val="00263420"/>
    <w:rsid w:val="00270E12"/>
    <w:rsid w:val="002756D6"/>
    <w:rsid w:val="00294622"/>
    <w:rsid w:val="00331EAA"/>
    <w:rsid w:val="00332149"/>
    <w:rsid w:val="0035763E"/>
    <w:rsid w:val="0036753C"/>
    <w:rsid w:val="003A01FE"/>
    <w:rsid w:val="003A0FAB"/>
    <w:rsid w:val="003B5CEC"/>
    <w:rsid w:val="003C25FE"/>
    <w:rsid w:val="003F1DA6"/>
    <w:rsid w:val="00416E83"/>
    <w:rsid w:val="00443667"/>
    <w:rsid w:val="0045311F"/>
    <w:rsid w:val="004942C0"/>
    <w:rsid w:val="004B2B3F"/>
    <w:rsid w:val="004C0B6E"/>
    <w:rsid w:val="004C2F95"/>
    <w:rsid w:val="004D6194"/>
    <w:rsid w:val="004E507F"/>
    <w:rsid w:val="004F609D"/>
    <w:rsid w:val="00520637"/>
    <w:rsid w:val="00527DFF"/>
    <w:rsid w:val="0053497A"/>
    <w:rsid w:val="00551630"/>
    <w:rsid w:val="005523E4"/>
    <w:rsid w:val="00577859"/>
    <w:rsid w:val="0058112F"/>
    <w:rsid w:val="00584159"/>
    <w:rsid w:val="00596114"/>
    <w:rsid w:val="005B34A3"/>
    <w:rsid w:val="005C11EA"/>
    <w:rsid w:val="005D2240"/>
    <w:rsid w:val="005E34A0"/>
    <w:rsid w:val="005E35D2"/>
    <w:rsid w:val="005F20EB"/>
    <w:rsid w:val="00602988"/>
    <w:rsid w:val="00607C5C"/>
    <w:rsid w:val="006244DA"/>
    <w:rsid w:val="00630274"/>
    <w:rsid w:val="006571FA"/>
    <w:rsid w:val="006869DD"/>
    <w:rsid w:val="0069677B"/>
    <w:rsid w:val="006E6E5E"/>
    <w:rsid w:val="006F6758"/>
    <w:rsid w:val="0071437E"/>
    <w:rsid w:val="00726B10"/>
    <w:rsid w:val="00732F12"/>
    <w:rsid w:val="00754057"/>
    <w:rsid w:val="00755E7E"/>
    <w:rsid w:val="007917D3"/>
    <w:rsid w:val="00795B54"/>
    <w:rsid w:val="007A0317"/>
    <w:rsid w:val="007A31BB"/>
    <w:rsid w:val="007C3028"/>
    <w:rsid w:val="007D4541"/>
    <w:rsid w:val="007F53DE"/>
    <w:rsid w:val="0080158C"/>
    <w:rsid w:val="00802CF0"/>
    <w:rsid w:val="00807FA3"/>
    <w:rsid w:val="008473A8"/>
    <w:rsid w:val="00865BBC"/>
    <w:rsid w:val="008874C9"/>
    <w:rsid w:val="008A0448"/>
    <w:rsid w:val="008C13F9"/>
    <w:rsid w:val="008D291C"/>
    <w:rsid w:val="00902E4A"/>
    <w:rsid w:val="00912DC1"/>
    <w:rsid w:val="009207BF"/>
    <w:rsid w:val="00936DD5"/>
    <w:rsid w:val="00946F6A"/>
    <w:rsid w:val="009843ED"/>
    <w:rsid w:val="009A22FC"/>
    <w:rsid w:val="009A668F"/>
    <w:rsid w:val="009A7E25"/>
    <w:rsid w:val="009C1291"/>
    <w:rsid w:val="009E1EC5"/>
    <w:rsid w:val="009E4508"/>
    <w:rsid w:val="009F0F5D"/>
    <w:rsid w:val="00A072BC"/>
    <w:rsid w:val="00A20FD2"/>
    <w:rsid w:val="00A227CB"/>
    <w:rsid w:val="00A414A1"/>
    <w:rsid w:val="00A56BB9"/>
    <w:rsid w:val="00A57C5D"/>
    <w:rsid w:val="00A61974"/>
    <w:rsid w:val="00AA248F"/>
    <w:rsid w:val="00AB46A8"/>
    <w:rsid w:val="00AC6912"/>
    <w:rsid w:val="00AD0C6B"/>
    <w:rsid w:val="00AD3374"/>
    <w:rsid w:val="00AF6D25"/>
    <w:rsid w:val="00B02AD5"/>
    <w:rsid w:val="00B52E27"/>
    <w:rsid w:val="00B66869"/>
    <w:rsid w:val="00B74F9B"/>
    <w:rsid w:val="00B8598E"/>
    <w:rsid w:val="00BB79A2"/>
    <w:rsid w:val="00BC1356"/>
    <w:rsid w:val="00BF1DEA"/>
    <w:rsid w:val="00BF2BC0"/>
    <w:rsid w:val="00C25557"/>
    <w:rsid w:val="00C265EC"/>
    <w:rsid w:val="00C81A06"/>
    <w:rsid w:val="00C95A25"/>
    <w:rsid w:val="00CF4E19"/>
    <w:rsid w:val="00D16B4C"/>
    <w:rsid w:val="00D27C86"/>
    <w:rsid w:val="00D44469"/>
    <w:rsid w:val="00D56118"/>
    <w:rsid w:val="00D76A75"/>
    <w:rsid w:val="00D84CAC"/>
    <w:rsid w:val="00D906E0"/>
    <w:rsid w:val="00DB355A"/>
    <w:rsid w:val="00DC34A0"/>
    <w:rsid w:val="00E13249"/>
    <w:rsid w:val="00E366E3"/>
    <w:rsid w:val="00E577E5"/>
    <w:rsid w:val="00E761D4"/>
    <w:rsid w:val="00EA387A"/>
    <w:rsid w:val="00EA5E5E"/>
    <w:rsid w:val="00F217BC"/>
    <w:rsid w:val="00F21CC7"/>
    <w:rsid w:val="00F2473E"/>
    <w:rsid w:val="00F2580C"/>
    <w:rsid w:val="00F47AE7"/>
    <w:rsid w:val="00F5140B"/>
    <w:rsid w:val="00F546E1"/>
    <w:rsid w:val="00F6190B"/>
    <w:rsid w:val="00FB22D9"/>
    <w:rsid w:val="00FD3D5E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61246"/>
  <w15:docId w15:val="{80C244B8-C8AE-42F0-AF3A-42B42346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styleId="Komentaronuoroda">
    <w:name w:val="annotation reference"/>
    <w:uiPriority w:val="99"/>
    <w:semiHidden/>
    <w:unhideWhenUsed/>
    <w:rsid w:val="0094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6F6A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46F6A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6F6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46F6A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1341CE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44469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1C1C1C"/>
      <w:sz w:val="20"/>
      <w:lang w:eastAsia="lt-LT"/>
    </w:rPr>
  </w:style>
  <w:style w:type="character" w:customStyle="1" w:styleId="dlxnowrap1">
    <w:name w:val="dlxnowrap1"/>
    <w:basedOn w:val="Numatytasispastraiposriftas"/>
    <w:rsid w:val="00BB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7D7D7"/>
                        <w:bottom w:val="none" w:sz="0" w:space="0" w:color="auto"/>
                        <w:right w:val="single" w:sz="6" w:space="11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a67ced3a-bd33-479a-8a8a-f2a2cd573114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C270159C-D0E0-4C6C-B1B2-B8576A29B289}"/>
</file>

<file path=customXml/itemProps2.xml><?xml version="1.0" encoding="utf-8"?>
<ds:datastoreItem xmlns:ds="http://schemas.openxmlformats.org/officeDocument/2006/customXml" ds:itemID="{412AF9A9-9E89-4181-B323-9957A36EEE7A}"/>
</file>

<file path=customXml/itemProps3.xml><?xml version="1.0" encoding="utf-8"?>
<ds:datastoreItem xmlns:ds="http://schemas.openxmlformats.org/officeDocument/2006/customXml" ds:itemID="{CE205532-E5BA-4481-BAD1-F9745BDDD05E}"/>
</file>

<file path=customXml/itemProps4.xml><?xml version="1.0" encoding="utf-8"?>
<ds:datastoreItem xmlns:ds="http://schemas.openxmlformats.org/officeDocument/2006/customXml" ds:itemID="{015E7CFA-8C2B-4EFC-B6D7-A6F011549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3485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ŠVIETIMO IR MOKSLO MINISTRO</vt:lpstr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Uzsienyje_baigusiu_priemimo_tvarka_1_priedas.docx</dc:title>
  <dc:creator>Rinkevičienė Virginija</dc:creator>
  <cp:lastModifiedBy>Rinkevičienė Virginija</cp:lastModifiedBy>
  <cp:revision>4</cp:revision>
  <cp:lastPrinted>2016-12-29T16:57:00Z</cp:lastPrinted>
  <dcterms:created xsi:type="dcterms:W3CDTF">2017-01-03T07:06:00Z</dcterms:created>
  <dcterms:modified xsi:type="dcterms:W3CDTF">2017-01-03T10:52:00Z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