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195d2181738e4efdb293e99181cbb0d6"/>
        <w:lock w:val="sdtLocked"/>
        <w:richText/>
      </w:sdtPr>
      <w:sdtContent>
        <w:p>
          <w:pPr>
            <w:suppressLineNumbers/>
            <w:suppressAutoHyphens/>
            <w:spacing w:line="100" w:lineRule="atLeast"/>
            <w:ind w:firstLine="2880"/>
            <w:rPr>
              <w:rFonts w:eastAsia="SimSun"/>
              <w:bCs/>
              <w:color w:val="000000"/>
              <w:szCs w:val="24"/>
              <w:highlight w:val="white"/>
              <w:lang w:eastAsia="zh-CN"/>
            </w:rPr>
          </w:pPr>
          <w:r>
            <w:rPr>
              <w:rFonts w:eastAsia="SimSun"/>
              <w:bCs/>
              <w:color w:val="000000"/>
              <w:szCs w:val="24"/>
              <w:highlight w:val="white"/>
              <w:lang w:eastAsia="zh-CN"/>
            </w:rPr>
            <w:t>PRITARTA</w:t>
          </w:r>
        </w:p>
        <w:p>
          <w:pPr>
            <w:suppressLineNumbers/>
            <w:suppressAutoHyphens/>
            <w:spacing w:line="100" w:lineRule="atLeast"/>
            <w:ind w:firstLine="2880"/>
            <w:rPr>
              <w:rFonts w:eastAsia="SimSun"/>
              <w:bCs/>
              <w:color w:val="000000"/>
              <w:szCs w:val="24"/>
              <w:highlight w:val="white"/>
              <w:lang w:eastAsia="zh-CN"/>
            </w:rPr>
          </w:pPr>
          <w:r>
            <w:rPr>
              <w:rFonts w:eastAsia="SimSun"/>
              <w:bCs/>
              <w:color w:val="000000"/>
              <w:szCs w:val="24"/>
              <w:highlight w:val="white"/>
              <w:lang w:eastAsia="zh-CN"/>
            </w:rPr>
            <w:t>Kupiškio rajono savivaldybės tarybos</w:t>
          </w:r>
        </w:p>
        <w:p>
          <w:pPr>
            <w:suppressLineNumbers/>
            <w:suppressAutoHyphens/>
            <w:spacing w:line="100" w:lineRule="atLeast"/>
            <w:ind w:firstLine="2880"/>
            <w:rPr>
              <w:rFonts w:eastAsia="SimSun"/>
              <w:bCs/>
              <w:color w:val="000000"/>
              <w:szCs w:val="24"/>
              <w:highlight w:val="white"/>
              <w:lang w:eastAsia="zh-CN"/>
            </w:rPr>
          </w:pPr>
          <w:r>
            <w:rPr>
              <w:rFonts w:eastAsia="SimSun"/>
              <w:bCs/>
              <w:color w:val="000000"/>
              <w:szCs w:val="24"/>
              <w:highlight w:val="white"/>
              <w:lang w:eastAsia="zh-CN"/>
            </w:rPr>
            <w:t>2023 m. kovo 30 d. sprendimu Nr. TS-72</w:t>
            <w:tab/>
          </w:r>
        </w:p>
        <w:p>
          <w:pPr>
            <w:suppressAutoHyphens/>
            <w:spacing w:line="100" w:lineRule="atLeast"/>
            <w:jc w:val="center"/>
            <w:rPr>
              <w:rFonts w:eastAsia="SimSun"/>
              <w:b/>
              <w:bCs/>
              <w:color w:val="000000"/>
              <w:szCs w:val="24"/>
              <w:highlight w:val="white"/>
              <w:lang w:eastAsia="zh-CN"/>
            </w:rPr>
          </w:pPr>
          <w:r>
            <w:rPr>
              <w:rFonts w:eastAsia="SimSun"/>
              <w:b/>
              <w:bCs/>
              <w:color w:val="000000"/>
              <w:szCs w:val="24"/>
              <w:lang w:val="en-US"/>
            </w:rPr>
            <w:drawing>
              <wp:inline distT="0" distB="0" distL="0" distR="0">
                <wp:extent cx="1685925" cy="141541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l="-157" t="-177" r="-157" b="-177"/>
                        <a:stretch>
                          <a:fillRect/>
                        </a:stretch>
                      </pic:blipFill>
                      <pic:spPr bwMode="auto">
                        <a:xfrm>
                          <a:off x="0" y="0"/>
                          <a:ext cx="1685925" cy="1415415"/>
                        </a:xfrm>
                        <a:prstGeom prst="rect">
                          <a:avLst/>
                        </a:prstGeom>
                        <a:solidFill>
                          <a:srgbClr val="FFFFFF"/>
                        </a:solidFill>
                        <a:ln>
                          <a:noFill/>
                        </a:ln>
                      </pic:spPr>
                    </pic:pic>
                  </a:graphicData>
                </a:graphic>
              </wp:inline>
            </w:drawing>
          </w:r>
        </w:p>
        <w:p>
          <w:pPr>
            <w:suppressAutoHyphens/>
            <w:spacing w:line="100" w:lineRule="atLeast"/>
            <w:jc w:val="center"/>
            <w:rPr>
              <w:rFonts w:eastAsia="SimSun"/>
              <w:b/>
              <w:bCs/>
              <w:color w:val="000000"/>
              <w:szCs w:val="24"/>
              <w:highlight w:val="white"/>
              <w:lang w:eastAsia="zh-CN"/>
            </w:rPr>
          </w:pPr>
        </w:p>
        <w:p>
          <w:pPr>
            <w:suppressAutoHyphens/>
            <w:spacing w:line="100" w:lineRule="atLeast"/>
            <w:jc w:val="center"/>
            <w:rPr>
              <w:rFonts w:eastAsia="SimSun"/>
              <w:b/>
              <w:bCs/>
              <w:color w:val="000000"/>
              <w:szCs w:val="24"/>
              <w:highlight w:val="white"/>
              <w:lang w:eastAsia="zh-CN"/>
            </w:rPr>
          </w:pPr>
        </w:p>
        <w:p>
          <w:pPr>
            <w:suppressAutoHyphens/>
            <w:spacing w:line="100" w:lineRule="atLeast"/>
            <w:jc w:val="center"/>
            <w:rPr>
              <w:rFonts w:eastAsia="SimSun"/>
              <w:b/>
              <w:bCs/>
              <w:color w:val="000000"/>
              <w:szCs w:val="24"/>
              <w:highlight w:val="white"/>
              <w:lang w:eastAsia="zh-CN"/>
            </w:rPr>
          </w:pPr>
        </w:p>
        <w:p>
          <w:pPr>
            <w:suppressAutoHyphens/>
            <w:spacing w:line="100" w:lineRule="atLeast"/>
            <w:jc w:val="center"/>
            <w:rPr>
              <w:rFonts w:eastAsia="SimSun"/>
              <w:b/>
              <w:bCs/>
              <w:color w:val="000000"/>
              <w:szCs w:val="24"/>
              <w:highlight w:val="white"/>
              <w:lang w:eastAsia="zh-CN"/>
            </w:rPr>
          </w:pPr>
        </w:p>
        <w:p>
          <w:pPr>
            <w:tabs>
              <w:tab w:val="left" w:pos="360"/>
            </w:tabs>
            <w:suppressAutoHyphens/>
            <w:spacing w:line="100" w:lineRule="atLeast"/>
            <w:jc w:val="center"/>
            <w:rPr>
              <w:rFonts w:eastAsia="SimSun"/>
              <w:b/>
              <w:bCs/>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5923"/>
            </w:tabs>
            <w:suppressAutoHyphens/>
            <w:spacing w:line="100" w:lineRule="atLeast"/>
            <w:ind w:firstLine="5923"/>
            <w:rPr>
              <w:rFonts w:eastAsia="SimSun"/>
              <w:b/>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CC0099"/>
              <w:szCs w:val="24"/>
              <w:highlight w:val="white"/>
              <w:lang w:eastAsia="zh-CN"/>
            </w:rPr>
          </w:pPr>
        </w:p>
        <w:p>
          <w:pPr>
            <w:tabs>
              <w:tab w:val="left" w:pos="360"/>
            </w:tabs>
            <w:suppressAutoHyphens/>
            <w:spacing w:line="100" w:lineRule="atLeast"/>
            <w:jc w:val="center"/>
            <w:rPr>
              <w:rFonts w:eastAsia="SimSun"/>
              <w:b/>
              <w:color w:val="CC0099"/>
              <w:szCs w:val="24"/>
              <w:highlight w:val="white"/>
              <w:lang w:eastAsia="zh-CN"/>
            </w:rPr>
          </w:pPr>
        </w:p>
        <w:p>
          <w:pPr>
            <w:tabs>
              <w:tab w:val="left" w:pos="360"/>
            </w:tabs>
            <w:suppressAutoHyphens/>
            <w:spacing w:line="100" w:lineRule="atLeast"/>
            <w:jc w:val="center"/>
            <w:rPr>
              <w:rFonts w:eastAsia="SimSun"/>
              <w:b/>
              <w:color w:val="CC0099"/>
              <w:szCs w:val="24"/>
              <w:highlight w:val="white"/>
              <w:lang w:eastAsia="zh-CN"/>
            </w:rPr>
          </w:pPr>
        </w:p>
        <w:p>
          <w:pPr>
            <w:suppressAutoHyphens/>
            <w:spacing w:line="276" w:lineRule="auto"/>
            <w:jc w:val="center"/>
            <w:rPr>
              <w:rFonts w:eastAsia="SimSun"/>
              <w:b/>
              <w:bCs/>
              <w:color w:val="000000"/>
              <w:szCs w:val="24"/>
              <w:highlight w:val="white"/>
              <w:lang w:eastAsia="zh-CN"/>
            </w:rPr>
          </w:pPr>
          <w:r>
            <w:rPr>
              <w:rFonts w:eastAsia="SimSun"/>
              <w:b/>
              <w:sz w:val="36"/>
              <w:szCs w:val="36"/>
              <w:highlight w:val="white"/>
              <w:lang w:eastAsia="zh-CN"/>
            </w:rPr>
            <w:t>UŽDAROSIOS AKCINĖS BENDROVĖS</w:t>
          </w:r>
        </w:p>
        <w:p>
          <w:pPr>
            <w:rPr>
              <w:sz w:val="18"/>
              <w:szCs w:val="18"/>
            </w:rPr>
          </w:pPr>
        </w:p>
        <w:p>
          <w:pPr>
            <w:suppressAutoHyphens/>
            <w:spacing w:line="276" w:lineRule="auto"/>
            <w:ind w:firstLine="91"/>
            <w:jc w:val="center"/>
            <w:rPr>
              <w:rFonts w:eastAsia="SimSun"/>
              <w:b/>
              <w:bCs/>
              <w:color w:val="000000"/>
              <w:szCs w:val="24"/>
              <w:highlight w:val="white"/>
              <w:lang w:eastAsia="zh-CN"/>
            </w:rPr>
          </w:pPr>
          <w:r>
            <w:rPr>
              <w:rFonts w:eastAsia="SimSun"/>
              <w:b/>
              <w:sz w:val="36"/>
              <w:szCs w:val="36"/>
              <w:highlight w:val="white"/>
              <w:lang w:eastAsia="zh-CN"/>
            </w:rPr>
            <w:t>„KUPIŠKIO AUTOBUSŲ PARKAS“</w:t>
          </w:r>
        </w:p>
        <w:p>
          <w:pPr>
            <w:rPr>
              <w:sz w:val="18"/>
              <w:szCs w:val="18"/>
            </w:rPr>
          </w:pPr>
        </w:p>
        <w:p>
          <w:pPr>
            <w:tabs>
              <w:tab w:val="left" w:pos="360"/>
            </w:tabs>
            <w:suppressAutoHyphens/>
            <w:spacing w:line="100" w:lineRule="atLeast"/>
            <w:jc w:val="center"/>
            <w:rPr>
              <w:rFonts w:eastAsia="SimSun"/>
              <w:b/>
              <w:bCs/>
              <w:color w:val="000000"/>
              <w:szCs w:val="24"/>
              <w:highlight w:val="white"/>
              <w:lang w:eastAsia="zh-CN"/>
            </w:rPr>
          </w:pPr>
          <w:r>
            <w:rPr>
              <w:rFonts w:eastAsia="SimSun"/>
              <w:b/>
              <w:sz w:val="36"/>
              <w:szCs w:val="36"/>
              <w:highlight w:val="white"/>
              <w:lang w:eastAsia="zh-CN"/>
            </w:rPr>
            <w:t xml:space="preserve">2022 METŲ  VEIKLOS  ATASKAITA</w:t>
          </w:r>
        </w:p>
        <w:p>
          <w:pPr>
            <w:tabs>
              <w:tab w:val="left" w:pos="360"/>
            </w:tabs>
            <w:suppressAutoHyphens/>
            <w:spacing w:line="100" w:lineRule="atLeast"/>
            <w:jc w:val="center"/>
            <w:rPr>
              <w:rFonts w:eastAsia="SimSun"/>
              <w:b/>
              <w:sz w:val="36"/>
              <w:szCs w:val="36"/>
              <w:highlight w:val="white"/>
              <w:lang w:eastAsia="zh-CN"/>
            </w:rPr>
          </w:pPr>
        </w:p>
        <w:p>
          <w:pPr>
            <w:tabs>
              <w:tab w:val="left" w:pos="360"/>
            </w:tabs>
            <w:suppressAutoHyphens/>
            <w:spacing w:line="100" w:lineRule="atLeast"/>
            <w:jc w:val="center"/>
            <w:rPr>
              <w:rFonts w:eastAsia="SimSun"/>
              <w:b/>
              <w:sz w:val="36"/>
              <w:szCs w:val="36"/>
              <w:highlight w:val="white"/>
              <w:lang w:eastAsia="zh-CN"/>
            </w:rPr>
          </w:pPr>
        </w:p>
        <w:p>
          <w:pPr>
            <w:tabs>
              <w:tab w:val="left" w:pos="360"/>
            </w:tabs>
            <w:suppressAutoHyphens/>
            <w:spacing w:line="100" w:lineRule="atLeast"/>
            <w:jc w:val="center"/>
            <w:rPr>
              <w:rFonts w:eastAsia="SimSun"/>
              <w:b/>
              <w:sz w:val="36"/>
              <w:szCs w:val="36"/>
              <w:highlight w:val="white"/>
              <w:lang w:eastAsia="zh-CN"/>
            </w:rPr>
          </w:pPr>
        </w:p>
        <w:p>
          <w:pPr>
            <w:tabs>
              <w:tab w:val="left" w:pos="360"/>
            </w:tabs>
            <w:suppressAutoHyphens/>
            <w:spacing w:line="100" w:lineRule="atLeast"/>
            <w:jc w:val="center"/>
            <w:rPr>
              <w:rFonts w:eastAsia="SimSun"/>
              <w:b/>
              <w:sz w:val="36"/>
              <w:szCs w:val="36"/>
              <w:highlight w:val="white"/>
              <w:lang w:eastAsia="zh-CN"/>
            </w:rPr>
          </w:pPr>
        </w:p>
        <w:p>
          <w:pPr>
            <w:tabs>
              <w:tab w:val="left" w:pos="360"/>
            </w:tabs>
            <w:suppressAutoHyphens/>
            <w:spacing w:line="100" w:lineRule="atLeast"/>
            <w:jc w:val="center"/>
            <w:rPr>
              <w:rFonts w:eastAsia="SimSun"/>
              <w:b/>
              <w:sz w:val="36"/>
              <w:szCs w:val="36"/>
              <w:highlight w:val="white"/>
              <w:lang w:eastAsia="zh-CN"/>
            </w:rPr>
          </w:pPr>
        </w:p>
        <w:p>
          <w:pPr>
            <w:tabs>
              <w:tab w:val="left" w:pos="360"/>
            </w:tabs>
            <w:suppressAutoHyphens/>
            <w:spacing w:line="100" w:lineRule="atLeast"/>
            <w:jc w:val="center"/>
            <w:rPr>
              <w:rFonts w:eastAsia="SimSun"/>
              <w:b/>
              <w:sz w:val="36"/>
              <w:szCs w:val="36"/>
              <w:highlight w:val="white"/>
              <w:lang w:eastAsia="zh-CN"/>
            </w:rPr>
          </w:pPr>
        </w:p>
        <w:p>
          <w:pPr>
            <w:tabs>
              <w:tab w:val="left" w:pos="360"/>
            </w:tabs>
            <w:suppressAutoHyphens/>
            <w:spacing w:line="100" w:lineRule="atLeast"/>
            <w:jc w:val="center"/>
            <w:rPr>
              <w:rFonts w:eastAsia="SimSun"/>
              <w:b/>
              <w:sz w:val="36"/>
              <w:szCs w:val="36"/>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Kupiškis, 2023 m.</w:t>
          </w:r>
        </w:p>
        <w:p>
          <w:pPr>
            <w:tabs>
              <w:tab w:val="left" w:pos="360"/>
            </w:tabs>
            <w:suppressAutoHyphens/>
            <w:spacing w:line="100" w:lineRule="atLeast"/>
            <w:jc w:val="center"/>
            <w:rPr>
              <w:rFonts w:eastAsia="SimSun"/>
              <w:b/>
              <w:bCs/>
              <w:color w:val="000000"/>
              <w:szCs w:val="24"/>
              <w:highlight w:val="white"/>
              <w:lang w:eastAsia="zh-CN"/>
            </w:rPr>
          </w:pPr>
          <w:r>
            <w:rPr>
              <w:rFonts w:eastAsia="SimSun"/>
              <w:b/>
              <w:szCs w:val="24"/>
              <w:highlight w:val="white"/>
              <w:lang w:eastAsia="zh-CN"/>
            </w:rPr>
            <w:t xml:space="preserve">ATASKAITINIS  LAIKOTARPIS  </w:t>
          </w: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ind w:firstLine="744"/>
            <w:jc w:val="center"/>
            <w:rPr>
              <w:rFonts w:eastAsia="SimSun"/>
              <w:b/>
              <w:bCs/>
              <w:color w:val="000000"/>
              <w:szCs w:val="24"/>
              <w:highlight w:val="white"/>
              <w:lang w:eastAsia="zh-CN"/>
            </w:rPr>
          </w:pPr>
        </w:p>
        <w:sdt>
          <w:sdtPr>
            <w:alias w:val="preambule"/>
            <w:tag w:val="part_ea3994bba66f4b298df7d0f73bd700d1"/>
            <w:lock w:val="sdtLocked"/>
            <w:richText/>
          </w:sdtPr>
          <w:sdtContent>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zh-CN"/>
                </w:rPr>
                <w:t xml:space="preserve">Uždarosios akcinės bendrovės „Kupiškio autobusų parkas“ (toliau </w:t>
              </w:r>
              <w:r>
                <w:rPr>
                  <w:rFonts w:eastAsia="SimSun"/>
                  <w:bCs/>
                  <w:szCs w:val="24"/>
                  <w:highlight w:val="white"/>
                  <w:lang w:eastAsia="zh-CN"/>
                </w:rPr>
                <w:t>–</w:t>
              </w:r>
              <w:r>
                <w:rPr>
                  <w:rFonts w:eastAsia="SimSun"/>
                  <w:szCs w:val="24"/>
                  <w:highlight w:val="white"/>
                  <w:lang w:eastAsia="zh-CN"/>
                </w:rPr>
                <w:t xml:space="preserve"> Bendrovė) 2022 metų  veiklos ataskaita parengta už laikotarpį nuo 2022 m. sausio 1 d. iki 2022 m. gruodžio 31 d.     Ataskaita parengta vykdant Lietuvos Respublikos įmonių finansinės atskaitomybės bei Lietuvos Respublikos akcinių bendrovių įstatymų nuostatas, atsižvelgiant į uždarosios akcinės bendrovės „Kupiškio autobusų parkas“  2022 metų analitinius rezultatus, statistinius duomenis. </w:t>
              </w:r>
              <w:r>
                <w:rPr>
                  <w:rFonts w:eastAsia="SimSun"/>
                  <w:bCs/>
                  <w:szCs w:val="24"/>
                  <w:highlight w:val="white"/>
                  <w:lang w:eastAsia="zh-CN"/>
                </w:rPr>
                <w:t>Rengiant finansines ataskaitas buvo atsižvelgta į veiklos tęstinumo principą, t. y. numatoma, kad UAB „Kupiškio autobusų parkas“ ateityje galės tęsti savo veiklą.</w:t>
              </w:r>
            </w:p>
            <w:p>
              <w:pPr>
                <w:tabs>
                  <w:tab w:val="left" w:pos="360"/>
                </w:tabs>
                <w:suppressAutoHyphens/>
                <w:spacing w:line="360" w:lineRule="auto"/>
                <w:jc w:val="both"/>
                <w:rPr>
                  <w:rFonts w:eastAsia="SimSun"/>
                  <w:color w:val="FF0000"/>
                  <w:szCs w:val="24"/>
                  <w:highlight w:val="white"/>
                  <w:lang w:eastAsia="zh-CN"/>
                </w:rPr>
              </w:pPr>
            </w:p>
          </w:sdtContent>
        </w:sdt>
        <w:sdt>
          <w:sdtPr>
            <w:alias w:val="skirsnis"/>
            <w:tag w:val="part_452d65422b2b4125b64911bc46e63457"/>
            <w:lock w:val="sdtLocked"/>
            <w:richText/>
          </w:sdtPr>
          <w:sdtContent>
            <w:p>
              <w:pPr>
                <w:tabs>
                  <w:tab w:val="left" w:pos="1134"/>
                </w:tabs>
                <w:suppressAutoHyphens/>
                <w:spacing w:line="360" w:lineRule="auto"/>
                <w:jc w:val="center"/>
                <w:rPr>
                  <w:rFonts w:eastAsia="SimSun"/>
                  <w:b/>
                  <w:bCs/>
                  <w:color w:val="000000"/>
                  <w:szCs w:val="24"/>
                  <w:highlight w:val="white"/>
                  <w:lang w:eastAsia="zh-CN"/>
                </w:rPr>
              </w:pPr>
              <w:sdt>
                <w:sdtPr>
                  <w:alias w:val="Pavadinimas"/>
                  <w:tag w:val="title_452d65422b2b4125b64911bc46e63457"/>
                  <w:lock w:val="sdtLocked"/>
                  <w:richText/>
                </w:sdtPr>
                <w:sdtContent>
                  <w:r>
                    <w:rPr>
                      <w:rFonts w:eastAsia="SimSun"/>
                      <w:b/>
                      <w:bCs/>
                      <w:szCs w:val="24"/>
                      <w:highlight w:val="white"/>
                      <w:lang w:eastAsia="zh-CN"/>
                    </w:rPr>
                    <w:t>ĮSTATINIS KAPITALAS</w:t>
                  </w:r>
                </w:sdtContent>
              </w:sdt>
            </w:p>
            <w:p>
              <w:pPr>
                <w:tabs>
                  <w:tab w:val="left" w:pos="1134"/>
                </w:tabs>
                <w:suppressAutoHyphens/>
                <w:spacing w:line="360" w:lineRule="auto"/>
                <w:jc w:val="center"/>
                <w:rPr>
                  <w:rFonts w:eastAsia="SimSun"/>
                  <w:b/>
                  <w:bCs/>
                  <w:szCs w:val="24"/>
                  <w:highlight w:val="white"/>
                  <w:lang w:eastAsia="zh-CN"/>
                </w:rPr>
              </w:pPr>
            </w:p>
            <w:p>
              <w:pPr>
                <w:tabs>
                  <w:tab w:val="left" w:pos="1134"/>
                </w:tabs>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zh-CN"/>
                </w:rPr>
                <w:t xml:space="preserve">2022 m. sausio 1 d. Bendrovės įstatinis kapitalas buvo 215 056,96  Eur. Akcijų skaičius –        7 426 vnt., nominali akcijos vertė – 28,96 Eur. 2022 m. gruodžio 31 d. įstatinis kapitalas –            245 059,52</w:t>
              </w:r>
              <w:r>
                <w:rPr>
                  <w:rFonts w:eastAsia="SimSun"/>
                  <w:color w:val="FF0000"/>
                  <w:szCs w:val="24"/>
                  <w:highlight w:val="white"/>
                  <w:lang w:eastAsia="zh-CN"/>
                </w:rPr>
                <w:t xml:space="preserve"> </w:t>
              </w:r>
              <w:r>
                <w:rPr>
                  <w:rFonts w:eastAsia="SimSun"/>
                  <w:szCs w:val="24"/>
                  <w:highlight w:val="white"/>
                  <w:lang w:eastAsia="zh-CN"/>
                </w:rPr>
                <w:t>Eur, akcijų skaičius – 8 462 vnt., nominali akcijos vertė – 28,96 Eur.</w:t>
              </w:r>
            </w:p>
            <w:p>
              <w:pPr>
                <w:tabs>
                  <w:tab w:val="left" w:pos="1134"/>
                </w:tabs>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lt-LT"/>
                </w:rPr>
                <w:t>Visos Bendrovės akcijos priklauso Kupiškio rajono savivaldybei.</w:t>
              </w:r>
            </w:p>
            <w:p>
              <w:pPr>
                <w:tabs>
                  <w:tab w:val="left" w:pos="1134"/>
                </w:tabs>
                <w:suppressAutoHyphens/>
                <w:spacing w:line="360" w:lineRule="auto"/>
                <w:jc w:val="both"/>
                <w:rPr>
                  <w:rFonts w:eastAsia="SimSun"/>
                  <w:color w:val="FF0000"/>
                  <w:szCs w:val="24"/>
                  <w:highlight w:val="white"/>
                  <w:lang w:eastAsia="lt-LT"/>
                </w:rPr>
              </w:pPr>
            </w:p>
          </w:sdtContent>
        </w:sdt>
        <w:sdt>
          <w:sdtPr>
            <w:alias w:val="dalis"/>
            <w:tag w:val="part_dfe74b5cc13c4bd2a4ea1022a99fb633"/>
            <w:lock w:val="sdtLocked"/>
            <w:richText/>
          </w:sdtPr>
          <w:sdtContent>
            <w:p>
              <w:pPr>
                <w:tabs>
                  <w:tab w:val="left" w:pos="360"/>
                </w:tabs>
                <w:suppressAutoHyphens/>
                <w:spacing w:line="360" w:lineRule="auto"/>
                <w:jc w:val="center"/>
                <w:rPr>
                  <w:rFonts w:eastAsia="SimSun"/>
                  <w:b/>
                  <w:bCs/>
                  <w:color w:val="000000"/>
                  <w:szCs w:val="24"/>
                  <w:highlight w:val="white"/>
                  <w:lang w:eastAsia="zh-CN"/>
                </w:rPr>
              </w:pPr>
              <w:r>
                <w:rPr>
                  <w:rFonts w:eastAsia="SimSun"/>
                  <w:b/>
                  <w:bCs/>
                  <w:szCs w:val="24"/>
                  <w:highlight w:val="white"/>
                  <w:lang w:eastAsia="zh-CN"/>
                </w:rPr>
                <w:t>BENDROJI DALIS</w:t>
              </w:r>
            </w:p>
            <w:p>
              <w:pPr>
                <w:tabs>
                  <w:tab w:val="left" w:pos="360"/>
                </w:tabs>
                <w:suppressAutoHyphens/>
                <w:spacing w:line="360" w:lineRule="auto"/>
                <w:jc w:val="both"/>
                <w:rPr>
                  <w:rFonts w:eastAsia="SimSun"/>
                  <w:b/>
                  <w:bCs/>
                  <w:szCs w:val="24"/>
                  <w:highlight w:val="white"/>
                  <w:lang w:eastAsia="zh-CN"/>
                </w:rPr>
              </w:pP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zh-CN"/>
                </w:rPr>
                <w:t xml:space="preserve">Uždaroji akcinė bendrovė „Kupiškio autobusų parkas“ įregistruota VĮ Registrų centro Juridinių asmenų registre </w:t>
              </w:r>
              <w:r>
                <w:rPr>
                  <w:rFonts w:eastAsia="SimSun"/>
                  <w:bCs/>
                  <w:szCs w:val="24"/>
                  <w:highlight w:val="white"/>
                  <w:lang w:eastAsia="zh-CN"/>
                </w:rPr>
                <w:t xml:space="preserve">1995 m. liepos 20 d. </w:t>
              </w:r>
              <w:r>
                <w:rPr>
                  <w:rFonts w:eastAsia="SimSun"/>
                  <w:szCs w:val="24"/>
                  <w:highlight w:val="white"/>
                  <w:lang w:eastAsia="zh-CN"/>
                </w:rPr>
                <w:t xml:space="preserve">Bendrovės steigėja yra Kupiškio rajono savivaldybės taryba, visos akcijos 100 procentų nuosavybės teise priklauso Kupiškio rajono savivaldybės tarybai. Bendrovė neturi dukterinių įmonių. </w:t>
              </w:r>
              <w:r>
                <w:rPr>
                  <w:rFonts w:eastAsia="SimSun"/>
                  <w:bCs/>
                  <w:szCs w:val="24"/>
                  <w:highlight w:val="white"/>
                  <w:lang w:eastAsia="zh-CN"/>
                </w:rPr>
                <w:t xml:space="preserve">Bendrovės finansiniais metais yra laikomi kalendoriniai metai, veiklos laikotarpis neribotas.  </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zh-CN"/>
                </w:rPr>
                <w:t xml:space="preserve">Bendrovė yra pagrindinis keleivių vežėjas Kupiškio rajone, vykdantis viešųjų paslaugų įsipareigojimus visuomenei. </w:t>
              </w:r>
              <w:r>
                <w:rPr>
                  <w:rFonts w:eastAsia="SimSun"/>
                  <w:bCs/>
                  <w:color w:val="000000"/>
                  <w:szCs w:val="24"/>
                  <w:highlight w:val="white"/>
                  <w:lang w:eastAsia="zh-CN"/>
                </w:rPr>
                <w:t xml:space="preserve">Didžiąją teikiamų paslaugų rinką sudaro Kupiškio rajono gyventojai. Viešojo transporto paslaugos turi ypatingą socialinę reikšmę gyventojams, pagal 2000 m. kovo      30 d. Lietuvos Respublikos transporto lengvatų įstatymą Nr. VIII-1605 nemažai daliai keleivių suteikia teisę keliauti su 50 arba 80 proc. nuolaida.</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 xml:space="preserve">Pagrindiniai Bendrovės klientai yra moksleiviai, mažas ir vidutines pajamas gaunantys vartotojai bei socialiai remtini asmenys. </w:t>
              </w:r>
            </w:p>
            <w:p>
              <w:pPr>
                <w:tabs>
                  <w:tab w:val="left" w:pos="360"/>
                  <w:tab w:val="left" w:pos="788"/>
                  <w:tab w:val="left" w:pos="1075"/>
                </w:tabs>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Pagrindinis Bendrovės tikslas – užtikrinti keleivių vežimo vietinio (priemiesčio) reguliaraus susisiekimo kelių transporto, Kupiškio rajono savivaldybės nustatytais maršrutais, paslaugą, nuolat investuoti į mažiau taršių transporto priemonių įsigijimą ir paslaugų bei darbuotojų darbo kokybės gerinimą.</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b/>
                  <w:bCs/>
                  <w:szCs w:val="24"/>
                  <w:highlight w:val="white"/>
                  <w:lang w:eastAsia="zh-CN"/>
                </w:rPr>
                <w:t>Pagrindinė Bendrovės veikla</w:t>
              </w:r>
              <w:r>
                <w:rPr>
                  <w:rFonts w:eastAsia="SimSun"/>
                  <w:szCs w:val="24"/>
                  <w:highlight w:val="white"/>
                  <w:lang w:eastAsia="zh-CN"/>
                </w:rPr>
                <w:t xml:space="preserve"> – keleivių vežimas autobusais vietinio (priemiesčio) bei tolimojo reguliaraus susisiekimo kelių transporto maršrutais.</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zh-CN"/>
                </w:rPr>
                <w:t>Šioms paslaugoms teikti Bendrovė turi Lietuvos transporto saugos administracijos ir Savivaldybės išduotas licencijas:</w:t>
              </w:r>
            </w:p>
            <w:p>
              <w:pPr>
                <w:tabs>
                  <w:tab w:val="left" w:pos="360"/>
                </w:tabs>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 xml:space="preserve">Europos Bendrijos tarptautinio keleivių vežimo samdos pagrindais ir už atlygį tolimojo ir miesto susisiekimo autobusais licenciją Nr. 6013026; </w:t>
              </w:r>
            </w:p>
            <w:p>
              <w:pPr>
                <w:tabs>
                  <w:tab w:val="left" w:pos="360"/>
                </w:tabs>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Kelių transporto veiklos licenciją Nr.E30-91, leidžiančią vežti keleivius vietinio susisiekimo maršrutais.</w:t>
              </w:r>
            </w:p>
            <w:p>
              <w:pPr>
                <w:tabs>
                  <w:tab w:val="left" w:pos="360"/>
                </w:tabs>
                <w:suppressAutoHyphens/>
                <w:spacing w:line="360" w:lineRule="auto"/>
                <w:jc w:val="both"/>
                <w:rPr>
                  <w:rFonts w:eastAsia="SimSun"/>
                  <w:b/>
                  <w:bCs/>
                  <w:color w:val="000000"/>
                  <w:szCs w:val="24"/>
                  <w:highlight w:val="white"/>
                  <w:lang w:eastAsia="zh-CN"/>
                </w:rPr>
              </w:pPr>
              <w:r>
                <w:rPr>
                  <w:rFonts w:eastAsia="SimSun"/>
                  <w:b/>
                  <w:bCs/>
                  <w:szCs w:val="24"/>
                  <w:highlight w:val="white"/>
                  <w:lang w:eastAsia="zh-CN"/>
                </w:rPr>
                <w:t>Kita veikla</w:t>
              </w:r>
              <w:r>
                <w:rPr>
                  <w:rFonts w:eastAsia="SimSun"/>
                  <w:szCs w:val="24"/>
                  <w:highlight w:val="white"/>
                  <w:lang w:eastAsia="zh-CN"/>
                </w:rPr>
                <w:t xml:space="preserve">: </w:t>
              </w:r>
            </w:p>
            <w:p>
              <w:pPr>
                <w:tabs>
                  <w:tab w:val="left" w:pos="360"/>
                </w:tabs>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 xml:space="preserve">autobusų nuoma užsakomaisiais maršrutais; </w:t>
              </w:r>
            </w:p>
            <w:p>
              <w:pPr>
                <w:tabs>
                  <w:tab w:val="left" w:pos="360"/>
                </w:tabs>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 xml:space="preserve">siuntų gabenimas autobusais; </w:t>
              </w:r>
            </w:p>
            <w:p>
              <w:pPr>
                <w:tabs>
                  <w:tab w:val="left" w:pos="360"/>
                </w:tabs>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reklaminių plotų ant autobusų nuoma;</w:t>
              </w:r>
            </w:p>
            <w:p>
              <w:pPr>
                <w:tabs>
                  <w:tab w:val="left" w:pos="360"/>
                </w:tabs>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patalpų nuoma.</w:t>
              </w:r>
            </w:p>
            <w:p>
              <w:pPr>
                <w:suppressAutoHyphens/>
                <w:spacing w:line="360" w:lineRule="auto"/>
                <w:ind w:firstLine="744"/>
                <w:jc w:val="both"/>
                <w:textAlignment w:val="baseline"/>
                <w:rPr>
                  <w:rFonts w:eastAsia="SimSun"/>
                  <w:b/>
                  <w:bCs/>
                  <w:color w:val="000000"/>
                  <w:szCs w:val="24"/>
                  <w:highlight w:val="white"/>
                  <w:lang w:eastAsia="zh-CN"/>
                </w:rPr>
              </w:pPr>
              <w:r>
                <w:rPr>
                  <w:rFonts w:eastAsia="SimSun"/>
                  <w:bCs/>
                  <w:color w:val="000000"/>
                  <w:szCs w:val="24"/>
                  <w:highlight w:val="white"/>
                  <w:lang w:eastAsia="zh-CN"/>
                </w:rPr>
                <w:t xml:space="preserve">Kupiškio rajono savivaldybės taryba 2022 m. kovo 31 d. </w:t>
              </w:r>
              <w:r>
                <w:rPr>
                  <w:bCs/>
                  <w:color w:val="000000"/>
                  <w:szCs w:val="24"/>
                  <w:highlight w:val="white"/>
                  <w:lang w:eastAsia="lt-LT"/>
                </w:rPr>
                <w:t>sprendimu</w:t>
              </w:r>
              <w:r>
                <w:rPr>
                  <w:rFonts w:eastAsia="SimSun"/>
                  <w:bCs/>
                  <w:color w:val="000000"/>
                  <w:szCs w:val="24"/>
                  <w:highlight w:val="white"/>
                  <w:lang w:eastAsia="zh-CN"/>
                </w:rPr>
                <w:t xml:space="preserve"> Nr. TS-90 </w:t>
              </w:r>
              <w:r>
                <w:rPr>
                  <w:bCs/>
                  <w:color w:val="000000"/>
                  <w:szCs w:val="24"/>
                  <w:highlight w:val="white"/>
                  <w:lang w:eastAsia="lt-LT"/>
                </w:rPr>
                <w:t xml:space="preserve">„Dėl užsieniečių, pasitraukusių iš Ukrainos dėl Rusijos Federacijos karinių veiksmų Ukrainoje, važiavimo vietinio reguliaraus susisiekimo uždarosios akcinės bendrovės „Kupiškio autobusų parkas“ autobusais lengvatos dydžio nustatymo“ </w:t>
              </w:r>
              <w:r>
                <w:rPr>
                  <w:rFonts w:eastAsia="SimSun"/>
                  <w:bCs/>
                  <w:color w:val="000000"/>
                  <w:szCs w:val="24"/>
                  <w:highlight w:val="white"/>
                  <w:lang w:eastAsia="zh-CN"/>
                </w:rPr>
                <w:t>nustatė, kad iki 2022 m. liepos 1 d. bus taikoma 100 proc. lengvata užsieniečiams, pasitraukusiems iš Ukrainos dėl Rusijos Federacijos karinių veiksmų Ukrainoje, važiuoti visais vietinio reguliaraus susisiekimo uždarosios akcinės bendrovės „Kupiškio autobusų parkas“  autobusų maršrutais.</w:t>
              </w:r>
            </w:p>
            <w:p>
              <w:pPr>
                <w:suppressAutoHyphens/>
                <w:spacing w:line="360" w:lineRule="auto"/>
                <w:ind w:firstLine="682"/>
                <w:jc w:val="both"/>
                <w:rPr>
                  <w:rFonts w:eastAsia="SimSun"/>
                  <w:b/>
                  <w:bCs/>
                  <w:color w:val="000000"/>
                  <w:szCs w:val="24"/>
                  <w:highlight w:val="white"/>
                  <w:lang w:eastAsia="zh-CN"/>
                </w:rPr>
              </w:pPr>
              <w:r>
                <w:rPr>
                  <w:rFonts w:eastAsia="SimSun"/>
                  <w:bCs/>
                  <w:color w:val="000000"/>
                  <w:szCs w:val="24"/>
                  <w:highlight w:val="white"/>
                  <w:lang w:eastAsia="zh-CN"/>
                </w:rPr>
                <w:t>Kupiškio rajono savivaldybės tarybos 2022 m. balandžio 28 d. sprendimu Nr. TS-120 „Dėl keleivių vežimo kelių transportu reguliariais reisais vietinio susisiekimo maršrutais tarifų dydžių nustatymo</w:t>
              </w:r>
              <w:r>
                <w:rPr>
                  <w:rFonts w:eastAsia="SimSun"/>
                  <w:caps/>
                  <w:color w:val="000000"/>
                  <w:szCs w:val="24"/>
                  <w:highlight w:val="white"/>
                  <w:lang w:eastAsia="zh-CN"/>
                </w:rPr>
                <w:t>“ b</w:t>
              </w:r>
              <w:r>
                <w:rPr>
                  <w:color w:val="000000"/>
                  <w:szCs w:val="24"/>
                  <w:highlight w:val="white"/>
                  <w:lang w:eastAsia="lt-LT"/>
                </w:rPr>
                <w:t xml:space="preserve">endrovei nuo </w:t>
              </w:r>
              <w:r>
                <w:rPr>
                  <w:rFonts w:eastAsia="SimSun"/>
                  <w:bCs/>
                  <w:color w:val="000000"/>
                  <w:szCs w:val="24"/>
                  <w:highlight w:val="white"/>
                  <w:lang w:eastAsia="zh-CN"/>
                </w:rPr>
                <w:t>2022 m. birželio</w:t>
              </w:r>
              <w:r>
                <w:rPr>
                  <w:rFonts w:eastAsia="SimSun"/>
                  <w:b/>
                  <w:bCs/>
                  <w:color w:val="000000"/>
                  <w:szCs w:val="24"/>
                  <w:highlight w:val="white"/>
                  <w:lang w:eastAsia="zh-CN"/>
                </w:rPr>
                <w:t xml:space="preserve"> </w:t>
              </w:r>
              <w:r>
                <w:rPr>
                  <w:rFonts w:eastAsia="SimSun"/>
                  <w:bCs/>
                  <w:color w:val="000000"/>
                  <w:szCs w:val="24"/>
                  <w:highlight w:val="white"/>
                  <w:lang w:eastAsia="zh-CN"/>
                </w:rPr>
                <w:t>1 d</w:t>
              </w:r>
              <w:r>
                <w:rPr>
                  <w:rFonts w:eastAsia="SimSun"/>
                  <w:b/>
                  <w:bCs/>
                  <w:color w:val="000000"/>
                  <w:szCs w:val="24"/>
                  <w:highlight w:val="white"/>
                  <w:lang w:eastAsia="zh-CN"/>
                </w:rPr>
                <w:t>.</w:t>
              </w:r>
              <w:r>
                <w:rPr>
                  <w:color w:val="000000"/>
                  <w:szCs w:val="24"/>
                  <w:highlight w:val="white"/>
                  <w:lang w:eastAsia="lt-LT"/>
                </w:rPr>
                <w:t xml:space="preserve">  buvo nustatyti šie keleivių vežimo reguliariais reisais vietinio susisiekimo maršrutuose  tarifai ir mažiausia bilieto kaina:</w:t>
              </w:r>
            </w:p>
            <w:p>
              <w:pPr>
                <w:spacing w:line="360" w:lineRule="auto"/>
                <w:rPr>
                  <w:rFonts w:eastAsia="SimSun"/>
                  <w:b/>
                  <w:bCs/>
                  <w:color w:val="000000"/>
                  <w:szCs w:val="24"/>
                  <w:highlight w:val="white"/>
                  <w:lang w:eastAsia="zh-CN"/>
                </w:rPr>
              </w:pPr>
              <w:r>
                <w:rPr>
                  <w:rFonts w:ascii="Symbol" w:eastAsia="Symbol" w:hAnsi="Symbol" w:cs="Symbol"/>
                  <w:szCs w:val="24"/>
                  <w:highlight w:val="white"/>
                  <w:lang w:eastAsia="zh-CN"/>
                </w:rPr>
                <w:t></w:t>
              </w:r>
              <w:r>
                <w:rPr>
                  <w:color w:val="000000"/>
                  <w:szCs w:val="24"/>
                  <w:highlight w:val="white"/>
                  <w:lang w:eastAsia="lt-LT"/>
                </w:rPr>
                <w:t>0,138 Eur be PVM už vieną keleivio kilometrą, išskyrus maršrutą Kupiškis–Panevėžys–Kupiškis;</w:t>
              </w:r>
            </w:p>
            <w:p>
              <w:pPr>
                <w:spacing w:line="360" w:lineRule="auto"/>
                <w:rPr>
                  <w:rFonts w:eastAsia="SimSun"/>
                  <w:b/>
                  <w:bCs/>
                  <w:color w:val="000000"/>
                  <w:szCs w:val="24"/>
                  <w:highlight w:val="white"/>
                  <w:lang w:eastAsia="zh-CN"/>
                </w:rPr>
              </w:pPr>
              <w:r>
                <w:rPr>
                  <w:rFonts w:ascii="Symbol" w:eastAsia="Symbol" w:hAnsi="Symbol" w:cs="Symbol"/>
                  <w:szCs w:val="24"/>
                  <w:highlight w:val="white"/>
                  <w:lang w:eastAsia="zh-CN"/>
                </w:rPr>
                <w:t></w:t>
              </w:r>
              <w:r>
                <w:rPr>
                  <w:color w:val="000000"/>
                  <w:szCs w:val="24"/>
                  <w:highlight w:val="white"/>
                  <w:lang w:eastAsia="lt-LT"/>
                </w:rPr>
                <w:t>0,083 Eur be PVM už vieną keleivio kilometrą maršrute Kupiškis–Panevėžys–Kupiškis;</w:t>
              </w:r>
            </w:p>
            <w:p>
              <w:pPr>
                <w:spacing w:line="360" w:lineRule="auto"/>
                <w:rPr>
                  <w:rFonts w:eastAsia="SimSun"/>
                  <w:b/>
                  <w:bCs/>
                  <w:color w:val="000000"/>
                  <w:szCs w:val="24"/>
                  <w:highlight w:val="white"/>
                  <w:lang w:eastAsia="zh-CN"/>
                </w:rPr>
              </w:pPr>
              <w:r>
                <w:rPr>
                  <w:rFonts w:ascii="Symbol" w:eastAsia="Symbol" w:hAnsi="Symbol" w:cs="Symbol"/>
                  <w:szCs w:val="24"/>
                  <w:highlight w:val="white"/>
                  <w:lang w:eastAsia="zh-CN"/>
                </w:rPr>
                <w:t></w:t>
              </w:r>
              <w:r>
                <w:rPr>
                  <w:color w:val="000000"/>
                  <w:szCs w:val="24"/>
                  <w:highlight w:val="white"/>
                  <w:lang w:eastAsia="lt-LT"/>
                </w:rPr>
                <w:t>mažiausia bilieto kaina – 0,459 Eur be PVM.</w:t>
              </w:r>
            </w:p>
            <w:p>
              <w:pPr>
                <w:spacing w:line="360" w:lineRule="auto"/>
                <w:ind w:firstLine="744"/>
                <w:jc w:val="both"/>
                <w:rPr>
                  <w:rFonts w:eastAsia="SimSun"/>
                  <w:szCs w:val="24"/>
                  <w:highlight w:val="white"/>
                  <w:lang w:eastAsia="zh-CN"/>
                </w:rPr>
              </w:pPr>
              <w:r>
                <w:rPr>
                  <w:rFonts w:eastAsia="SimSun"/>
                  <w:bCs/>
                  <w:szCs w:val="24"/>
                  <w:highlight w:val="white"/>
                  <w:lang w:eastAsia="zh-CN"/>
                </w:rPr>
                <w:t>Kupiškio rajono savivaldybės taryba 2022 m. rugpjūčio 30 d. sprendimu Nr. TS-214 „D</w:t>
              </w:r>
              <w:r>
                <w:rPr>
                  <w:rFonts w:eastAsia="SimSun"/>
                  <w:szCs w:val="24"/>
                  <w:highlight w:val="white"/>
                  <w:lang w:eastAsia="zh-CN"/>
                </w:rPr>
                <w:t xml:space="preserve">ėl užsieniečių, pasitraukusių iš Ukrainos dėl Rusijos federacijos karinių veiksmų Ukrainoje, važiavimo vietinio reguliaraus susisiekimo uždarosios akcinės bendrovės „Kupiškio autobusų </w:t>
              </w:r>
            </w:p>
            <w:p>
              <w:pPr>
                <w:spacing w:line="360" w:lineRule="auto"/>
                <w:jc w:val="both"/>
                <w:rPr>
                  <w:rFonts w:eastAsia="SimSun"/>
                  <w:b/>
                  <w:bCs/>
                  <w:color w:val="000000"/>
                  <w:szCs w:val="24"/>
                  <w:highlight w:val="white"/>
                  <w:lang w:eastAsia="zh-CN"/>
                </w:rPr>
              </w:pPr>
              <w:r>
                <w:rPr>
                  <w:rFonts w:eastAsia="SimSun"/>
                  <w:szCs w:val="24"/>
                  <w:highlight w:val="white"/>
                  <w:lang w:eastAsia="zh-CN"/>
                </w:rPr>
                <w:t xml:space="preserve">parkas“ autobusais lengvatos dydžio nustatymo“ </w:t>
              </w:r>
              <w:r>
                <w:rPr>
                  <w:rFonts w:eastAsia="SimSun"/>
                  <w:bCs/>
                  <w:szCs w:val="24"/>
                  <w:highlight w:val="white"/>
                  <w:lang w:eastAsia="zh-CN"/>
                </w:rPr>
                <w:t>nustatė, kad iki 2022 m. gruodžio 31 d. taikoma 100 proc. lengvata užsieniečiams, pasitraukusiems iš Ukrainos dėl Rusijos Federacijos karinių veiksmų Ukrainoje, važiuoti visais vietinio reguliaraus susisiekimo uždarosios akcinės bendrovės „Kupiškio autobusų parkas“  autobusų maršrutais.</w:t>
              </w:r>
            </w:p>
            <w:p>
              <w:pPr>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Buvo nustatyta, kad uždarosios akcinės bendrovės „Kupiškio autobusų parkas“ nuostoliai, susidarę vežant keleivius vietinio reguliaraus susisiekimo autobusų maršrutais dėl šiuose sprendimuose nurodyto nemokamo važiavimo, yra kompensuojami iš Kupiškio rajono savivaldybės biudžeto lėšų teisės aktų nustatyta tvarka.</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Vienintelis akcininkas – Kupiškio rajono savivaldybė – kompensuoja Bendrovei negautas pajamas už lengvatinį keleivių vežimą ir nemokamą mokinių vežimą, taip pat keleivinio transporto nuostolius, patirtus vykdant kelių transporto viešųjų paslaugų įsipareigojimus.</w:t>
              </w:r>
              <w:r>
                <w:rPr>
                  <w:rFonts w:eastAsia="SimSun"/>
                  <w:bCs/>
                  <w:color w:val="FF0000"/>
                  <w:szCs w:val="24"/>
                  <w:highlight w:val="white"/>
                  <w:lang w:eastAsia="zh-CN"/>
                </w:rPr>
                <w:t xml:space="preserve">          </w:t>
              </w:r>
            </w:p>
            <w:p>
              <w:pPr>
                <w:tabs>
                  <w:tab w:val="left" w:pos="360"/>
                </w:tabs>
                <w:suppressAutoHyphens/>
                <w:spacing w:line="360" w:lineRule="auto"/>
                <w:ind w:firstLine="620"/>
                <w:jc w:val="both"/>
                <w:rPr>
                  <w:rFonts w:eastAsia="SimSun"/>
                  <w:b/>
                  <w:bCs/>
                  <w:color w:val="000000"/>
                  <w:szCs w:val="24"/>
                  <w:highlight w:val="white"/>
                  <w:lang w:eastAsia="zh-CN"/>
                </w:rPr>
              </w:pPr>
            </w:p>
            <w:sdt>
              <w:sdtPr>
                <w:alias w:val="skirsnis"/>
                <w:tag w:val="part_199fdd1e5d7541acb931a6502220fbcf"/>
                <w:lock w:val="sdtLocked"/>
                <w:richText/>
              </w:sdtPr>
              <w:sdtContent>
                <w:p>
                  <w:pPr>
                    <w:tabs>
                      <w:tab w:val="left" w:pos="360"/>
                    </w:tabs>
                    <w:suppressAutoHyphens/>
                    <w:spacing w:line="360" w:lineRule="auto"/>
                    <w:jc w:val="center"/>
                    <w:rPr>
                      <w:rFonts w:eastAsia="SimSun"/>
                      <w:b/>
                      <w:bCs/>
                      <w:color w:val="000000"/>
                      <w:szCs w:val="24"/>
                      <w:highlight w:val="white"/>
                      <w:lang w:eastAsia="zh-CN"/>
                    </w:rPr>
                  </w:pPr>
                  <w:sdt>
                    <w:sdtPr>
                      <w:alias w:val="Pavadinimas"/>
                      <w:tag w:val="title_199fdd1e5d7541acb931a6502220fbcf"/>
                      <w:lock w:val="sdtLocked"/>
                      <w:richText/>
                    </w:sdtPr>
                    <w:sdtContent>
                      <w:r>
                        <w:rPr>
                          <w:rFonts w:eastAsia="SimSun"/>
                          <w:b/>
                          <w:bCs/>
                          <w:szCs w:val="24"/>
                          <w:highlight w:val="white"/>
                          <w:lang w:eastAsia="zh-CN"/>
                        </w:rPr>
                        <w:t>BENDROVĖS ORGANIZACINĖ STRUKTŪRA IR VALDYMAS</w:t>
                      </w:r>
                    </w:sdtContent>
                  </w:sdt>
                </w:p>
                <w:p>
                  <w:pPr>
                    <w:tabs>
                      <w:tab w:val="left" w:pos="360"/>
                    </w:tabs>
                    <w:suppressAutoHyphens/>
                    <w:spacing w:line="360" w:lineRule="auto"/>
                    <w:jc w:val="both"/>
                    <w:rPr>
                      <w:rFonts w:eastAsia="SimSun"/>
                      <w:color w:val="FF0000"/>
                      <w:szCs w:val="24"/>
                      <w:highlight w:val="white"/>
                      <w:lang w:eastAsia="zh-CN"/>
                    </w:rPr>
                  </w:pPr>
                </w:p>
                <w:p>
                  <w:pPr>
                    <w:tabs>
                      <w:tab w:val="left" w:pos="360"/>
                    </w:tabs>
                    <w:suppressAutoHyphens/>
                    <w:spacing w:line="360" w:lineRule="auto"/>
                    <w:ind w:firstLine="744"/>
                    <w:jc w:val="both"/>
                    <w:rPr>
                      <w:rFonts w:eastAsia="SimSun"/>
                      <w:b/>
                      <w:bCs/>
                      <w:color w:val="000000"/>
                      <w:szCs w:val="24"/>
                      <w:highlight w:val="white"/>
                      <w:lang w:eastAsia="zh-CN"/>
                    </w:rPr>
                  </w:pPr>
                  <w:r>
                    <w:rPr>
                      <w:szCs w:val="24"/>
                      <w:highlight w:val="white"/>
                      <w:lang w:eastAsia="zh-CN"/>
                    </w:rPr>
                    <w:t xml:space="preserve">Bendrovės struktūra, atitinkanti bendrovės dydį ir veiklos pobūdį, patvirtinta Bendrovės direktoriaus   2020 m. balandžio 29 d. įsakymu Nr. T-28¹. </w:t>
                  </w:r>
                </w:p>
                <w:p>
                  <w:pPr>
                    <w:suppressAutoHyphens/>
                    <w:spacing w:line="360" w:lineRule="auto"/>
                    <w:ind w:firstLine="744"/>
                    <w:jc w:val="both"/>
                    <w:rPr>
                      <w:rFonts w:eastAsia="SimSun"/>
                      <w:b/>
                      <w:bCs/>
                      <w:color w:val="000000"/>
                      <w:szCs w:val="24"/>
                      <w:highlight w:val="white"/>
                      <w:lang w:eastAsia="zh-CN"/>
                    </w:rPr>
                  </w:pPr>
                  <w:r>
                    <w:rPr>
                      <w:rFonts w:eastAsia="SimSun"/>
                      <w:bCs/>
                      <w:szCs w:val="24"/>
                      <w:highlight w:val="white"/>
                      <w:lang w:eastAsia="zh-CN"/>
                    </w:rPr>
                    <w:t>Darbuotojų pareigybių pasiskirstymas: administracija, aptarnaujantis personalas, vairuotojai-konduktoriai, pagalbiniai darbininkai.</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 xml:space="preserve">Bendrovės aukščiausias valdymo organas yra visuotinis akcininkų susirinkimas. Vienasmenis valdymo organas yra Bendrovės vadovas – direktorius, </w:t>
                  </w:r>
                  <w:r>
                    <w:rPr>
                      <w:rFonts w:eastAsia="SimSun"/>
                      <w:bCs/>
                      <w:szCs w:val="24"/>
                      <w:highlight w:val="white"/>
                      <w:lang w:eastAsia="zh-CN"/>
                    </w:rPr>
                    <w:t>turintis profesinės kompetencijos pažymėjimą, suteikiantį teisę vadovauti licencijuojamai keleivių vežimo vietiniais ir tolimojo susisiekimo maršrutais veiklai.</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Bendrovės vadovas dirba UAB „Kupiškio autobusų parkas“ ir kitose bendrovėse pareigų neužima.</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Pagrindinis ir svarbiausias paslaugos kokybę, Bendrovės veiklos efektyvumą ir sėkmę lemiantis veiksnys yra Bendrovės darbuotojai, todėl gerbiamos jų teisės ir laikomasi įstatymu reglamentuojančių tinkamų darbo sąlygų užtikrinimo</w:t>
                  </w:r>
                  <w:r>
                    <w:rPr>
                      <w:rFonts w:eastAsia="SimSun"/>
                      <w:bCs/>
                      <w:szCs w:val="24"/>
                      <w:highlight w:val="white"/>
                      <w:lang w:eastAsia="zh-CN"/>
                    </w:rPr>
                    <w:t>. Svarbus akcentas tenka darbų saugai, nes tik laikantis taisyklių yra kuriama saugi bei sveika darbo aplinka.</w:t>
                  </w:r>
                  <w:r>
                    <w:rPr>
                      <w:rFonts w:eastAsia="SimSun"/>
                      <w:bCs/>
                      <w:color w:val="FF0000"/>
                      <w:szCs w:val="24"/>
                      <w:highlight w:val="white"/>
                      <w:lang w:eastAsia="zh-CN"/>
                    </w:rPr>
                    <w:t xml:space="preserve"> </w:t>
                  </w:r>
                  <w:r>
                    <w:rPr>
                      <w:rFonts w:eastAsia="SimSun"/>
                      <w:bCs/>
                      <w:szCs w:val="24"/>
                      <w:highlight w:val="white"/>
                      <w:lang w:eastAsia="zh-CN"/>
                    </w:rPr>
                    <w:t xml:space="preserve">Bendrovėje skatinamas atsakingas elgesys darbe ir laikomasi nulinės tolerancijos alkoholiui ir narkotinėms bei psichotropinėms medžiagoms darbo vietoje. Per pastaruosius  metus neįvyko nė vieno nelaimingo atsitikimo.</w:t>
                  </w:r>
                  <w:r>
                    <w:rPr>
                      <w:rFonts w:eastAsia="SimSun"/>
                      <w:bCs/>
                      <w:color w:val="FF0000"/>
                      <w:szCs w:val="24"/>
                      <w:highlight w:val="white"/>
                      <w:lang w:eastAsia="zh-CN"/>
                    </w:rPr>
                    <w:t xml:space="preserve"> </w:t>
                  </w:r>
                  <w:r>
                    <w:rPr>
                      <w:rFonts w:eastAsia="SimSun"/>
                      <w:bCs/>
                      <w:szCs w:val="24"/>
                      <w:highlight w:val="white"/>
                      <w:lang w:eastAsia="zh-CN"/>
                    </w:rPr>
                    <w:t xml:space="preserve">Bendrovės personalas atitinka keliamus reikalavimus, turi reikiamą išsimokslinimą, atitinkantį atliekamų funkcijų ir darbo pobūdį. </w:t>
                  </w:r>
                </w:p>
                <w:p>
                  <w:pPr>
                    <w:tabs>
                      <w:tab w:val="left" w:pos="360"/>
                    </w:tabs>
                    <w:suppressAutoHyphens/>
                    <w:spacing w:line="360" w:lineRule="auto"/>
                    <w:ind w:firstLine="744"/>
                    <w:jc w:val="both"/>
                    <w:rPr>
                      <w:rFonts w:eastAsia="SimSun"/>
                      <w:bCs/>
                      <w:color w:val="000000"/>
                      <w:szCs w:val="24"/>
                      <w:highlight w:val="white"/>
                      <w:lang w:eastAsia="zh-CN"/>
                    </w:rPr>
                  </w:pPr>
                  <w:r>
                    <w:rPr>
                      <w:rFonts w:eastAsia="SimSun"/>
                      <w:bCs/>
                      <w:color w:val="000000"/>
                      <w:szCs w:val="24"/>
                      <w:highlight w:val="white"/>
                      <w:lang w:eastAsia="zh-CN"/>
                    </w:rPr>
                    <w:t xml:space="preserve">Bendrovėje didelis dėmesys skiriamas darbuotojų kvalifikacijai ir kompetencijai. </w:t>
                  </w:r>
                </w:p>
                <w:p>
                  <w:pPr>
                    <w:tabs>
                      <w:tab w:val="left" w:pos="360"/>
                    </w:tabs>
                    <w:suppressAutoHyphens/>
                    <w:spacing w:line="360" w:lineRule="auto"/>
                    <w:jc w:val="both"/>
                    <w:rPr>
                      <w:rFonts w:eastAsia="SimSun"/>
                      <w:bCs/>
                      <w:color w:val="000000"/>
                      <w:szCs w:val="24"/>
                      <w:highlight w:val="white"/>
                      <w:lang w:eastAsia="zh-CN"/>
                    </w:rPr>
                  </w:pPr>
                </w:p>
                <w:p>
                  <w:pPr>
                    <w:tabs>
                      <w:tab w:val="left" w:pos="360"/>
                    </w:tabs>
                    <w:suppressAutoHyphens/>
                    <w:spacing w:line="360" w:lineRule="auto"/>
                    <w:jc w:val="both"/>
                    <w:rPr>
                      <w:rFonts w:eastAsia="SimSun"/>
                      <w:b/>
                      <w:bCs/>
                      <w:color w:val="000000"/>
                      <w:szCs w:val="24"/>
                      <w:highlight w:val="white"/>
                      <w:lang w:eastAsia="zh-CN"/>
                    </w:rPr>
                  </w:pPr>
                  <w:r>
                    <w:rPr>
                      <w:rFonts w:eastAsia="SimSun"/>
                      <w:bCs/>
                      <w:color w:val="000000"/>
                      <w:szCs w:val="24"/>
                      <w:highlight w:val="white"/>
                      <w:lang w:eastAsia="zh-CN"/>
                    </w:rPr>
                    <w:t xml:space="preserve">Vairuotojai- konduktoriai privalo turėti profesinę kvalifikaciją (E 95 kodas), o kas 5 metai profesinė </w:t>
                  </w:r>
                </w:p>
                <w:p>
                  <w:pPr>
                    <w:tabs>
                      <w:tab w:val="left" w:pos="360"/>
                    </w:tabs>
                    <w:suppressAutoHyphens/>
                    <w:spacing w:line="360" w:lineRule="auto"/>
                    <w:jc w:val="both"/>
                    <w:rPr>
                      <w:rFonts w:eastAsia="SimSun"/>
                      <w:b/>
                      <w:bCs/>
                      <w:color w:val="000000"/>
                      <w:szCs w:val="24"/>
                      <w:highlight w:val="white"/>
                      <w:lang w:eastAsia="zh-CN"/>
                    </w:rPr>
                  </w:pPr>
                  <w:r>
                    <w:rPr>
                      <w:rFonts w:eastAsia="SimSun"/>
                      <w:bCs/>
                      <w:color w:val="000000"/>
                      <w:szCs w:val="24"/>
                      <w:highlight w:val="white"/>
                      <w:lang w:eastAsia="zh-CN"/>
                    </w:rPr>
                    <w:t>kvalifikacija turi būti atnaujinama.</w:t>
                  </w:r>
                </w:p>
                <w:p>
                  <w:pPr>
                    <w:tabs>
                      <w:tab w:val="left" w:pos="360"/>
                    </w:tabs>
                    <w:suppressAutoHyphens/>
                    <w:spacing w:line="360" w:lineRule="auto"/>
                    <w:ind w:firstLine="744"/>
                    <w:jc w:val="both"/>
                    <w:rPr>
                      <w:rFonts w:eastAsia="SimSun"/>
                      <w:b/>
                      <w:bCs/>
                      <w:color w:val="000000"/>
                      <w:szCs w:val="24"/>
                      <w:highlight w:val="white"/>
                      <w:lang w:eastAsia="zh-CN"/>
                    </w:rPr>
                  </w:pPr>
                  <w:r>
                    <w:rPr>
                      <w:rFonts w:eastAsia="SimSun"/>
                      <w:bCs/>
                      <w:szCs w:val="24"/>
                      <w:highlight w:val="white"/>
                      <w:lang w:eastAsia="zh-CN"/>
                    </w:rPr>
                    <w:t>2022 m. vasario mėn. visiems Bendrovės darbuotojams buvo suorganizuoti pirmosios pagalbos mokymų kursai. Jų</w:t>
                  </w:r>
                  <w:r>
                    <w:rPr>
                      <w:rFonts w:eastAsia="SimSun"/>
                      <w:bCs/>
                      <w:spacing w:val="2"/>
                      <w:szCs w:val="24"/>
                      <w:highlight w:val="white"/>
                      <w:shd w:val="clear" w:color="auto" w:fill="FFFFFF"/>
                      <w:lang w:eastAsia="zh-CN"/>
                    </w:rPr>
                    <w:t xml:space="preserve"> metu darbuotojai mokėsi naudotis naujos sudėties pirmosios pagalbos rinkinio priemonėmis. Lapkričio mėnesį </w:t>
                  </w:r>
                  <w:r>
                    <w:rPr>
                      <w:rFonts w:eastAsia="SimSun"/>
                      <w:szCs w:val="24"/>
                      <w:highlight w:val="white"/>
                      <w:lang w:eastAsia="zh-CN"/>
                    </w:rPr>
                    <w:t>darbuotojams buvo organizuoti mokymai apie smurto ir priekabiavimo pavojus, prevencijos priemones, teises bei pareigas smurto ir priekabiavimo srityje.</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 xml:space="preserve">2022 metų pabaigoje Bendrovėje dirbo 20 darbuotojų. Per metus buvo priimti 2 ir atleisti 2 darbuotojai. Darbuotojai bendrovę paliko savo iniciatyva. Vidutinis darbuotojų amžius Bendrovėje yra 58 metai, </w:t>
                  </w:r>
                  <w:r>
                    <w:rPr>
                      <w:rFonts w:eastAsia="SimSun"/>
                      <w:szCs w:val="24"/>
                      <w:highlight w:val="white"/>
                      <w:lang w:eastAsia="zh-CN"/>
                    </w:rPr>
                    <w:t xml:space="preserve">autobusų vairuotojų amžiaus vidurkis </w:t>
                  </w:r>
                  <w:r>
                    <w:rPr>
                      <w:rFonts w:eastAsia="SimSun"/>
                      <w:bCs/>
                      <w:color w:val="000000"/>
                      <w:szCs w:val="24"/>
                      <w:highlight w:val="white"/>
                      <w:lang w:eastAsia="zh-CN"/>
                    </w:rPr>
                    <w:t>57 metai. Bendrovėje dirba 11 vairuotojų ir d</w:t>
                  </w:r>
                  <w:r>
                    <w:rPr>
                      <w:rFonts w:eastAsia="SimSun"/>
                      <w:color w:val="000000"/>
                      <w:szCs w:val="24"/>
                      <w:highlight w:val="white"/>
                      <w:lang w:eastAsia="lt-LT"/>
                    </w:rPr>
                    <w:t>abartinio jų kiekio pakanka užtikrinti keleivių pervežimą reguliaraus susisiekimo maršrutais.</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Vidutinis darbo užmokestis (bruto) už 2022 m. buvo</w:t>
                  </w:r>
                  <w:r>
                    <w:rPr>
                      <w:rFonts w:eastAsia="SimSun"/>
                      <w:bCs/>
                      <w:color w:val="000000"/>
                      <w:szCs w:val="24"/>
                      <w:highlight w:val="white"/>
                      <w:lang w:val="en-US" w:eastAsia="zh-CN"/>
                    </w:rPr>
                    <w:t xml:space="preserve"> 1140 </w:t>
                  </w:r>
                  <w:r>
                    <w:rPr>
                      <w:rFonts w:eastAsia="SimSun"/>
                      <w:bCs/>
                      <w:color w:val="000000"/>
                      <w:szCs w:val="24"/>
                      <w:highlight w:val="white"/>
                      <w:lang w:eastAsia="zh-CN"/>
                    </w:rPr>
                    <w:t xml:space="preserve">eurų. Palyginti su 2021 m. jis padidėjo 16,7 proc.  arba 148 eurais vidutiniškai vienam darbuotojui.</w:t>
                  </w:r>
                </w:p>
                <w:p>
                  <w:pPr>
                    <w:suppressAutoHyphens/>
                    <w:spacing w:line="360" w:lineRule="auto"/>
                    <w:ind w:firstLine="744"/>
                    <w:jc w:val="both"/>
                    <w:rPr>
                      <w:rFonts w:eastAsia="SimSun"/>
                      <w:bCs/>
                      <w:color w:val="000000"/>
                      <w:szCs w:val="24"/>
                      <w:highlight w:val="white"/>
                      <w:lang w:eastAsia="zh-CN"/>
                    </w:rPr>
                  </w:pPr>
                  <w:r>
                    <w:rPr>
                      <w:rFonts w:eastAsia="SimSun"/>
                      <w:bCs/>
                      <w:szCs w:val="24"/>
                      <w:highlight w:val="white"/>
                      <w:lang w:eastAsia="zh-CN"/>
                    </w:rPr>
                    <w:t xml:space="preserve">Per 2022 m. darbo užmokesčiui (kartu su soc. draudimo įmokomis) priskaičiuota </w:t>
                  </w:r>
                  <w:r>
                    <w:rPr>
                      <w:rFonts w:eastAsia="SimSun"/>
                      <w:bCs/>
                      <w:color w:val="000000"/>
                      <w:szCs w:val="24"/>
                      <w:highlight w:val="white"/>
                      <w:lang w:eastAsia="zh-CN"/>
                    </w:rPr>
                    <w:t>285,1</w:t>
                  </w:r>
                  <w:r>
                    <w:rPr>
                      <w:rFonts w:eastAsia="SimSun"/>
                      <w:bCs/>
                      <w:szCs w:val="24"/>
                      <w:highlight w:val="white"/>
                      <w:lang w:eastAsia="zh-CN"/>
                    </w:rPr>
                    <w:t xml:space="preserve"> tūkst. Eur.</w:t>
                  </w:r>
                  <w:r>
                    <w:rPr>
                      <w:rFonts w:eastAsia="SimSun"/>
                      <w:b/>
                      <w:bCs/>
                      <w:szCs w:val="24"/>
                      <w:highlight w:val="white"/>
                      <w:lang w:eastAsia="zh-CN"/>
                    </w:rPr>
                    <w:t xml:space="preserve"> </w:t>
                  </w:r>
                  <w:r>
                    <w:rPr>
                      <w:rFonts w:eastAsia="SimSun"/>
                      <w:bCs/>
                      <w:szCs w:val="24"/>
                      <w:highlight w:val="white"/>
                      <w:lang w:eastAsia="zh-CN"/>
                    </w:rPr>
                    <w:t xml:space="preserve">   </w:t>
                  </w:r>
                  <w:r>
                    <w:rPr>
                      <w:rFonts w:eastAsia="SimSun"/>
                      <w:bCs/>
                      <w:color w:val="000000"/>
                      <w:szCs w:val="24"/>
                      <w:highlight w:val="white"/>
                      <w:lang w:eastAsia="zh-CN"/>
                    </w:rPr>
                    <w:t xml:space="preserve">      </w:t>
                  </w:r>
                </w:p>
                <w:p>
                  <w:pPr>
                    <w:suppressAutoHyphens/>
                    <w:spacing w:line="360" w:lineRule="auto"/>
                    <w:ind w:firstLine="186"/>
                    <w:jc w:val="both"/>
                    <w:rPr>
                      <w:rFonts w:eastAsia="SimSun"/>
                      <w:b/>
                      <w:bCs/>
                      <w:color w:val="000000"/>
                      <w:szCs w:val="24"/>
                      <w:highlight w:val="white"/>
                      <w:lang w:eastAsia="zh-CN"/>
                    </w:rPr>
                  </w:pPr>
                </w:p>
              </w:sdtContent>
            </w:sdt>
            <w:sdt>
              <w:sdtPr>
                <w:alias w:val="skirsnis"/>
                <w:tag w:val="part_f1998bb9fc2141788d39e5401fc1d66c"/>
                <w:lock w:val="sdtLocked"/>
                <w:richText/>
              </w:sdtPr>
              <w:sdtContent>
                <w:p>
                  <w:pPr>
                    <w:suppressAutoHyphens/>
                    <w:spacing w:line="360" w:lineRule="auto"/>
                    <w:jc w:val="center"/>
                    <w:rPr>
                      <w:rFonts w:eastAsia="SimSun"/>
                      <w:b/>
                      <w:bCs/>
                      <w:color w:val="000000"/>
                      <w:szCs w:val="24"/>
                      <w:highlight w:val="white"/>
                      <w:lang w:eastAsia="zh-CN"/>
                    </w:rPr>
                  </w:pPr>
                  <w:sdt>
                    <w:sdtPr>
                      <w:alias w:val="Pavadinimas"/>
                      <w:tag w:val="title_f1998bb9fc2141788d39e5401fc1d66c"/>
                      <w:lock w:val="sdtLocked"/>
                      <w:richText/>
                    </w:sdtPr>
                    <w:sdtContent>
                      <w:r>
                        <w:rPr>
                          <w:rFonts w:eastAsia="SimSun"/>
                          <w:b/>
                          <w:bCs/>
                          <w:szCs w:val="24"/>
                          <w:highlight w:val="white"/>
                          <w:lang w:eastAsia="zh-CN"/>
                        </w:rPr>
                        <w:t>TRANSPORTO PRIEMONIŲ PARKO ANALIZĖ</w:t>
                      </w:r>
                    </w:sdtContent>
                  </w:sdt>
                </w:p>
                <w:p>
                  <w:pPr>
                    <w:suppressAutoHyphens/>
                    <w:spacing w:line="360" w:lineRule="auto"/>
                    <w:ind w:firstLine="248"/>
                    <w:jc w:val="center"/>
                    <w:rPr>
                      <w:rFonts w:eastAsia="SimSun"/>
                      <w:b/>
                      <w:bCs/>
                      <w:color w:val="000000"/>
                      <w:szCs w:val="24"/>
                      <w:highlight w:val="white"/>
                      <w:lang w:eastAsia="zh-CN"/>
                    </w:rPr>
                  </w:pP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Bendrovė imasi visų priemonių atnaujinti transporto priemonių parką – iš dalies atnaujiname vietinio susisiekimo autobusus ir senus nusidėvėjusius keičiame mažiau taršiais, mažesniais autobusais.</w:t>
                  </w:r>
                </w:p>
                <w:p>
                  <w:pPr>
                    <w:suppressAutoHyphens/>
                    <w:spacing w:line="360" w:lineRule="auto"/>
                    <w:ind w:firstLine="744"/>
                    <w:jc w:val="both"/>
                    <w:rPr>
                      <w:rFonts w:eastAsia="SimSun"/>
                      <w:b/>
                      <w:bCs/>
                      <w:color w:val="000000"/>
                      <w:szCs w:val="24"/>
                      <w:highlight w:val="white"/>
                      <w:lang w:eastAsia="zh-CN"/>
                    </w:rPr>
                  </w:pPr>
                  <w:r>
                    <w:rPr>
                      <w:rFonts w:eastAsia="SimSun"/>
                      <w:bCs/>
                      <w:szCs w:val="24"/>
                      <w:highlight w:val="white"/>
                      <w:lang w:eastAsia="zh-CN"/>
                    </w:rPr>
                    <w:t xml:space="preserve">2022 m. gruodžio 31 d. Bendrovės transporto parką sudarė 13 eksploatuojamų autobusų. </w:t>
                  </w:r>
                  <w:r>
                    <w:rPr>
                      <w:rFonts w:eastAsia="SimSun"/>
                      <w:szCs w:val="24"/>
                      <w:highlight w:val="white"/>
                      <w:lang w:eastAsia="zh-CN"/>
                    </w:rPr>
                    <w:t xml:space="preserve">Autobusai yra pagrindinės darbo priemonės, su kuriomis vykdoma Bendrovės veikla.  Autobusams keliami aukšti saugumo reikalavimai – techninė apžiūra atliekama kas pusmetį, autobusai draudžiami privalomuoju civilinės atsakomybės draudimu, aprūpinti ugnies gesintuvais, avariniais </w:t>
                  </w:r>
                </w:p>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 xml:space="preserve">ženklais, pirmosios medicininės pagalbos rinkiniais. </w:t>
                  </w:r>
                </w:p>
                <w:p>
                  <w:pPr>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zh-CN"/>
                    </w:rPr>
                    <w:t>Siekiant mažinti nuostolius vietinio susisiekimo maršrutuose, nuolat stebimi keleivių srautai ir stengiamasi į reisus išleisti optimaliausios talpos autobusus.</w:t>
                  </w:r>
                </w:p>
                <w:p>
                  <w:pPr>
                    <w:suppressAutoHyphens/>
                    <w:spacing w:line="360" w:lineRule="auto"/>
                    <w:ind w:firstLine="744"/>
                    <w:jc w:val="both"/>
                    <w:rPr>
                      <w:rFonts w:eastAsia="SimSun"/>
                      <w:color w:val="000000"/>
                      <w:szCs w:val="24"/>
                      <w:highlight w:val="white"/>
                      <w:lang w:eastAsia="zh-CN"/>
                    </w:rPr>
                  </w:pPr>
                  <w:r>
                    <w:rPr>
                      <w:rFonts w:eastAsia="SimSun"/>
                      <w:szCs w:val="24"/>
                      <w:highlight w:val="white"/>
                      <w:lang w:eastAsia="zh-CN"/>
                    </w:rPr>
                    <w:t>Bendrovės eksploatuojamų autobus</w:t>
                  </w:r>
                  <w:r>
                    <w:rPr>
                      <w:rFonts w:eastAsia="SimSun"/>
                      <w:color w:val="000000"/>
                      <w:szCs w:val="24"/>
                      <w:highlight w:val="white"/>
                      <w:lang w:eastAsia="zh-CN"/>
                    </w:rPr>
                    <w:t xml:space="preserve">ų pasiskirstymas pagal markes pateikiamas žemiau esančioje  lentelėje:</w:t>
                  </w:r>
                </w:p>
                <w:p>
                  <w:pPr>
                    <w:suppressAutoHyphens/>
                    <w:spacing w:line="360" w:lineRule="auto"/>
                    <w:jc w:val="both"/>
                    <w:rPr>
                      <w:rFonts w:eastAsia="SimSun"/>
                      <w:color w:val="000000"/>
                      <w:szCs w:val="24"/>
                      <w:highlight w:val="white"/>
                      <w:lang w:eastAsia="zh-CN"/>
                    </w:rPr>
                  </w:pPr>
                </w:p>
                <w:p>
                  <w:pPr>
                    <w:suppressAutoHyphens/>
                    <w:spacing w:line="360" w:lineRule="auto"/>
                    <w:jc w:val="both"/>
                    <w:rPr>
                      <w:rFonts w:eastAsia="SimSun"/>
                      <w:color w:val="000000"/>
                      <w:szCs w:val="24"/>
                      <w:highlight w:val="white"/>
                      <w:lang w:eastAsia="zh-CN"/>
                    </w:rPr>
                  </w:pPr>
                </w:p>
                <w:p>
                  <w:pPr>
                    <w:suppressAutoHyphens/>
                    <w:spacing w:line="360" w:lineRule="auto"/>
                    <w:jc w:val="both"/>
                    <w:rPr>
                      <w:rFonts w:eastAsia="SimSun"/>
                      <w:color w:val="000000"/>
                      <w:szCs w:val="24"/>
                      <w:highlight w:val="white"/>
                      <w:lang w:eastAsia="zh-CN"/>
                    </w:rPr>
                  </w:pPr>
                </w:p>
                <w:p>
                  <w:pPr>
                    <w:suppressAutoHyphens/>
                    <w:spacing w:line="360" w:lineRule="auto"/>
                    <w:jc w:val="both"/>
                    <w:rPr>
                      <w:rFonts w:eastAsia="SimSun"/>
                      <w:color w:val="000000"/>
                      <w:szCs w:val="24"/>
                      <w:highlight w:val="white"/>
                      <w:lang w:eastAsia="zh-CN"/>
                    </w:rPr>
                  </w:pPr>
                </w:p>
                <w:tbl>
                  <w:tblPr>
                    <w:tblW w:w="0" w:type="auto"/>
                    <w:jc w:val="center"/>
                    <w:tblLayout w:type="fixed"/>
                    <w:tblLook w:val="0000" w:firstRow="0" w:lastRow="0" w:firstColumn="0" w:lastColumn="0" w:noHBand="0" w:noVBand="0"/>
                  </w:tblPr>
                  <w:tblGrid>
                    <w:gridCol w:w="556"/>
                    <w:gridCol w:w="3691"/>
                    <w:gridCol w:w="1150"/>
                    <w:gridCol w:w="1325"/>
                    <w:gridCol w:w="1553"/>
                  </w:tblGrid>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right"/>
                          <w:rPr>
                            <w:rFonts w:eastAsia="SimSun"/>
                            <w:b/>
                            <w:bCs/>
                            <w:color w:val="000000"/>
                            <w:szCs w:val="24"/>
                            <w:highlight w:val="white"/>
                            <w:lang w:eastAsia="zh-CN"/>
                          </w:rPr>
                        </w:pPr>
                        <w:r>
                          <w:rPr>
                            <w:rFonts w:eastAsia="SimSun"/>
                            <w:szCs w:val="24"/>
                            <w:highlight w:val="white"/>
                            <w:lang w:val="en-US" w:eastAsia="zh-CN"/>
                          </w:rPr>
                          <w:t>Eil.</w:t>
                        </w:r>
                      </w:p>
                      <w:p>
                        <w:pPr>
                          <w:suppressAutoHyphens/>
                          <w:spacing w:line="100" w:lineRule="atLeast"/>
                          <w:jc w:val="right"/>
                          <w:rPr>
                            <w:rFonts w:eastAsia="SimSun"/>
                            <w:b/>
                            <w:bCs/>
                            <w:color w:val="000000"/>
                            <w:szCs w:val="24"/>
                            <w:highlight w:val="white"/>
                            <w:lang w:eastAsia="zh-CN"/>
                          </w:rPr>
                        </w:pPr>
                        <w:r>
                          <w:rPr>
                            <w:rFonts w:eastAsia="SimSun"/>
                            <w:szCs w:val="24"/>
                            <w:highlight w:val="white"/>
                            <w:lang w:val="en-US" w:eastAsia="zh-CN"/>
                          </w:rPr>
                          <w:t>Nr.</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Autobuso markė</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Autobusų</w:t>
                        </w:r>
                      </w:p>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skaičius</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Sėdimų vietų skaičius</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 xml:space="preserve">Pagaminimo </w:t>
                        </w:r>
                      </w:p>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metai</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1.</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„Mercedes-Benz</w:t>
                        </w:r>
                        <w:r>
                          <w:rPr>
                            <w:rFonts w:eastAsia="SimSun"/>
                            <w:szCs w:val="24"/>
                            <w:highlight w:val="white"/>
                            <w:lang w:eastAsia="zh-CN"/>
                          </w:rPr>
                          <w:t xml:space="preserve"> </w:t>
                        </w:r>
                        <w:r>
                          <w:rPr>
                            <w:rFonts w:eastAsia="SimSun"/>
                            <w:szCs w:val="24"/>
                            <w:highlight w:val="white"/>
                            <w:lang w:val="en-US" w:eastAsia="zh-CN"/>
                          </w:rPr>
                          <w:t>814</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29</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2001</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2.</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„Mercedes-Benz 0 814</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32</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2000</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3.</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„Man 18.400</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57</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1998</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4.</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„Mercedes-Benz 616 CDI</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23</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2006</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5.</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„Mercedes-Benz 0 614</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23</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1996</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6.</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„Setra S 210 H</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41</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1986</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7.</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 0814DE48</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32</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2003</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8.</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32</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2002</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9.</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„Fiat Ducato</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10</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2013</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10.</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„Mercedes-Benz Sprinter 516 CDI“</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2011</w:t>
                        </w:r>
                      </w:p>
                    </w:tc>
                  </w:tr>
                  <w:tr>
                    <w:trPr>
                      <w:trHeight w:val="326"/>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eastAsia="zh-CN"/>
                          </w:rPr>
                          <w:t>11.</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„Iveco Daily</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24</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2011</w:t>
                        </w:r>
                      </w:p>
                    </w:tc>
                  </w:tr>
                  <w:tr>
                    <w:trPr>
                      <w:trHeight w:val="200"/>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12.</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32</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2005</w:t>
                        </w:r>
                      </w:p>
                    </w:tc>
                  </w:tr>
                  <w:tr>
                    <w:trPr>
                      <w:trHeight w:val="326"/>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13.</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„Iveco Daily Extra</w:t>
                        </w:r>
                        <w:r>
                          <w:rPr>
                            <w:rFonts w:eastAsia="SimSun"/>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28</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2006</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napToGrid w:val="0"/>
                          <w:spacing w:line="100" w:lineRule="atLeast"/>
                          <w:jc w:val="right"/>
                          <w:rPr>
                            <w:rFonts w:eastAsia="SimSun"/>
                            <w:szCs w:val="24"/>
                            <w:highlight w:val="white"/>
                            <w:lang w:val="en-US" w:eastAsia="zh-CN"/>
                          </w:rPr>
                        </w:pP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Iš viso</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13</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x</w:t>
                        </w:r>
                      </w:p>
                    </w:tc>
                    <w:tc>
                      <w:tcPr>
                        <w:tcW w:w="1553"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x</w:t>
                        </w:r>
                      </w:p>
                    </w:tc>
                  </w:tr>
                </w:tbl>
                <w:p>
                  <w:pPr>
                    <w:shd w:val="clear" w:color="auto" w:fill="FFFFFF"/>
                    <w:tabs>
                      <w:tab w:val="left" w:pos="1276"/>
                    </w:tabs>
                    <w:suppressAutoHyphens/>
                    <w:spacing w:line="276" w:lineRule="auto"/>
                    <w:rPr>
                      <w:rFonts w:eastAsia="SimSun"/>
                      <w:b/>
                      <w:bCs/>
                      <w:color w:val="FF0000"/>
                      <w:szCs w:val="24"/>
                      <w:highlight w:val="white"/>
                      <w:lang w:eastAsia="zh-CN"/>
                    </w:rPr>
                  </w:pPr>
                </w:p>
                <w:p>
                  <w:pPr>
                    <w:shd w:val="clear" w:color="auto" w:fill="FFFFFF"/>
                    <w:tabs>
                      <w:tab w:val="left" w:pos="1276"/>
                    </w:tabs>
                    <w:suppressAutoHyphens/>
                    <w:spacing w:line="276" w:lineRule="auto"/>
                    <w:ind w:firstLine="744"/>
                    <w:jc w:val="both"/>
                    <w:rPr>
                      <w:rFonts w:eastAsia="SimSun"/>
                      <w:b/>
                      <w:bCs/>
                      <w:color w:val="000000"/>
                      <w:szCs w:val="24"/>
                      <w:highlight w:val="white"/>
                      <w:lang w:eastAsia="zh-CN"/>
                    </w:rPr>
                  </w:pPr>
                  <w:r>
                    <w:rPr>
                      <w:rFonts w:eastAsia="SimSun"/>
                      <w:szCs w:val="24"/>
                      <w:highlight w:val="white"/>
                      <w:lang w:eastAsia="zh-CN"/>
                    </w:rPr>
                    <w:t>Paskutiniaisiais metais stengiamės įsigyti bent po vieną naujesnį autobusą. 2022 m. įsigijome 2011 m. gamybos autobusą „Iveco Daily“.</w:t>
                  </w:r>
                </w:p>
                <w:p>
                  <w:pPr>
                    <w:shd w:val="clear" w:color="auto" w:fill="FFFFFF"/>
                    <w:tabs>
                      <w:tab w:val="left" w:pos="1276"/>
                    </w:tabs>
                    <w:suppressAutoHyphens/>
                    <w:spacing w:line="360" w:lineRule="auto"/>
                    <w:jc w:val="both"/>
                    <w:rPr>
                      <w:rFonts w:eastAsia="SimSun"/>
                      <w:szCs w:val="24"/>
                      <w:highlight w:val="white"/>
                      <w:lang w:eastAsia="zh-CN"/>
                    </w:rPr>
                  </w:pPr>
                </w:p>
              </w:sdtContent>
            </w:sdt>
            <w:sdt>
              <w:sdtPr>
                <w:alias w:val="skirsnis"/>
                <w:tag w:val="part_0cf444f992cb41cb82c751519a2d095a"/>
                <w:lock w:val="sdtLocked"/>
                <w:richText/>
              </w:sdtPr>
              <w:sdtContent>
                <w:p>
                  <w:pPr>
                    <w:tabs>
                      <w:tab w:val="left" w:pos="1134"/>
                    </w:tabs>
                    <w:suppressAutoHyphens/>
                    <w:spacing w:line="360" w:lineRule="auto"/>
                    <w:jc w:val="center"/>
                    <w:rPr>
                      <w:rFonts w:eastAsia="SimSun"/>
                      <w:b/>
                      <w:bCs/>
                      <w:color w:val="000000"/>
                      <w:szCs w:val="24"/>
                      <w:highlight w:val="white"/>
                      <w:lang w:eastAsia="zh-CN"/>
                    </w:rPr>
                  </w:pPr>
                  <w:sdt>
                    <w:sdtPr>
                      <w:alias w:val="Pavadinimas"/>
                      <w:tag w:val="title_0cf444f992cb41cb82c751519a2d095a"/>
                      <w:lock w:val="sdtLocked"/>
                      <w:richText/>
                    </w:sdtPr>
                    <w:sdtContent>
                      <w:r>
                        <w:rPr>
                          <w:rFonts w:eastAsia="SimSun"/>
                          <w:b/>
                          <w:bCs/>
                          <w:szCs w:val="24"/>
                          <w:highlight w:val="white"/>
                          <w:lang w:eastAsia="zh-CN"/>
                        </w:rPr>
                        <w:t>BENDROVĖS VEIKLA</w:t>
                      </w:r>
                    </w:sdtContent>
                  </w:sdt>
                </w:p>
                <w:p>
                  <w:pPr>
                    <w:tabs>
                      <w:tab w:val="left" w:pos="1134"/>
                    </w:tabs>
                    <w:suppressAutoHyphens/>
                    <w:spacing w:line="360" w:lineRule="auto"/>
                    <w:jc w:val="center"/>
                    <w:rPr>
                      <w:rFonts w:eastAsia="SimSun"/>
                      <w:b/>
                      <w:bCs/>
                      <w:color w:val="FF0000"/>
                      <w:szCs w:val="24"/>
                      <w:highlight w:val="white"/>
                      <w:lang w:eastAsia="zh-CN"/>
                    </w:rPr>
                  </w:pPr>
                </w:p>
                <w:p>
                  <w:pPr>
                    <w:tabs>
                      <w:tab w:val="left" w:pos="1134"/>
                    </w:tabs>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 xml:space="preserve">Bendrovė – tai pelno siekianti įmonė, kurios pagrindinė veikla – keleivių vežimas vietinio        (priemiestinio), tolimojo reguliaraus susisiekimo autobusų maršrutais, užsakomaisiais reisais ir  kita komercine veikla, neprieštaraujančia Bendrovės įstatams.</w:t>
                  </w:r>
                </w:p>
                <w:p>
                  <w:pPr>
                    <w:suppressAutoHyphens/>
                    <w:spacing w:line="360" w:lineRule="auto"/>
                    <w:ind w:firstLine="744"/>
                    <w:jc w:val="both"/>
                    <w:rPr>
                      <w:rFonts w:eastAsia="SimSun"/>
                      <w:b/>
                      <w:bCs/>
                      <w:color w:val="000000"/>
                      <w:szCs w:val="24"/>
                      <w:highlight w:val="white"/>
                      <w:lang w:eastAsia="zh-CN"/>
                    </w:rPr>
                  </w:pPr>
                  <w:r>
                    <w:rPr>
                      <w:rFonts w:eastAsia="SimSun"/>
                      <w:bCs/>
                      <w:szCs w:val="24"/>
                      <w:highlight w:val="white"/>
                      <w:lang w:eastAsia="zh-CN"/>
                    </w:rPr>
                    <w:t>Šiuo metu Bendrovė aptarnauja 11 vietinio susisiekimo maršrutų ir 1 tolimojo susisiekimo maršrutą.</w:t>
                  </w:r>
                </w:p>
                <w:p>
                  <w:pPr>
                    <w:suppressAutoHyphens/>
                    <w:spacing w:line="360" w:lineRule="auto"/>
                    <w:ind w:firstLine="744"/>
                    <w:jc w:val="both"/>
                    <w:rPr>
                      <w:rFonts w:eastAsia="SimSun"/>
                      <w:b/>
                      <w:bCs/>
                      <w:color w:val="000000"/>
                      <w:szCs w:val="24"/>
                      <w:highlight w:val="white"/>
                      <w:lang w:eastAsia="zh-CN"/>
                    </w:rPr>
                  </w:pPr>
                  <w:r>
                    <w:rPr>
                      <w:rFonts w:eastAsia="SimSun"/>
                      <w:bCs/>
                      <w:szCs w:val="24"/>
                      <w:highlight w:val="white"/>
                      <w:lang w:eastAsia="zh-CN"/>
                    </w:rPr>
                    <w:t>Visi reguliarūs susisiekimo priemiestiniai maršrutai yra pritaikyti mokinių pavėžėjimui.</w:t>
                  </w:r>
                </w:p>
                <w:p>
                  <w:pPr>
                    <w:tabs>
                      <w:tab w:val="left" w:pos="1134"/>
                    </w:tabs>
                    <w:suppressAutoHyphens/>
                    <w:spacing w:line="360" w:lineRule="auto"/>
                    <w:ind w:firstLine="744"/>
                    <w:jc w:val="both"/>
                    <w:rPr>
                      <w:rFonts w:eastAsia="SimSun"/>
                      <w:b/>
                      <w:bCs/>
                      <w:color w:val="000000"/>
                      <w:szCs w:val="24"/>
                      <w:highlight w:val="white"/>
                      <w:lang w:eastAsia="zh-CN"/>
                    </w:rPr>
                  </w:pPr>
                  <w:r>
                    <w:rPr>
                      <w:rFonts w:eastAsia="SimSun"/>
                      <w:bCs/>
                      <w:szCs w:val="24"/>
                      <w:highlight w:val="white"/>
                      <w:lang w:eastAsia="zh-CN"/>
                    </w:rPr>
                    <w:t>2022 m. bendrovės autobusai nuvažiavo</w:t>
                  </w:r>
                  <w:r>
                    <w:rPr>
                      <w:rFonts w:eastAsia="SimSun"/>
                      <w:bCs/>
                      <w:color w:val="FF0000"/>
                      <w:szCs w:val="24"/>
                      <w:highlight w:val="white"/>
                      <w:lang w:eastAsia="zh-CN"/>
                    </w:rPr>
                    <w:t xml:space="preserve"> </w:t>
                  </w:r>
                  <w:r>
                    <w:rPr>
                      <w:rFonts w:eastAsia="SimSun"/>
                      <w:bCs/>
                      <w:color w:val="000000"/>
                      <w:szCs w:val="24"/>
                      <w:highlight w:val="white"/>
                      <w:lang w:eastAsia="zh-CN"/>
                    </w:rPr>
                    <w:t xml:space="preserve"> 369,1 tūkst. kilometrų ir pervežė 188,7 tū</w:t>
                  </w:r>
                  <w:r>
                    <w:rPr>
                      <w:rFonts w:eastAsia="SimSun"/>
                      <w:bCs/>
                      <w:szCs w:val="24"/>
                      <w:highlight w:val="white"/>
                      <w:lang w:eastAsia="zh-CN"/>
                    </w:rPr>
                    <w:t>kst. keleivių.</w:t>
                  </w:r>
                </w:p>
                <w:p>
                  <w:pPr>
                    <w:suppressAutoHyphens/>
                    <w:spacing w:line="360" w:lineRule="auto"/>
                    <w:ind w:firstLine="744"/>
                    <w:jc w:val="both"/>
                    <w:rPr>
                      <w:rFonts w:eastAsia="SimSun"/>
                      <w:b/>
                      <w:bCs/>
                      <w:color w:val="000000"/>
                      <w:szCs w:val="24"/>
                      <w:highlight w:val="white"/>
                      <w:lang w:eastAsia="zh-CN"/>
                    </w:rPr>
                  </w:pPr>
                  <w:r>
                    <w:rPr>
                      <w:rFonts w:eastAsia="SimSun"/>
                      <w:szCs w:val="24"/>
                      <w:highlight w:val="white"/>
                      <w:lang w:eastAsia="zh-CN"/>
                    </w:rPr>
                    <w:t>Bendrovės aptarnaujami autobusų maršrutai yra sudaryti pakankamai racionaliai ir jie keičiami nežymiai.</w:t>
                  </w:r>
                  <w:r>
                    <w:rPr>
                      <w:rFonts w:eastAsia="SimSun"/>
                      <w:b/>
                      <w:bCs/>
                      <w:szCs w:val="24"/>
                      <w:highlight w:val="white"/>
                      <w:lang w:eastAsia="zh-CN"/>
                    </w:rPr>
                    <w:t xml:space="preserve"> </w:t>
                  </w:r>
                  <w:r>
                    <w:rPr>
                      <w:bCs/>
                      <w:szCs w:val="24"/>
                      <w:highlight w:val="white"/>
                      <w:lang w:eastAsia="zh-CN"/>
                    </w:rPr>
                    <w:t>Nuo 2022 m. lapkričio 25 d. buvo nežymiai pakeisti vietinio reguliaraus susisiekimo autobusų eismo Kupiškis–Antašava–Kupiškis ir Kupiškis–Subačiaus mstl.–Kupiškis tvarkaraščiai, rugpjūčio mėn organizuotas papildomas reisas į Šimonių miestelyje vyksiančią Žolinės šventę, nuo rugsėjo mėn. atnaujintas autobusų eismas tolimojo reguliaraus susisiekimo maršrute Kupiškis–Vilnius–Kupiškis sekmadieniais.</w:t>
                  </w:r>
                </w:p>
                <w:p>
                  <w:pPr>
                    <w:suppressAutoHyphens/>
                    <w:spacing w:line="360" w:lineRule="auto"/>
                    <w:ind w:firstLine="744"/>
                    <w:jc w:val="both"/>
                    <w:rPr>
                      <w:rFonts w:eastAsia="SimSun"/>
                      <w:bCs/>
                      <w:spacing w:val="-4"/>
                      <w:szCs w:val="24"/>
                      <w:highlight w:val="white"/>
                      <w:lang w:eastAsia="zh-CN"/>
                    </w:rPr>
                  </w:pPr>
                  <w:r>
                    <w:rPr>
                      <w:rFonts w:eastAsia="SimSun"/>
                      <w:bCs/>
                      <w:szCs w:val="24"/>
                      <w:highlight w:val="white"/>
                      <w:lang w:eastAsia="zh-CN"/>
                    </w:rPr>
                    <w:t>V</w:t>
                  </w:r>
                  <w:r>
                    <w:rPr>
                      <w:rFonts w:eastAsia="SimSun"/>
                      <w:bCs/>
                      <w:spacing w:val="-4"/>
                      <w:szCs w:val="24"/>
                      <w:highlight w:val="white"/>
                      <w:lang w:eastAsia="zh-CN"/>
                    </w:rPr>
                    <w:t xml:space="preserve">ežant keleivius reguliaraus vietinio (priemiestinio) susisiekimo maršrutais, nustatyti vežimo </w:t>
                  </w:r>
                </w:p>
                <w:p>
                  <w:pPr>
                    <w:suppressAutoHyphens/>
                    <w:spacing w:line="360" w:lineRule="auto"/>
                    <w:jc w:val="both"/>
                    <w:rPr>
                      <w:rFonts w:eastAsia="SimSun"/>
                      <w:bCs/>
                      <w:szCs w:val="24"/>
                      <w:highlight w:val="white"/>
                      <w:lang w:eastAsia="zh-CN"/>
                    </w:rPr>
                  </w:pPr>
                  <w:r>
                    <w:rPr>
                      <w:rFonts w:eastAsia="SimSun"/>
                      <w:bCs/>
                      <w:spacing w:val="-4"/>
                      <w:szCs w:val="24"/>
                      <w:highlight w:val="white"/>
                      <w:lang w:eastAsia="zh-CN"/>
                    </w:rPr>
                    <w:t>tarifai turi tiesioginę įtaką vežėjų nuostoliams susidaryti</w:t>
                  </w:r>
                  <w:r>
                    <w:rPr>
                      <w:rFonts w:eastAsia="SimSun"/>
                      <w:bCs/>
                      <w:szCs w:val="24"/>
                      <w:highlight w:val="white"/>
                      <w:lang w:eastAsia="zh-CN"/>
                    </w:rPr>
                    <w:t xml:space="preserve">. Bedrovės patirti nuostoliai kompensuojami iš Savivaldybės biudžete tam tikslui numatytų lėšų pagal viešųjų paslaugų teikimo ir nuostolių kompensavimo sutartį, pagal kurią patirtų nuostolių, susidariusių dėl keleivinio kelių transporto viešųjų paslaugų reguliaraus susisiekimo maršrutuose teikimo, pateiktas kiekvieno mėnesio </w:t>
                  </w:r>
                </w:p>
                <w:p>
                  <w:pPr>
                    <w:suppressAutoHyphens/>
                    <w:spacing w:line="360" w:lineRule="auto"/>
                    <w:jc w:val="both"/>
                    <w:rPr>
                      <w:rFonts w:eastAsia="SimSun"/>
                      <w:b/>
                      <w:bCs/>
                      <w:color w:val="000000"/>
                      <w:szCs w:val="24"/>
                      <w:highlight w:val="white"/>
                      <w:lang w:eastAsia="zh-CN"/>
                    </w:rPr>
                  </w:pPr>
                  <w:r>
                    <w:rPr>
                      <w:rFonts w:eastAsia="SimSun"/>
                      <w:bCs/>
                      <w:szCs w:val="24"/>
                      <w:highlight w:val="white"/>
                      <w:lang w:eastAsia="zh-CN"/>
                    </w:rPr>
                    <w:t>ataskaitas ir sąskaitas faktūras. Gauta kompensuojama nuostolių suma –</w:t>
                  </w:r>
                  <w:r>
                    <w:rPr>
                      <w:rFonts w:eastAsia="SimSun"/>
                      <w:bCs/>
                      <w:color w:val="FF0000"/>
                      <w:szCs w:val="24"/>
                      <w:highlight w:val="white"/>
                      <w:lang w:eastAsia="zh-CN"/>
                    </w:rPr>
                    <w:t xml:space="preserve"> </w:t>
                  </w:r>
                  <w:r>
                    <w:rPr>
                      <w:rFonts w:eastAsia="SimSun"/>
                      <w:bCs/>
                      <w:color w:val="000000"/>
                      <w:szCs w:val="24"/>
                      <w:highlight w:val="white"/>
                      <w:lang w:eastAsia="zh-CN"/>
                    </w:rPr>
                    <w:t>85 367</w:t>
                  </w:r>
                  <w:r>
                    <w:rPr>
                      <w:rFonts w:eastAsia="SimSun"/>
                      <w:bCs/>
                      <w:color w:val="FF0000"/>
                      <w:szCs w:val="24"/>
                      <w:highlight w:val="white"/>
                      <w:lang w:eastAsia="zh-CN"/>
                    </w:rPr>
                    <w:t xml:space="preserve">  </w:t>
                  </w:r>
                  <w:r>
                    <w:rPr>
                      <w:rFonts w:eastAsia="SimSun"/>
                      <w:bCs/>
                      <w:szCs w:val="24"/>
                      <w:highlight w:val="white"/>
                      <w:lang w:eastAsia="zh-CN"/>
                    </w:rPr>
                    <w:t xml:space="preserve">Eur. </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 xml:space="preserve">Bendrovės bendros pajamos 2022 m. – 543,4 tūkst. Eur. Pajamos vietiniuose maršrutuose –   375,3 tūkst. Eur, tolimojo susisiekimo maršrutuose – 14,4 tūkst. Eur, kitos pajamos – 68,3 tūkst. Eur, gautos subsidijos – 85,4 tūkst. Eur. Pajamos, palyginti su 2021 m., padidėjo 143,1 tūkst. Eur.</w:t>
                  </w:r>
                </w:p>
                <w:sdt>
                  <w:sdtPr>
                    <w:alias w:val="lentele"/>
                    <w:tag w:val="part_7f4c057d7ecb4268a035feaeda4c25ed"/>
                    <w:lock w:val="sdtLocked"/>
                    <w:richText/>
                  </w:sdtPr>
                  <w:sdtContent>
                    <w:p>
                      <w:pPr>
                        <w:tabs>
                          <w:tab w:val="left" w:pos="0"/>
                        </w:tabs>
                        <w:spacing w:line="360" w:lineRule="auto"/>
                        <w:ind w:left="-142" w:firstLine="64"/>
                        <w:rPr>
                          <w:rFonts w:eastAsia="SimSun"/>
                          <w:b/>
                          <w:bCs/>
                          <w:szCs w:val="24"/>
                          <w:highlight w:val="white"/>
                          <w:lang w:eastAsia="zh-CN"/>
                        </w:rPr>
                      </w:pPr>
                      <w:sdt>
                        <w:sdtPr>
                          <w:alias w:val="Pavadinimas"/>
                          <w:tag w:val="title_7f4c057d7ecb4268a035feaeda4c25ed"/>
                          <w:lock w:val="sdtLocked"/>
                          <w:richText/>
                        </w:sdtPr>
                        <w:sdtContent>
                          <w:r>
                            <w:rPr>
                              <w:rFonts w:eastAsia="Calibri"/>
                              <w:b/>
                              <w:bCs/>
                              <w:szCs w:val="24"/>
                              <w:highlight w:val="white"/>
                              <w:lang w:eastAsia="zh-CN"/>
                            </w:rPr>
                            <w:t>Keleivių pervežimo rodikliai</w:t>
                          </w:r>
                        </w:sdtContent>
                      </w:sdt>
                    </w:p>
                    <w:p>
                      <w:pPr>
                        <w:rPr>
                          <w:szCs w:val="24"/>
                        </w:rPr>
                      </w:pPr>
                    </w:p>
                    <w:tbl>
                      <w:tblPr>
                        <w:tblW w:w="0" w:type="auto"/>
                        <w:tblInd w:w="108" w:type="dxa"/>
                        <w:tblLayout w:type="fixed"/>
                        <w:tblLook w:val="0000" w:firstRow="0" w:lastRow="0" w:firstColumn="0" w:lastColumn="0" w:noHBand="0" w:noVBand="0"/>
                      </w:tblPr>
                      <w:tblGrid>
                        <w:gridCol w:w="2113"/>
                        <w:gridCol w:w="1289"/>
                        <w:gridCol w:w="1237"/>
                        <w:gridCol w:w="1237"/>
                        <w:gridCol w:w="1236"/>
                        <w:gridCol w:w="1042"/>
                        <w:gridCol w:w="1657"/>
                      </w:tblGrid>
                      <w:tr>
                        <w:tc>
                          <w:tcPr>
                            <w:tcW w:w="2113" w:type="dxa"/>
                            <w:tcBorders>
                              <w:top w:val="single" w:sz="4" w:space="0" w:color="000000"/>
                              <w:left w:val="single" w:sz="4" w:space="0" w:color="000000"/>
                              <w:bottom w:val="single" w:sz="4" w:space="0" w:color="000000"/>
                            </w:tcBorders>
                            <w:shd w:val="clear" w:color="auto" w:fill="auto"/>
                          </w:tcPr>
                          <w:p>
                            <w:pPr>
                              <w:suppressAutoHyphens/>
                              <w:ind w:firstLine="186"/>
                              <w:rPr>
                                <w:rFonts w:ascii="Calibri Light" w:eastAsia="Calibri" w:hAnsi="Calibri Light" w:cs="Calibri Light"/>
                                <w:lang w:eastAsia="zh-CN"/>
                              </w:rPr>
                            </w:pP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Matavimo</w:t>
                            </w:r>
                          </w:p>
                          <w:p>
                            <w:pPr>
                              <w:suppressAutoHyphens/>
                              <w:jc w:val="center"/>
                              <w:rPr>
                                <w:rFonts w:ascii="Calibri Light" w:eastAsia="Calibri" w:hAnsi="Calibri Light" w:cs="Calibri Light"/>
                                <w:lang w:eastAsia="zh-CN"/>
                              </w:rPr>
                            </w:pPr>
                            <w:r>
                              <w:rPr>
                                <w:rFonts w:eastAsia="Calibri"/>
                                <w:szCs w:val="24"/>
                                <w:lang w:eastAsia="zh-CN"/>
                              </w:rPr>
                              <w:t>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2022 m.</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Proc.</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2021 m.</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Proc.</w:t>
                            </w:r>
                          </w:p>
                        </w:tc>
                        <w:tc>
                          <w:tcPr>
                            <w:tcW w:w="1657"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Pokytis proc.</w:t>
                            </w:r>
                          </w:p>
                          <w:p>
                            <w:pPr>
                              <w:suppressAutoHyphens/>
                              <w:jc w:val="center"/>
                              <w:rPr>
                                <w:rFonts w:ascii="Calibri Light" w:eastAsia="Calibri" w:hAnsi="Calibri Light" w:cs="Calibri Light"/>
                                <w:lang w:eastAsia="zh-CN"/>
                              </w:rPr>
                            </w:pPr>
                            <w:r>
                              <w:rPr>
                                <w:rFonts w:eastAsia="Calibri"/>
                                <w:color w:val="000000"/>
                                <w:szCs w:val="24"/>
                                <w:lang w:eastAsia="zh-CN"/>
                              </w:rPr>
                              <w:t>+ -</w:t>
                            </w:r>
                          </w:p>
                        </w:tc>
                      </w:tr>
                      <w:tr>
                        <w:trPr>
                          <w:trHeight w:val="182"/>
                        </w:trPr>
                        <w:tc>
                          <w:tcPr>
                            <w:tcW w:w="2113"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szCs w:val="24"/>
                                <w:lang w:eastAsia="zh-CN"/>
                              </w:rPr>
                              <w:t xml:space="preserve">Nuvažiuota </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km</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369,1</w:t>
                            </w:r>
                          </w:p>
                        </w:tc>
                        <w:tc>
                          <w:tcPr>
                            <w:tcW w:w="1237"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271,2</w:t>
                            </w:r>
                          </w:p>
                        </w:tc>
                        <w:tc>
                          <w:tcPr>
                            <w:tcW w:w="1042"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tc>
                        <w:tc>
                          <w:tcPr>
                            <w:tcW w:w="1657"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+36</w:t>
                            </w:r>
                          </w:p>
                        </w:tc>
                      </w:tr>
                      <w:tr>
                        <w:trPr>
                          <w:trHeight w:val="481"/>
                        </w:trPr>
                        <w:tc>
                          <w:tcPr>
                            <w:tcW w:w="2113"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szCs w:val="24"/>
                                <w:lang w:eastAsia="zh-CN"/>
                              </w:rPr>
                              <w:t>Pervežta keleivių</w:t>
                            </w:r>
                          </w:p>
                          <w:p>
                            <w:pPr>
                              <w:suppressAutoHyphens/>
                              <w:rPr>
                                <w:rFonts w:ascii="Calibri Light" w:eastAsia="Calibri" w:hAnsi="Calibri Light" w:cs="Calibri Light"/>
                                <w:lang w:eastAsia="zh-CN"/>
                              </w:rPr>
                            </w:pPr>
                            <w:r>
                              <w:rPr>
                                <w:rFonts w:eastAsia="Calibri"/>
                                <w:szCs w:val="24"/>
                                <w:lang w:eastAsia="zh-CN"/>
                              </w:rPr>
                              <w:t xml:space="preserve">Iš jų:  </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188,7</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100</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108,4</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100</w:t>
                            </w:r>
                          </w:p>
                        </w:tc>
                        <w:tc>
                          <w:tcPr>
                            <w:tcW w:w="1657"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+74</w:t>
                            </w:r>
                          </w:p>
                        </w:tc>
                      </w:tr>
                      <w:tr>
                        <w:trPr>
                          <w:trHeight w:val="70"/>
                        </w:trPr>
                        <w:tc>
                          <w:tcPr>
                            <w:tcW w:w="2113" w:type="dxa"/>
                            <w:tcBorders>
                              <w:top w:val="single" w:sz="4" w:space="0" w:color="000000"/>
                              <w:left w:val="single" w:sz="4" w:space="0" w:color="000000"/>
                              <w:bottom w:val="single" w:sz="4" w:space="0" w:color="000000"/>
                            </w:tcBorders>
                            <w:shd w:val="clear" w:color="auto" w:fill="auto"/>
                          </w:tcPr>
                          <w:p>
                            <w:pPr>
                              <w:suppressAutoHyphens/>
                              <w:ind w:firstLine="248"/>
                              <w:rPr>
                                <w:rFonts w:ascii="Calibri Light" w:eastAsia="Calibri" w:hAnsi="Calibri Light" w:cs="Calibri Light"/>
                                <w:lang w:eastAsia="zh-CN"/>
                              </w:rPr>
                            </w:pPr>
                            <w:r>
                              <w:rPr>
                                <w:rFonts w:eastAsia="Calibri"/>
                                <w:szCs w:val="24"/>
                                <w:lang w:eastAsia="zh-CN"/>
                              </w:rPr>
                              <w:t>mokių</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23,2</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12,3</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17,2</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15,8</w:t>
                            </w:r>
                          </w:p>
                        </w:tc>
                        <w:tc>
                          <w:tcPr>
                            <w:tcW w:w="1657"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+35</w:t>
                            </w:r>
                          </w:p>
                        </w:tc>
                      </w:tr>
                      <w:tr>
                        <w:trPr>
                          <w:trHeight w:val="170"/>
                        </w:trPr>
                        <w:tc>
                          <w:tcPr>
                            <w:tcW w:w="2113" w:type="dxa"/>
                            <w:tcBorders>
                              <w:top w:val="single" w:sz="4" w:space="0" w:color="000000"/>
                              <w:left w:val="single" w:sz="4" w:space="0" w:color="000000"/>
                              <w:bottom w:val="single" w:sz="4" w:space="0" w:color="000000"/>
                            </w:tcBorders>
                            <w:shd w:val="clear" w:color="auto" w:fill="auto"/>
                          </w:tcPr>
                          <w:p>
                            <w:pPr>
                              <w:suppressAutoHyphens/>
                              <w:ind w:firstLine="248"/>
                              <w:rPr>
                                <w:rFonts w:ascii="Calibri Light" w:eastAsia="Calibri" w:hAnsi="Calibri Light" w:cs="Calibri Light"/>
                                <w:lang w:eastAsia="zh-CN"/>
                              </w:rPr>
                            </w:pPr>
                            <w:r>
                              <w:rPr>
                                <w:rFonts w:eastAsia="Calibri"/>
                                <w:szCs w:val="24"/>
                                <w:lang w:eastAsia="zh-CN"/>
                              </w:rPr>
                              <w:t>turinčių lengvatų</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23,2</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12,3</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17,4</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16,1</w:t>
                            </w:r>
                          </w:p>
                        </w:tc>
                        <w:tc>
                          <w:tcPr>
                            <w:tcW w:w="1657"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+33</w:t>
                            </w:r>
                          </w:p>
                        </w:tc>
                      </w:tr>
                      <w:tr>
                        <w:trPr>
                          <w:trHeight w:val="70"/>
                        </w:trPr>
                        <w:tc>
                          <w:tcPr>
                            <w:tcW w:w="2113" w:type="dxa"/>
                            <w:tcBorders>
                              <w:top w:val="single" w:sz="4" w:space="0" w:color="000000"/>
                              <w:left w:val="single" w:sz="4" w:space="0" w:color="000000"/>
                              <w:bottom w:val="single" w:sz="4" w:space="0" w:color="000000"/>
                            </w:tcBorders>
                            <w:shd w:val="clear" w:color="auto" w:fill="auto"/>
                          </w:tcPr>
                          <w:p>
                            <w:pPr>
                              <w:suppressAutoHyphens/>
                              <w:ind w:firstLine="248"/>
                              <w:rPr>
                                <w:rFonts w:ascii="Calibri Light" w:eastAsia="Calibri" w:hAnsi="Calibri Light" w:cs="Calibri Light"/>
                                <w:lang w:eastAsia="zh-CN"/>
                              </w:rPr>
                            </w:pPr>
                            <w:r>
                              <w:rPr>
                                <w:rFonts w:eastAsia="Calibri"/>
                                <w:szCs w:val="24"/>
                                <w:lang w:eastAsia="zh-CN"/>
                              </w:rPr>
                              <w:t>mokinių</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142,3</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75,4</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73,9</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68,1</w:t>
                            </w:r>
                          </w:p>
                        </w:tc>
                        <w:tc>
                          <w:tcPr>
                            <w:tcW w:w="1657"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+92,7</w:t>
                            </w:r>
                          </w:p>
                        </w:tc>
                      </w:tr>
                    </w:tbl>
                    <w:p>
                      <w:pPr>
                        <w:suppressAutoHyphens/>
                        <w:spacing w:line="360" w:lineRule="auto"/>
                        <w:jc w:val="both"/>
                        <w:rPr>
                          <w:rFonts w:eastAsia="SimSun"/>
                          <w:b/>
                          <w:bCs/>
                          <w:color w:val="FF0000"/>
                          <w:szCs w:val="24"/>
                          <w:highlight w:val="white"/>
                          <w:lang w:eastAsia="zh-CN"/>
                        </w:rPr>
                      </w:pPr>
                    </w:p>
                  </w:sdtContent>
                </w:sdt>
                <w:sdt>
                  <w:sdtPr>
                    <w:alias w:val="pastraipa"/>
                    <w:tag w:val="part_2ecd434b97c045bda83cf5338a1ce7a1"/>
                    <w:lock w:val="sdtLocked"/>
                    <w:richText/>
                  </w:sdtPr>
                  <w:sdtContent>
                    <w:p>
                      <w:pPr>
                        <w:suppressAutoHyphens/>
                        <w:spacing w:line="360" w:lineRule="auto"/>
                        <w:ind w:firstLine="744"/>
                        <w:jc w:val="both"/>
                        <w:rPr>
                          <w:rFonts w:ascii="Calibri Light" w:eastAsia="Calibri" w:hAnsi="Calibri Light" w:cs="Calibri Light"/>
                          <w:lang w:eastAsia="zh-CN"/>
                        </w:rPr>
                      </w:pPr>
                      <w:r>
                        <w:rPr>
                          <w:rFonts w:eastAsia="Calibri"/>
                          <w:lang w:eastAsia="zh-CN"/>
                        </w:rPr>
                        <w:t>Per 2022 metus vietinio susisiekimo maršrutais pervežta</w:t>
                      </w:r>
                      <w:r>
                        <w:rPr>
                          <w:rFonts w:eastAsia="Calibri"/>
                          <w:color w:val="FF0000"/>
                          <w:lang w:eastAsia="zh-CN"/>
                        </w:rPr>
                        <w:t xml:space="preserve"> </w:t>
                      </w:r>
                      <w:r>
                        <w:rPr>
                          <w:rFonts w:eastAsia="Calibri"/>
                          <w:color w:val="000000"/>
                          <w:lang w:eastAsia="zh-CN"/>
                        </w:rPr>
                        <w:t xml:space="preserve"> 186  t</w:t>
                      </w:r>
                      <w:r>
                        <w:rPr>
                          <w:rFonts w:eastAsia="Calibri"/>
                          <w:lang w:eastAsia="zh-CN"/>
                        </w:rPr>
                        <w:t xml:space="preserve">ūkst. keleivių  (2021 m. – 107,1</w:t>
                      </w:r>
                      <w:r>
                        <w:rPr>
                          <w:rFonts w:eastAsia="Calibri"/>
                          <w:color w:val="FF0000"/>
                          <w:lang w:eastAsia="zh-CN"/>
                        </w:rPr>
                        <w:t xml:space="preserve"> </w:t>
                      </w:r>
                      <w:r>
                        <w:rPr>
                          <w:rFonts w:eastAsia="Calibri"/>
                          <w:lang w:eastAsia="zh-CN"/>
                        </w:rPr>
                        <w:t>tūkst. keleivių),</w:t>
                      </w:r>
                      <w:r>
                        <w:rPr>
                          <w:rFonts w:eastAsia="Calibri"/>
                          <w:color w:val="FF0000"/>
                          <w:lang w:eastAsia="zh-CN"/>
                        </w:rPr>
                        <w:t xml:space="preserve"> </w:t>
                      </w:r>
                      <w:r>
                        <w:rPr>
                          <w:rFonts w:eastAsia="Calibri"/>
                          <w:lang w:eastAsia="zh-CN"/>
                        </w:rPr>
                        <w:t>tolimojo susisiekimo maršrutais –</w:t>
                      </w:r>
                      <w:r>
                        <w:rPr>
                          <w:rFonts w:eastAsia="Calibri"/>
                          <w:color w:val="000000"/>
                          <w:lang w:eastAsia="zh-CN"/>
                        </w:rPr>
                        <w:t xml:space="preserve"> 2,6  tūkst. keleivių (2021 m. – 1,4  tūkst. keleivių). </w:t>
                      </w:r>
                    </w:p>
                  </w:sdtContent>
                </w:sdt>
                <w:sdt>
                  <w:sdtPr>
                    <w:alias w:val="lentele"/>
                    <w:tag w:val="part_4b47f80a781045bf93795be05da34013"/>
                    <w:lock w:val="sdtLocked"/>
                    <w:richText/>
                  </w:sdtPr>
                  <w:sdtContent>
                    <w:p>
                      <w:pPr>
                        <w:suppressAutoHyphens/>
                        <w:spacing w:line="360" w:lineRule="auto"/>
                        <w:jc w:val="both"/>
                        <w:rPr>
                          <w:rFonts w:ascii="Calibri Light" w:eastAsia="Calibri" w:hAnsi="Calibri Light" w:cs="Calibri Light"/>
                          <w:lang w:eastAsia="zh-CN"/>
                        </w:rPr>
                      </w:pPr>
                      <w:sdt>
                        <w:sdtPr>
                          <w:alias w:val="Pavadinimas"/>
                          <w:tag w:val="title_4b47f80a781045bf93795be05da34013"/>
                          <w:lock w:val="sdtLocked"/>
                          <w:richText/>
                        </w:sdtPr>
                        <w:sdtContent>
                          <w:r>
                            <w:rPr>
                              <w:rFonts w:eastAsia="Calibri"/>
                              <w:b/>
                              <w:lang w:eastAsia="zh-CN"/>
                            </w:rPr>
                            <w:t>Pervežtų keleivių skaičius</w:t>
                          </w:r>
                        </w:sdtContent>
                      </w:sdt>
                    </w:p>
                    <w:tbl>
                      <w:tblPr>
                        <w:tblW w:w="0" w:type="auto"/>
                        <w:tblInd w:w="-40" w:type="dxa"/>
                        <w:tblLayout w:type="fixed"/>
                        <w:tblLook w:val="0000" w:firstRow="0" w:lastRow="0" w:firstColumn="0" w:lastColumn="0" w:noHBand="0" w:noVBand="0"/>
                      </w:tblPr>
                      <w:tblGrid>
                        <w:gridCol w:w="2260"/>
                        <w:gridCol w:w="1842"/>
                        <w:gridCol w:w="1549"/>
                        <w:gridCol w:w="1417"/>
                        <w:gridCol w:w="1417"/>
                        <w:gridCol w:w="1417"/>
                      </w:tblGrid>
                      <w:tr>
                        <w:tc>
                          <w:tcPr>
                            <w:tcW w:w="2260"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Metai</w:t>
                            </w:r>
                          </w:p>
                        </w:tc>
                        <w:tc>
                          <w:tcPr>
                            <w:tcW w:w="1842"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2018 m.</w:t>
                            </w:r>
                          </w:p>
                        </w:tc>
                        <w:tc>
                          <w:tcPr>
                            <w:tcW w:w="1549"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2019 m.</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2020 m.</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2021 m.</w:t>
                            </w: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2022 m.</w:t>
                            </w:r>
                          </w:p>
                        </w:tc>
                      </w:tr>
                      <w:tr>
                        <w:tc>
                          <w:tcPr>
                            <w:tcW w:w="2260" w:type="dxa"/>
                            <w:tcBorders>
                              <w:top w:val="single" w:sz="4" w:space="0" w:color="000000"/>
                              <w:left w:val="single" w:sz="4" w:space="0" w:color="000000"/>
                              <w:bottom w:val="single" w:sz="4" w:space="0" w:color="000000"/>
                            </w:tcBorders>
                            <w:shd w:val="clear" w:color="auto" w:fill="auto"/>
                          </w:tcPr>
                          <w:p>
                            <w:pPr>
                              <w:suppressAutoHyphens/>
                              <w:spacing w:line="360" w:lineRule="auto"/>
                              <w:jc w:val="both"/>
                              <w:rPr>
                                <w:rFonts w:eastAsia="SimSun"/>
                                <w:b/>
                                <w:bCs/>
                                <w:color w:val="000000"/>
                                <w:szCs w:val="24"/>
                                <w:highlight w:val="white"/>
                                <w:lang w:eastAsia="zh-CN"/>
                              </w:rPr>
                            </w:pPr>
                            <w:r>
                              <w:rPr>
                                <w:rFonts w:eastAsia="SimSun"/>
                                <w:bCs/>
                                <w:szCs w:val="24"/>
                                <w:highlight w:val="white"/>
                                <w:lang w:eastAsia="zh-CN"/>
                              </w:rPr>
                              <w:t>Keleivių skaičius</w:t>
                            </w:r>
                          </w:p>
                        </w:tc>
                        <w:tc>
                          <w:tcPr>
                            <w:tcW w:w="1842"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205 938</w:t>
                            </w:r>
                          </w:p>
                        </w:tc>
                        <w:tc>
                          <w:tcPr>
                            <w:tcW w:w="1549"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206 457</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107 731</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szCs w:val="24"/>
                                <w:highlight w:val="white"/>
                                <w:lang w:eastAsia="zh-CN"/>
                              </w:rPr>
                              <w:t>108 442</w:t>
                            </w:r>
                          </w:p>
                        </w:tc>
                        <w:tc>
                          <w:tcPr>
                            <w:tcW w:w="1417" w:type="dxa"/>
                            <w:tcBorders>
                              <w:top w:val="single" w:sz="4" w:space="0" w:color="000000"/>
                              <w:left w:val="single" w:sz="4" w:space="0" w:color="000000"/>
                              <w:bottom w:val="single" w:sz="4" w:space="0" w:color="000000"/>
                              <w:right w:val="single" w:sz="4" w:space="0" w:color="auto"/>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szCs w:val="24"/>
                                <w:highlight w:val="white"/>
                                <w:lang w:eastAsia="zh-CN"/>
                              </w:rPr>
                              <w:t>188 682</w:t>
                            </w:r>
                          </w:p>
                        </w:tc>
                      </w:tr>
                    </w:tbl>
                    <w:p>
                      <w:pPr>
                        <w:suppressAutoHyphens/>
                        <w:spacing w:line="360" w:lineRule="auto"/>
                        <w:ind w:firstLine="558"/>
                        <w:jc w:val="both"/>
                        <w:rPr>
                          <w:rFonts w:eastAsia="SimSun"/>
                          <w:b/>
                          <w:bCs/>
                          <w:color w:val="000000"/>
                          <w:szCs w:val="24"/>
                          <w:highlight w:val="white"/>
                          <w:lang w:eastAsia="zh-CN"/>
                        </w:rPr>
                      </w:pPr>
                    </w:p>
                  </w:sdtContent>
                </w:sdt>
                <w:sdt>
                  <w:sdtPr>
                    <w:alias w:val="lentele"/>
                    <w:tag w:val="part_6c87383c026a46818042401017ea84e1"/>
                    <w:lock w:val="sdtLocked"/>
                    <w:richText/>
                  </w:sdtPr>
                  <w:sdtContent>
                    <w:p>
                      <w:pPr>
                        <w:suppressAutoHyphens/>
                        <w:spacing w:line="360" w:lineRule="auto"/>
                        <w:jc w:val="both"/>
                        <w:rPr>
                          <w:rFonts w:ascii="Calibri Light" w:eastAsia="Calibri" w:hAnsi="Calibri Light" w:cs="Calibri Light"/>
                          <w:lang w:eastAsia="zh-CN"/>
                        </w:rPr>
                      </w:pPr>
                      <w:sdt>
                        <w:sdtPr>
                          <w:alias w:val="Pavadinimas"/>
                          <w:tag w:val="title_6c87383c026a46818042401017ea84e1"/>
                          <w:lock w:val="sdtLocked"/>
                          <w:richText/>
                        </w:sdtPr>
                        <w:sdtContent>
                          <w:r>
                            <w:rPr>
                              <w:rFonts w:eastAsia="Calibri"/>
                              <w:b/>
                              <w:color w:val="000000"/>
                              <w:lang w:eastAsia="zh-CN"/>
                            </w:rPr>
                            <w:t>Pervežtų keleivių skaičius pagal kategorijas</w:t>
                          </w:r>
                        </w:sdtContent>
                      </w:sdt>
                    </w:p>
                    <w:tbl>
                      <w:tblPr>
                        <w:tblW w:w="0" w:type="auto"/>
                        <w:tblInd w:w="-15" w:type="dxa"/>
                        <w:tblLayout w:type="fixed"/>
                        <w:tblLook w:val="0000" w:firstRow="0" w:lastRow="0" w:firstColumn="0" w:lastColumn="0" w:noHBand="0" w:noVBand="0"/>
                      </w:tblPr>
                      <w:tblGrid>
                        <w:gridCol w:w="2463"/>
                        <w:gridCol w:w="2463"/>
                        <w:gridCol w:w="2464"/>
                        <w:gridCol w:w="2494"/>
                      </w:tblGrid>
                      <w:tr>
                        <w:tc>
                          <w:tcPr>
                            <w:tcW w:w="2463" w:type="dxa"/>
                            <w:tcBorders>
                              <w:top w:val="single" w:sz="4" w:space="0" w:color="000000"/>
                              <w:left w:val="single" w:sz="4" w:space="0" w:color="000000"/>
                              <w:bottom w:val="single" w:sz="4" w:space="0" w:color="000000"/>
                            </w:tcBorders>
                            <w:shd w:val="clear" w:color="auto" w:fill="auto"/>
                          </w:tcPr>
                          <w:p>
                            <w:pPr>
                              <w:suppressAutoHyphens/>
                              <w:snapToGrid w:val="0"/>
                              <w:spacing w:line="360" w:lineRule="auto"/>
                              <w:jc w:val="both"/>
                              <w:rPr>
                                <w:szCs w:val="24"/>
                                <w:highlight w:val="white"/>
                                <w:lang w:eastAsia="zh-CN"/>
                              </w:rPr>
                            </w:pPr>
                          </w:p>
                        </w:tc>
                        <w:tc>
                          <w:tcPr>
                            <w:tcW w:w="2463"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2022 m.</w:t>
                            </w:r>
                          </w:p>
                        </w:tc>
                        <w:tc>
                          <w:tcPr>
                            <w:tcW w:w="2464"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2021 m.</w:t>
                            </w:r>
                          </w:p>
                        </w:tc>
                        <w:tc>
                          <w:tcPr>
                            <w:tcW w:w="2494"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Pastabos</w:t>
                            </w:r>
                          </w:p>
                        </w:tc>
                      </w:tr>
                      <w:tr>
                        <w:tc>
                          <w:tcPr>
                            <w:tcW w:w="2463" w:type="dxa"/>
                            <w:tcBorders>
                              <w:top w:val="single" w:sz="4" w:space="0" w:color="000000"/>
                              <w:left w:val="single" w:sz="4" w:space="0" w:color="000000"/>
                              <w:bottom w:val="single" w:sz="4" w:space="0" w:color="000000"/>
                            </w:tcBorders>
                            <w:shd w:val="clear" w:color="auto" w:fill="auto"/>
                          </w:tcPr>
                          <w:p>
                            <w:pPr>
                              <w:suppressAutoHyphens/>
                              <w:jc w:val="both"/>
                              <w:rPr>
                                <w:rFonts w:eastAsia="SimSun"/>
                                <w:b/>
                                <w:bCs/>
                                <w:color w:val="000000"/>
                                <w:szCs w:val="24"/>
                                <w:highlight w:val="white"/>
                                <w:lang w:eastAsia="zh-CN"/>
                              </w:rPr>
                            </w:pPr>
                            <w:r>
                              <w:rPr>
                                <w:szCs w:val="24"/>
                                <w:highlight w:val="white"/>
                                <w:lang w:eastAsia="zh-CN"/>
                              </w:rPr>
                              <w:t>Mokantys visą bilieto kainą</w:t>
                            </w:r>
                          </w:p>
                        </w:tc>
                        <w:tc>
                          <w:tcPr>
                            <w:tcW w:w="2463"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23 154</w:t>
                            </w:r>
                          </w:p>
                        </w:tc>
                        <w:tc>
                          <w:tcPr>
                            <w:tcW w:w="2464"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17 170</w:t>
                            </w:r>
                          </w:p>
                        </w:tc>
                        <w:tc>
                          <w:tcPr>
                            <w:tcW w:w="2494"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360" w:lineRule="auto"/>
                              <w:jc w:val="center"/>
                              <w:rPr>
                                <w:szCs w:val="24"/>
                                <w:highlight w:val="white"/>
                                <w:lang w:eastAsia="zh-CN"/>
                              </w:rPr>
                            </w:pPr>
                          </w:p>
                        </w:tc>
                      </w:tr>
                      <w:tr>
                        <w:tc>
                          <w:tcPr>
                            <w:tcW w:w="2463" w:type="dxa"/>
                            <w:tcBorders>
                              <w:top w:val="single" w:sz="4" w:space="0" w:color="000000"/>
                              <w:left w:val="single" w:sz="4" w:space="0" w:color="000000"/>
                              <w:bottom w:val="single" w:sz="4" w:space="0" w:color="000000"/>
                            </w:tcBorders>
                            <w:shd w:val="clear" w:color="auto" w:fill="auto"/>
                          </w:tcPr>
                          <w:p>
                            <w:pPr>
                              <w:suppressAutoHyphens/>
                              <w:jc w:val="both"/>
                              <w:rPr>
                                <w:rFonts w:eastAsia="SimSun"/>
                                <w:b/>
                                <w:bCs/>
                                <w:color w:val="000000"/>
                                <w:szCs w:val="24"/>
                                <w:highlight w:val="white"/>
                                <w:lang w:eastAsia="zh-CN"/>
                              </w:rPr>
                            </w:pPr>
                            <w:r>
                              <w:rPr>
                                <w:szCs w:val="24"/>
                                <w:highlight w:val="white"/>
                                <w:lang w:eastAsia="zh-CN"/>
                              </w:rPr>
                              <w:t>Turintys 50 proc. lengvatą</w:t>
                            </w:r>
                          </w:p>
                        </w:tc>
                        <w:tc>
                          <w:tcPr>
                            <w:tcW w:w="2463"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17 672</w:t>
                            </w:r>
                          </w:p>
                        </w:tc>
                        <w:tc>
                          <w:tcPr>
                            <w:tcW w:w="2464"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13 171</w:t>
                            </w:r>
                          </w:p>
                        </w:tc>
                        <w:tc>
                          <w:tcPr>
                            <w:tcW w:w="2494"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360" w:lineRule="auto"/>
                              <w:jc w:val="center"/>
                              <w:rPr>
                                <w:szCs w:val="24"/>
                                <w:highlight w:val="white"/>
                                <w:lang w:eastAsia="zh-CN"/>
                              </w:rPr>
                            </w:pPr>
                          </w:p>
                        </w:tc>
                      </w:tr>
                      <w:tr>
                        <w:tc>
                          <w:tcPr>
                            <w:tcW w:w="2463" w:type="dxa"/>
                            <w:tcBorders>
                              <w:top w:val="single" w:sz="4" w:space="0" w:color="000000"/>
                              <w:left w:val="single" w:sz="4" w:space="0" w:color="000000"/>
                              <w:bottom w:val="single" w:sz="4" w:space="0" w:color="000000"/>
                            </w:tcBorders>
                            <w:shd w:val="clear" w:color="auto" w:fill="auto"/>
                          </w:tcPr>
                          <w:p>
                            <w:pPr>
                              <w:suppressAutoHyphens/>
                              <w:jc w:val="both"/>
                              <w:rPr>
                                <w:rFonts w:eastAsia="SimSun"/>
                                <w:b/>
                                <w:bCs/>
                                <w:color w:val="000000"/>
                                <w:szCs w:val="24"/>
                                <w:highlight w:val="white"/>
                                <w:lang w:eastAsia="zh-CN"/>
                              </w:rPr>
                            </w:pPr>
                            <w:r>
                              <w:rPr>
                                <w:szCs w:val="24"/>
                                <w:highlight w:val="white"/>
                                <w:lang w:eastAsia="zh-CN"/>
                              </w:rPr>
                              <w:t>Turintys 80 proc. lengvatą</w:t>
                            </w:r>
                          </w:p>
                        </w:tc>
                        <w:tc>
                          <w:tcPr>
                            <w:tcW w:w="2463"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5 252</w:t>
                            </w:r>
                          </w:p>
                        </w:tc>
                        <w:tc>
                          <w:tcPr>
                            <w:tcW w:w="2464"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4 241</w:t>
                            </w:r>
                          </w:p>
                        </w:tc>
                        <w:tc>
                          <w:tcPr>
                            <w:tcW w:w="2494"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360" w:lineRule="auto"/>
                              <w:jc w:val="center"/>
                              <w:rPr>
                                <w:szCs w:val="24"/>
                                <w:highlight w:val="white"/>
                                <w:lang w:eastAsia="zh-CN"/>
                              </w:rPr>
                            </w:pPr>
                          </w:p>
                        </w:tc>
                      </w:tr>
                      <w:tr>
                        <w:tc>
                          <w:tcPr>
                            <w:tcW w:w="2463" w:type="dxa"/>
                            <w:tcBorders>
                              <w:top w:val="single" w:sz="4" w:space="0" w:color="000000"/>
                              <w:left w:val="single" w:sz="4" w:space="0" w:color="000000"/>
                              <w:bottom w:val="single" w:sz="4" w:space="0" w:color="000000"/>
                            </w:tcBorders>
                            <w:shd w:val="clear" w:color="auto" w:fill="auto"/>
                          </w:tcPr>
                          <w:p>
                            <w:pPr>
                              <w:suppressAutoHyphens/>
                              <w:jc w:val="both"/>
                              <w:rPr>
                                <w:rFonts w:eastAsia="SimSun"/>
                                <w:b/>
                                <w:bCs/>
                                <w:color w:val="000000"/>
                                <w:szCs w:val="24"/>
                                <w:highlight w:val="white"/>
                                <w:lang w:eastAsia="zh-CN"/>
                              </w:rPr>
                            </w:pPr>
                            <w:r>
                              <w:rPr>
                                <w:szCs w:val="24"/>
                                <w:highlight w:val="white"/>
                                <w:lang w:eastAsia="zh-CN"/>
                              </w:rPr>
                              <w:t>Turintys 100 proc. lengvatą</w:t>
                            </w:r>
                          </w:p>
                        </w:tc>
                        <w:tc>
                          <w:tcPr>
                            <w:tcW w:w="2463"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298</w:t>
                            </w:r>
                          </w:p>
                        </w:tc>
                        <w:tc>
                          <w:tcPr>
                            <w:tcW w:w="2464"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w:t>
                            </w:r>
                          </w:p>
                        </w:tc>
                        <w:tc>
                          <w:tcPr>
                            <w:tcW w:w="2494"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eastAsia="SimSun"/>
                                <w:b/>
                                <w:bCs/>
                                <w:color w:val="000000"/>
                                <w:szCs w:val="24"/>
                                <w:highlight w:val="white"/>
                                <w:lang w:eastAsia="zh-CN"/>
                              </w:rPr>
                            </w:pPr>
                            <w:r>
                              <w:rPr>
                                <w:sz w:val="18"/>
                                <w:szCs w:val="18"/>
                                <w:highlight w:val="white"/>
                                <w:lang w:eastAsia="zh-CN"/>
                              </w:rPr>
                              <w:t>Lengvata pradėta taikyti nuo 2022 m.</w:t>
                            </w:r>
                          </w:p>
                        </w:tc>
                      </w:tr>
                      <w:tr>
                        <w:tc>
                          <w:tcPr>
                            <w:tcW w:w="2463" w:type="dxa"/>
                            <w:tcBorders>
                              <w:top w:val="single" w:sz="4" w:space="0" w:color="000000"/>
                              <w:left w:val="single" w:sz="4" w:space="0" w:color="000000"/>
                              <w:bottom w:val="single" w:sz="4" w:space="0" w:color="000000"/>
                            </w:tcBorders>
                            <w:shd w:val="clear" w:color="auto" w:fill="auto"/>
                          </w:tcPr>
                          <w:p>
                            <w:pPr>
                              <w:suppressAutoHyphens/>
                              <w:jc w:val="both"/>
                              <w:rPr>
                                <w:rFonts w:eastAsia="SimSun"/>
                                <w:b/>
                                <w:bCs/>
                                <w:color w:val="000000"/>
                                <w:szCs w:val="24"/>
                                <w:highlight w:val="white"/>
                                <w:lang w:eastAsia="zh-CN"/>
                              </w:rPr>
                            </w:pPr>
                            <w:r>
                              <w:rPr>
                                <w:szCs w:val="24"/>
                                <w:highlight w:val="white"/>
                                <w:lang w:eastAsia="zh-CN"/>
                              </w:rPr>
                              <w:t>Mokiniai</w:t>
                            </w:r>
                          </w:p>
                        </w:tc>
                        <w:tc>
                          <w:tcPr>
                            <w:tcW w:w="2463"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szCs w:val="24"/>
                                <w:highlight w:val="white"/>
                                <w:lang w:eastAsia="zh-CN"/>
                              </w:rPr>
                              <w:t>142 306</w:t>
                            </w:r>
                          </w:p>
                        </w:tc>
                        <w:tc>
                          <w:tcPr>
                            <w:tcW w:w="2464"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szCs w:val="24"/>
                                <w:highlight w:val="white"/>
                                <w:lang w:eastAsia="zh-CN"/>
                              </w:rPr>
                              <w:t>73 860</w:t>
                            </w:r>
                          </w:p>
                        </w:tc>
                        <w:tc>
                          <w:tcPr>
                            <w:tcW w:w="2494"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360" w:lineRule="auto"/>
                              <w:jc w:val="center"/>
                              <w:rPr>
                                <w:szCs w:val="24"/>
                                <w:highlight w:val="white"/>
                                <w:lang w:eastAsia="zh-CN"/>
                              </w:rPr>
                            </w:pPr>
                          </w:p>
                        </w:tc>
                      </w:tr>
                    </w:tbl>
                    <w:p>
                      <w:pPr>
                        <w:suppressAutoHyphens/>
                        <w:spacing w:line="360" w:lineRule="auto"/>
                        <w:jc w:val="both"/>
                        <w:rPr>
                          <w:color w:val="FF0000"/>
                          <w:szCs w:val="24"/>
                          <w:highlight w:val="white"/>
                          <w:lang w:eastAsia="zh-CN"/>
                        </w:rPr>
                      </w:pPr>
                    </w:p>
                    <w:p>
                      <w:pPr>
                        <w:suppressAutoHyphens/>
                        <w:spacing w:line="360" w:lineRule="auto"/>
                        <w:jc w:val="both"/>
                        <w:rPr>
                          <w:color w:val="FF0000"/>
                          <w:szCs w:val="24"/>
                          <w:highlight w:val="white"/>
                          <w:lang w:eastAsia="zh-CN"/>
                        </w:rPr>
                      </w:pPr>
                    </w:p>
                  </w:sdtContent>
                </w:sdt>
                <w:sdt>
                  <w:sdtPr>
                    <w:alias w:val="lentele"/>
                    <w:tag w:val="part_0bc59dd5274d4c5bb196f18abf69ae84"/>
                    <w:lock w:val="sdtLocked"/>
                    <w:richText/>
                  </w:sdtPr>
                  <w:sdtContent>
                    <w:p>
                      <w:pPr>
                        <w:tabs>
                          <w:tab w:val="left" w:pos="1134"/>
                        </w:tabs>
                        <w:suppressAutoHyphens/>
                        <w:spacing w:line="360" w:lineRule="auto"/>
                        <w:jc w:val="both"/>
                        <w:rPr>
                          <w:rFonts w:eastAsia="SimSun"/>
                          <w:b/>
                          <w:bCs/>
                          <w:color w:val="000000"/>
                          <w:szCs w:val="24"/>
                          <w:highlight w:val="white"/>
                          <w:lang w:eastAsia="zh-CN"/>
                        </w:rPr>
                      </w:pPr>
                      <w:sdt>
                        <w:sdtPr>
                          <w:alias w:val="Pavadinimas"/>
                          <w:tag w:val="title_0bc59dd5274d4c5bb196f18abf69ae84"/>
                          <w:lock w:val="sdtLocked"/>
                          <w:richText/>
                        </w:sdtPr>
                        <w:sdtContent>
                          <w:r>
                            <w:rPr>
                              <w:rFonts w:eastAsia="SimSun"/>
                              <w:b/>
                              <w:bCs/>
                              <w:color w:val="000000"/>
                              <w:szCs w:val="24"/>
                              <w:highlight w:val="white"/>
                              <w:lang w:eastAsia="zh-CN"/>
                            </w:rPr>
                            <w:t>Pervežtų mokinių skaičius</w:t>
                          </w:r>
                        </w:sdtContent>
                      </w:sdt>
                    </w:p>
                    <w:tbl>
                      <w:tblPr>
                        <w:tblW w:w="0" w:type="auto"/>
                        <w:tblInd w:w="-40" w:type="dxa"/>
                        <w:tblLayout w:type="fixed"/>
                        <w:tblLook w:val="0000" w:firstRow="0" w:lastRow="0" w:firstColumn="0" w:lastColumn="0" w:noHBand="0" w:noVBand="0"/>
                      </w:tblPr>
                      <w:tblGrid>
                        <w:gridCol w:w="2260"/>
                        <w:gridCol w:w="1832"/>
                        <w:gridCol w:w="1559"/>
                        <w:gridCol w:w="1428"/>
                        <w:gridCol w:w="1418"/>
                        <w:gridCol w:w="1417"/>
                      </w:tblGrid>
                      <w:tr>
                        <w:tc>
                          <w:tcPr>
                            <w:tcW w:w="2260"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Metai</w:t>
                            </w:r>
                          </w:p>
                        </w:tc>
                        <w:tc>
                          <w:tcPr>
                            <w:tcW w:w="1832"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2018 m.</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2019 m.</w:t>
                            </w:r>
                          </w:p>
                        </w:tc>
                        <w:tc>
                          <w:tcPr>
                            <w:tcW w:w="142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2020 m.</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2021 m.</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2022 m.</w:t>
                            </w:r>
                          </w:p>
                        </w:tc>
                      </w:tr>
                      <w:tr>
                        <w:tc>
                          <w:tcPr>
                            <w:tcW w:w="2260" w:type="dxa"/>
                            <w:tcBorders>
                              <w:top w:val="single" w:sz="4" w:space="0" w:color="000000"/>
                              <w:left w:val="single" w:sz="4" w:space="0" w:color="000000"/>
                              <w:bottom w:val="single" w:sz="4" w:space="0" w:color="000000"/>
                            </w:tcBorders>
                            <w:shd w:val="clear" w:color="auto" w:fill="auto"/>
                          </w:tcPr>
                          <w:p>
                            <w:pPr>
                              <w:suppressAutoHyphens/>
                              <w:spacing w:line="360" w:lineRule="auto"/>
                              <w:jc w:val="both"/>
                              <w:rPr>
                                <w:rFonts w:eastAsia="SimSun"/>
                                <w:b/>
                                <w:bCs/>
                                <w:color w:val="000000"/>
                                <w:szCs w:val="24"/>
                                <w:highlight w:val="white"/>
                                <w:lang w:eastAsia="zh-CN"/>
                              </w:rPr>
                            </w:pPr>
                            <w:r>
                              <w:rPr>
                                <w:rFonts w:eastAsia="SimSun"/>
                                <w:bCs/>
                                <w:szCs w:val="24"/>
                                <w:highlight w:val="white"/>
                                <w:lang w:eastAsia="zh-CN"/>
                              </w:rPr>
                              <w:t>Mokinių skaičius</w:t>
                            </w:r>
                          </w:p>
                        </w:tc>
                        <w:tc>
                          <w:tcPr>
                            <w:tcW w:w="1832"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146 043</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148 338</w:t>
                            </w:r>
                          </w:p>
                        </w:tc>
                        <w:tc>
                          <w:tcPr>
                            <w:tcW w:w="142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76 845</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szCs w:val="24"/>
                                <w:highlight w:val="white"/>
                                <w:lang w:eastAsia="zh-CN"/>
                              </w:rPr>
                              <w:t>73 860</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szCs w:val="24"/>
                                <w:highlight w:val="white"/>
                                <w:lang w:eastAsia="zh-CN"/>
                              </w:rPr>
                              <w:t>142 306</w:t>
                            </w:r>
                          </w:p>
                        </w:tc>
                      </w:tr>
                    </w:tbl>
                    <w:p>
                      <w:pPr>
                        <w:suppressAutoHyphens/>
                        <w:spacing w:line="360" w:lineRule="auto"/>
                        <w:jc w:val="both"/>
                        <w:rPr>
                          <w:bCs/>
                          <w:color w:val="FF0000"/>
                          <w:szCs w:val="24"/>
                          <w:highlight w:val="white"/>
                          <w:lang w:eastAsia="zh-CN"/>
                        </w:rPr>
                      </w:pPr>
                    </w:p>
                  </w:sdtContent>
                </w:sdt>
                <w:sdt>
                  <w:sdtPr>
                    <w:alias w:val="pastraipa"/>
                    <w:tag w:val="part_415c518cbf3442de8009539c823718a6"/>
                    <w:lock w:val="sdtLocked"/>
                    <w:richText/>
                  </w:sdtPr>
                  <w:sdtContent>
                    <w:p>
                      <w:pPr>
                        <w:suppressAutoHyphens/>
                        <w:spacing w:line="360" w:lineRule="auto"/>
                        <w:ind w:firstLine="620"/>
                        <w:jc w:val="both"/>
                        <w:rPr>
                          <w:rFonts w:eastAsia="SimSun"/>
                          <w:b/>
                          <w:bCs/>
                          <w:color w:val="000000"/>
                          <w:szCs w:val="24"/>
                          <w:highlight w:val="white"/>
                          <w:lang w:eastAsia="zh-CN"/>
                        </w:rPr>
                      </w:pPr>
                      <w:r>
                        <w:rPr>
                          <w:rFonts w:eastAsia="SimSun"/>
                          <w:bCs/>
                          <w:szCs w:val="24"/>
                          <w:highlight w:val="white"/>
                          <w:lang w:eastAsia="zh-CN"/>
                        </w:rPr>
                        <w:t xml:space="preserve">Keleivių vežimo apimtys paskutiniais metais mažėja ir tai būdinga ne tik mūsų Bendrovei, bet ir visai šaliai. Tam didelę įtaką daro gyventojų skaičius, ekonomikos vystymasis, žmonių gyvenimo materialinis ir kultūrinis lygis, gyvenamųjų ir pramoninių rajonų plėtra, turizmo augimas, geografinė padėtis, keleivių aptarnavimo kultūra, tarifai bei kiti faktoriai. </w:t>
                      </w:r>
                    </w:p>
                    <w:p>
                      <w:pPr>
                        <w:suppressAutoHyphens/>
                        <w:spacing w:line="360" w:lineRule="auto"/>
                        <w:jc w:val="both"/>
                        <w:rPr>
                          <w:rFonts w:eastAsia="SimSun"/>
                          <w:bCs/>
                          <w:szCs w:val="24"/>
                          <w:highlight w:val="white"/>
                          <w:lang w:eastAsia="zh-CN"/>
                        </w:rPr>
                      </w:pPr>
                    </w:p>
                  </w:sdtContent>
                </w:sdt>
                <w:sdt>
                  <w:sdtPr>
                    <w:alias w:val="lentele"/>
                    <w:tag w:val="part_abb33cc523a3412786df8d07f24c5c18"/>
                    <w:lock w:val="sdtLocked"/>
                    <w:richText/>
                  </w:sdtPr>
                  <w:sdtContent>
                    <w:p>
                      <w:pPr>
                        <w:suppressAutoHyphens/>
                        <w:rPr>
                          <w:color w:val="000000"/>
                          <w:sz w:val="20"/>
                          <w:lang w:eastAsia="zh-CN"/>
                        </w:rPr>
                      </w:pPr>
                      <w:sdt>
                        <w:sdtPr>
                          <w:alias w:val="Pavadinimas"/>
                          <w:tag w:val="title_abb33cc523a3412786df8d07f24c5c18"/>
                          <w:lock w:val="sdtLocked"/>
                          <w:richText/>
                        </w:sdtPr>
                        <w:sdtContent>
                          <w:r>
                            <w:rPr>
                              <w:b/>
                              <w:bCs/>
                              <w:szCs w:val="24"/>
                              <w:lang w:eastAsia="zh-CN"/>
                            </w:rPr>
                            <w:t>Pajamų ir sąnaudų palyginamieji rodikliai (Eur)</w:t>
                          </w:r>
                        </w:sdtContent>
                      </w:sdt>
                    </w:p>
                    <w:p>
                      <w:pPr>
                        <w:suppressAutoHyphens/>
                        <w:jc w:val="center"/>
                        <w:rPr>
                          <w:b/>
                          <w:bCs/>
                          <w:color w:val="FF0000"/>
                          <w:szCs w:val="24"/>
                          <w:lang w:eastAsia="zh-CN"/>
                        </w:rPr>
                      </w:pPr>
                    </w:p>
                    <w:p>
                      <w:pPr>
                        <w:suppressAutoHyphens/>
                        <w:ind w:firstLine="6448"/>
                        <w:jc w:val="both"/>
                        <w:rPr>
                          <w:color w:val="000000"/>
                          <w:sz w:val="20"/>
                          <w:lang w:eastAsia="zh-CN"/>
                        </w:rPr>
                      </w:pPr>
                    </w:p>
                    <w:tbl>
                      <w:tblPr>
                        <w:tblW w:w="0" w:type="auto"/>
                        <w:tblInd w:w="-40" w:type="dxa"/>
                        <w:tblLayout w:type="fixed"/>
                        <w:tblLook w:val="0000" w:firstRow="0" w:lastRow="0" w:firstColumn="0" w:lastColumn="0" w:noHBand="0" w:noVBand="0"/>
                      </w:tblPr>
                      <w:tblGrid>
                        <w:gridCol w:w="832"/>
                        <w:gridCol w:w="4360"/>
                        <w:gridCol w:w="1710"/>
                        <w:gridCol w:w="1485"/>
                        <w:gridCol w:w="1498"/>
                      </w:tblGrid>
                      <w:tr>
                        <w:trPr>
                          <w:trHeight w:val="608"/>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Eil. Nr.</w:t>
                            </w:r>
                          </w:p>
                        </w:tc>
                        <w:tc>
                          <w:tcPr>
                            <w:tcW w:w="4360" w:type="dxa"/>
                            <w:tcBorders>
                              <w:top w:val="single" w:sz="4" w:space="0" w:color="000000"/>
                              <w:left w:val="single" w:sz="4" w:space="0" w:color="000000"/>
                              <w:bottom w:val="single" w:sz="4" w:space="0" w:color="000000"/>
                            </w:tcBorders>
                            <w:shd w:val="clear" w:color="auto" w:fill="auto"/>
                          </w:tcPr>
                          <w:p>
                            <w:pPr>
                              <w:suppressAutoHyphens/>
                              <w:ind w:firstLine="1240"/>
                              <w:rPr>
                                <w:rFonts w:ascii="Calibri Light" w:eastAsia="Calibri" w:hAnsi="Calibri Light" w:cs="Calibri Light"/>
                                <w:lang w:eastAsia="zh-CN"/>
                              </w:rPr>
                            </w:pPr>
                            <w:r>
                              <w:rPr>
                                <w:rFonts w:eastAsia="Calibri"/>
                                <w:color w:val="000000"/>
                                <w:szCs w:val="24"/>
                                <w:lang w:eastAsia="zh-CN"/>
                              </w:rPr>
                              <w:t>Rodikliai</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2022 m.</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2021 m.</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 xml:space="preserve">Skirtumas      </w:t>
                            </w:r>
                            <w:r>
                              <w:rPr>
                                <w:rFonts w:eastAsia="Calibri"/>
                                <w:color w:val="000000"/>
                                <w:szCs w:val="24"/>
                                <w:lang w:val="en-US" w:eastAsia="zh-CN"/>
                              </w:rPr>
                              <w:t>(+/-</w:t>
                            </w:r>
                            <w:r>
                              <w:rPr>
                                <w:rFonts w:eastAsia="Calibri"/>
                                <w:color w:val="000000"/>
                                <w:szCs w:val="24"/>
                                <w:lang w:eastAsia="zh-CN"/>
                              </w:rPr>
                              <w:t>)</w:t>
                            </w:r>
                          </w:p>
                        </w:tc>
                      </w:tr>
                      <w:tr>
                        <w:trPr>
                          <w:trHeight w:val="325"/>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Keleivių pervežimo pajamos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66212</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43923</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+22289</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Kompensacija (vietinio susisiekimo)</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320145</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148794</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+171351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Kompensacija (tolimojo susisiekimo)</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3286</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1421</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+1865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Subsidija (nuostolių kompensavimas)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85367</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142687</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-57320</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nuomos pajamos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18561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7155</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+11406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6.</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stočių rinkliava</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20314</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12216</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+8098</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7.</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Siuntų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11968</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10764</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+1204</w:t>
                            </w:r>
                          </w:p>
                        </w:tc>
                      </w:tr>
                      <w:tr>
                        <w:trPr>
                          <w:trHeight w:val="341"/>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8.</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Kitos  veiklos pajamos </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14725</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8979</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+5746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p>
                        </w:tc>
                        <w:tc>
                          <w:tcPr>
                            <w:tcW w:w="436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IŠ VISO PAJAMŲ</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val="en-US" w:eastAsia="zh-CN"/>
                              </w:rPr>
                              <w:t>540578</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375939</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b/>
                                <w:color w:val="000000"/>
                                <w:szCs w:val="24"/>
                                <w:lang w:eastAsia="zh-CN"/>
                              </w:rPr>
                              <w:t>+164639</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9.</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val="en-US" w:eastAsia="zh-CN"/>
                              </w:rPr>
                              <w:t>Tiesiogin</w:t>
                            </w:r>
                            <w:r>
                              <w:rPr>
                                <w:rFonts w:eastAsia="Calibri"/>
                                <w:color w:val="000000"/>
                                <w:szCs w:val="24"/>
                                <w:lang w:eastAsia="zh-CN"/>
                              </w:rPr>
                              <w:t>ės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287339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202524</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+84815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9.1.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materialiojo turto nusidėvėjimas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19371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16340</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+3031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9.2.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degalai, tepalai</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93743</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47175</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+46568</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9.3.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atsarginės dalys, atsargos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15855</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10067</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+5788</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9.4.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remonto ir aptarnavimo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13819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11406</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+2413</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9.5.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vairuotojų-konduktorių darbo užmokestis su priskaitymais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val="en-US" w:eastAsia="zh-CN"/>
                              </w:rPr>
                              <w:t>144551</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117536</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+27015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10.</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Netiesioginės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114977</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101563</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+13414</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pastatų, įrenginių nusidėvėjimas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499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780</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-281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aptarnaujančio transporto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2466</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2788</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-322</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elektra (garažai; plovykla)</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4893</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5161</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-268</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medžiagos, atsargos, kitos išlaidos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7030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3632</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+3398</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aptarnaujančio personalo ir pagalbinių darbininkų darbo užmokestis su priskaitymais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val="en-US" w:eastAsia="zh-CN"/>
                              </w:rPr>
                              <w:t>89767</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80810</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+8957</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10.6.</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stočių rinkliava</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3999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2607</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+1392</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10.7.</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bilietų pardavimas kasose</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453</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252</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+201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10.8.</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siuntų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5870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5533</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+337</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Veiklos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85131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74459</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+10672</w:t>
                            </w:r>
                          </w:p>
                        </w:tc>
                      </w:tr>
                      <w:tr>
                        <w:trPr>
                          <w:trHeight w:val="586"/>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11.1.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lengvojo automobilio, inventoriaus nusidėvėjimas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val="en-US" w:eastAsia="zh-CN"/>
                              </w:rPr>
                              <w:t>2618</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3024</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-406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11.2.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stoties priežiūros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15549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12952</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+2597</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11.3.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lengvojo automobilio išlaikymo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2010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1289</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+721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11.4.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administracijos darbuotojų  darbo užmokestis su priskaitymais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val="en-US" w:eastAsia="zh-CN"/>
                              </w:rPr>
                              <w:t>48297</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43853</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+4444</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11.5.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kitos bendrosios administracinės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13380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10670</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+2710</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11.6.</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mokesčių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1798</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1362</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+436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11.7.</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audito ir teisinės paslaugos</w:t>
                            </w:r>
                            <w:r>
                              <w:rPr>
                                <w:rFonts w:eastAsia="Calibri"/>
                                <w:color w:val="000000"/>
                                <w:szCs w:val="24"/>
                                <w:lang w:val="pt-BR" w:eastAsia="zh-CN"/>
                              </w:rPr>
                              <w:t>; licencij</w:t>
                            </w:r>
                            <w:r>
                              <w:rPr>
                                <w:rFonts w:eastAsia="Calibri"/>
                                <w:color w:val="000000"/>
                                <w:szCs w:val="24"/>
                                <w:lang w:eastAsia="zh-CN"/>
                              </w:rPr>
                              <w:t>ų kort.</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1479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1309</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+170</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Bankų palūkanos,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1212</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471</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+741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Kitos veiklos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7613</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6872</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+741</w:t>
                            </w:r>
                          </w:p>
                        </w:tc>
                      </w:tr>
                      <w:tr>
                        <w:trPr>
                          <w:trHeight w:val="323"/>
                        </w:trPr>
                        <w:tc>
                          <w:tcPr>
                            <w:tcW w:w="832" w:type="dxa"/>
                            <w:tcBorders>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14.</w:t>
                            </w:r>
                          </w:p>
                        </w:tc>
                        <w:tc>
                          <w:tcPr>
                            <w:tcW w:w="4360" w:type="dxa"/>
                            <w:tcBorders>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Darbo užmokesčio subsidija</w:t>
                            </w:r>
                          </w:p>
                        </w:tc>
                        <w:tc>
                          <w:tcPr>
                            <w:tcW w:w="1710" w:type="dxa"/>
                            <w:tcBorders>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w:t>
                            </w:r>
                            <w:r>
                              <w:rPr>
                                <w:rFonts w:eastAsia="Calibri"/>
                                <w:color w:val="000000"/>
                                <w:szCs w:val="24"/>
                                <w:lang w:val="en-US" w:eastAsia="zh-CN"/>
                              </w:rPr>
                              <w:t>2775</w:t>
                            </w:r>
                          </w:p>
                        </w:tc>
                        <w:tc>
                          <w:tcPr>
                            <w:tcW w:w="1485" w:type="dxa"/>
                            <w:tcBorders>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-24355</w:t>
                            </w:r>
                          </w:p>
                        </w:tc>
                        <w:tc>
                          <w:tcPr>
                            <w:tcW w:w="1498" w:type="dxa"/>
                            <w:tcBorders>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+21580</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p>
                        </w:tc>
                        <w:tc>
                          <w:tcPr>
                            <w:tcW w:w="436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IŠ VISO SĄNAUDŲ</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val="en-US" w:eastAsia="zh-CN"/>
                              </w:rPr>
                              <w:t>493497</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361534</w:t>
                            </w:r>
                          </w:p>
                        </w:tc>
                        <w:tc>
                          <w:tcPr>
                            <w:tcW w:w="149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b/>
                                <w:color w:val="000000"/>
                                <w:szCs w:val="24"/>
                                <w:lang w:eastAsia="zh-CN"/>
                              </w:rPr>
                              <w:t>+131963</w:t>
                            </w:r>
                          </w:p>
                        </w:tc>
                      </w:tr>
                    </w:tbl>
                    <w:p>
                      <w:pPr>
                        <w:suppressAutoHyphens/>
                        <w:rPr>
                          <w:rFonts w:eastAsia="Calibri"/>
                          <w:color w:val="FF0000"/>
                          <w:szCs w:val="24"/>
                          <w:lang w:eastAsia="zh-CN"/>
                        </w:rPr>
                      </w:pPr>
                    </w:p>
                  </w:sdtContent>
                </w:sdt>
                <w:sdt>
                  <w:sdtPr>
                    <w:alias w:val="pastraipa"/>
                    <w:tag w:val="part_ba0d4f789fe147e49812c52329e765bf"/>
                    <w:lock w:val="sdtLocked"/>
                    <w:richText/>
                  </w:sdtPr>
                  <w:sdtContent>
                    <w:p>
                      <w:pPr>
                        <w:suppressAutoHyphens/>
                        <w:spacing w:line="360" w:lineRule="auto"/>
                        <w:ind w:firstLine="496"/>
                        <w:jc w:val="both"/>
                        <w:rPr>
                          <w:rFonts w:ascii="Calibri Light" w:eastAsia="Calibri" w:hAnsi="Calibri Light" w:cs="Calibri Light"/>
                          <w:lang w:eastAsia="zh-CN"/>
                        </w:rPr>
                      </w:pPr>
                      <w:r>
                        <w:rPr>
                          <w:rFonts w:eastAsia="Calibri"/>
                          <w:color w:val="000000"/>
                          <w:szCs w:val="24"/>
                          <w:lang w:eastAsia="zh-CN"/>
                        </w:rPr>
                        <w:t>Palyginti su praėjusiais metais, bendrosios pajamos padidėjo</w:t>
                      </w:r>
                      <w:r>
                        <w:rPr>
                          <w:rFonts w:eastAsia="Calibri"/>
                          <w:color w:val="000000"/>
                          <w:szCs w:val="24"/>
                          <w:lang w:val="en-US" w:eastAsia="zh-CN"/>
                        </w:rPr>
                        <w:t xml:space="preserve"> 43,8 </w:t>
                      </w:r>
                      <w:r>
                        <w:rPr>
                          <w:rFonts w:eastAsia="Calibri"/>
                          <w:color w:val="000000"/>
                          <w:szCs w:val="24"/>
                          <w:lang w:eastAsia="zh-CN"/>
                        </w:rPr>
                        <w:t xml:space="preserve">proc.,  sąnaudos  padidėjo</w:t>
                      </w:r>
                      <w:r>
                        <w:rPr>
                          <w:rFonts w:eastAsia="Calibri"/>
                          <w:color w:val="000000"/>
                          <w:szCs w:val="24"/>
                          <w:lang w:val="en-US" w:eastAsia="zh-CN"/>
                        </w:rPr>
                        <w:t xml:space="preserve"> 36,5 </w:t>
                      </w:r>
                      <w:r>
                        <w:rPr>
                          <w:rFonts w:eastAsia="Calibri"/>
                          <w:color w:val="000000"/>
                          <w:szCs w:val="24"/>
                          <w:lang w:eastAsia="zh-CN"/>
                        </w:rPr>
                        <w:t>proc.</w:t>
                      </w:r>
                    </w:p>
                    <w:p>
                      <w:pPr>
                        <w:suppressAutoHyphens/>
                        <w:jc w:val="both"/>
                        <w:rPr>
                          <w:rFonts w:eastAsia="Calibri"/>
                          <w:color w:val="000000"/>
                          <w:szCs w:val="24"/>
                          <w:lang w:eastAsia="zh-CN"/>
                        </w:rPr>
                      </w:pPr>
                    </w:p>
                  </w:sdtContent>
                </w:sdt>
                <w:sdt>
                  <w:sdtPr>
                    <w:alias w:val="lentele"/>
                    <w:tag w:val="part_63ae206d1b734a2592f341da72280a7d"/>
                    <w:lock w:val="sdtLocked"/>
                    <w:richText/>
                  </w:sdtPr>
                  <w:sdtContent>
                    <w:p>
                      <w:pPr>
                        <w:suppressAutoHyphens/>
                        <w:rPr>
                          <w:rFonts w:ascii="Calibri Light" w:eastAsia="Calibri" w:hAnsi="Calibri Light" w:cs="Calibri Light"/>
                          <w:lang w:eastAsia="zh-CN"/>
                        </w:rPr>
                      </w:pPr>
                      <w:sdt>
                        <w:sdtPr>
                          <w:alias w:val="Pavadinimas"/>
                          <w:tag w:val="title_63ae206d1b734a2592f341da72280a7d"/>
                          <w:lock w:val="sdtLocked"/>
                          <w:richText/>
                        </w:sdtPr>
                        <w:sdtContent>
                          <w:r>
                            <w:rPr>
                              <w:rFonts w:eastAsia="Calibri"/>
                              <w:b/>
                              <w:szCs w:val="24"/>
                              <w:lang w:eastAsia="zh-CN"/>
                            </w:rPr>
                            <w:t>Finansiniai rodikliai (</w:t>
                          </w:r>
                          <w:r>
                            <w:rPr>
                              <w:rFonts w:eastAsia="Calibri"/>
                              <w:b/>
                              <w:szCs w:val="24"/>
                              <w:lang w:val="en-US" w:eastAsia="zh-CN"/>
                            </w:rPr>
                            <w:t>E</w:t>
                          </w:r>
                          <w:r>
                            <w:rPr>
                              <w:rFonts w:eastAsia="Calibri"/>
                              <w:b/>
                              <w:szCs w:val="24"/>
                              <w:lang w:eastAsia="zh-CN"/>
                            </w:rPr>
                            <w:t>ur</w:t>
                          </w:r>
                        </w:sdtContent>
                      </w:sdt>
                    </w:p>
                    <w:p>
                      <w:pPr>
                        <w:suppressAutoHyphens/>
                        <w:ind w:firstLine="2294"/>
                        <w:rPr>
                          <w:rFonts w:ascii="Calibri Light" w:eastAsia="Calibri" w:hAnsi="Calibri Light" w:cs="Calibri Light"/>
                          <w:lang w:eastAsia="zh-CN"/>
                        </w:rPr>
                      </w:pPr>
                    </w:p>
                    <w:tbl>
                      <w:tblPr>
                        <w:tblW w:w="0" w:type="auto"/>
                        <w:tblInd w:w="-55" w:type="dxa"/>
                        <w:tblLayout w:type="fixed"/>
                        <w:tblLook w:val="0000" w:firstRow="0" w:lastRow="0" w:firstColumn="0" w:lastColumn="0" w:noHBand="0" w:noVBand="0"/>
                      </w:tblPr>
                      <w:tblGrid>
                        <w:gridCol w:w="828"/>
                        <w:gridCol w:w="4257"/>
                        <w:gridCol w:w="2551"/>
                        <w:gridCol w:w="2065"/>
                      </w:tblGrid>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Eil. Nr.</w:t>
                            </w:r>
                          </w:p>
                        </w:tc>
                        <w:tc>
                          <w:tcPr>
                            <w:tcW w:w="425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Rodikliai</w:t>
                            </w:r>
                          </w:p>
                        </w:tc>
                        <w:tc>
                          <w:tcPr>
                            <w:tcW w:w="2551"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2022</w:t>
                            </w:r>
                            <w:r>
                              <w:rPr>
                                <w:rFonts w:eastAsia="Calibri"/>
                                <w:color w:val="000000"/>
                                <w:szCs w:val="24"/>
                                <w:lang w:val="en-US" w:eastAsia="zh-CN"/>
                              </w:rPr>
                              <w:t xml:space="preserve"> m.</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2021</w:t>
                            </w:r>
                            <w:r>
                              <w:rPr>
                                <w:rFonts w:eastAsia="Calibri"/>
                                <w:color w:val="000000"/>
                                <w:szCs w:val="24"/>
                                <w:lang w:val="en-US" w:eastAsia="zh-CN"/>
                              </w:rPr>
                              <w:t xml:space="preserve"> m.</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b/>
                                <w:color w:val="000000"/>
                                <w:szCs w:val="24"/>
                                <w:lang w:eastAsia="zh-CN"/>
                              </w:rPr>
                              <w:t xml:space="preserve">TURTAS  IŠ VISO</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b/>
                                <w:color w:val="000000"/>
                                <w:szCs w:val="24"/>
                                <w:lang w:eastAsia="zh-CN"/>
                              </w:rPr>
                              <w:t>918357</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b/>
                                <w:color w:val="000000"/>
                                <w:szCs w:val="24"/>
                                <w:lang w:eastAsia="zh-CN"/>
                              </w:rPr>
                              <w:t>915424</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Ilgalaikis materialusis turtas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774580</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833507</w:t>
                            </w:r>
                          </w:p>
                        </w:tc>
                      </w:tr>
                      <w:tr>
                        <w:trPr>
                          <w:trHeight w:val="196"/>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Trumpalaikis turtas: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143777</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81917</w:t>
                            </w:r>
                          </w:p>
                        </w:tc>
                      </w:tr>
                      <w:tr>
                        <w:trPr>
                          <w:trHeight w:val="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atsargos ir išankstiniai apmokėjimas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7007</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7096</w:t>
                            </w:r>
                          </w:p>
                        </w:tc>
                      </w:tr>
                      <w:tr>
                        <w:trPr>
                          <w:trHeight w:val="24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per vienus metus gautinos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40171</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9912</w:t>
                            </w:r>
                          </w:p>
                        </w:tc>
                      </w:tr>
                      <w:tr>
                        <w:trPr>
                          <w:trHeight w:val="2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1.2.3.</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pinigai ir pinigų ekvivalentai</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96599</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64909</w:t>
                            </w:r>
                          </w:p>
                        </w:tc>
                      </w:tr>
                      <w:tr>
                        <w:trPr>
                          <w:trHeight w:val="495"/>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b/>
                                <w:color w:val="000000"/>
                                <w:szCs w:val="24"/>
                                <w:lang w:eastAsia="zh-CN"/>
                              </w:rPr>
                              <w:t>NUOSAVO KAPITALO IR ĮSIPAREIGOJIMŲ IŠ VISO</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b/>
                                <w:color w:val="000000"/>
                                <w:szCs w:val="24"/>
                                <w:lang w:eastAsia="zh-CN"/>
                              </w:rPr>
                            </w:pPr>
                          </w:p>
                          <w:p>
                            <w:pPr>
                              <w:suppressAutoHyphens/>
                              <w:snapToGrid w:val="0"/>
                              <w:jc w:val="center"/>
                              <w:rPr>
                                <w:rFonts w:ascii="Calibri Light" w:eastAsia="Calibri" w:hAnsi="Calibri Light" w:cs="Calibri Light"/>
                                <w:lang w:eastAsia="zh-CN"/>
                              </w:rPr>
                            </w:pPr>
                            <w:r>
                              <w:rPr>
                                <w:rFonts w:eastAsia="Calibri"/>
                                <w:b/>
                                <w:color w:val="000000"/>
                                <w:szCs w:val="24"/>
                                <w:lang w:eastAsia="zh-CN"/>
                              </w:rPr>
                              <w:t>918357</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b/>
                                <w:color w:val="000000"/>
                                <w:szCs w:val="24"/>
                                <w:lang w:eastAsia="zh-CN"/>
                              </w:rPr>
                            </w:pPr>
                          </w:p>
                          <w:p>
                            <w:pPr>
                              <w:suppressAutoHyphens/>
                              <w:snapToGrid w:val="0"/>
                              <w:jc w:val="center"/>
                              <w:rPr>
                                <w:rFonts w:ascii="Calibri Light" w:eastAsia="Calibri" w:hAnsi="Calibri Light" w:cs="Calibri Light"/>
                                <w:lang w:eastAsia="zh-CN"/>
                              </w:rPr>
                            </w:pPr>
                            <w:r>
                              <w:rPr>
                                <w:rFonts w:eastAsia="Calibri"/>
                                <w:b/>
                                <w:color w:val="000000"/>
                                <w:szCs w:val="24"/>
                                <w:lang w:eastAsia="zh-CN"/>
                              </w:rPr>
                              <w:t>915424</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Kapitalas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245060</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215057</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Rezervai</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tc>
                      </w:tr>
                      <w:tr>
                        <w:trPr>
                          <w:trHeight w:val="315"/>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2.3.</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Pelnas (nuostolis):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-16792</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-63873</w:t>
                            </w:r>
                          </w:p>
                        </w:tc>
                      </w:tr>
                      <w:tr>
                        <w:trPr>
                          <w:trHeight w:val="345"/>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2.3.1.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ataskaitinių metų nepaskirstytasis nuostolis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47081</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14405</w:t>
                            </w:r>
                          </w:p>
                        </w:tc>
                      </w:tr>
                      <w:tr>
                        <w:trPr>
                          <w:trHeight w:val="18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2.3.2.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ankstesnių metų nepaskirstytasis nuostolis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-63873</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-78278</w:t>
                            </w:r>
                          </w:p>
                          <w:p>
                            <w:pPr>
                              <w:suppressAutoHyphens/>
                              <w:snapToGrid w:val="0"/>
                              <w:jc w:val="center"/>
                              <w:rPr>
                                <w:rFonts w:eastAsia="Calibri"/>
                                <w:color w:val="000000"/>
                                <w:szCs w:val="24"/>
                                <w:lang w:eastAsia="zh-CN"/>
                              </w:rPr>
                            </w:pPr>
                          </w:p>
                        </w:tc>
                      </w:tr>
                      <w:tr>
                        <w:trPr>
                          <w:trHeight w:val="180"/>
                        </w:trPr>
                        <w:tc>
                          <w:tcPr>
                            <w:tcW w:w="828" w:type="dxa"/>
                            <w:tcBorders>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2.4.</w:t>
                            </w:r>
                          </w:p>
                        </w:tc>
                        <w:tc>
                          <w:tcPr>
                            <w:tcW w:w="4257" w:type="dxa"/>
                            <w:tcBorders>
                              <w:left w:val="single" w:sz="4" w:space="0" w:color="000000"/>
                              <w:bottom w:val="single" w:sz="4" w:space="0" w:color="000000"/>
                            </w:tcBorders>
                            <w:shd w:val="clear" w:color="auto" w:fill="auto"/>
                          </w:tcPr>
                          <w:p>
                            <w:pPr>
                              <w:suppressAutoHyphens/>
                              <w:rPr>
                                <w:rFonts w:ascii="Calibri Light" w:eastAsia="Calibri" w:hAnsi="Calibri Light" w:cs="Calibri Light"/>
                                <w:b/>
                                <w:bCs/>
                                <w:lang w:eastAsia="zh-CN"/>
                              </w:rPr>
                            </w:pPr>
                            <w:r>
                              <w:rPr>
                                <w:rFonts w:eastAsia="Calibri"/>
                                <w:b/>
                                <w:bCs/>
                                <w:color w:val="000000"/>
                                <w:szCs w:val="24"/>
                                <w:lang w:eastAsia="zh-CN"/>
                              </w:rPr>
                              <w:t>DOTACIJOS, SUBSIDIJOS</w:t>
                            </w:r>
                          </w:p>
                        </w:tc>
                        <w:tc>
                          <w:tcPr>
                            <w:tcW w:w="2551" w:type="dxa"/>
                            <w:tcBorders>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645180</w:t>
                            </w:r>
                          </w:p>
                        </w:tc>
                        <w:tc>
                          <w:tcPr>
                            <w:tcW w:w="2065" w:type="dxa"/>
                            <w:tcBorders>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706063</w:t>
                            </w:r>
                          </w:p>
                        </w:tc>
                      </w:tr>
                      <w:tr>
                        <w:trPr>
                          <w:trHeight w:val="351"/>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2.5.</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Per vienus metus mokėtinos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28545</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58177</w:t>
                            </w:r>
                          </w:p>
                        </w:tc>
                      </w:tr>
                      <w:tr>
                        <w:trPr>
                          <w:trHeight w:val="277"/>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2.5.1.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skoliniai įsipareigojimai</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5000</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7500</w:t>
                            </w:r>
                          </w:p>
                        </w:tc>
                      </w:tr>
                      <w:tr>
                        <w:trPr>
                          <w:trHeight w:val="2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2.5.2.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skolos tiekėjams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11201</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7432</w:t>
                            </w:r>
                          </w:p>
                        </w:tc>
                      </w:tr>
                      <w:tr>
                        <w:trPr>
                          <w:trHeight w:val="2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2.5.3.</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su darbo santykiais susiję įsipareigojimai</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5189</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5241</w:t>
                            </w:r>
                          </w:p>
                        </w:tc>
                      </w:tr>
                      <w:tr>
                        <w:trPr>
                          <w:trHeight w:val="18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2.5.4.</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kitos mokėtinos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6852</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38004</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2.6.</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Po vienų metų mokėtinos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16667</w:t>
                            </w:r>
                          </w:p>
                        </w:tc>
                        <w:tc>
                          <w:tcPr>
                            <w:tcW w:w="206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0</w:t>
                            </w:r>
                          </w:p>
                        </w:tc>
                      </w:tr>
                    </w:tbl>
                    <w:p>
                      <w:pPr>
                        <w:suppressAutoHyphens/>
                        <w:ind w:firstLine="620"/>
                        <w:rPr>
                          <w:rFonts w:ascii="Calibri Light" w:eastAsia="Calibri" w:hAnsi="Calibri Light" w:cs="Calibri Light"/>
                          <w:lang w:eastAsia="zh-CN"/>
                        </w:rPr>
                      </w:pPr>
                    </w:p>
                    <w:p>
                      <w:pPr>
                        <w:suppressAutoHyphens/>
                        <w:rPr>
                          <w:rFonts w:eastAsia="Calibri"/>
                          <w:b/>
                          <w:bCs/>
                          <w:color w:val="000000"/>
                          <w:szCs w:val="24"/>
                          <w:lang w:eastAsia="zh-CN"/>
                        </w:rPr>
                      </w:pPr>
                    </w:p>
                  </w:sdtContent>
                </w:sdt>
                <w:sdt>
                  <w:sdtPr>
                    <w:alias w:val="lentele"/>
                    <w:tag w:val="part_41602be6771b40aca343d3f0cca020ce"/>
                    <w:lock w:val="sdtLocked"/>
                    <w:richText/>
                  </w:sdtPr>
                  <w:sdtContent>
                    <w:p>
                      <w:pPr>
                        <w:suppressAutoHyphens/>
                        <w:rPr>
                          <w:rFonts w:ascii="Calibri Light" w:eastAsia="Calibri" w:hAnsi="Calibri Light" w:cs="Calibri Light"/>
                          <w:b/>
                          <w:bCs/>
                          <w:lang w:eastAsia="zh-CN"/>
                        </w:rPr>
                      </w:pPr>
                      <w:sdt>
                        <w:sdtPr>
                          <w:alias w:val="Pavadinimas"/>
                          <w:tag w:val="title_41602be6771b40aca343d3f0cca020ce"/>
                          <w:lock w:val="sdtLocked"/>
                          <w:richText/>
                        </w:sdtPr>
                        <w:sdtContent>
                          <w:r>
                            <w:rPr>
                              <w:rFonts w:eastAsia="Calibri"/>
                              <w:b/>
                              <w:bCs/>
                              <w:color w:val="000000"/>
                              <w:szCs w:val="24"/>
                              <w:lang w:eastAsia="zh-CN"/>
                            </w:rPr>
                            <w:t>Pelnas (nuostoliai) (Eur)</w:t>
                          </w:r>
                        </w:sdtContent>
                      </w:sdt>
                    </w:p>
                    <w:p>
                      <w:pPr>
                        <w:suppressAutoHyphens/>
                        <w:rPr>
                          <w:rFonts w:eastAsia="Calibri"/>
                          <w:b/>
                          <w:color w:val="FF0000"/>
                          <w:szCs w:val="24"/>
                          <w:lang w:eastAsia="zh-CN"/>
                        </w:rPr>
                      </w:pPr>
                    </w:p>
                    <w:tbl>
                      <w:tblPr>
                        <w:tblW w:w="0" w:type="auto"/>
                        <w:tblInd w:w="-55" w:type="dxa"/>
                        <w:tblLayout w:type="fixed"/>
                        <w:tblLook w:val="0000" w:firstRow="0" w:lastRow="0" w:firstColumn="0" w:lastColumn="0" w:noHBand="0" w:noVBand="0"/>
                      </w:tblPr>
                      <w:tblGrid>
                        <w:gridCol w:w="5148"/>
                        <w:gridCol w:w="2488"/>
                        <w:gridCol w:w="2092"/>
                      </w:tblGrid>
                      <w:tr>
                        <w:tc>
                          <w:tcPr>
                            <w:tcW w:w="5148"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Straipsniai</w:t>
                            </w:r>
                          </w:p>
                        </w:tc>
                        <w:tc>
                          <w:tcPr>
                            <w:tcW w:w="2488"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2022</w:t>
                            </w:r>
                            <w:r>
                              <w:rPr>
                                <w:rFonts w:eastAsia="Calibri"/>
                                <w:color w:val="000000"/>
                                <w:szCs w:val="24"/>
                                <w:lang w:val="en-US" w:eastAsia="zh-CN"/>
                              </w:rPr>
                              <w:t xml:space="preserve"> m.</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2021</w:t>
                            </w:r>
                            <w:r>
                              <w:rPr>
                                <w:rFonts w:eastAsia="Calibri"/>
                                <w:color w:val="000000"/>
                                <w:szCs w:val="24"/>
                                <w:lang w:val="en-US" w:eastAsia="zh-CN"/>
                              </w:rPr>
                              <w:t xml:space="preserve"> m.</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Pardavimo pajamos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lang w:eastAsia="zh-CN"/>
                              </w:rPr>
                              <w:t>528628</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lang w:eastAsia="zh-CN"/>
                              </w:rPr>
                              <w:t>391316</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Pardavimo savikaina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402315</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304087</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Bendrasis pelnas (nuostoliai)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126313</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87229</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Veiklos sąnaudos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85131</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74460</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Tipinės veiklos pelnas (nuostoliai)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41182</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12769</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Kita veikla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7111</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2107</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Finansinė investicinė veikla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lang w:eastAsia="zh-CN"/>
                              </w:rPr>
                              <w:t>-1212</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lang w:eastAsia="zh-CN"/>
                              </w:rPr>
                              <w:t>-471</w:t>
                            </w:r>
                          </w:p>
                        </w:tc>
                      </w:tr>
                      <w:tr>
                        <w:trPr>
                          <w:trHeight w:val="90"/>
                        </w:trP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Įprastinės veiklos pelnas (nuostoliai)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47081</w:t>
                            </w:r>
                          </w:p>
                        </w:tc>
                        <w:tc>
                          <w:tcPr>
                            <w:tcW w:w="2092"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14405</w:t>
                            </w:r>
                          </w:p>
                        </w:tc>
                      </w:tr>
                    </w:tbl>
                    <w:p>
                      <w:pPr>
                        <w:suppressAutoHyphens/>
                        <w:spacing w:line="360" w:lineRule="auto"/>
                        <w:ind w:firstLine="620"/>
                        <w:jc w:val="both"/>
                        <w:rPr>
                          <w:rFonts w:ascii="Calibri Light" w:eastAsia="Calibri" w:hAnsi="Calibri Light" w:cs="Calibri Light"/>
                          <w:lang w:eastAsia="zh-CN"/>
                        </w:rPr>
                      </w:pPr>
                    </w:p>
                  </w:sdtContent>
                </w:sdt>
                <w:sdt>
                  <w:sdtPr>
                    <w:alias w:val="pastraipa"/>
                    <w:tag w:val="part_5f45e75ab2914c20a9c3bad6505bffb3"/>
                    <w:lock w:val="sdtLocked"/>
                    <w:richText/>
                  </w:sdtPr>
                  <w:sdtContent>
                    <w:p>
                      <w:pPr>
                        <w:suppressAutoHyphens/>
                        <w:spacing w:line="360" w:lineRule="auto"/>
                        <w:ind w:firstLine="496"/>
                        <w:jc w:val="both"/>
                        <w:rPr>
                          <w:rFonts w:ascii="Calibri Light" w:eastAsia="Calibri" w:hAnsi="Calibri Light" w:cs="Calibri Light"/>
                          <w:lang w:eastAsia="zh-CN"/>
                        </w:rPr>
                      </w:pPr>
                      <w:r>
                        <w:rPr>
                          <w:rFonts w:eastAsia="Calibri"/>
                          <w:color w:val="000000"/>
                          <w:szCs w:val="24"/>
                          <w:lang w:val="pt-BR" w:eastAsia="zh-CN"/>
                        </w:rPr>
                        <w:t>Bendras Bendrovės turtas</w:t>
                      </w:r>
                      <w:r>
                        <w:rPr>
                          <w:rFonts w:eastAsia="Calibri"/>
                          <w:color w:val="000000"/>
                          <w:szCs w:val="24"/>
                          <w:lang w:eastAsia="zh-CN"/>
                        </w:rPr>
                        <w:t xml:space="preserve"> padidėjo 0,3</w:t>
                      </w:r>
                      <w:r>
                        <w:rPr>
                          <w:rFonts w:eastAsia="Calibri"/>
                          <w:color w:val="000000"/>
                          <w:szCs w:val="24"/>
                          <w:lang w:val="pt-BR" w:eastAsia="zh-CN"/>
                        </w:rPr>
                        <w:t xml:space="preserve"> proc., ilgalaikis materialusis turtas</w:t>
                      </w:r>
                      <w:r>
                        <w:rPr>
                          <w:rFonts w:eastAsia="Calibri"/>
                          <w:color w:val="000000"/>
                          <w:szCs w:val="24"/>
                          <w:lang w:eastAsia="zh-CN"/>
                        </w:rPr>
                        <w:t xml:space="preserve"> sumažėjo 7,1 </w:t>
                      </w:r>
                      <w:r>
                        <w:rPr>
                          <w:rFonts w:eastAsia="Calibri"/>
                          <w:color w:val="000000"/>
                          <w:szCs w:val="24"/>
                          <w:lang w:val="pt-BR" w:eastAsia="zh-CN"/>
                        </w:rPr>
                        <w:t>proc., nu</w:t>
                      </w:r>
                      <w:r>
                        <w:rPr>
                          <w:rFonts w:eastAsia="Calibri"/>
                          <w:color w:val="000000"/>
                          <w:szCs w:val="24"/>
                          <w:lang w:eastAsia="zh-CN"/>
                        </w:rPr>
                        <w:t>o</w:t>
                      </w:r>
                      <w:r>
                        <w:rPr>
                          <w:rFonts w:eastAsia="Calibri"/>
                          <w:color w:val="000000"/>
                          <w:szCs w:val="24"/>
                          <w:lang w:val="pt-BR" w:eastAsia="zh-CN"/>
                        </w:rPr>
                        <w:t xml:space="preserve">savas kapitalas </w:t>
                      </w:r>
                      <w:r>
                        <w:rPr>
                          <w:rFonts w:eastAsia="Calibri"/>
                          <w:color w:val="000000"/>
                          <w:szCs w:val="24"/>
                          <w:lang w:eastAsia="zh-CN"/>
                        </w:rPr>
                        <w:t xml:space="preserve">padidėjo 51 </w:t>
                      </w:r>
                      <w:r>
                        <w:rPr>
                          <w:rFonts w:eastAsia="Calibri"/>
                          <w:color w:val="000000"/>
                          <w:szCs w:val="24"/>
                          <w:lang w:val="pt-BR" w:eastAsia="zh-CN"/>
                        </w:rPr>
                        <w:t xml:space="preserve">proc. </w:t>
                      </w:r>
                    </w:p>
                  </w:sdtContent>
                </w:sdt>
                <w:sdt>
                  <w:sdtPr>
                    <w:alias w:val="pastraipa"/>
                    <w:tag w:val="part_ee9ebc8de185476baf7931fa640ee7e2"/>
                    <w:lock w:val="sdtLocked"/>
                    <w:richText/>
                  </w:sdtPr>
                  <w:sdtContent>
                    <w:p>
                      <w:pPr>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val="pt-BR" w:eastAsia="zh-CN"/>
                        </w:rPr>
                        <w:t>Nu</w:t>
                      </w:r>
                      <w:r>
                        <w:rPr>
                          <w:rFonts w:eastAsia="SimSun"/>
                          <w:bCs/>
                          <w:color w:val="000000"/>
                          <w:szCs w:val="24"/>
                          <w:highlight w:val="white"/>
                          <w:lang w:eastAsia="zh-CN"/>
                        </w:rPr>
                        <w:t>o</w:t>
                      </w:r>
                      <w:r>
                        <w:rPr>
                          <w:rFonts w:eastAsia="SimSun"/>
                          <w:bCs/>
                          <w:color w:val="000000"/>
                          <w:szCs w:val="24"/>
                          <w:highlight w:val="white"/>
                          <w:lang w:val="pt-BR" w:eastAsia="zh-CN"/>
                        </w:rPr>
                        <w:t xml:space="preserve">savo kapitalo ir įstatinio kapitalo santykis </w:t>
                      </w:r>
                      <w:r>
                        <w:rPr>
                          <w:rFonts w:eastAsia="SimSun"/>
                          <w:bCs/>
                          <w:color w:val="000000"/>
                          <w:szCs w:val="24"/>
                          <w:highlight w:val="white"/>
                          <w:lang w:eastAsia="zh-CN"/>
                        </w:rPr>
                        <w:t>0,93</w:t>
                      </w:r>
                      <w:r>
                        <w:rPr>
                          <w:rFonts w:eastAsia="SimSun"/>
                          <w:bCs/>
                          <w:color w:val="000000"/>
                          <w:szCs w:val="24"/>
                          <w:highlight w:val="white"/>
                          <w:lang w:val="pt-BR" w:eastAsia="zh-CN"/>
                        </w:rPr>
                        <w:t xml:space="preserve">, o tai rodo, kad kapitalo sudėtis atitinka Lietuvos Respublikos akcinių bendrovių  įstatymo reikalavimus. </w:t>
                      </w:r>
                    </w:p>
                  </w:sdtContent>
                </w:sdt>
                <w:sdt>
                  <w:sdtPr>
                    <w:alias w:val="pastraipa"/>
                    <w:tag w:val="part_f355a581929c4741ad3a095404559afd"/>
                    <w:lock w:val="sdtLocked"/>
                    <w:richText/>
                  </w:sdtPr>
                  <w:sdtContent>
                    <w:p>
                      <w:pPr>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val="pt-BR" w:eastAsia="zh-CN"/>
                        </w:rPr>
                        <w:t xml:space="preserve">Grynasis veiklos rezultatas 2022 m. – 47 081 Eur </w:t>
                      </w:r>
                      <w:r>
                        <w:rPr>
                          <w:rFonts w:eastAsia="SimSun"/>
                          <w:bCs/>
                          <w:color w:val="000000"/>
                          <w:szCs w:val="24"/>
                          <w:highlight w:val="white"/>
                          <w:lang w:eastAsia="zh-CN"/>
                        </w:rPr>
                        <w:t>pelno</w:t>
                      </w:r>
                      <w:r>
                        <w:rPr>
                          <w:rFonts w:eastAsia="SimSun"/>
                          <w:bCs/>
                          <w:color w:val="000000"/>
                          <w:szCs w:val="24"/>
                          <w:highlight w:val="white"/>
                          <w:lang w:val="pt-BR" w:eastAsia="zh-CN"/>
                        </w:rPr>
                        <w:t xml:space="preserve">, </w:t>
                      </w:r>
                      <w:r>
                        <w:rPr>
                          <w:rFonts w:eastAsia="SimSun"/>
                          <w:bCs/>
                          <w:color w:val="000000"/>
                          <w:szCs w:val="24"/>
                          <w:highlight w:val="white"/>
                          <w:lang w:eastAsia="zh-CN"/>
                        </w:rPr>
                        <w:t>2021</w:t>
                      </w:r>
                      <w:r>
                        <w:rPr>
                          <w:rFonts w:eastAsia="SimSun"/>
                          <w:bCs/>
                          <w:color w:val="000000"/>
                          <w:szCs w:val="24"/>
                          <w:highlight w:val="white"/>
                          <w:lang w:val="pt-BR" w:eastAsia="zh-CN"/>
                        </w:rPr>
                        <w:t xml:space="preserve"> m. buvo 14 405 Eur pelno. </w:t>
                      </w:r>
                    </w:p>
                  </w:sdtContent>
                </w:sdt>
              </w:sdtContent>
            </w:sdt>
            <w:sdt>
              <w:sdtPr>
                <w:alias w:val="skirsnis"/>
                <w:tag w:val="part_c182fbb471be4795b00d6d8cb989946a"/>
                <w:lock w:val="sdtLocked"/>
                <w:richText/>
              </w:sdtPr>
              <w:sdtContent>
                <w:p>
                  <w:pPr>
                    <w:shd w:val="clear" w:color="auto" w:fill="FFFFFF"/>
                    <w:suppressAutoHyphens/>
                    <w:spacing w:line="100" w:lineRule="atLeast"/>
                    <w:jc w:val="both"/>
                    <w:rPr>
                      <w:rFonts w:eastAsia="SimSun"/>
                      <w:b/>
                      <w:bCs/>
                      <w:color w:val="000000"/>
                      <w:szCs w:val="24"/>
                      <w:highlight w:val="white"/>
                      <w:lang w:eastAsia="zh-CN"/>
                    </w:rPr>
                  </w:pPr>
                  <w:sdt>
                    <w:sdtPr>
                      <w:alias w:val="Pavadinimas"/>
                      <w:tag w:val="title_c182fbb471be4795b00d6d8cb989946a"/>
                      <w:lock w:val="sdtLocked"/>
                      <w:richText/>
                    </w:sdtPr>
                    <w:sdtContent>
                      <w:r>
                        <w:rPr>
                          <w:rFonts w:eastAsia="SimSun"/>
                          <w:b/>
                          <w:color w:val="000000"/>
                          <w:szCs w:val="24"/>
                          <w:highlight w:val="white"/>
                          <w:lang w:eastAsia="zh-CN"/>
                        </w:rPr>
                        <w:t>Kitos pagrindinės veiklos paslaugos</w:t>
                      </w:r>
                    </w:sdtContent>
                  </w:sdt>
                </w:p>
                <w:p>
                  <w:pPr>
                    <w:shd w:val="clear" w:color="auto" w:fill="FFFFFF"/>
                    <w:suppressAutoHyphens/>
                    <w:spacing w:line="100" w:lineRule="atLeast"/>
                    <w:jc w:val="both"/>
                    <w:rPr>
                      <w:rFonts w:eastAsia="SimSun"/>
                      <w:b/>
                      <w:color w:val="000000"/>
                      <w:szCs w:val="24"/>
                      <w:highlight w:val="white"/>
                      <w:lang w:eastAsia="zh-CN"/>
                    </w:rPr>
                  </w:pPr>
                </w:p>
                <w:p>
                  <w:pPr>
                    <w:shd w:val="clear" w:color="auto" w:fill="FFFFFF"/>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eastAsia="zh-CN"/>
                    </w:rPr>
                    <w:t>Bendrovės tikslas siekti užsidirbti papildomų pajamų, teikiant kitokias nei su keleivių vežimo veikla susijusias paslaugas.</w:t>
                  </w:r>
                </w:p>
                <w:p>
                  <w:pPr>
                    <w:shd w:val="clear" w:color="auto" w:fill="FFFFFF"/>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eastAsia="zh-CN"/>
                    </w:rPr>
                    <w:t xml:space="preserve">Vykdome keleivių vežimą </w:t>
                  </w:r>
                  <w:r>
                    <w:rPr>
                      <w:rFonts w:eastAsia="SimSun"/>
                      <w:b/>
                      <w:bCs/>
                      <w:color w:val="000000"/>
                      <w:szCs w:val="24"/>
                      <w:highlight w:val="white"/>
                      <w:lang w:eastAsia="zh-CN"/>
                    </w:rPr>
                    <w:t>užsakomaisiais reisais</w:t>
                  </w:r>
                  <w:r>
                    <w:rPr>
                      <w:rFonts w:eastAsia="SimSun"/>
                      <w:bCs/>
                      <w:color w:val="000000"/>
                      <w:szCs w:val="24"/>
                      <w:highlight w:val="white"/>
                      <w:lang w:eastAsia="zh-CN"/>
                    </w:rPr>
                    <w:t xml:space="preserve">. </w:t>
                  </w:r>
                </w:p>
                <w:p>
                  <w:pPr>
                    <w:shd w:val="clear" w:color="auto" w:fill="FFFFFF"/>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eastAsia="zh-CN"/>
                    </w:rPr>
                    <w:t xml:space="preserve">Autobusų rida užsakomaisiais reisais per 2022 m. – 17 772  km, palyginti su 2021 m.  padidėjo 7 840 km. </w:t>
                  </w:r>
                </w:p>
                <w:p>
                  <w:pPr>
                    <w:shd w:val="clear" w:color="auto" w:fill="FFFFFF"/>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eastAsia="zh-CN"/>
                    </w:rPr>
                    <w:t>Bendrovės pajamos už autobusų nuomą užsakomaisiais reisais per 2022 m. – 18 561 Eur, palyginti su 2021 m. padidėjo 11 406 Eur. Bendrovei keleivių vežimui užsakomaisiais reisais reikalingi naujesni autobusai, kurie atitiktų klientų poreikius.</w:t>
                  </w:r>
                </w:p>
                <w:p>
                  <w:pPr>
                    <w:shd w:val="clear" w:color="auto" w:fill="FFFFFF"/>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eastAsia="zh-CN"/>
                    </w:rPr>
                    <w:t xml:space="preserve">Bendrovė teikia smulkių </w:t>
                  </w:r>
                  <w:r>
                    <w:rPr>
                      <w:rFonts w:eastAsia="SimSun"/>
                      <w:b/>
                      <w:bCs/>
                      <w:color w:val="000000"/>
                      <w:szCs w:val="24"/>
                      <w:highlight w:val="white"/>
                      <w:lang w:eastAsia="zh-CN"/>
                    </w:rPr>
                    <w:t>siuntų gabenimo</w:t>
                  </w:r>
                  <w:r>
                    <w:rPr>
                      <w:rFonts w:eastAsia="SimSun"/>
                      <w:bCs/>
                      <w:color w:val="000000"/>
                      <w:szCs w:val="24"/>
                      <w:highlight w:val="white"/>
                      <w:lang w:eastAsia="zh-CN"/>
                    </w:rPr>
                    <w:t xml:space="preserve"> autobusais paslaugą. Iš klientų siuntas gabenimui priimame tiek savo, tiek kitų autobusų parkų autobusais, išduodame klientams atgabentas siuntas iš kitų miestų.</w:t>
                  </w:r>
                </w:p>
                <w:p>
                  <w:pPr>
                    <w:shd w:val="clear" w:color="auto" w:fill="FFFFFF"/>
                    <w:suppressAutoHyphens/>
                    <w:spacing w:line="360" w:lineRule="auto"/>
                    <w:ind w:firstLine="496"/>
                    <w:jc w:val="both"/>
                    <w:rPr>
                      <w:rFonts w:eastAsia="SimSun"/>
                      <w:b/>
                      <w:bCs/>
                      <w:color w:val="000000"/>
                      <w:szCs w:val="24"/>
                      <w:highlight w:val="white"/>
                      <w:lang w:eastAsia="zh-CN"/>
                    </w:rPr>
                  </w:pPr>
                  <w:r>
                    <w:rPr>
                      <w:rFonts w:eastAsia="SimSun"/>
                      <w:bCs/>
                      <w:color w:val="000000"/>
                      <w:szCs w:val="24"/>
                      <w:highlight w:val="white"/>
                      <w:lang w:eastAsia="zh-CN"/>
                    </w:rPr>
                    <w:t>Per 2022 m. už siuntų paslaugas buvo gauta 11 968 Eur, o 2021 m. – 10 764 Eur pajamų. Padidėjo 11,2 proc.</w:t>
                  </w:r>
                </w:p>
                <w:p>
                  <w:pPr>
                    <w:shd w:val="clear" w:color="auto" w:fill="FFFFFF"/>
                    <w:suppressAutoHyphens/>
                    <w:spacing w:line="360" w:lineRule="auto"/>
                    <w:jc w:val="both"/>
                    <w:rPr>
                      <w:rFonts w:eastAsia="SimSun"/>
                      <w:bCs/>
                      <w:color w:val="000000"/>
                      <w:szCs w:val="24"/>
                      <w:highlight w:val="white"/>
                      <w:lang w:eastAsia="zh-CN"/>
                    </w:rPr>
                  </w:pPr>
                </w:p>
                <w:tbl>
                  <w:tblPr>
                    <w:tblW w:w="0" w:type="auto"/>
                    <w:tblInd w:w="-40" w:type="dxa"/>
                    <w:tblLayout w:type="fixed"/>
                    <w:tblLook w:val="0000" w:firstRow="0" w:lastRow="0" w:firstColumn="0" w:lastColumn="0" w:noHBand="0" w:noVBand="0"/>
                  </w:tblPr>
                  <w:tblGrid>
                    <w:gridCol w:w="1824"/>
                    <w:gridCol w:w="1276"/>
                    <w:gridCol w:w="1134"/>
                    <w:gridCol w:w="1134"/>
                    <w:gridCol w:w="1134"/>
                    <w:gridCol w:w="1134"/>
                    <w:gridCol w:w="1134"/>
                  </w:tblGrid>
                  <w:tr>
                    <w:tc>
                      <w:tcPr>
                        <w:tcW w:w="182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Rodikliai</w:t>
                        </w:r>
                      </w:p>
                    </w:tc>
                    <w:tc>
                      <w:tcPr>
                        <w:tcW w:w="127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Matavimo vnt.</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2018 m.</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2019 m.</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 xml:space="preserve">2020 m. </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2021 m.</w:t>
                        </w:r>
                      </w:p>
                    </w:tc>
                    <w:tc>
                      <w:tcPr>
                        <w:tcW w:w="1134" w:type="dxa"/>
                        <w:tcBorders>
                          <w:top w:val="single" w:sz="4" w:space="0" w:color="000000"/>
                          <w:left w:val="single" w:sz="4" w:space="0" w:color="000000"/>
                          <w:bottom w:val="single" w:sz="4" w:space="0" w:color="000000"/>
                          <w:right w:val="single" w:sz="4" w:space="0" w:color="auto"/>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2022 m.</w:t>
                        </w:r>
                      </w:p>
                    </w:tc>
                  </w:tr>
                  <w:tr>
                    <w:tc>
                      <w:tcPr>
                        <w:tcW w:w="1824" w:type="dxa"/>
                        <w:tcBorders>
                          <w:top w:val="single" w:sz="4" w:space="0" w:color="000000"/>
                          <w:left w:val="single" w:sz="4" w:space="0" w:color="000000"/>
                          <w:bottom w:val="single" w:sz="4" w:space="0" w:color="000000"/>
                        </w:tcBorders>
                        <w:shd w:val="clear" w:color="auto" w:fill="auto"/>
                      </w:tcPr>
                      <w:p>
                        <w:pPr>
                          <w:suppressAutoHyphens/>
                          <w:spacing w:line="100" w:lineRule="atLeast"/>
                          <w:jc w:val="both"/>
                          <w:rPr>
                            <w:rFonts w:eastAsia="SimSun"/>
                            <w:b/>
                            <w:bCs/>
                            <w:color w:val="000000"/>
                            <w:szCs w:val="24"/>
                            <w:highlight w:val="white"/>
                            <w:lang w:eastAsia="zh-CN"/>
                          </w:rPr>
                        </w:pPr>
                        <w:r>
                          <w:rPr>
                            <w:rFonts w:eastAsia="SimSun"/>
                            <w:bCs/>
                            <w:color w:val="000000"/>
                            <w:szCs w:val="24"/>
                            <w:highlight w:val="white"/>
                            <w:lang w:eastAsia="zh-CN"/>
                          </w:rPr>
                          <w:t>Išsiųstos siuntos</w:t>
                        </w:r>
                      </w:p>
                    </w:tc>
                    <w:tc>
                      <w:tcPr>
                        <w:tcW w:w="127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vnt.</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2309</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val="en-US" w:eastAsia="zh-CN"/>
                          </w:rPr>
                          <w:t>2737</w:t>
                        </w:r>
                      </w:p>
                    </w:tc>
                    <w:tc>
                      <w:tcPr>
                        <w:tcW w:w="1134" w:type="dxa"/>
                        <w:tcBorders>
                          <w:top w:val="single" w:sz="4" w:space="0" w:color="000000"/>
                          <w:left w:val="single" w:sz="4" w:space="0" w:color="000000"/>
                          <w:bottom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2246</w:t>
                        </w:r>
                      </w:p>
                    </w:tc>
                    <w:tc>
                      <w:tcPr>
                        <w:tcW w:w="1134" w:type="dxa"/>
                        <w:tcBorders>
                          <w:top w:val="single" w:sz="4" w:space="0" w:color="000000"/>
                          <w:left w:val="single" w:sz="4" w:space="0" w:color="000000"/>
                          <w:bottom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2367</w:t>
                        </w:r>
                      </w:p>
                    </w:tc>
                    <w:tc>
                      <w:tcPr>
                        <w:tcW w:w="1134" w:type="dxa"/>
                        <w:tcBorders>
                          <w:top w:val="single" w:sz="4" w:space="0" w:color="000000"/>
                          <w:left w:val="single" w:sz="4" w:space="0" w:color="000000"/>
                          <w:bottom w:val="single" w:sz="4" w:space="0" w:color="000000"/>
                          <w:right w:val="single" w:sz="4" w:space="0" w:color="auto"/>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color w:val="000000"/>
                            <w:szCs w:val="24"/>
                            <w:highlight w:val="white"/>
                            <w:lang w:eastAsia="zh-CN"/>
                          </w:rPr>
                          <w:t>2601</w:t>
                        </w:r>
                      </w:p>
                    </w:tc>
                  </w:tr>
                  <w:tr>
                    <w:tc>
                      <w:tcPr>
                        <w:tcW w:w="1824" w:type="dxa"/>
                        <w:tcBorders>
                          <w:top w:val="single" w:sz="4" w:space="0" w:color="000000"/>
                          <w:left w:val="single" w:sz="4" w:space="0" w:color="000000"/>
                          <w:bottom w:val="single" w:sz="4" w:space="0" w:color="000000"/>
                        </w:tcBorders>
                        <w:shd w:val="clear" w:color="auto" w:fill="auto"/>
                      </w:tcPr>
                      <w:p>
                        <w:pPr>
                          <w:suppressAutoHyphens/>
                          <w:spacing w:line="100" w:lineRule="atLeast"/>
                          <w:jc w:val="both"/>
                          <w:rPr>
                            <w:rFonts w:eastAsia="SimSun"/>
                            <w:b/>
                            <w:bCs/>
                            <w:color w:val="000000"/>
                            <w:szCs w:val="24"/>
                            <w:highlight w:val="white"/>
                            <w:lang w:eastAsia="zh-CN"/>
                          </w:rPr>
                        </w:pPr>
                        <w:r>
                          <w:rPr>
                            <w:rFonts w:eastAsia="SimSun"/>
                            <w:bCs/>
                            <w:color w:val="000000"/>
                            <w:szCs w:val="24"/>
                            <w:highlight w:val="white"/>
                            <w:lang w:eastAsia="zh-CN"/>
                          </w:rPr>
                          <w:t>Gautos siuntos</w:t>
                        </w:r>
                      </w:p>
                    </w:tc>
                    <w:tc>
                      <w:tcPr>
                        <w:tcW w:w="127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vnt.</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3881</w:t>
                        </w:r>
                      </w:p>
                    </w:tc>
                    <w:tc>
                      <w:tcPr>
                        <w:tcW w:w="1134"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val="en-US" w:eastAsia="zh-CN"/>
                          </w:rPr>
                          <w:t>3990</w:t>
                        </w:r>
                      </w:p>
                    </w:tc>
                    <w:tc>
                      <w:tcPr>
                        <w:tcW w:w="1134" w:type="dxa"/>
                        <w:tcBorders>
                          <w:top w:val="single" w:sz="4" w:space="0" w:color="000000"/>
                          <w:left w:val="single" w:sz="4" w:space="0" w:color="000000"/>
                          <w:bottom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2840</w:t>
                        </w:r>
                      </w:p>
                    </w:tc>
                    <w:tc>
                      <w:tcPr>
                        <w:tcW w:w="1134" w:type="dxa"/>
                        <w:tcBorders>
                          <w:top w:val="single" w:sz="4" w:space="0" w:color="000000"/>
                          <w:left w:val="single" w:sz="4" w:space="0" w:color="000000"/>
                          <w:bottom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2889</w:t>
                        </w:r>
                      </w:p>
                    </w:tc>
                    <w:tc>
                      <w:tcPr>
                        <w:tcW w:w="1134" w:type="dxa"/>
                        <w:tcBorders>
                          <w:top w:val="single" w:sz="4" w:space="0" w:color="000000"/>
                          <w:left w:val="single" w:sz="4" w:space="0" w:color="000000"/>
                          <w:bottom w:val="single" w:sz="4" w:space="0" w:color="000000"/>
                          <w:right w:val="single" w:sz="4" w:space="0" w:color="auto"/>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color w:val="000000"/>
                            <w:szCs w:val="24"/>
                            <w:highlight w:val="white"/>
                            <w:lang w:eastAsia="zh-CN"/>
                          </w:rPr>
                          <w:t>3398</w:t>
                        </w:r>
                      </w:p>
                    </w:tc>
                  </w:tr>
                </w:tbl>
                <w:p>
                  <w:pPr>
                    <w:suppressAutoHyphens/>
                    <w:spacing w:line="360" w:lineRule="auto"/>
                    <w:ind w:firstLine="851"/>
                    <w:jc w:val="both"/>
                    <w:rPr>
                      <w:rFonts w:eastAsia="SimSun"/>
                      <w:b/>
                      <w:bCs/>
                      <w:color w:val="000000"/>
                      <w:szCs w:val="24"/>
                      <w:highlight w:val="white"/>
                      <w:lang w:eastAsia="zh-CN"/>
                    </w:rPr>
                  </w:pPr>
                </w:p>
                <w:p>
                  <w:pPr>
                    <w:shd w:val="clear" w:color="auto" w:fill="FFFFFF"/>
                    <w:suppressAutoHyphens/>
                    <w:spacing w:line="360" w:lineRule="auto"/>
                    <w:ind w:firstLine="682"/>
                    <w:jc w:val="both"/>
                    <w:rPr>
                      <w:rFonts w:eastAsia="SimSun"/>
                      <w:b/>
                      <w:bCs/>
                      <w:color w:val="000000"/>
                      <w:szCs w:val="24"/>
                      <w:highlight w:val="white"/>
                      <w:lang w:eastAsia="zh-CN"/>
                    </w:rPr>
                  </w:pPr>
                  <w:r>
                    <w:rPr>
                      <w:color w:val="000000"/>
                      <w:szCs w:val="24"/>
                      <w:highlight w:val="white"/>
                      <w:lang w:eastAsia="zh-CN"/>
                    </w:rPr>
                    <w:t>Ataskaitiniais</w:t>
                  </w:r>
                  <w:r>
                    <w:rPr>
                      <w:rFonts w:eastAsia="SimSun"/>
                      <w:color w:val="000000"/>
                      <w:szCs w:val="24"/>
                      <w:highlight w:val="white"/>
                      <w:lang w:eastAsia="zh-CN"/>
                    </w:rPr>
                    <w:t xml:space="preserve"> metais daugiausia siuntų išsiųsta į Vilnių (718 vnt.), Kauną (464 vnt.) daugiausia gauta iš Kauno (908 vnt.),  Panevėžio (791 vnt.), Vilniaus (776 vnt.).</w:t>
                  </w:r>
                </w:p>
                <w:p>
                  <w:pPr>
                    <w:shd w:val="clear" w:color="auto" w:fill="FFFFFF"/>
                    <w:suppressAutoHyphens/>
                    <w:spacing w:line="360" w:lineRule="auto"/>
                    <w:ind w:firstLine="620"/>
                    <w:jc w:val="both"/>
                    <w:rPr>
                      <w:rFonts w:eastAsia="SimSun"/>
                      <w:b/>
                      <w:bCs/>
                      <w:color w:val="000000"/>
                      <w:szCs w:val="24"/>
                      <w:highlight w:val="white"/>
                      <w:lang w:eastAsia="zh-CN"/>
                    </w:rPr>
                  </w:pPr>
                  <w:r>
                    <w:rPr>
                      <w:bCs/>
                      <w:color w:val="000000"/>
                      <w:szCs w:val="24"/>
                      <w:highlight w:val="white"/>
                      <w:lang w:eastAsia="zh-CN"/>
                    </w:rPr>
                    <w:t>Už k</w:t>
                  </w:r>
                  <w:r>
                    <w:rPr>
                      <w:rFonts w:eastAsia="SimSun"/>
                      <w:bCs/>
                      <w:color w:val="000000"/>
                      <w:szCs w:val="24"/>
                      <w:highlight w:val="white"/>
                      <w:lang w:eastAsia="zh-CN"/>
                    </w:rPr>
                    <w:t xml:space="preserve">itų autobusų parkų tolimojo ir vietinio susisiekimo maršrutinių autobusų įvažiavimus (AS rinkliava) į Kupiškio autobusų stotį bei už rajono teritorijoje esančių autobusų stotelių eismo tvarkaraščių priežiūrą per 2022 m. Bendrovė gavo 20 314  Eur pajamų, o 2021 m. –  12 082 Eur.  </w:t>
                  </w:r>
                </w:p>
                <w:p>
                  <w:pPr>
                    <w:shd w:val="clear" w:color="auto" w:fill="FFFFFF"/>
                    <w:suppressAutoHyphens/>
                    <w:spacing w:line="360" w:lineRule="auto"/>
                    <w:ind w:firstLine="682"/>
                    <w:jc w:val="both"/>
                    <w:rPr>
                      <w:rFonts w:eastAsia="SimSun"/>
                      <w:b/>
                      <w:bCs/>
                      <w:color w:val="000000"/>
                      <w:szCs w:val="24"/>
                      <w:highlight w:val="white"/>
                      <w:lang w:eastAsia="zh-CN"/>
                    </w:rPr>
                  </w:pPr>
                  <w:r>
                    <w:rPr>
                      <w:rFonts w:eastAsia="SimSun"/>
                      <w:b/>
                      <w:bCs/>
                      <w:color w:val="000000"/>
                      <w:szCs w:val="24"/>
                      <w:highlight w:val="white"/>
                      <w:lang w:eastAsia="zh-CN"/>
                    </w:rPr>
                    <w:t xml:space="preserve">Kita veikla – </w:t>
                  </w:r>
                  <w:r>
                    <w:rPr>
                      <w:rFonts w:eastAsia="SimSun"/>
                      <w:color w:val="000000"/>
                      <w:szCs w:val="24"/>
                      <w:highlight w:val="white"/>
                      <w:lang w:eastAsia="zh-CN"/>
                    </w:rPr>
                    <w:t xml:space="preserve">patalpų nuoma, aikštelės nuoma, reklaminio ploto nuoma ir pardavimai.    2022 m. iš kitos veiklos gautos pajamos – 7 124 Eur, 2021 m. – 4 493 Eur.</w:t>
                  </w:r>
                </w:p>
                <w:p>
                  <w:pPr>
                    <w:suppressAutoHyphens/>
                    <w:spacing w:line="360" w:lineRule="auto"/>
                    <w:ind w:firstLine="1409"/>
                    <w:jc w:val="both"/>
                    <w:rPr>
                      <w:rFonts w:eastAsia="SimSun"/>
                      <w:b/>
                      <w:bCs/>
                      <w:color w:val="000000"/>
                      <w:szCs w:val="24"/>
                      <w:highlight w:val="white"/>
                      <w:lang w:eastAsia="zh-CN"/>
                    </w:rPr>
                  </w:pPr>
                </w:p>
              </w:sdtContent>
            </w:sdt>
            <w:sdt>
              <w:sdtPr>
                <w:alias w:val="skirsnis"/>
                <w:tag w:val="part_c93c769ed79440da8ab0f9f14a2e267b"/>
                <w:lock w:val="sdtLocked"/>
                <w:richText/>
              </w:sdtPr>
              <w:sdtContent>
                <w:p>
                  <w:pPr>
                    <w:tabs>
                      <w:tab w:val="left" w:pos="0"/>
                    </w:tabs>
                    <w:suppressAutoHyphens/>
                    <w:spacing w:line="100" w:lineRule="atLeast"/>
                    <w:ind w:left="432" w:hanging="432"/>
                    <w:jc w:val="center"/>
                    <w:rPr>
                      <w:rFonts w:eastAsia="SimSun"/>
                      <w:b/>
                      <w:bCs/>
                      <w:color w:val="000000"/>
                      <w:szCs w:val="24"/>
                      <w:highlight w:val="white"/>
                      <w:lang w:eastAsia="zh-CN"/>
                    </w:rPr>
                  </w:pPr>
                  <w:sdt>
                    <w:sdtPr>
                      <w:alias w:val="Pavadinimas"/>
                      <w:tag w:val="title_c93c769ed79440da8ab0f9f14a2e267b"/>
                      <w:lock w:val="sdtLocked"/>
                      <w:richText/>
                    </w:sdtPr>
                    <w:sdtContent>
                      <w:r>
                        <w:rPr>
                          <w:rFonts w:eastAsia="SimSun"/>
                          <w:b/>
                          <w:bCs/>
                          <w:szCs w:val="24"/>
                          <w:highlight w:val="white"/>
                          <w:lang w:eastAsia="zh-CN"/>
                        </w:rPr>
                        <w:t xml:space="preserve">PATIKRINIMAI </w:t>
                      </w:r>
                    </w:sdtContent>
                  </w:sdt>
                </w:p>
                <w:p>
                  <w:pPr>
                    <w:tabs>
                      <w:tab w:val="left" w:pos="0"/>
                    </w:tabs>
                    <w:suppressAutoHyphens/>
                    <w:spacing w:line="360" w:lineRule="auto"/>
                    <w:ind w:left="432" w:hanging="432"/>
                    <w:jc w:val="center"/>
                    <w:rPr>
                      <w:rFonts w:eastAsia="SimSun"/>
                      <w:b/>
                      <w:bCs/>
                      <w:color w:val="008000"/>
                      <w:szCs w:val="24"/>
                      <w:highlight w:val="white"/>
                      <w:lang w:eastAsia="zh-CN"/>
                    </w:rPr>
                  </w:pPr>
                </w:p>
                <w:p>
                  <w:pPr>
                    <w:suppressAutoHyphens/>
                    <w:spacing w:line="360" w:lineRule="auto"/>
                    <w:ind w:firstLine="806"/>
                    <w:jc w:val="both"/>
                    <w:rPr>
                      <w:rFonts w:eastAsia="SimSun"/>
                      <w:color w:val="000000"/>
                      <w:szCs w:val="24"/>
                      <w:highlight w:val="white"/>
                      <w:lang w:eastAsia="zh-CN"/>
                    </w:rPr>
                  </w:pPr>
                  <w:r>
                    <w:rPr>
                      <w:rFonts w:eastAsia="SimSun"/>
                      <w:color w:val="000000"/>
                      <w:szCs w:val="24"/>
                      <w:highlight w:val="white"/>
                      <w:lang w:eastAsia="zh-CN"/>
                    </w:rPr>
                    <w:t xml:space="preserve">2022 m. rugsėjo mėn. Lietuvos metrologijos inspekcija atliko planinį patikrinimą, kurio tikslas padėti Bendrovei tobulinti veiklą teisinės metrologijos srityse (matavimo priemonių), įvertinti veiklos atitikimą teisės aktų reikalavimams. Pažeidimų nenustatyta, matavimo priemonių  teisinis metrologinis patikrinimas atliktas laiku.</w:t>
                  </w:r>
                </w:p>
                <w:p>
                  <w:pPr>
                    <w:suppressAutoHyphens/>
                    <w:spacing w:line="360" w:lineRule="auto"/>
                    <w:ind w:firstLine="806"/>
                    <w:jc w:val="both"/>
                    <w:rPr>
                      <w:rFonts w:eastAsia="SimSun"/>
                      <w:b/>
                      <w:bCs/>
                      <w:color w:val="000000"/>
                      <w:szCs w:val="24"/>
                      <w:highlight w:val="white"/>
                      <w:lang w:eastAsia="zh-CN"/>
                    </w:rPr>
                  </w:pPr>
                  <w:r>
                    <w:rPr>
                      <w:rFonts w:eastAsia="SimSun"/>
                      <w:color w:val="000000"/>
                      <w:szCs w:val="24"/>
                      <w:highlight w:val="white"/>
                      <w:lang w:eastAsia="zh-CN"/>
                    </w:rPr>
                    <w:t xml:space="preserve">2022 m. rugsėjo mėn. Panevėžio </w:t>
                  </w:r>
                  <w:r>
                    <w:rPr>
                      <w:rFonts w:eastAsia="SimSun"/>
                      <w:szCs w:val="24"/>
                      <w:highlight w:val="white"/>
                      <w:lang w:eastAsia="zh-CN"/>
                    </w:rPr>
                    <w:t>valdybos Kupiškio aplinkos apsaugos inspekcija</w:t>
                  </w:r>
                  <w:r>
                    <w:rPr>
                      <w:rFonts w:eastAsia="SimSun"/>
                      <w:color w:val="000000"/>
                      <w:szCs w:val="24"/>
                      <w:highlight w:val="white"/>
                      <w:lang w:eastAsia="zh-CN"/>
                    </w:rPr>
                    <w:t xml:space="preserve"> atliko neplaninį teršalų kiekio automobilių išmetamosiose dujose patikrinimą.  Patikrintų automobilių teršalų kiekis neviršijo normatyvų.</w:t>
                  </w:r>
                </w:p>
                <w:p>
                  <w:pPr>
                    <w:suppressAutoHyphens/>
                    <w:spacing w:line="360" w:lineRule="auto"/>
                    <w:ind w:firstLine="744"/>
                    <w:jc w:val="both"/>
                    <w:rPr>
                      <w:rFonts w:eastAsia="SimSun"/>
                      <w:b/>
                      <w:bCs/>
                      <w:color w:val="000000"/>
                      <w:szCs w:val="24"/>
                      <w:highlight w:val="white"/>
                      <w:lang w:eastAsia="zh-CN"/>
                    </w:rPr>
                  </w:pPr>
                  <w:r>
                    <w:rPr>
                      <w:rFonts w:eastAsia="SimSun"/>
                      <w:color w:val="000000"/>
                      <w:szCs w:val="24"/>
                      <w:highlight w:val="white"/>
                      <w:lang w:eastAsia="zh-CN"/>
                    </w:rPr>
                    <w:t xml:space="preserve">2022 m. spalio mėn. Panevėžio </w:t>
                  </w:r>
                  <w:r>
                    <w:rPr>
                      <w:rFonts w:eastAsia="SimSun"/>
                      <w:szCs w:val="24"/>
                      <w:highlight w:val="white"/>
                      <w:lang w:eastAsia="zh-CN"/>
                    </w:rPr>
                    <w:t>valdybos Kupiškio aplinkos apsaugos inspekcija</w:t>
                  </w:r>
                  <w:r>
                    <w:rPr>
                      <w:rFonts w:eastAsia="SimSun"/>
                      <w:color w:val="000000"/>
                      <w:szCs w:val="24"/>
                      <w:highlight w:val="white"/>
                      <w:lang w:eastAsia="zh-CN"/>
                    </w:rPr>
                    <w:t xml:space="preserve"> atliko planinį Bendrovės veiklos atliekų tvarkymo aplinkosauginių reikalavimų laikymosi patikrinimą. Pažeidimų nenustatyta.</w:t>
                  </w:r>
                </w:p>
                <w:p>
                  <w:pPr>
                    <w:suppressAutoHyphens/>
                    <w:spacing w:line="360" w:lineRule="auto"/>
                    <w:ind w:firstLine="744"/>
                    <w:jc w:val="both"/>
                    <w:rPr>
                      <w:rFonts w:eastAsia="SimSun"/>
                      <w:b/>
                      <w:bCs/>
                      <w:color w:val="000000"/>
                      <w:szCs w:val="24"/>
                      <w:highlight w:val="white"/>
                      <w:lang w:eastAsia="zh-CN"/>
                    </w:rPr>
                  </w:pPr>
                  <w:r>
                    <w:rPr>
                      <w:rFonts w:eastAsia="SimSun"/>
                      <w:color w:val="000000"/>
                      <w:szCs w:val="24"/>
                      <w:highlight w:val="white"/>
                      <w:lang w:eastAsia="zh-CN"/>
                    </w:rPr>
                    <w:t>Bendrovė taip pat atliko visas reikalingas alkotesterio, tachografų, gesintuvų patikras.</w:t>
                  </w:r>
                </w:p>
                <w:p>
                  <w:pPr>
                    <w:tabs>
                      <w:tab w:val="left" w:pos="0"/>
                    </w:tabs>
                    <w:suppressAutoHyphens/>
                    <w:spacing w:line="360" w:lineRule="auto"/>
                    <w:jc w:val="both"/>
                    <w:rPr>
                      <w:rFonts w:eastAsia="SimSun"/>
                      <w:szCs w:val="24"/>
                      <w:highlight w:val="white"/>
                      <w:lang w:eastAsia="zh-CN"/>
                    </w:rPr>
                  </w:pPr>
                </w:p>
              </w:sdtContent>
            </w:sdt>
            <w:sdt>
              <w:sdtPr>
                <w:alias w:val="skirsnis"/>
                <w:tag w:val="part_361b66e372f14fe08f18364d31631596"/>
                <w:lock w:val="sdtLocked"/>
                <w:richText/>
              </w:sdtPr>
              <w:sdtContent>
                <w:p>
                  <w:pPr>
                    <w:tabs>
                      <w:tab w:val="left" w:pos="0"/>
                    </w:tabs>
                    <w:suppressAutoHyphens/>
                    <w:spacing w:line="360" w:lineRule="auto"/>
                    <w:jc w:val="center"/>
                    <w:rPr>
                      <w:rFonts w:eastAsia="SimSun"/>
                      <w:b/>
                      <w:bCs/>
                      <w:color w:val="000000"/>
                      <w:szCs w:val="24"/>
                      <w:highlight w:val="white"/>
                      <w:lang w:eastAsia="zh-CN"/>
                    </w:rPr>
                  </w:pPr>
                  <w:sdt>
                    <w:sdtPr>
                      <w:alias w:val="Pavadinimas"/>
                      <w:tag w:val="title_361b66e372f14fe08f18364d31631596"/>
                      <w:lock w:val="sdtLocked"/>
                      <w:richText/>
                    </w:sdtPr>
                    <w:sdtContent>
                      <w:r>
                        <w:rPr>
                          <w:rFonts w:eastAsia="SimSun"/>
                          <w:b/>
                          <w:szCs w:val="24"/>
                          <w:highlight w:val="white"/>
                          <w:lang w:val="pt-BR" w:eastAsia="zh-CN"/>
                        </w:rPr>
                        <w:t>VEIKLOS PLANAI IR PROGNOZ</w:t>
                      </w:r>
                      <w:r>
                        <w:rPr>
                          <w:rFonts w:eastAsia="SimSun"/>
                          <w:b/>
                          <w:szCs w:val="24"/>
                          <w:highlight w:val="white"/>
                          <w:lang w:eastAsia="zh-CN"/>
                        </w:rPr>
                        <w:t>ĖS</w:t>
                      </w:r>
                    </w:sdtContent>
                  </w:sdt>
                </w:p>
                <w:p>
                  <w:pPr>
                    <w:suppressAutoHyphens/>
                    <w:spacing w:line="100" w:lineRule="atLeast"/>
                    <w:jc w:val="center"/>
                    <w:rPr>
                      <w:rFonts w:eastAsia="SimSun"/>
                      <w:b/>
                      <w:color w:val="FF0000"/>
                      <w:szCs w:val="24"/>
                      <w:highlight w:val="white"/>
                      <w:lang w:eastAsia="zh-CN"/>
                    </w:rPr>
                  </w:pP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Pagrindiniai bendrovės veiklos planai siejami su teikiamų paslaugų tinklo išlaikymu ir paslaugų kokybės gerinimu. Sėkmingą veiklą lemia pajamų ir sąnaudų santykis. Pajamų didinimo viena iš priemonių yra keleivių bilietų kainų didinimas. Tačiau didėjanti kaina daro įtaką keleivių skaičiaus mažėjimui, todėl net esant reikšmingam sąnaudų didėjimui negalima bilietų kainų padidinti tiek, kiek padidėja sąnaudos.</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Viešasis transportas nėra pelningas verslas. Beveik visose pasaulio šalyse viešasis transportas yra remiamas bei skirtingais būdais dotuojamas valstybės ar savivaldybės. Jo tarifai negali būti tokio dydžio, kad užtikrintų pelningą vežėjų darbą. Galima teigti, kad vietinis susisiekimas šiuo metu lieka tik socialinė funkcija, o tolimajame susisiekime liks stipriausi – teikiantys ypač kokybiškas paslaugas, galintys pasiūlyti patogias ir komfortiškas keliones naujomis transporto priemonėmis.</w:t>
                  </w:r>
                  <w:r>
                    <w:rPr>
                      <w:color w:val="FF0000"/>
                      <w:szCs w:val="24"/>
                      <w:highlight w:val="white"/>
                      <w:lang w:eastAsia="lt-LT"/>
                    </w:rPr>
                    <w:t xml:space="preserve">        </w:t>
                  </w:r>
                </w:p>
                <w:p>
                  <w:pPr>
                    <w:suppressAutoHyphens/>
                    <w:spacing w:line="360" w:lineRule="auto"/>
                    <w:ind w:firstLine="682"/>
                    <w:jc w:val="both"/>
                    <w:rPr>
                      <w:rFonts w:eastAsia="SimSun"/>
                      <w:b/>
                      <w:bCs/>
                      <w:color w:val="000000"/>
                      <w:szCs w:val="24"/>
                      <w:highlight w:val="white"/>
                      <w:lang w:eastAsia="zh-CN"/>
                    </w:rPr>
                  </w:pPr>
                  <w:r>
                    <w:rPr>
                      <w:rFonts w:eastAsia="SimSun"/>
                      <w:bCs/>
                      <w:szCs w:val="24"/>
                      <w:highlight w:val="white"/>
                      <w:lang w:eastAsia="zh-CN"/>
                    </w:rPr>
                    <w:t>Šiuo metu pagrindinis tikslas užtikrinti mokinių pavežimą į mokyklas. Nuolat peržiūrimi autobusų maršrutų atskiri reisai, nuolat siekiama racionaliai naudoti darbo ir materialinius resursus. Mokinių vasaros atostogų metu sumažinamas vietinio susisiekimo maršrutų reisų skaičius, važiuojant ne visomis savaitės dienomis. Tačiau reisų skaičiaus mažinimas turi ir neigiamas pasekmes: pastoviosios ir administracinės sąnaudos pasiskirsto likusiems maršrutams, didindamos jų nuostolius, o keleiviai visiškai atsisako autobusų paslaugų, jei jie važiuoja vieną kartą per savaitę.</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 xml:space="preserve">Analizuojant Bendrovės rodiklius ir situaciją rinkoje, galima teigti, kad artimiausiu metu Bendrovės darbo apimtys turėtų išlikti panašios. Tačiau sėkmingą Bendrovės veiklą gali sutrikdyti šie faktoriai: </w:t>
                  </w:r>
                </w:p>
                <w:p>
                  <w:pPr>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bCs/>
                      <w:color w:val="000000"/>
                      <w:szCs w:val="24"/>
                      <w:highlight w:val="white"/>
                      <w:lang w:eastAsia="zh-CN"/>
                    </w:rPr>
                    <w:t xml:space="preserve"> </w:t>
                  </w:r>
                  <w:r>
                    <w:rPr>
                      <w:rFonts w:eastAsia="SimSun"/>
                      <w:bCs/>
                      <w:color w:val="000000"/>
                      <w:szCs w:val="24"/>
                      <w:highlight w:val="white"/>
                      <w:lang w:eastAsia="zh-CN"/>
                    </w:rPr>
                    <w:t>pasenę ir susidėvėję autobusai, nes parkas visą laiką buvo atnaujinamas, pagal finansines galimybes perkant naudotus autobusus;</w:t>
                  </w:r>
                </w:p>
                <w:p>
                  <w:pPr>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bCs/>
                      <w:color w:val="000000"/>
                      <w:szCs w:val="24"/>
                      <w:highlight w:val="white"/>
                      <w:lang w:eastAsia="zh-CN"/>
                    </w:rPr>
                    <w:t xml:space="preserve"> </w:t>
                  </w:r>
                  <w:r>
                    <w:rPr>
                      <w:rFonts w:eastAsia="SimSun"/>
                      <w:bCs/>
                      <w:color w:val="000000"/>
                      <w:szCs w:val="24"/>
                      <w:highlight w:val="white"/>
                      <w:lang w:eastAsia="zh-CN"/>
                    </w:rPr>
                    <w:t xml:space="preserve">minimalios algos didinimas; </w:t>
                  </w:r>
                </w:p>
                <w:p>
                  <w:pPr>
                    <w:suppressAutoHyphens/>
                    <w:spacing w:line="360" w:lineRule="auto"/>
                    <w:jc w:val="both"/>
                    <w:rPr>
                      <w:rFonts w:eastAsia="SimSun"/>
                      <w:b/>
                      <w:bCs/>
                      <w:color w:val="000000"/>
                      <w:szCs w:val="24"/>
                      <w:highlight w:val="white"/>
                      <w:lang w:eastAsia="zh-CN"/>
                    </w:rPr>
                  </w:pPr>
                  <w:r>
                    <w:rPr>
                      <w:rFonts w:ascii="Symbol" w:eastAsia="Symbol" w:hAnsi="Symbol" w:cs="Symbol"/>
                      <w:szCs w:val="24"/>
                      <w:highlight w:val="white"/>
                      <w:lang w:eastAsia="zh-CN"/>
                    </w:rPr>
                    <w:t></w:t>
                  </w:r>
                  <w:r>
                    <w:rPr>
                      <w:rFonts w:eastAsia="SimSun"/>
                      <w:bCs/>
                      <w:color w:val="000000"/>
                      <w:szCs w:val="24"/>
                      <w:highlight w:val="white"/>
                      <w:lang w:eastAsia="zh-CN"/>
                    </w:rPr>
                    <w:t>degalų kainos.</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 xml:space="preserve">Bendrovė artimiausiu metu neplanuoja nutraukti ar kitaip apriboti vykdomos veiklos, todėl 2023 metais ir toliau vykdys numatytą veiklą bei kels viešojo transporto paslaugų kokybę vietinio     </w:t>
                  </w:r>
                </w:p>
                <w:p>
                  <w:pPr>
                    <w:suppressAutoHyphens/>
                    <w:spacing w:line="360" w:lineRule="auto"/>
                    <w:jc w:val="both"/>
                    <w:rPr>
                      <w:rFonts w:eastAsia="SimSun"/>
                      <w:b/>
                      <w:bCs/>
                      <w:color w:val="000000"/>
                      <w:szCs w:val="24"/>
                      <w:highlight w:val="white"/>
                      <w:lang w:eastAsia="zh-CN"/>
                    </w:rPr>
                  </w:pPr>
                  <w:r>
                    <w:rPr>
                      <w:rFonts w:eastAsia="SimSun"/>
                      <w:bCs/>
                      <w:color w:val="000000"/>
                      <w:szCs w:val="24"/>
                      <w:highlight w:val="white"/>
                      <w:lang w:eastAsia="zh-CN"/>
                    </w:rPr>
                    <w:t>(priemiesčio) susisiekimo maršrutais bei užsakomaisiais reisais.</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2023 metais ir toliau bus stengiamasi atnaujinti transporto priemones, sudaryti patrauklias darbo sąlygas darbuotojams, bus skatinamas jų tobulėjimas kokybiškam klientų aptarnavimui, analizuojami keleivių srautai maršrutuose, nagrinėjamos ir kontroliuojamos Bendrovės išlaidos ir kaštai.</w:t>
                  </w:r>
                </w:p>
                <w:p>
                  <w:pPr>
                    <w:suppressAutoHyphens/>
                    <w:spacing w:line="360" w:lineRule="auto"/>
                    <w:ind w:firstLine="744"/>
                    <w:jc w:val="both"/>
                    <w:rPr>
                      <w:rFonts w:eastAsia="SimSun"/>
                      <w:b/>
                      <w:bCs/>
                      <w:color w:val="000000"/>
                      <w:szCs w:val="24"/>
                      <w:highlight w:val="white"/>
                      <w:lang w:eastAsia="zh-CN"/>
                    </w:rPr>
                  </w:pPr>
                  <w:r>
                    <w:rPr>
                      <w:rFonts w:eastAsia="SimSun"/>
                      <w:bCs/>
                      <w:color w:val="000000"/>
                      <w:szCs w:val="24"/>
                      <w:highlight w:val="white"/>
                      <w:lang w:eastAsia="zh-CN"/>
                    </w:rPr>
                    <w:t>Sieksime pagrindinio tikslo – užtikrinti pelningą veiklą.</w:t>
                  </w:r>
                </w:p>
                <w:p>
                  <w:pPr>
                    <w:suppressAutoHyphens/>
                    <w:spacing w:line="360" w:lineRule="auto"/>
                    <w:jc w:val="both"/>
                    <w:rPr>
                      <w:rFonts w:eastAsia="SimSun"/>
                      <w:bCs/>
                      <w:szCs w:val="24"/>
                      <w:highlight w:val="white"/>
                      <w:lang w:eastAsia="zh-CN"/>
                    </w:rPr>
                  </w:pPr>
                </w:p>
                <w:p>
                  <w:pPr>
                    <w:tabs>
                      <w:tab w:val="left" w:pos="0"/>
                    </w:tabs>
                    <w:suppressAutoHyphens/>
                    <w:spacing w:line="100" w:lineRule="atLeast"/>
                    <w:ind w:left="432" w:hanging="432"/>
                    <w:jc w:val="center"/>
                    <w:rPr>
                      <w:rFonts w:eastAsia="SimSun"/>
                      <w:szCs w:val="24"/>
                      <w:highlight w:val="white"/>
                      <w:lang w:eastAsia="zh-CN"/>
                    </w:rPr>
                  </w:pPr>
                </w:p>
                <w:p>
                  <w:pPr>
                    <w:suppressAutoHyphens/>
                    <w:spacing w:line="360" w:lineRule="auto"/>
                    <w:ind w:firstLine="2728"/>
                    <w:rPr>
                      <w:rFonts w:eastAsia="SimSun"/>
                      <w:b/>
                      <w:bCs/>
                      <w:color w:val="000000"/>
                      <w:szCs w:val="24"/>
                      <w:highlight w:val="white"/>
                      <w:lang w:eastAsia="zh-CN"/>
                    </w:rPr>
                  </w:pPr>
                </w:p>
              </w:sdtContent>
            </w:sdt>
          </w:sdtContent>
        </w:sdt>
        <w:sdt>
          <w:sdtPr>
            <w:alias w:val="signatura"/>
            <w:tag w:val="part_7ff2eb07a7434a8190deaa1f14b80b41"/>
            <w:lock w:val="sdtLocked"/>
            <w:richText/>
          </w:sdtPr>
          <w:sdtContent>
            <w:p>
              <w:pPr>
                <w:suppressAutoHyphens/>
                <w:spacing w:line="360" w:lineRule="auto"/>
                <w:jc w:val="both"/>
                <w:rPr>
                  <w:rFonts w:eastAsia="SimSun"/>
                  <w:b/>
                  <w:bCs/>
                  <w:color w:val="000000"/>
                  <w:szCs w:val="24"/>
                  <w:highlight w:val="white"/>
                  <w:lang w:eastAsia="zh-CN"/>
                </w:rPr>
              </w:pPr>
              <w:r>
                <w:rPr>
                  <w:rFonts w:eastAsia="SimSun"/>
                  <w:bCs/>
                  <w:szCs w:val="24"/>
                  <w:highlight w:val="white"/>
                  <w:lang w:eastAsia="zh-CN"/>
                </w:rPr>
                <w:t xml:space="preserve">Direktorius                                                                                                                Virgilijus Braknys</w:t>
              </w:r>
            </w:p>
            <w:p>
              <w:pPr>
                <w:suppressAutoHyphens/>
                <w:spacing w:line="360" w:lineRule="auto"/>
                <w:jc w:val="both"/>
                <w:rPr>
                  <w:rFonts w:eastAsia="SimSun"/>
                  <w:bCs/>
                  <w:color w:val="FF0000"/>
                  <w:szCs w:val="24"/>
                  <w:highlight w:val="white"/>
                  <w:lang w:eastAsia="zh-CN"/>
                </w:rPr>
              </w:pPr>
            </w:p>
            <w:p>
              <w:pPr>
                <w:suppressAutoHyphens/>
                <w:spacing w:line="100" w:lineRule="atLeast"/>
                <w:jc w:val="right"/>
                <w:rPr>
                  <w:rFonts w:eastAsia="SimSun"/>
                  <w:bCs/>
                  <w:color w:val="FF0000"/>
                  <w:szCs w:val="24"/>
                  <w:highlight w:val="white"/>
                  <w:lang w:eastAsia="zh-CN"/>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charSpace="-65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separator/>
      </w:r>
    </w:p>
  </w:endnote>
  <w:endnote w:type="continuationSeparator" w:id="0">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spacing w:line="100" w:lineRule="atLeast"/>
      <w:jc w:val="right"/>
      <w:rPr>
        <w:rFonts w:eastAsia="SimSun"/>
        <w:b/>
        <w:bCs/>
        <w:color w:val="000000"/>
        <w:szCs w:val="24"/>
        <w:highlight w:val="white"/>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spacing w:line="100" w:lineRule="atLeast"/>
      <w:jc w:val="right"/>
      <w:rPr>
        <w:rFonts w:eastAsia="SimSun"/>
        <w:b/>
        <w:bCs/>
        <w:color w:val="000000"/>
        <w:szCs w:val="24"/>
        <w:highlight w:val="white"/>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spacing w:line="100" w:lineRule="atLeast"/>
      <w:jc w:val="right"/>
      <w:rPr>
        <w:rFonts w:eastAsia="SimSun"/>
        <w:b/>
        <w:bCs/>
        <w:color w:val="000000"/>
        <w:szCs w:val="24"/>
        <w:highlight w:val="white"/>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separator/>
      </w:r>
    </w:p>
  </w:footnote>
  <w:footnote w:type="continuationSeparator" w:id="0">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spacing w:line="100" w:lineRule="atLeast"/>
      <w:jc w:val="right"/>
      <w:rPr>
        <w:rFonts w:eastAsia="SimSun"/>
        <w:b/>
        <w:bCs/>
        <w:color w:val="000000"/>
        <w:szCs w:val="24"/>
        <w:highlight w:val="white"/>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spacing w:line="100" w:lineRule="atLeast"/>
      <w:jc w:val="center"/>
      <w:rPr>
        <w:rFonts w:eastAsia="SimSun"/>
        <w:b/>
        <w:bCs/>
        <w:color w:val="000000"/>
        <w:szCs w:val="24"/>
        <w:highlight w:val="white"/>
        <w:lang w:eastAsia="zh-CN"/>
      </w:rPr>
    </w:pPr>
    <w:r>
      <w:rPr>
        <w:rFonts w:eastAsia="SimSun"/>
        <w:b/>
        <w:bCs/>
        <w:color w:val="000000"/>
        <w:szCs w:val="24"/>
        <w:highlight w:val="white"/>
        <w:lang w:eastAsia="zh-CN"/>
      </w:rPr>
      <w:fldChar w:fldCharType="begin"/>
    </w:r>
    <w:r>
      <w:rPr>
        <w:rFonts w:eastAsia="SimSun"/>
        <w:b/>
        <w:bCs/>
        <w:color w:val="000000"/>
        <w:szCs w:val="24"/>
        <w:highlight w:val="white"/>
        <w:lang w:eastAsia="zh-CN"/>
      </w:rPr>
      <w:instrText xml:space="preserve"> PAGE </w:instrText>
    </w:r>
    <w:r>
      <w:rPr>
        <w:rFonts w:eastAsia="SimSun"/>
        <w:b/>
        <w:bCs/>
        <w:color w:val="000000"/>
        <w:szCs w:val="24"/>
        <w:highlight w:val="white"/>
        <w:lang w:eastAsia="zh-CN"/>
      </w:rPr>
      <w:fldChar w:fldCharType="separate"/>
    </w:r>
    <w:r>
      <w:rPr>
        <w:rFonts w:eastAsia="SimSun"/>
        <w:b/>
        <w:bCs/>
        <w:color w:val="000000"/>
        <w:szCs w:val="24"/>
        <w:highlight w:val="white"/>
        <w:lang w:eastAsia="zh-CN"/>
      </w:rPr>
      <w:t>10</w:t>
    </w:r>
    <w:r>
      <w:rPr>
        <w:rFonts w:eastAsia="SimSun"/>
        <w:b/>
        <w:bCs/>
        <w:color w:val="000000"/>
        <w:szCs w:val="24"/>
        <w:highlight w:val="white"/>
        <w:lang w:eastAsia="zh-CN"/>
      </w:rPr>
      <w:fldChar w:fldCharType="end"/>
    </w:r>
  </w:p>
  <w:p>
    <w:pPr>
      <w:suppressLineNumbers/>
      <w:tabs>
        <w:tab w:val="center" w:pos="4819"/>
        <w:tab w:val="right" w:pos="9638"/>
      </w:tabs>
      <w:suppressAutoHyphens/>
      <w:spacing w:line="100" w:lineRule="atLeast"/>
      <w:jc w:val="center"/>
      <w:rPr>
        <w:rFonts w:eastAsia="SimSun"/>
        <w:b/>
        <w:bCs/>
        <w:sz w:val="22"/>
        <w:szCs w:val="22"/>
        <w:highlight w:val="white"/>
        <w:lang w:eastAsia="zh-CN"/>
      </w:rPr>
    </w:pPr>
    <w:r>
      <w:rPr>
        <w:rFonts w:eastAsia="SimSun"/>
        <w:b/>
        <w:bCs/>
        <w:sz w:val="22"/>
        <w:szCs w:val="22"/>
        <w:highlight w:val="white"/>
        <w:lang w:eastAsia="zh-CN"/>
      </w:rPr>
      <w:t>Uždarosios akcinės bendrovės „Kupiškio autobusų parkas“ 2022 metų veiklos ataskaita</w:t>
    </w:r>
  </w:p>
  <w:p>
    <w:pPr>
      <w:suppressLineNumbers/>
      <w:tabs>
        <w:tab w:val="center" w:pos="4819"/>
        <w:tab w:val="right" w:pos="9638"/>
      </w:tabs>
      <w:suppressAutoHyphens/>
      <w:spacing w:line="100" w:lineRule="atLeast"/>
      <w:jc w:val="center"/>
      <w:rPr>
        <w:rFonts w:eastAsia="SimSun"/>
        <w:b/>
        <w:bCs/>
        <w:color w:val="000000"/>
        <w:szCs w:val="24"/>
        <w:highlight w:val="white"/>
        <w:lang w:eastAsia="zh-CN"/>
      </w:rPr>
    </w:pPr>
    <w:r>
      <w:rPr>
        <w:rFonts w:eastAsia="SimSun"/>
        <w:b/>
        <w:bCs/>
        <w:sz w:val="22"/>
        <w:szCs w:val="22"/>
        <w:highlight w:val="white"/>
        <w:lang w:eastAsia="zh-CN"/>
      </w:rPr>
      <w:t>-----------------------------------------------------------------------------------------------------------------------------------</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spacing w:line="100" w:lineRule="atLeast"/>
      <w:jc w:val="right"/>
      <w:rPr>
        <w:rFonts w:eastAsia="SimSun"/>
        <w:b/>
        <w:bCs/>
        <w:color w:val="000000"/>
        <w:szCs w:val="24"/>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8"/>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1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2A585A0F-6DB3-40C2-A538-365B85536EB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f34bfc3b864a97af42aff03c5415a7" PartId="195d2181738e4efdb293e99181cbb0d6">
    <Part Type="preambule" DocPartId="f5a0cd19f8964e2d80d4249826306e4d" PartId="ea3994bba66f4b298df7d0f73bd700d1"/>
    <Part Type="skirsnis" Title="ĮSTATINIS KAPITALAS" DocPartId="9e74585540014705bc7a9f4de6cdef60" PartId="452d65422b2b4125b64911bc46e63457"/>
    <Part Type="dalis" Nr="999" DocPartId="7b5227e71fe442cc837b04060e6b07b2" PartId="dfe74b5cc13c4bd2a4ea1022a99fb633">
      <Part Type="skirsnis" Title="BENDROVĖS ORGANIZACINĖ STRUKTŪRA IR VALDYMAS" DocPartId="8bdc19c828f148dcacda0a95a5a5ab88" PartId="199fdd1e5d7541acb931a6502220fbcf"/>
      <Part Type="skirsnis" Title="TRANSPORTO PRIEMONIŲ PARKO ANALIZĖ" DocPartId="7598d2d6bb5a40f9aafed60f3eb1c04d" PartId="f1998bb9fc2141788d39e5401fc1d66c"/>
      <Part Type="skirsnis" Title="BENDROVĖS VEIKLA" DocPartId="32f86926bf8f4e719eff994df8979f68" PartId="0cf444f992cb41cb82c751519a2d095a">
        <Part Type="lentele" Title="Keleivių pervežimo rodikliai" DocPartId="50abcf1f6fb44e309bfef6e89f584f69" PartId="7f4c057d7ecb4268a035feaeda4c25ed"/>
        <Part Type="pastraipa" DocPartId="cfb2c8dcef3e4a62a3a788acbe98e35e" PartId="2ecd434b97c045bda83cf5338a1ce7a1"/>
        <Part Type="lentele" Title="Pervežtų keleivių skaičius" DocPartId="02f34826b5d34e1ca45be384b2b632f7" PartId="4b47f80a781045bf93795be05da34013"/>
        <Part Type="lentele" Title="Pervežtų keleivių skaičius pagal kategorijas" DocPartId="4129292874d843bc96542ae8a9eafb48" PartId="6c87383c026a46818042401017ea84e1"/>
        <Part Type="lentele" Title="Pervežtų mokinių skaičius" DocPartId="60e0f1b1fbd945c3bf55e4f4f54aec71" PartId="0bc59dd5274d4c5bb196f18abf69ae84"/>
        <Part Type="pastraipa" DocPartId="defab424055542e6bbcc0221fbcd91bb" PartId="415c518cbf3442de8009539c823718a6"/>
        <Part Type="lentele" Title="Pajamų ir sąnaudų palyginamieji rodikliai (Eur)" DocPartId="561bffb6f816474788197589392923b6" PartId="abb33cc523a3412786df8d07f24c5c18"/>
        <Part Type="pastraipa" DocPartId="5c7021e915f342f98fdce56c7e6a1004" PartId="ba0d4f789fe147e49812c52329e765bf"/>
        <Part Type="lentele" Title="Finansiniai rodikliai (Eur" DocPartId="4934310ecedb424b98e53d2be268468e" PartId="63ae206d1b734a2592f341da72280a7d"/>
        <Part Type="lentele" Title="Pelnas (nuostoliai) (Eur)" DocPartId="b73dddbd298346979e3c88ce3ba894bd" PartId="41602be6771b40aca343d3f0cca020ce"/>
        <Part Type="pastraipa" DocPartId="cbbe2e52efa7439b9d563987f853b957" PartId="5f45e75ab2914c20a9c3bad6505bffb3"/>
        <Part Type="pastraipa" DocPartId="c3381b414d3c4a08862f51ea36c4fb84" PartId="ee9ebc8de185476baf7931fa640ee7e2"/>
        <Part Type="pastraipa" DocPartId="cb4d7de547a742acab8ab946ad07ecdc" PartId="f355a581929c4741ad3a095404559afd"/>
      </Part>
      <Part Type="skirsnis" Title="Kitos pagrindinės veiklos paslaugos" DocPartId="f7ab0b77d7df4308a847e176844fd5ce" PartId="c182fbb471be4795b00d6d8cb989946a"/>
      <Part Type="skirsnis" Title="PATIKRINIMAI" DocPartId="6701d509ce3c417da8afc7b796583fe7" PartId="c93c769ed79440da8ab0f9f14a2e267b"/>
      <Part Type="skirsnis" Title="VEIKLOS PLANAI IR PROGNOZĖS" DocPartId="40f1cf7bffae4dbba4bf6824a0dd1b96" PartId="361b66e372f14fe08f18364d31631596"/>
    </Part>
    <Part Type="signatura" DocPartId="9c3d6593879e4c9a929d75e37f669a1b" PartId="7ff2eb07a7434a8190deaa1f14b80b41"/>
  </Part>
</Parts>
</file>

<file path=customXml/itemProps1.xml><?xml version="1.0" encoding="utf-8"?>
<ds:datastoreItem xmlns:ds="http://schemas.openxmlformats.org/officeDocument/2006/customXml" ds:itemID="{E311186F-4AB9-4ADF-B6FF-79DA73171D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2945</Words>
  <Characters>19732</Characters>
  <Application>Microsoft Office Word</Application>
  <DocSecurity>4</DocSecurity>
  <Lines>896</Lines>
  <Paragraphs>687</Paragraphs>
  <ScaleCrop>false</ScaleCrop>
  <HeadingPairs>
    <vt:vector size="2" baseType="variant">
      <vt:variant>
        <vt:lpstr>Pavadinimas</vt:lpstr>
      </vt:variant>
      <vt:variant>
        <vt:i4>1</vt:i4>
      </vt:variant>
    </vt:vector>
  </HeadingPairs>
  <TitlesOfParts>
    <vt:vector size="1" baseType="lpstr">
      <vt:lpstr>UŽDAROSIOS AKCINĖS BENDROVĖS ,,KUPIŠKIO AUTOBUSŲ PARKAS“</vt:lpstr>
    </vt:vector>
  </TitlesOfParts>
  <Company/>
  <LinksUpToDate>false</LinksUpToDate>
  <CharactersWithSpaces>21990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2023-03-30T13:08:00Z</dcterms:created>
  <dc:creator>Rasa</dc:creator>
  <lastModifiedBy>adlibuser</lastModifiedBy>
  <lastPrinted>2023-03-15T13:20:00Z</lastPrinted>
  <dcterms:modified xsi:type="dcterms:W3CDTF">2023-03-30T13:08:00Z</dcterms:modified>
  <revision>2</revision>
  <dc:title>UŽDAROSIOS AKCINĖS BENDROVĖS ,,KUPIŠKIO AUTOBUSŲ PARKAS“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KSOProductBuildVer">
    <vt:lpwstr>1033-8.1.0.3387</vt:lpwstr>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