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B559F" w14:textId="5180C3F2" w:rsidR="00E02812" w:rsidRDefault="005068FA" w:rsidP="00B91830">
      <w:pPr>
        <w:ind w:left="8505"/>
        <w:rPr>
          <w:b/>
          <w:szCs w:val="24"/>
        </w:rPr>
      </w:pPr>
      <w:r>
        <w:rPr>
          <w:b/>
          <w:szCs w:val="24"/>
        </w:rPr>
        <w:t xml:space="preserve">Projektas </w:t>
      </w:r>
    </w:p>
    <w:p w14:paraId="53E9F02E" w14:textId="77777777" w:rsidR="00E02812" w:rsidRDefault="00E02812">
      <w:pPr>
        <w:ind w:left="6480"/>
        <w:rPr>
          <w:b/>
          <w:szCs w:val="24"/>
        </w:rPr>
      </w:pPr>
    </w:p>
    <w:p w14:paraId="01B311EC" w14:textId="77777777" w:rsidR="00E02812" w:rsidRDefault="00E02812">
      <w:pPr>
        <w:jc w:val="center"/>
        <w:rPr>
          <w:b/>
          <w:szCs w:val="24"/>
        </w:rPr>
      </w:pPr>
    </w:p>
    <w:p w14:paraId="4DC33B96" w14:textId="77777777" w:rsidR="00E02812" w:rsidRDefault="005068FA">
      <w:pPr>
        <w:jc w:val="center"/>
        <w:rPr>
          <w:b/>
          <w:szCs w:val="24"/>
        </w:rPr>
      </w:pPr>
      <w:r>
        <w:rPr>
          <w:b/>
          <w:szCs w:val="24"/>
        </w:rPr>
        <w:t>LIETUVOS RESPUBLIKOS</w:t>
      </w:r>
    </w:p>
    <w:p w14:paraId="55D1D3D1" w14:textId="35769A9A" w:rsidR="00E02812" w:rsidRDefault="005068FA">
      <w:pPr>
        <w:jc w:val="center"/>
        <w:rPr>
          <w:b/>
          <w:szCs w:val="24"/>
        </w:rPr>
      </w:pPr>
      <w:r>
        <w:rPr>
          <w:b/>
          <w:szCs w:val="24"/>
        </w:rPr>
        <w:t xml:space="preserve">SAUGOMŲ TERITORIJŲ ĮSTATYMO NR. I-301 2, 20, 27, 30, 33 IR 34 STRAIPSNIŲ PAKEITIMO </w:t>
      </w:r>
    </w:p>
    <w:p w14:paraId="6DB7E019" w14:textId="77777777" w:rsidR="00E02812" w:rsidRDefault="005068FA">
      <w:pPr>
        <w:jc w:val="center"/>
        <w:rPr>
          <w:b/>
          <w:szCs w:val="24"/>
        </w:rPr>
      </w:pPr>
      <w:r>
        <w:rPr>
          <w:b/>
          <w:szCs w:val="24"/>
        </w:rPr>
        <w:t>ĮSTATYMAS</w:t>
      </w:r>
    </w:p>
    <w:p w14:paraId="421D23DB" w14:textId="77777777" w:rsidR="00E02812" w:rsidRDefault="00E02812">
      <w:pPr>
        <w:jc w:val="center"/>
        <w:rPr>
          <w:b/>
          <w:szCs w:val="24"/>
        </w:rPr>
      </w:pPr>
    </w:p>
    <w:p w14:paraId="72F55D4D" w14:textId="441A0956" w:rsidR="00E02812" w:rsidRDefault="005068FA">
      <w:pPr>
        <w:jc w:val="center"/>
        <w:rPr>
          <w:szCs w:val="24"/>
        </w:rPr>
      </w:pPr>
      <w:r>
        <w:rPr>
          <w:szCs w:val="24"/>
        </w:rPr>
        <w:t xml:space="preserve">2019 </w:t>
      </w:r>
      <w:proofErr w:type="spellStart"/>
      <w:r>
        <w:rPr>
          <w:szCs w:val="24"/>
        </w:rPr>
        <w:t>m</w:t>
      </w:r>
      <w:proofErr w:type="spellEnd"/>
      <w:r>
        <w:rPr>
          <w:szCs w:val="24"/>
        </w:rPr>
        <w:t>.</w:t>
      </w:r>
      <w:r>
        <w:rPr>
          <w:szCs w:val="24"/>
        </w:rPr>
        <w:tab/>
      </w:r>
      <w:r>
        <w:rPr>
          <w:szCs w:val="24"/>
        </w:rPr>
        <w:tab/>
      </w:r>
      <w:proofErr w:type="spellStart"/>
      <w:r>
        <w:rPr>
          <w:szCs w:val="24"/>
        </w:rPr>
        <w:t>d</w:t>
      </w:r>
      <w:proofErr w:type="spellEnd"/>
      <w:r>
        <w:rPr>
          <w:szCs w:val="24"/>
        </w:rPr>
        <w:t xml:space="preserve">. </w:t>
      </w:r>
      <w:proofErr w:type="spellStart"/>
      <w:r>
        <w:rPr>
          <w:szCs w:val="24"/>
        </w:rPr>
        <w:t>Nr</w:t>
      </w:r>
      <w:proofErr w:type="spellEnd"/>
      <w:r>
        <w:rPr>
          <w:szCs w:val="24"/>
        </w:rPr>
        <w:t>.</w:t>
      </w:r>
    </w:p>
    <w:p w14:paraId="4A093D85" w14:textId="77777777" w:rsidR="00E02812" w:rsidRDefault="005068FA">
      <w:pPr>
        <w:jc w:val="center"/>
        <w:rPr>
          <w:szCs w:val="24"/>
        </w:rPr>
      </w:pPr>
      <w:r>
        <w:rPr>
          <w:szCs w:val="24"/>
        </w:rPr>
        <w:t>Vilnius</w:t>
      </w:r>
    </w:p>
    <w:p w14:paraId="5F89FC8B" w14:textId="77777777" w:rsidR="00E02812" w:rsidRDefault="00E02812">
      <w:pPr>
        <w:ind w:firstLine="567"/>
        <w:jc w:val="both"/>
        <w:rPr>
          <w:sz w:val="22"/>
          <w:szCs w:val="22"/>
        </w:rPr>
      </w:pPr>
    </w:p>
    <w:p w14:paraId="4BAA498C" w14:textId="77777777" w:rsidR="00E02812" w:rsidRDefault="005068FA">
      <w:pPr>
        <w:ind w:firstLine="567"/>
        <w:jc w:val="both"/>
        <w:rPr>
          <w:b/>
          <w:szCs w:val="24"/>
          <w:lang w:eastAsia="lt-LT"/>
        </w:rPr>
      </w:pPr>
      <w:r>
        <w:rPr>
          <w:b/>
          <w:szCs w:val="24"/>
          <w:lang w:eastAsia="lt-LT"/>
        </w:rPr>
        <w:t>1 straipsnis. 2 straipsnio pakeitimas</w:t>
      </w:r>
    </w:p>
    <w:p w14:paraId="5ED44CA9" w14:textId="77777777" w:rsidR="00E02812" w:rsidRDefault="005068FA">
      <w:pPr>
        <w:ind w:firstLine="567"/>
        <w:jc w:val="both"/>
        <w:rPr>
          <w:szCs w:val="24"/>
          <w:lang w:eastAsia="lt-LT"/>
        </w:rPr>
      </w:pPr>
      <w:r>
        <w:rPr>
          <w:szCs w:val="24"/>
          <w:lang w:eastAsia="lt-LT"/>
        </w:rPr>
        <w:t>Pripažinti netekusia galios 2 straipsnio 44 dalį.</w:t>
      </w:r>
    </w:p>
    <w:p w14:paraId="0D559FDB" w14:textId="77777777" w:rsidR="00E02812" w:rsidRDefault="00E02812">
      <w:pPr>
        <w:ind w:firstLine="567"/>
        <w:jc w:val="both"/>
        <w:rPr>
          <w:szCs w:val="24"/>
        </w:rPr>
      </w:pPr>
    </w:p>
    <w:p w14:paraId="25DAD974" w14:textId="77777777" w:rsidR="00E02812" w:rsidRDefault="005068FA">
      <w:pPr>
        <w:ind w:firstLine="567"/>
        <w:rPr>
          <w:b/>
          <w:szCs w:val="24"/>
        </w:rPr>
      </w:pPr>
      <w:r>
        <w:rPr>
          <w:b/>
          <w:szCs w:val="24"/>
        </w:rPr>
        <w:t>2 straipsnis. 20 straipsnio pakeitimas</w:t>
      </w:r>
    </w:p>
    <w:p w14:paraId="57D50EBB" w14:textId="77777777" w:rsidR="00E02812" w:rsidRDefault="005068FA">
      <w:pPr>
        <w:ind w:firstLine="567"/>
        <w:rPr>
          <w:szCs w:val="24"/>
        </w:rPr>
      </w:pPr>
      <w:r>
        <w:rPr>
          <w:szCs w:val="24"/>
        </w:rPr>
        <w:t>Pakeisti 20 straipsnio 9 dalį ir ją išdėstyti taip:</w:t>
      </w:r>
    </w:p>
    <w:p w14:paraId="23A302BD" w14:textId="5E5529E1" w:rsidR="00E02812" w:rsidRDefault="005068FA">
      <w:pPr>
        <w:ind w:firstLine="567"/>
        <w:jc w:val="both"/>
        <w:rPr>
          <w:szCs w:val="24"/>
          <w:lang w:eastAsia="lt-LT"/>
        </w:rPr>
      </w:pPr>
      <w:r>
        <w:rPr>
          <w:color w:val="000000"/>
          <w:szCs w:val="24"/>
          <w:lang w:eastAsia="lt-LT"/>
        </w:rPr>
        <w:t>„9. Jeigu dėl įvykusios kranto erozijos (vandens telkinio kranto linijos pasislinkimo) nebeužtikrinamas šio straipsnio 8 dalyje nurodytas reikalavimas dėl užtvėrimų nebuvimo, žemės savininkas ar valdytojas gali imtis priemonių atkurti erozijos pažeistą pakrantę. Jeigu pakrantės atkūrimo priemonės nevykdomos, užvėrimai iš šio straipsnio 8 dalies 1 ir 2 punkte nurodyto pločio pakrantės dalies turi būti pašalinti per vienerius metus nuo kranto erozijos fakto paaiškėjimo. Kranto erozijos fakto paaiškėjimo momentu laikomas aplinkos apsaugos valstybinės kontrolės pareigūno surašytas aktas, kuriuo, įvertinus kranto būklę ir erozijos tendencijas, konstatuojama, kad reikalavimas dėl užtvėrimų pakrantėje nebuvimo neįvykdomas dėl įvykusios kranto erozijos.“</w:t>
      </w:r>
    </w:p>
    <w:p w14:paraId="6D0FDDE8" w14:textId="77777777" w:rsidR="00E02812" w:rsidRDefault="00E02812">
      <w:pPr>
        <w:ind w:firstLine="567"/>
        <w:jc w:val="both"/>
        <w:rPr>
          <w:b/>
          <w:szCs w:val="24"/>
        </w:rPr>
      </w:pPr>
    </w:p>
    <w:p w14:paraId="31EB59E5" w14:textId="3CC40241" w:rsidR="00E02812" w:rsidRDefault="005068FA">
      <w:pPr>
        <w:ind w:firstLine="567"/>
        <w:jc w:val="both"/>
        <w:rPr>
          <w:b/>
          <w:szCs w:val="24"/>
        </w:rPr>
      </w:pPr>
      <w:r>
        <w:rPr>
          <w:b/>
          <w:szCs w:val="24"/>
        </w:rPr>
        <w:t>3 straipsnis. 27 straipsnio pakeitimas</w:t>
      </w:r>
    </w:p>
    <w:p w14:paraId="2CE47F5C" w14:textId="77777777" w:rsidR="00E02812" w:rsidRDefault="005068FA">
      <w:pPr>
        <w:ind w:firstLine="567"/>
        <w:jc w:val="both"/>
        <w:rPr>
          <w:szCs w:val="24"/>
        </w:rPr>
      </w:pPr>
      <w:r>
        <w:rPr>
          <w:szCs w:val="24"/>
        </w:rPr>
        <w:t>Pakeisti 27 straipsnio 8 dalies 7 punktą ir jį išdėstyti taip:</w:t>
      </w:r>
    </w:p>
    <w:p w14:paraId="54F6A5BE" w14:textId="0C6FFA15" w:rsidR="00E02812" w:rsidRDefault="005068FA">
      <w:pPr>
        <w:ind w:firstLine="567"/>
        <w:jc w:val="both"/>
        <w:rPr>
          <w:szCs w:val="24"/>
          <w:lang w:eastAsia="lt-LT"/>
        </w:rPr>
      </w:pPr>
      <w:r>
        <w:rPr>
          <w:szCs w:val="24"/>
        </w:rPr>
        <w:t>„</w:t>
      </w:r>
      <w:r>
        <w:rPr>
          <w:szCs w:val="24"/>
          <w:lang w:eastAsia="lt-LT"/>
        </w:rPr>
        <w:t xml:space="preserve">7) vykdo prevencinę veiklą </w:t>
      </w:r>
      <w:r>
        <w:rPr>
          <w:color w:val="000000"/>
          <w:szCs w:val="24"/>
          <w:lang w:eastAsia="lt-LT"/>
        </w:rPr>
        <w:t>saugomos teritorijos apsaugos ir naudojimo tvarkos</w:t>
      </w:r>
      <w:r>
        <w:rPr>
          <w:szCs w:val="24"/>
          <w:lang w:eastAsia="lt-LT"/>
        </w:rPr>
        <w:t xml:space="preserve"> pažeidimams išvengti;“</w:t>
      </w:r>
    </w:p>
    <w:p w14:paraId="16BE8401" w14:textId="77777777" w:rsidR="00E02812" w:rsidRDefault="00E02812">
      <w:pPr>
        <w:ind w:firstLine="567"/>
        <w:jc w:val="both"/>
        <w:rPr>
          <w:b/>
          <w:szCs w:val="24"/>
        </w:rPr>
      </w:pPr>
    </w:p>
    <w:p w14:paraId="43161E04" w14:textId="34A411C1" w:rsidR="00E02812" w:rsidRDefault="005068FA">
      <w:pPr>
        <w:ind w:firstLine="567"/>
        <w:jc w:val="both"/>
        <w:rPr>
          <w:b/>
          <w:szCs w:val="24"/>
        </w:rPr>
      </w:pPr>
      <w:r>
        <w:rPr>
          <w:b/>
          <w:szCs w:val="24"/>
        </w:rPr>
        <w:t>4 straipsnis. 30 straipsnio pakeitimas</w:t>
      </w:r>
    </w:p>
    <w:p w14:paraId="428A6787" w14:textId="35E5D741" w:rsidR="00E02812" w:rsidRDefault="005068FA">
      <w:pPr>
        <w:ind w:firstLine="567"/>
        <w:jc w:val="both"/>
        <w:rPr>
          <w:szCs w:val="24"/>
        </w:rPr>
      </w:pPr>
      <w:r>
        <w:rPr>
          <w:szCs w:val="24"/>
        </w:rPr>
        <w:t>Pakeisti 30 straipsnį ir jį išdėstyti taip:</w:t>
      </w:r>
    </w:p>
    <w:p w14:paraId="52B28B58" w14:textId="1B0752C2" w:rsidR="00E02812" w:rsidRDefault="005068FA">
      <w:pPr>
        <w:keepNext/>
        <w:ind w:firstLine="567"/>
        <w:jc w:val="both"/>
        <w:outlineLvl w:val="4"/>
        <w:rPr>
          <w:b/>
          <w:color w:val="000000"/>
          <w:kern w:val="22"/>
          <w:szCs w:val="24"/>
        </w:rPr>
      </w:pPr>
      <w:r>
        <w:rPr>
          <w:b/>
          <w:color w:val="000000"/>
          <w:kern w:val="22"/>
          <w:szCs w:val="24"/>
        </w:rPr>
        <w:t>„30 straipsnis. Valstybinės saugomų teritorijų kontrolės organizavimas</w:t>
      </w:r>
    </w:p>
    <w:p w14:paraId="48181897" w14:textId="3D773E81" w:rsidR="00E02812" w:rsidRDefault="005068FA">
      <w:pPr>
        <w:ind w:firstLine="720"/>
        <w:jc w:val="both"/>
        <w:rPr>
          <w:strike/>
          <w:color w:val="000000"/>
          <w:szCs w:val="24"/>
        </w:rPr>
      </w:pPr>
      <w:r>
        <w:rPr>
          <w:color w:val="000000"/>
          <w:szCs w:val="24"/>
        </w:rPr>
        <w:t>1. Žemės naudojimo ir žemės savininkų, valdytojų bei naudotojų, gamtos išteklių naudotojų ir lankytojų veiklos, reglamentuojamos pagal šio Įstatymo 5 straipsnyje nurodytus veiklos saugomose teritorijose reglamentavimo dokumentus, kontrolę saugomose teritorijose pagal kompetenciją vykdo aplinkos apsaugos valstybinės kontrolės pareigūnai, valstybiniai žemės tarnybų pareigūnai, teritorijų planavimo valstybinės priežiūros institucijų ir statybos valstybinės priežiūros pareigūnai ir nekilnojamojo kultūros paveldo apsaugos pareigūnai.</w:t>
      </w:r>
      <w:r>
        <w:rPr>
          <w:strike/>
          <w:szCs w:val="24"/>
        </w:rPr>
        <w:t xml:space="preserve"> </w:t>
      </w:r>
    </w:p>
    <w:p w14:paraId="5F743A09" w14:textId="2CA52171" w:rsidR="00E02812" w:rsidRDefault="005068FA">
      <w:pPr>
        <w:ind w:firstLine="709"/>
        <w:jc w:val="both"/>
        <w:rPr>
          <w:szCs w:val="24"/>
        </w:rPr>
      </w:pPr>
      <w:r>
        <w:rPr>
          <w:szCs w:val="24"/>
        </w:rPr>
        <w:t xml:space="preserve">2. Valstybinė saugomų teritorijų kontrolė aplinkos apsaugos ir gamtos išteklių naudojimo srityje organizuojama kaip sudėtinė aplinkos apsaugos valstybinės kontrolės dalis, vadovaujantis Aplinkos apsaugos valstybinės kontrolės įstatymo nuostatomis. </w:t>
      </w:r>
    </w:p>
    <w:p w14:paraId="6714CC8A" w14:textId="5E2380C3" w:rsidR="00E02812" w:rsidRDefault="005068FA">
      <w:pPr>
        <w:ind w:firstLine="720"/>
        <w:jc w:val="both"/>
        <w:rPr>
          <w:color w:val="000000"/>
          <w:szCs w:val="24"/>
        </w:rPr>
      </w:pPr>
      <w:r>
        <w:rPr>
          <w:color w:val="000000"/>
          <w:szCs w:val="24"/>
        </w:rPr>
        <w:t xml:space="preserve">3. Vyriausybės įgaliotos institucijos vykdo: </w:t>
      </w:r>
    </w:p>
    <w:p w14:paraId="23F7BC1A" w14:textId="6FCFBA6A" w:rsidR="00E02812" w:rsidRDefault="005068FA">
      <w:pPr>
        <w:ind w:firstLine="720"/>
        <w:jc w:val="both"/>
        <w:rPr>
          <w:color w:val="000000"/>
          <w:szCs w:val="24"/>
        </w:rPr>
      </w:pPr>
      <w:r>
        <w:rPr>
          <w:color w:val="000000"/>
          <w:szCs w:val="24"/>
        </w:rPr>
        <w:t>1) valstybinę saugomų teritorijų kontrolę;</w:t>
      </w:r>
    </w:p>
    <w:p w14:paraId="71F7EF7C" w14:textId="77777777" w:rsidR="00E02812" w:rsidRDefault="005068FA">
      <w:pPr>
        <w:ind w:firstLine="720"/>
        <w:jc w:val="both"/>
        <w:rPr>
          <w:color w:val="000000"/>
          <w:szCs w:val="24"/>
        </w:rPr>
      </w:pPr>
      <w:r>
        <w:rPr>
          <w:color w:val="000000"/>
          <w:szCs w:val="24"/>
        </w:rPr>
        <w:t>2) valstybinių rezervatų, valstybinių parkų ir biosferos rezervatų direkcijų veiklos užtikrinant nustatyto kraštovaizdžio apsaugos ir naudojimo režimo laikymąsi, kraštovaizdžio apsaugos ir tvarkymo, kitų tikslinių programų įgyvendinimą bei valstybinių saugomų teritorijų apsaugos ir naudojimo režimo valstybinę kontrolę;</w:t>
      </w:r>
    </w:p>
    <w:p w14:paraId="4FAB512C" w14:textId="77777777" w:rsidR="00E02812" w:rsidRDefault="005068FA">
      <w:pPr>
        <w:ind w:firstLine="720"/>
        <w:jc w:val="both"/>
        <w:rPr>
          <w:color w:val="000000"/>
          <w:szCs w:val="24"/>
        </w:rPr>
      </w:pPr>
      <w:r>
        <w:rPr>
          <w:color w:val="000000"/>
          <w:szCs w:val="24"/>
        </w:rPr>
        <w:t>3) saugomų teritorijų žemės naudojimo ir žemės savininkų, valdytojų ir naudotojų veiklos, susijusios su teritorijų planavimo dokumentuose nustatytais apribojimais, kontrolę.</w:t>
      </w:r>
    </w:p>
    <w:p w14:paraId="7A55D8D3" w14:textId="581EC783" w:rsidR="00E02812" w:rsidRDefault="005068FA">
      <w:pPr>
        <w:ind w:firstLine="720"/>
        <w:jc w:val="both"/>
        <w:rPr>
          <w:b/>
          <w:color w:val="000000"/>
          <w:szCs w:val="24"/>
        </w:rPr>
      </w:pPr>
      <w:r>
        <w:rPr>
          <w:color w:val="000000"/>
          <w:szCs w:val="24"/>
        </w:rPr>
        <w:t>4. Valstybiniuose parkuose, valstybiniuose draustiniuose, biosferos rezervatuose, biosferos poligonuose, valstybinių gamtinių rezervatų buferinės apsaugos zonose ir tinklo „</w:t>
      </w:r>
      <w:proofErr w:type="spellStart"/>
      <w:r>
        <w:rPr>
          <w:color w:val="000000"/>
          <w:szCs w:val="24"/>
        </w:rPr>
        <w:t>Natura</w:t>
      </w:r>
      <w:proofErr w:type="spellEnd"/>
      <w:r>
        <w:rPr>
          <w:color w:val="000000"/>
          <w:szCs w:val="24"/>
        </w:rPr>
        <w:t xml:space="preserve"> 2000“ teritorijose Vyriausybės įgaliota institucija gali drausti arba riboti sausumos motorinių transporto </w:t>
      </w:r>
      <w:r>
        <w:rPr>
          <w:color w:val="000000"/>
          <w:szCs w:val="24"/>
        </w:rPr>
        <w:lastRenderedPageBreak/>
        <w:t>priemonių ir plaukiojimo priemonių naudojimą ir judėjimą, nustatyti leidimų plaukioti plaukiojimo priemonėmis, įskaitant už mokestį, išdavimo tvarką, medžioklę, žvejybą, grybų ir augalų, taip pat jų dalių rinkimą, saugomų objektų naudojimą ir lankymą. Vyriausybės įgaliota institucija, nustatydama mokamų leidimų plaukioti plaukiojimo priemonėmis kainą, atsižvelgia į lankymui skirtos infrastruktūros išlaikymo sąnaudas ir lankytojams teikiamų paslaugų savikainą, o išimtiniais atvejais – į būtinybę reguliuoti lankytojų srautą.“</w:t>
      </w:r>
    </w:p>
    <w:p w14:paraId="4A6C20AC" w14:textId="3BBF15FD" w:rsidR="00E02812" w:rsidRDefault="00E02812">
      <w:pPr>
        <w:ind w:firstLine="567"/>
        <w:jc w:val="both"/>
        <w:rPr>
          <w:szCs w:val="24"/>
        </w:rPr>
      </w:pPr>
    </w:p>
    <w:p w14:paraId="2CBB50E5" w14:textId="6E336C9C" w:rsidR="00E02812" w:rsidRDefault="005068FA">
      <w:pPr>
        <w:ind w:firstLine="709"/>
        <w:jc w:val="both"/>
        <w:rPr>
          <w:b/>
          <w:szCs w:val="24"/>
        </w:rPr>
      </w:pPr>
      <w:r>
        <w:rPr>
          <w:b/>
          <w:szCs w:val="24"/>
        </w:rPr>
        <w:t>5 straipsnis. 33 straipsnio pakeitimas</w:t>
      </w:r>
    </w:p>
    <w:p w14:paraId="31D9966D" w14:textId="02A7F7D3" w:rsidR="00E02812" w:rsidRDefault="005068FA">
      <w:pPr>
        <w:tabs>
          <w:tab w:val="left" w:pos="567"/>
        </w:tabs>
        <w:ind w:firstLine="709"/>
        <w:jc w:val="both"/>
        <w:rPr>
          <w:szCs w:val="24"/>
          <w:lang w:eastAsia="lt-LT"/>
        </w:rPr>
      </w:pPr>
      <w:r>
        <w:rPr>
          <w:szCs w:val="24"/>
          <w:lang w:eastAsia="lt-LT"/>
        </w:rPr>
        <w:t>Pripažinti netekusiu galios 33 straipsnio 3 dalį.</w:t>
      </w:r>
    </w:p>
    <w:p w14:paraId="3B40F611" w14:textId="462CB089" w:rsidR="00E02812" w:rsidRDefault="00E02812">
      <w:pPr>
        <w:ind w:firstLine="709"/>
        <w:jc w:val="both"/>
        <w:rPr>
          <w:szCs w:val="24"/>
        </w:rPr>
      </w:pPr>
    </w:p>
    <w:p w14:paraId="3B7D40C0" w14:textId="64C1FD44" w:rsidR="00E02812" w:rsidRDefault="005068FA">
      <w:pPr>
        <w:ind w:firstLine="709"/>
        <w:jc w:val="both"/>
        <w:rPr>
          <w:b/>
          <w:szCs w:val="24"/>
        </w:rPr>
      </w:pPr>
      <w:r>
        <w:rPr>
          <w:b/>
          <w:szCs w:val="24"/>
        </w:rPr>
        <w:t>6 straipsnis. 34 straipsnio pakeitimas</w:t>
      </w:r>
    </w:p>
    <w:p w14:paraId="35D353E1" w14:textId="77777777" w:rsidR="00E02812" w:rsidRDefault="005068FA">
      <w:pPr>
        <w:ind w:firstLine="709"/>
        <w:jc w:val="both"/>
        <w:rPr>
          <w:szCs w:val="24"/>
        </w:rPr>
      </w:pPr>
      <w:r>
        <w:rPr>
          <w:szCs w:val="24"/>
        </w:rPr>
        <w:t xml:space="preserve">Pakeisti 34 straipsnio 2 dalį ir ją išdėstyti taip: </w:t>
      </w:r>
    </w:p>
    <w:p w14:paraId="71853D68" w14:textId="297AE48F" w:rsidR="00E02812" w:rsidRDefault="005068FA">
      <w:pPr>
        <w:ind w:firstLine="709"/>
        <w:jc w:val="both"/>
        <w:rPr>
          <w:szCs w:val="24"/>
          <w:lang w:eastAsia="lt-LT"/>
        </w:rPr>
      </w:pPr>
      <w:r>
        <w:rPr>
          <w:szCs w:val="24"/>
        </w:rPr>
        <w:t>„</w:t>
      </w:r>
      <w:r>
        <w:rPr>
          <w:szCs w:val="24"/>
          <w:lang w:eastAsia="lt-LT"/>
        </w:rPr>
        <w:t>2. Paduoti teismui ieškinį dėl saugomoms teritorijoms ar paveldo objektams padarytos žalos atlyginimo turi teisę Aplinkos apsaugos departamentas prie Aplinkos ministerijos,</w:t>
      </w:r>
      <w:r>
        <w:rPr>
          <w:b/>
          <w:szCs w:val="24"/>
          <w:lang w:eastAsia="lt-LT"/>
        </w:rPr>
        <w:t xml:space="preserve"> </w:t>
      </w:r>
      <w:r>
        <w:rPr>
          <w:szCs w:val="24"/>
          <w:lang w:eastAsia="lt-LT"/>
        </w:rPr>
        <w:t>Vyriausybės įgaliotos institucijos.“</w:t>
      </w:r>
    </w:p>
    <w:p w14:paraId="0CE978BB" w14:textId="73C9578D" w:rsidR="00E02812" w:rsidRDefault="00E02812">
      <w:pPr>
        <w:ind w:firstLine="709"/>
        <w:jc w:val="both"/>
        <w:rPr>
          <w:szCs w:val="24"/>
          <w:lang w:eastAsia="lt-LT"/>
        </w:rPr>
      </w:pPr>
    </w:p>
    <w:p w14:paraId="2B0CAF4B" w14:textId="1723EC34" w:rsidR="00E02812" w:rsidRDefault="005068FA">
      <w:pPr>
        <w:ind w:firstLine="709"/>
        <w:jc w:val="both"/>
        <w:rPr>
          <w:b/>
          <w:color w:val="000000"/>
          <w:szCs w:val="24"/>
        </w:rPr>
      </w:pPr>
      <w:r>
        <w:rPr>
          <w:b/>
          <w:color w:val="000000"/>
          <w:szCs w:val="24"/>
        </w:rPr>
        <w:t>7 straipsnis. Įstatymo įgyvendinimas</w:t>
      </w:r>
    </w:p>
    <w:p w14:paraId="04347B27" w14:textId="77777777" w:rsidR="00B91830" w:rsidRPr="00696020" w:rsidRDefault="00B91830" w:rsidP="00B91830">
      <w:pPr>
        <w:tabs>
          <w:tab w:val="left" w:pos="993"/>
        </w:tabs>
        <w:ind w:firstLine="709"/>
        <w:jc w:val="both"/>
        <w:rPr>
          <w:color w:val="000000"/>
          <w:szCs w:val="24"/>
        </w:rPr>
      </w:pPr>
      <w:r w:rsidRPr="007823EE">
        <w:rPr>
          <w:color w:val="000000"/>
          <w:szCs w:val="24"/>
        </w:rPr>
        <w:t xml:space="preserve">Lietuvos Respublikos Vyriausybė ar jos įgaliotos institucijos </w:t>
      </w:r>
      <w:r w:rsidRPr="007823EE">
        <w:t>per vieną mėnesį nuo įstatymo įsigaliojimo dienos</w:t>
      </w:r>
      <w:r w:rsidRPr="007823EE">
        <w:rPr>
          <w:color w:val="000000"/>
          <w:szCs w:val="24"/>
        </w:rPr>
        <w:t xml:space="preserve"> priima šio įstatymo įgyvendinamuosius teisės aktus.</w:t>
      </w:r>
      <w:bookmarkStart w:id="0" w:name="_GoBack"/>
      <w:bookmarkEnd w:id="0"/>
    </w:p>
    <w:p w14:paraId="6FD62FC8" w14:textId="77777777" w:rsidR="00E02812" w:rsidRDefault="00E02812">
      <w:pPr>
        <w:ind w:firstLine="709"/>
        <w:jc w:val="both"/>
        <w:rPr>
          <w:color w:val="000000"/>
          <w:szCs w:val="24"/>
        </w:rPr>
      </w:pPr>
    </w:p>
    <w:p w14:paraId="0E30B037" w14:textId="7CE4E859" w:rsidR="00E02812" w:rsidRDefault="00E02812">
      <w:pPr>
        <w:ind w:firstLine="709"/>
        <w:jc w:val="both"/>
        <w:rPr>
          <w:szCs w:val="24"/>
          <w:lang w:eastAsia="lt-LT"/>
        </w:rPr>
      </w:pPr>
    </w:p>
    <w:p w14:paraId="11FAC10B" w14:textId="77777777" w:rsidR="00E02812" w:rsidRDefault="00E02812">
      <w:pPr>
        <w:ind w:firstLine="567"/>
        <w:jc w:val="both"/>
        <w:rPr>
          <w:szCs w:val="24"/>
        </w:rPr>
      </w:pPr>
    </w:p>
    <w:p w14:paraId="4E17CF8F" w14:textId="77777777" w:rsidR="00E02812" w:rsidRDefault="005068FA">
      <w:pPr>
        <w:widowControl w:val="0"/>
        <w:suppressAutoHyphens/>
        <w:jc w:val="both"/>
        <w:rPr>
          <w:i/>
          <w:szCs w:val="24"/>
          <w:lang w:eastAsia="ar-SA"/>
        </w:rPr>
      </w:pPr>
      <w:r>
        <w:rPr>
          <w:i/>
          <w:szCs w:val="24"/>
          <w:lang w:eastAsia="ar-SA"/>
        </w:rPr>
        <w:t>Skelbiu šį Lietuvos Respublikos Seimo priimtą įstatymą.</w:t>
      </w:r>
    </w:p>
    <w:p w14:paraId="643A1735" w14:textId="77777777" w:rsidR="00E02812" w:rsidRDefault="00E02812">
      <w:pPr>
        <w:widowControl w:val="0"/>
        <w:suppressAutoHyphens/>
        <w:jc w:val="both"/>
        <w:rPr>
          <w:szCs w:val="24"/>
          <w:lang w:eastAsia="ar-SA"/>
        </w:rPr>
      </w:pPr>
    </w:p>
    <w:p w14:paraId="5BCC77AB" w14:textId="07415C8D" w:rsidR="00E02812" w:rsidRDefault="005068FA">
      <w:pPr>
        <w:widowControl w:val="0"/>
        <w:suppressAutoHyphens/>
        <w:jc w:val="both"/>
        <w:rPr>
          <w:szCs w:val="24"/>
        </w:rPr>
      </w:pPr>
      <w:r>
        <w:rPr>
          <w:szCs w:val="24"/>
          <w:lang w:eastAsia="ar-SA"/>
        </w:rPr>
        <w:t>Respublikos Prezidentas</w:t>
      </w:r>
    </w:p>
    <w:sectPr w:rsidR="00E02812">
      <w:headerReference w:type="even" r:id="rId7"/>
      <w:headerReference w:type="default" r:id="rId8"/>
      <w:footerReference w:type="even" r:id="rId9"/>
      <w:footerReference w:type="default" r:id="rId10"/>
      <w:headerReference w:type="first" r:id="rId11"/>
      <w:footerReference w:type="first" r:id="rId12"/>
      <w:pgSz w:w="11906" w:h="16838"/>
      <w:pgMar w:top="1077" w:right="567" w:bottom="1077"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11283" w14:textId="77777777" w:rsidR="00E02812" w:rsidRDefault="005068FA">
      <w:r>
        <w:separator/>
      </w:r>
    </w:p>
  </w:endnote>
  <w:endnote w:type="continuationSeparator" w:id="0">
    <w:p w14:paraId="5A43021A" w14:textId="77777777" w:rsidR="00E02812" w:rsidRDefault="00506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47913" w14:textId="77777777" w:rsidR="00E02812" w:rsidRDefault="00E02812">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312B8" w14:textId="77777777" w:rsidR="00E02812" w:rsidRDefault="00E02812">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BCAC0" w14:textId="77777777" w:rsidR="00E02812" w:rsidRDefault="00E02812">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8ACF4" w14:textId="77777777" w:rsidR="00E02812" w:rsidRDefault="005068FA">
      <w:r>
        <w:separator/>
      </w:r>
    </w:p>
  </w:footnote>
  <w:footnote w:type="continuationSeparator" w:id="0">
    <w:p w14:paraId="31C0D014" w14:textId="77777777" w:rsidR="00E02812" w:rsidRDefault="00506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C0452" w14:textId="77777777" w:rsidR="00E02812" w:rsidRDefault="00E02812">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F298A" w14:textId="311156D5" w:rsidR="00E02812" w:rsidRDefault="005068FA">
    <w:pPr>
      <w:tabs>
        <w:tab w:val="center" w:pos="4819"/>
        <w:tab w:val="right" w:pos="9638"/>
      </w:tabs>
      <w:jc w:val="center"/>
    </w:pPr>
    <w:r>
      <w:fldChar w:fldCharType="begin"/>
    </w:r>
    <w:r>
      <w:instrText>PAGE   \* MERGEFORMAT</w:instrText>
    </w:r>
    <w:r>
      <w:fldChar w:fldCharType="separate"/>
    </w:r>
    <w:r w:rsidR="007823EE">
      <w:rPr>
        <w:noProof/>
      </w:rPr>
      <w:t>2</w:t>
    </w:r>
    <w:r>
      <w:fldChar w:fldCharType="end"/>
    </w:r>
  </w:p>
  <w:p w14:paraId="6A87E140" w14:textId="77777777" w:rsidR="00E02812" w:rsidRDefault="00E02812">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B26FA" w14:textId="77777777" w:rsidR="00E02812" w:rsidRDefault="00E02812">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1F2"/>
    <w:rsid w:val="005068FA"/>
    <w:rsid w:val="006F073B"/>
    <w:rsid w:val="007823EE"/>
    <w:rsid w:val="009511F2"/>
    <w:rsid w:val="00B91830"/>
    <w:rsid w:val="00E028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6E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77915">
      <w:bodyDiv w:val="1"/>
      <w:marLeft w:val="0"/>
      <w:marRight w:val="0"/>
      <w:marTop w:val="0"/>
      <w:marBottom w:val="0"/>
      <w:divBdr>
        <w:top w:val="none" w:sz="0" w:space="0" w:color="auto"/>
        <w:left w:val="none" w:sz="0" w:space="0" w:color="auto"/>
        <w:bottom w:val="none" w:sz="0" w:space="0" w:color="auto"/>
        <w:right w:val="none" w:sz="0" w:space="0" w:color="auto"/>
      </w:divBdr>
    </w:div>
    <w:div w:id="279074414">
      <w:bodyDiv w:val="1"/>
      <w:marLeft w:val="0"/>
      <w:marRight w:val="0"/>
      <w:marTop w:val="0"/>
      <w:marBottom w:val="0"/>
      <w:divBdr>
        <w:top w:val="none" w:sz="0" w:space="0" w:color="auto"/>
        <w:left w:val="none" w:sz="0" w:space="0" w:color="auto"/>
        <w:bottom w:val="none" w:sz="0" w:space="0" w:color="auto"/>
        <w:right w:val="none" w:sz="0" w:space="0" w:color="auto"/>
      </w:divBdr>
    </w:div>
    <w:div w:id="318195660">
      <w:bodyDiv w:val="1"/>
      <w:marLeft w:val="0"/>
      <w:marRight w:val="0"/>
      <w:marTop w:val="0"/>
      <w:marBottom w:val="0"/>
      <w:divBdr>
        <w:top w:val="none" w:sz="0" w:space="0" w:color="auto"/>
        <w:left w:val="none" w:sz="0" w:space="0" w:color="auto"/>
        <w:bottom w:val="none" w:sz="0" w:space="0" w:color="auto"/>
        <w:right w:val="none" w:sz="0" w:space="0" w:color="auto"/>
      </w:divBdr>
      <w:divsChild>
        <w:div w:id="183520236">
          <w:marLeft w:val="0"/>
          <w:marRight w:val="0"/>
          <w:marTop w:val="0"/>
          <w:marBottom w:val="0"/>
          <w:divBdr>
            <w:top w:val="none" w:sz="0" w:space="0" w:color="auto"/>
            <w:left w:val="none" w:sz="0" w:space="0" w:color="auto"/>
            <w:bottom w:val="none" w:sz="0" w:space="0" w:color="auto"/>
            <w:right w:val="none" w:sz="0" w:space="0" w:color="auto"/>
          </w:divBdr>
        </w:div>
        <w:div w:id="965041669">
          <w:marLeft w:val="0"/>
          <w:marRight w:val="0"/>
          <w:marTop w:val="0"/>
          <w:marBottom w:val="0"/>
          <w:divBdr>
            <w:top w:val="none" w:sz="0" w:space="0" w:color="auto"/>
            <w:left w:val="none" w:sz="0" w:space="0" w:color="auto"/>
            <w:bottom w:val="none" w:sz="0" w:space="0" w:color="auto"/>
            <w:right w:val="none" w:sz="0" w:space="0" w:color="auto"/>
          </w:divBdr>
        </w:div>
      </w:divsChild>
    </w:div>
    <w:div w:id="645162768">
      <w:bodyDiv w:val="1"/>
      <w:marLeft w:val="0"/>
      <w:marRight w:val="0"/>
      <w:marTop w:val="0"/>
      <w:marBottom w:val="0"/>
      <w:divBdr>
        <w:top w:val="none" w:sz="0" w:space="0" w:color="auto"/>
        <w:left w:val="none" w:sz="0" w:space="0" w:color="auto"/>
        <w:bottom w:val="none" w:sz="0" w:space="0" w:color="auto"/>
        <w:right w:val="none" w:sz="0" w:space="0" w:color="auto"/>
      </w:divBdr>
    </w:div>
    <w:div w:id="1163351652">
      <w:bodyDiv w:val="1"/>
      <w:marLeft w:val="0"/>
      <w:marRight w:val="0"/>
      <w:marTop w:val="0"/>
      <w:marBottom w:val="0"/>
      <w:divBdr>
        <w:top w:val="none" w:sz="0" w:space="0" w:color="auto"/>
        <w:left w:val="none" w:sz="0" w:space="0" w:color="auto"/>
        <w:bottom w:val="none" w:sz="0" w:space="0" w:color="auto"/>
        <w:right w:val="none" w:sz="0" w:space="0" w:color="auto"/>
      </w:divBdr>
    </w:div>
    <w:div w:id="141913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10" Target="footer2.xml"
                 Type="http://schemas.openxmlformats.org/officeDocument/2006/relationships/footer"/>
   <Relationship Id="rId11" Target="header3.xml"
                 Type="http://schemas.openxmlformats.org/officeDocument/2006/relationships/header"/>
   <Relationship Id="rId12" Target="footer3.xml"
                 Type="http://schemas.openxmlformats.org/officeDocument/2006/relationships/footer"/>
   <Relationship Id="rId13" Target="fontTable.xml"
                 Type="http://schemas.openxmlformats.org/officeDocument/2006/relationships/fontTable"/>
   <Relationship Id="rId14" Target="theme/theme1.xml"
                 Type="http://schemas.openxmlformats.org/officeDocument/2006/relationships/theme"/>
   <Relationship Id="rId2" Target="stylesWithEffects.xml"
                 Type="http://schemas.microsoft.com/office/2007/relationships/stylesWithEffect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header2.xml"
                 Type="http://schemas.openxmlformats.org/officeDocument/2006/relationships/header"/>
   <Relationship Id="rId9" Target="footer1.xml"
                 Type="http://schemas.openxmlformats.org/officeDocument/2006/relationships/foot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2749</Words>
  <Characters>1568</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2019-06-28T09:58:00Z</dcterms:created>
  <dc:creator>Sigute Alisauskiene</dc:creator>
  <cp:lastModifiedBy>Agnė Balė</cp:lastModifiedBy>
  <cp:lastPrinted>2019-02-14T07:23:00Z</cp:lastPrinted>
  <dcterms:modified xsi:type="dcterms:W3CDTF">2019-06-28T10:46:00Z</dcterms:modified>
  <cp:revision>5</cp:revision>
</cp:coreProperties>
</file>