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2 pr."/>
        <w:tag w:val="part_13447a4623064e50a497414471a10be0"/>
        <w:id w:val="837584750"/>
        <w:lock w:val="sdtLocked"/>
      </w:sdtPr>
      <w:sdtEndPr/>
      <w:sdtContent>
        <w:bookmarkStart w:id="0" w:name="_GoBack" w:displacedByCustomXml="prev"/>
        <w:p w:rsidR="001D5DA6" w:rsidRDefault="001D5DA6">
          <w:pPr>
            <w:tabs>
              <w:tab w:val="center" w:pos="4680"/>
              <w:tab w:val="right" w:pos="9360"/>
            </w:tabs>
            <w:jc w:val="center"/>
          </w:pPr>
        </w:p>
        <w:p w:rsidR="001D5DA6" w:rsidRDefault="001D5DA6">
          <w:pPr>
            <w:tabs>
              <w:tab w:val="center" w:pos="4819"/>
              <w:tab w:val="right" w:pos="9638"/>
            </w:tabs>
            <w:rPr>
              <w:sz w:val="22"/>
              <w:szCs w:val="22"/>
            </w:rPr>
          </w:pPr>
        </w:p>
        <w:p w:rsidR="001D5DA6" w:rsidRDefault="00470559">
          <w:pPr>
            <w:ind w:left="9639"/>
            <w:jc w:val="both"/>
            <w:rPr>
              <w:bCs/>
              <w:color w:val="000000"/>
              <w:shd w:val="clear" w:color="auto" w:fill="FFFFFF"/>
            </w:rPr>
          </w:pPr>
          <w:r>
            <w:rPr>
              <w:bCs/>
              <w:szCs w:val="24"/>
            </w:rPr>
            <w:t xml:space="preserve">2021–2030 m. plėtros programos valdytojos Lietuvos Respublikos švietimo, mokslo ir sporto ministerijos švietimo plėtros programos pažangos priemonės </w:t>
          </w:r>
          <w:r>
            <w:rPr>
              <w:bCs/>
              <w:color w:val="000000"/>
              <w:shd w:val="clear" w:color="auto" w:fill="FFFFFF"/>
            </w:rPr>
            <w:t>Nr. 12-003-03-01-04 „Užtikrinti visiems prieinamą ankstyvąjį ugdymą“ Nr. 2</w:t>
          </w:r>
        </w:p>
        <w:p w:rsidR="001D5DA6" w:rsidRDefault="004F52BC">
          <w:pPr>
            <w:ind w:left="9639"/>
            <w:jc w:val="both"/>
            <w:rPr>
              <w:szCs w:val="24"/>
            </w:rPr>
          </w:pPr>
          <w:sdt>
            <w:sdtPr>
              <w:alias w:val="Numeris"/>
              <w:tag w:val="nr_13447a4623064e50a497414471a10be0"/>
              <w:id w:val="-1941057456"/>
              <w:lock w:val="sdtLocked"/>
            </w:sdtPr>
            <w:sdtEndPr/>
            <w:sdtContent>
              <w:r w:rsidR="00470559">
                <w:rPr>
                  <w:bCs/>
                  <w:color w:val="000000"/>
                  <w:shd w:val="clear" w:color="auto" w:fill="FFFFFF"/>
                </w:rPr>
                <w:t>2</w:t>
              </w:r>
            </w:sdtContent>
          </w:sdt>
          <w:r w:rsidR="00470559">
            <w:rPr>
              <w:bCs/>
              <w:color w:val="000000"/>
              <w:shd w:val="clear" w:color="auto" w:fill="FFFFFF"/>
            </w:rPr>
            <w:t xml:space="preserve"> priedas</w:t>
          </w:r>
        </w:p>
        <w:p w:rsidR="001D5DA6" w:rsidRDefault="001D5DA6">
          <w:pPr>
            <w:jc w:val="center"/>
            <w:rPr>
              <w:iCs/>
              <w:szCs w:val="24"/>
            </w:rPr>
          </w:pPr>
        </w:p>
        <w:p w:rsidR="001D5DA6" w:rsidRDefault="004F52BC">
          <w:pPr>
            <w:jc w:val="center"/>
            <w:rPr>
              <w:szCs w:val="24"/>
            </w:rPr>
          </w:pPr>
          <w:sdt>
            <w:sdtPr>
              <w:alias w:val="Pavadinimas"/>
              <w:tag w:val="title_13447a4623064e50a497414471a10be0"/>
              <w:id w:val="-158923270"/>
              <w:lock w:val="sdtLocked"/>
            </w:sdtPr>
            <w:sdtEndPr/>
            <w:sdtContent>
              <w:r w:rsidR="00470559">
                <w:rPr>
                  <w:b/>
                  <w:bCs/>
                  <w:szCs w:val="24"/>
                </w:rPr>
                <w:t xml:space="preserve">2021–2030 M. PLĖTROS PROGRAMOS VALDYTOJOS LIETUVOS RESPUBLIKOS ŠVIETIMO, MOKSLO IR SPORTO MINISTERIJOS ŠVIETIMO PLĖTROS PROGRAMOS PAŽANGOS PRIEMONĖS </w:t>
              </w:r>
              <w:r w:rsidR="00470559">
                <w:rPr>
                  <w:b/>
                  <w:bCs/>
                  <w:color w:val="000000"/>
                  <w:shd w:val="clear" w:color="auto" w:fill="FFFFFF"/>
                </w:rPr>
                <w:t>NR. 12-003-03-01-04 „</w:t>
              </w:r>
              <w:r w:rsidR="00470559">
                <w:rPr>
                  <w:b/>
                  <w:bCs/>
                  <w:caps/>
                  <w:color w:val="000000"/>
                  <w:shd w:val="clear" w:color="auto" w:fill="FFFFFF"/>
                </w:rPr>
                <w:t>UŽTIKRINTI VISIEMS PRIEINAMĄ ANKSTYVĄJĮ UGDYMĄ</w:t>
              </w:r>
              <w:r w:rsidR="00470559">
                <w:rPr>
                  <w:b/>
                  <w:bCs/>
                  <w:color w:val="000000"/>
                  <w:shd w:val="clear" w:color="auto" w:fill="FFFFFF"/>
                </w:rPr>
                <w:t xml:space="preserve">“ </w:t>
              </w:r>
              <w:r w:rsidR="00470559">
                <w:rPr>
                  <w:b/>
                  <w:bCs/>
                  <w:szCs w:val="24"/>
                </w:rPr>
                <w:t>PROJEKTŲ FINANSAVIMO SĄLYGŲ APRAŠAS NR. 2</w:t>
              </w:r>
            </w:sdtContent>
          </w:sdt>
        </w:p>
        <w:p w:rsidR="001D5DA6" w:rsidRDefault="001D5DA6">
          <w:pPr>
            <w:rPr>
              <w:i/>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236"/>
            <w:gridCol w:w="1134"/>
            <w:gridCol w:w="1134"/>
            <w:gridCol w:w="1457"/>
            <w:gridCol w:w="1344"/>
            <w:gridCol w:w="1080"/>
            <w:gridCol w:w="1344"/>
            <w:gridCol w:w="1051"/>
            <w:gridCol w:w="1132"/>
            <w:gridCol w:w="859"/>
            <w:gridCol w:w="1149"/>
          </w:tblGrid>
          <w:tr w:rsidR="001D5DA6">
            <w:tc>
              <w:tcPr>
                <w:tcW w:w="15155" w:type="dxa"/>
                <w:gridSpan w:val="13"/>
                <w:vAlign w:val="center"/>
              </w:tcPr>
              <w:p w:rsidR="001D5DA6" w:rsidRDefault="00470559">
                <w:pPr>
                  <w:jc w:val="center"/>
                  <w:rPr>
                    <w:b/>
                    <w:sz w:val="22"/>
                    <w:szCs w:val="22"/>
                  </w:rPr>
                </w:pPr>
                <w:r>
                  <w:rPr>
                    <w:b/>
                    <w:sz w:val="22"/>
                    <w:szCs w:val="22"/>
                  </w:rPr>
                  <w:t>VEIKLOS AR POVEIKLĖS, KURIOMS NUSTATOMOS PROJEKTŲ FINANSAVIMO SĄLYGOS</w:t>
                </w:r>
              </w:p>
            </w:tc>
          </w:tr>
          <w:tr w:rsidR="001D5DA6">
            <w:tc>
              <w:tcPr>
                <w:tcW w:w="1110" w:type="dxa"/>
                <w:vAlign w:val="center"/>
              </w:tcPr>
              <w:p w:rsidR="001D5DA6" w:rsidRDefault="00470559">
                <w:pPr>
                  <w:jc w:val="center"/>
                  <w:rPr>
                    <w:b/>
                    <w:sz w:val="20"/>
                  </w:rPr>
                </w:pPr>
                <w:r>
                  <w:rPr>
                    <w:b/>
                    <w:sz w:val="20"/>
                  </w:rPr>
                  <w:t>Veiklos ar poveiklės pavadini-mas</w:t>
                </w:r>
              </w:p>
            </w:tc>
            <w:tc>
              <w:tcPr>
                <w:tcW w:w="1125" w:type="dxa"/>
                <w:vAlign w:val="center"/>
              </w:tcPr>
              <w:p w:rsidR="001D5DA6" w:rsidRDefault="00470559">
                <w:pPr>
                  <w:jc w:val="center"/>
                  <w:rPr>
                    <w:b/>
                    <w:sz w:val="20"/>
                  </w:rPr>
                </w:pPr>
                <w:r>
                  <w:rPr>
                    <w:b/>
                    <w:sz w:val="20"/>
                  </w:rPr>
                  <w:t>Finansa-vimo šaltinis</w:t>
                </w:r>
              </w:p>
            </w:tc>
            <w:tc>
              <w:tcPr>
                <w:tcW w:w="1236" w:type="dxa"/>
                <w:vAlign w:val="center"/>
              </w:tcPr>
              <w:p w:rsidR="001D5DA6" w:rsidRDefault="00470559">
                <w:pPr>
                  <w:jc w:val="center"/>
                  <w:rPr>
                    <w:b/>
                    <w:sz w:val="20"/>
                  </w:rPr>
                </w:pPr>
                <w:r>
                  <w:rPr>
                    <w:b/>
                    <w:bCs/>
                    <w:sz w:val="20"/>
                  </w:rPr>
                  <w:t>Prioritetas ar komponen-tas</w:t>
                </w:r>
              </w:p>
            </w:tc>
            <w:tc>
              <w:tcPr>
                <w:tcW w:w="1134" w:type="dxa"/>
                <w:vAlign w:val="center"/>
              </w:tcPr>
              <w:p w:rsidR="001D5DA6" w:rsidRDefault="00470559">
                <w:pPr>
                  <w:jc w:val="center"/>
                  <w:rPr>
                    <w:b/>
                    <w:sz w:val="20"/>
                  </w:rPr>
                </w:pPr>
                <w:r>
                  <w:rPr>
                    <w:b/>
                    <w:bCs/>
                    <w:sz w:val="20"/>
                  </w:rPr>
                  <w:t>Uždavi-nys ar priemonė</w:t>
                </w:r>
              </w:p>
            </w:tc>
            <w:tc>
              <w:tcPr>
                <w:tcW w:w="1134" w:type="dxa"/>
                <w:vAlign w:val="center"/>
              </w:tcPr>
              <w:p w:rsidR="001D5DA6" w:rsidRDefault="00470559">
                <w:pPr>
                  <w:jc w:val="center"/>
                  <w:rPr>
                    <w:b/>
                    <w:sz w:val="20"/>
                  </w:rPr>
                </w:pPr>
                <w:r>
                  <w:rPr>
                    <w:b/>
                    <w:bCs/>
                    <w:sz w:val="20"/>
                  </w:rPr>
                  <w:t>Veikla ar paprie-monė</w:t>
                </w:r>
              </w:p>
            </w:tc>
            <w:tc>
              <w:tcPr>
                <w:tcW w:w="1457" w:type="dxa"/>
                <w:vAlign w:val="center"/>
              </w:tcPr>
              <w:p w:rsidR="001D5DA6" w:rsidRDefault="00470559">
                <w:pPr>
                  <w:jc w:val="center"/>
                  <w:rPr>
                    <w:b/>
                    <w:sz w:val="20"/>
                  </w:rPr>
                </w:pPr>
                <w:r>
                  <w:rPr>
                    <w:b/>
                    <w:sz w:val="20"/>
                  </w:rPr>
                  <w:t>Intervencinės priemonės kodas</w:t>
                </w:r>
              </w:p>
            </w:tc>
            <w:tc>
              <w:tcPr>
                <w:tcW w:w="1344" w:type="dxa"/>
                <w:vAlign w:val="center"/>
              </w:tcPr>
              <w:p w:rsidR="001D5DA6" w:rsidRDefault="00470559">
                <w:pPr>
                  <w:jc w:val="center"/>
                  <w:rPr>
                    <w:b/>
                    <w:bCs/>
                    <w:sz w:val="20"/>
                  </w:rPr>
                </w:pPr>
                <w:r>
                  <w:rPr>
                    <w:b/>
                    <w:sz w:val="20"/>
                  </w:rPr>
                  <w:t>Regionas, kuriam priskiriama veikla ar poveiklė</w:t>
                </w:r>
              </w:p>
            </w:tc>
            <w:tc>
              <w:tcPr>
                <w:tcW w:w="1080" w:type="dxa"/>
                <w:vAlign w:val="center"/>
              </w:tcPr>
              <w:p w:rsidR="001D5DA6" w:rsidRDefault="00470559">
                <w:pPr>
                  <w:jc w:val="center"/>
                  <w:rPr>
                    <w:b/>
                    <w:sz w:val="20"/>
                  </w:rPr>
                </w:pPr>
                <w:r>
                  <w:rPr>
                    <w:b/>
                    <w:bCs/>
                    <w:sz w:val="20"/>
                  </w:rPr>
                  <w:t>Paramos formos kodas</w:t>
                </w:r>
              </w:p>
            </w:tc>
            <w:tc>
              <w:tcPr>
                <w:tcW w:w="1344" w:type="dxa"/>
                <w:vAlign w:val="center"/>
              </w:tcPr>
              <w:p w:rsidR="001D5DA6" w:rsidRDefault="00470559">
                <w:pPr>
                  <w:jc w:val="center"/>
                  <w:rPr>
                    <w:b/>
                    <w:sz w:val="20"/>
                  </w:rPr>
                </w:pPr>
                <w:r>
                  <w:rPr>
                    <w:b/>
                    <w:bCs/>
                    <w:sz w:val="20"/>
                  </w:rPr>
                  <w:t>Pagrindinės teritorinės srities kodas (-ai)</w:t>
                </w:r>
              </w:p>
            </w:tc>
            <w:tc>
              <w:tcPr>
                <w:tcW w:w="1051" w:type="dxa"/>
                <w:vAlign w:val="center"/>
              </w:tcPr>
              <w:p w:rsidR="001D5DA6" w:rsidRDefault="00470559">
                <w:pPr>
                  <w:jc w:val="center"/>
                  <w:rPr>
                    <w:b/>
                    <w:bCs/>
                    <w:sz w:val="20"/>
                  </w:rPr>
                </w:pPr>
                <w:r>
                  <w:rPr>
                    <w:b/>
                    <w:bCs/>
                    <w:sz w:val="20"/>
                  </w:rPr>
                  <w:t xml:space="preserve">Ekono-minės veiklos kodas </w:t>
                </w:r>
              </w:p>
              <w:p w:rsidR="001D5DA6" w:rsidRDefault="00470559">
                <w:pPr>
                  <w:jc w:val="center"/>
                  <w:rPr>
                    <w:b/>
                    <w:sz w:val="20"/>
                  </w:rPr>
                </w:pPr>
                <w:r>
                  <w:rPr>
                    <w:b/>
                    <w:bCs/>
                    <w:sz w:val="20"/>
                  </w:rPr>
                  <w:t>(-ai)</w:t>
                </w:r>
              </w:p>
            </w:tc>
            <w:tc>
              <w:tcPr>
                <w:tcW w:w="1132" w:type="dxa"/>
                <w:vAlign w:val="center"/>
              </w:tcPr>
              <w:p w:rsidR="001D5DA6" w:rsidRDefault="00470559">
                <w:pPr>
                  <w:jc w:val="center"/>
                  <w:rPr>
                    <w:b/>
                    <w:bCs/>
                    <w:sz w:val="20"/>
                  </w:rPr>
                </w:pPr>
                <w:r>
                  <w:rPr>
                    <w:b/>
                    <w:bCs/>
                    <w:sz w:val="20"/>
                  </w:rPr>
                  <w:t>„Europos socialinio fondo +“ (toliau – ESF+) antrinių temų kodai</w:t>
                </w:r>
              </w:p>
            </w:tc>
            <w:tc>
              <w:tcPr>
                <w:tcW w:w="859" w:type="dxa"/>
                <w:vAlign w:val="center"/>
              </w:tcPr>
              <w:p w:rsidR="001D5DA6" w:rsidRDefault="00470559">
                <w:pPr>
                  <w:jc w:val="center"/>
                  <w:rPr>
                    <w:b/>
                    <w:bCs/>
                    <w:sz w:val="20"/>
                  </w:rPr>
                </w:pPr>
                <w:r>
                  <w:rPr>
                    <w:b/>
                    <w:bCs/>
                    <w:sz w:val="20"/>
                  </w:rPr>
                  <w:t>Lyčių lygybės mat-mens kodas</w:t>
                </w:r>
              </w:p>
            </w:tc>
            <w:tc>
              <w:tcPr>
                <w:tcW w:w="1149" w:type="dxa"/>
                <w:vAlign w:val="center"/>
              </w:tcPr>
              <w:p w:rsidR="001D5DA6" w:rsidRDefault="00470559">
                <w:pPr>
                  <w:jc w:val="center"/>
                  <w:rPr>
                    <w:b/>
                    <w:sz w:val="20"/>
                  </w:rPr>
                </w:pPr>
                <w:r>
                  <w:rPr>
                    <w:b/>
                    <w:sz w:val="20"/>
                  </w:rPr>
                  <w:t>Nepanau-dotos Ekonomi-kos gaivinimo ir atsparumo didinimo priemonės lėšos</w:t>
                </w:r>
              </w:p>
              <w:p w:rsidR="001D5DA6" w:rsidRDefault="00470559">
                <w:pPr>
                  <w:jc w:val="center"/>
                  <w:rPr>
                    <w:b/>
                    <w:bCs/>
                    <w:sz w:val="20"/>
                  </w:rPr>
                </w:pPr>
                <w:r>
                  <w:rPr>
                    <w:b/>
                    <w:sz w:val="20"/>
                  </w:rPr>
                  <w:t>(Taip / Ne)</w:t>
                </w:r>
              </w:p>
            </w:tc>
          </w:tr>
          <w:tr w:rsidR="001D5DA6">
            <w:trPr>
              <w:trHeight w:val="278"/>
            </w:trPr>
            <w:tc>
              <w:tcPr>
                <w:tcW w:w="1110" w:type="dxa"/>
                <w:tcMar>
                  <w:left w:w="28" w:type="dxa"/>
                  <w:right w:w="28" w:type="dxa"/>
                </w:tcMar>
              </w:tcPr>
              <w:p w:rsidR="001D5DA6" w:rsidRDefault="00470559">
                <w:pPr>
                  <w:jc w:val="center"/>
                  <w:rPr>
                    <w:sz w:val="18"/>
                    <w:szCs w:val="18"/>
                  </w:rPr>
                </w:pPr>
                <w:r>
                  <w:rPr>
                    <w:color w:val="000000"/>
                    <w:sz w:val="18"/>
                    <w:szCs w:val="18"/>
                  </w:rPr>
                  <w:t xml:space="preserve">Įgyvendinti priemones, kad į ikimokyklinį ugdymą būtų sėkmingai įtraukti vaikai iš socialinę riziką patiriančių šeimų </w:t>
                </w:r>
                <w:r>
                  <w:rPr>
                    <w:sz w:val="18"/>
                    <w:szCs w:val="18"/>
                  </w:rPr>
                  <w:t xml:space="preserve">(Vaiko </w:t>
                </w:r>
                <w:r>
                  <w:rPr>
                    <w:sz w:val="18"/>
                    <w:szCs w:val="18"/>
                  </w:rPr>
                  <w:lastRenderedPageBreak/>
                  <w:t>garantijos iniciatyva)</w:t>
                </w:r>
              </w:p>
              <w:p w:rsidR="001D5DA6" w:rsidRDefault="00470559">
                <w:pPr>
                  <w:ind w:firstLine="48"/>
                  <w:jc w:val="center"/>
                  <w:rPr>
                    <w:i/>
                    <w:sz w:val="18"/>
                    <w:szCs w:val="18"/>
                  </w:rPr>
                </w:pPr>
                <w:r>
                  <w:rPr>
                    <w:sz w:val="18"/>
                    <w:szCs w:val="22"/>
                  </w:rPr>
                  <w:t>Sostinės regione</w:t>
                </w:r>
              </w:p>
            </w:tc>
            <w:tc>
              <w:tcPr>
                <w:tcW w:w="1125" w:type="dxa"/>
                <w:tcMar>
                  <w:left w:w="28" w:type="dxa"/>
                  <w:right w:w="28" w:type="dxa"/>
                </w:tcMar>
              </w:tcPr>
              <w:p w:rsidR="001D5DA6" w:rsidRDefault="00470559">
                <w:pPr>
                  <w:jc w:val="center"/>
                  <w:rPr>
                    <w:sz w:val="18"/>
                    <w:szCs w:val="18"/>
                  </w:rPr>
                </w:pPr>
                <w:r>
                  <w:rPr>
                    <w:sz w:val="18"/>
                    <w:szCs w:val="18"/>
                  </w:rPr>
                  <w:lastRenderedPageBreak/>
                  <w:t>Europos Sąjungos fondų lėšos ir  bendrojo finansavimo lėšos</w:t>
                </w:r>
              </w:p>
            </w:tc>
            <w:tc>
              <w:tcPr>
                <w:tcW w:w="1236" w:type="dxa"/>
                <w:tcMar>
                  <w:left w:w="28" w:type="dxa"/>
                  <w:right w:w="28" w:type="dxa"/>
                </w:tcMar>
              </w:tcPr>
              <w:p w:rsidR="001D5DA6" w:rsidRDefault="00470559">
                <w:pPr>
                  <w:jc w:val="center"/>
                  <w:rPr>
                    <w:sz w:val="18"/>
                    <w:szCs w:val="18"/>
                  </w:rPr>
                </w:pPr>
                <w:r>
                  <w:rPr>
                    <w:sz w:val="18"/>
                    <w:szCs w:val="18"/>
                  </w:rPr>
                  <w:t>4.</w:t>
                </w:r>
              </w:p>
              <w:p w:rsidR="001D5DA6" w:rsidRDefault="00470559">
                <w:pPr>
                  <w:jc w:val="center"/>
                  <w:rPr>
                    <w:i/>
                    <w:iCs/>
                    <w:sz w:val="18"/>
                    <w:szCs w:val="18"/>
                  </w:rPr>
                </w:pPr>
                <w:r>
                  <w:rPr>
                    <w:sz w:val="18"/>
                    <w:szCs w:val="18"/>
                  </w:rPr>
                  <w:t>Socialiai atsakingesnė Lietuva</w:t>
                </w:r>
              </w:p>
            </w:tc>
            <w:tc>
              <w:tcPr>
                <w:tcW w:w="1134" w:type="dxa"/>
                <w:tcMar>
                  <w:left w:w="28" w:type="dxa"/>
                  <w:right w:w="28" w:type="dxa"/>
                </w:tcMar>
              </w:tcPr>
              <w:p w:rsidR="001D5DA6" w:rsidRDefault="00470559">
                <w:pPr>
                  <w:jc w:val="center"/>
                  <w:rPr>
                    <w:sz w:val="18"/>
                    <w:szCs w:val="18"/>
                  </w:rPr>
                </w:pPr>
                <w:r>
                  <w:rPr>
                    <w:sz w:val="18"/>
                    <w:szCs w:val="18"/>
                  </w:rPr>
                  <w:t xml:space="preserve">4.3. </w:t>
                </w:r>
              </w:p>
              <w:p w:rsidR="001D5DA6" w:rsidRDefault="00470559">
                <w:pPr>
                  <w:jc w:val="center"/>
                  <w:rPr>
                    <w:sz w:val="18"/>
                    <w:szCs w:val="18"/>
                  </w:rPr>
                </w:pPr>
                <w:r>
                  <w:rPr>
                    <w:sz w:val="18"/>
                    <w:szCs w:val="18"/>
                  </w:rPr>
                  <w:t xml:space="preserve">Skatinti, kad visi, visų pirma palankių sąlygų neturinčios grupės, turėtų vienodas galimybes gauti kokybiškas ir </w:t>
                </w:r>
                <w:r>
                  <w:rPr>
                    <w:sz w:val="18"/>
                    <w:szCs w:val="18"/>
                  </w:rPr>
                  <w:lastRenderedPageBreak/>
                  <w:t>įtraukias švietimo ir mokymo paslaugas ir užbaigti mokslą, pradedant ikimokykliniu ugdymu ir priežiūra, taip pat bendruoju lavinimu ir profesiniu rengimu bei mokymu, baigiant tretiniu išsilavinimu ir suaugusiųjų švietimu ir mokymusi, be kita ko, visiems sudaryti palankesnes sąlygas judumui mokymosi tikslais ir užtikrinant prieinamumą neįgaliesiems</w:t>
                </w:r>
              </w:p>
            </w:tc>
            <w:tc>
              <w:tcPr>
                <w:tcW w:w="1134" w:type="dxa"/>
                <w:tcMar>
                  <w:left w:w="28" w:type="dxa"/>
                  <w:right w:w="28" w:type="dxa"/>
                </w:tcMar>
              </w:tcPr>
              <w:p w:rsidR="001D5DA6" w:rsidRDefault="00470559">
                <w:pPr>
                  <w:jc w:val="center"/>
                  <w:rPr>
                    <w:sz w:val="18"/>
                    <w:szCs w:val="18"/>
                  </w:rPr>
                </w:pPr>
                <w:r>
                  <w:rPr>
                    <w:sz w:val="18"/>
                    <w:szCs w:val="18"/>
                  </w:rPr>
                  <w:lastRenderedPageBreak/>
                  <w:t xml:space="preserve">4.3.3. Ikimokyklinio (įskaitant privalomąjį) ir priešmokyklinio ugdymo užtikrinimas socialinę atskirtį, skurdą ar socialines rizikas, dėl kurių kyla </w:t>
                </w:r>
                <w:r>
                  <w:rPr>
                    <w:sz w:val="18"/>
                    <w:szCs w:val="18"/>
                  </w:rPr>
                  <w:lastRenderedPageBreak/>
                  <w:t>grėsmė patirti socialinę atskirtį, patiriantiems vaikams (Vaiko garantijų sistemos įgyvendinimas bei tėvų (globėjų) ir ugdymo įstaigų, vykdančių ikimokyklinio ir / ar priešmokyklinio ugdymo programas, personalo neformalus švietimas)</w:t>
                </w:r>
              </w:p>
            </w:tc>
            <w:tc>
              <w:tcPr>
                <w:tcW w:w="1457" w:type="dxa"/>
                <w:tcMar>
                  <w:left w:w="28" w:type="dxa"/>
                  <w:right w:w="28" w:type="dxa"/>
                </w:tcMar>
              </w:tcPr>
              <w:p w:rsidR="001D5DA6" w:rsidRDefault="00470559">
                <w:pPr>
                  <w:jc w:val="center"/>
                  <w:rPr>
                    <w:sz w:val="18"/>
                    <w:szCs w:val="18"/>
                  </w:rPr>
                </w:pPr>
                <w:r>
                  <w:rPr>
                    <w:sz w:val="18"/>
                    <w:szCs w:val="18"/>
                  </w:rPr>
                  <w:lastRenderedPageBreak/>
                  <w:t xml:space="preserve">148 </w:t>
                </w:r>
              </w:p>
              <w:p w:rsidR="001D5DA6" w:rsidRDefault="00470559">
                <w:pPr>
                  <w:jc w:val="center"/>
                  <w:rPr>
                    <w:sz w:val="18"/>
                    <w:szCs w:val="18"/>
                  </w:rPr>
                </w:pPr>
                <w:r>
                  <w:rPr>
                    <w:sz w:val="18"/>
                    <w:szCs w:val="18"/>
                    <w:lang w:eastAsia="lt-LT"/>
                  </w:rPr>
                  <w:t>Parama ikimokykliniam ugdymui ir priežiūrai (išskyrus infrastruktūrą)</w:t>
                </w:r>
              </w:p>
            </w:tc>
            <w:tc>
              <w:tcPr>
                <w:tcW w:w="1344" w:type="dxa"/>
                <w:tcMar>
                  <w:left w:w="28" w:type="dxa"/>
                  <w:right w:w="28" w:type="dxa"/>
                </w:tcMar>
              </w:tcPr>
              <w:p w:rsidR="001D5DA6" w:rsidRDefault="00470559">
                <w:pPr>
                  <w:rPr>
                    <w:i/>
                    <w:sz w:val="18"/>
                    <w:szCs w:val="18"/>
                  </w:rPr>
                </w:pPr>
                <w:r>
                  <w:rPr>
                    <w:iCs/>
                    <w:sz w:val="18"/>
                    <w:szCs w:val="18"/>
                  </w:rPr>
                  <w:t>Sostinės regionas</w:t>
                </w:r>
              </w:p>
            </w:tc>
            <w:tc>
              <w:tcPr>
                <w:tcW w:w="1080" w:type="dxa"/>
                <w:tcMar>
                  <w:left w:w="28" w:type="dxa"/>
                  <w:right w:w="28" w:type="dxa"/>
                </w:tcMar>
              </w:tcPr>
              <w:p w:rsidR="001D5DA6" w:rsidRDefault="00470559">
                <w:pPr>
                  <w:jc w:val="center"/>
                  <w:rPr>
                    <w:i/>
                    <w:sz w:val="18"/>
                    <w:szCs w:val="18"/>
                  </w:rPr>
                </w:pPr>
                <w:r>
                  <w:rPr>
                    <w:sz w:val="18"/>
                    <w:szCs w:val="22"/>
                  </w:rPr>
                  <w:t xml:space="preserve">01 </w:t>
                </w:r>
                <w:r>
                  <w:rPr>
                    <w:iCs/>
                    <w:sz w:val="18"/>
                    <w:szCs w:val="22"/>
                  </w:rPr>
                  <w:t>–</w:t>
                </w:r>
                <w:r>
                  <w:rPr>
                    <w:sz w:val="18"/>
                    <w:szCs w:val="22"/>
                  </w:rPr>
                  <w:t xml:space="preserve"> dotacija</w:t>
                </w:r>
              </w:p>
            </w:tc>
            <w:tc>
              <w:tcPr>
                <w:tcW w:w="1344" w:type="dxa"/>
                <w:tcMar>
                  <w:left w:w="28" w:type="dxa"/>
                  <w:right w:w="28" w:type="dxa"/>
                </w:tcMar>
              </w:tcPr>
              <w:p w:rsidR="001D5DA6" w:rsidRDefault="00470559">
                <w:pPr>
                  <w:jc w:val="center"/>
                  <w:rPr>
                    <w:sz w:val="18"/>
                    <w:szCs w:val="18"/>
                  </w:rPr>
                </w:pPr>
                <w:r>
                  <w:rPr>
                    <w:sz w:val="18"/>
                    <w:szCs w:val="18"/>
                  </w:rPr>
                  <w:t>33</w:t>
                </w:r>
              </w:p>
              <w:p w:rsidR="001D5DA6" w:rsidRDefault="00470559">
                <w:pPr>
                  <w:ind w:firstLine="48"/>
                  <w:jc w:val="center"/>
                  <w:rPr>
                    <w:sz w:val="18"/>
                    <w:szCs w:val="18"/>
                  </w:rPr>
                </w:pPr>
                <w:r>
                  <w:rPr>
                    <w:sz w:val="18"/>
                    <w:szCs w:val="18"/>
                  </w:rPr>
                  <w:t xml:space="preserve">nesiorientuojant į teritoriškumą </w:t>
                </w:r>
              </w:p>
            </w:tc>
            <w:tc>
              <w:tcPr>
                <w:tcW w:w="1051" w:type="dxa"/>
                <w:tcMar>
                  <w:left w:w="28" w:type="dxa"/>
                  <w:right w:w="28" w:type="dxa"/>
                </w:tcMar>
              </w:tcPr>
              <w:p w:rsidR="001D5DA6" w:rsidRDefault="00470559">
                <w:pPr>
                  <w:jc w:val="center"/>
                  <w:rPr>
                    <w:sz w:val="18"/>
                    <w:szCs w:val="18"/>
                  </w:rPr>
                </w:pPr>
                <w:r>
                  <w:rPr>
                    <w:iCs/>
                    <w:sz w:val="18"/>
                  </w:rPr>
                  <w:t xml:space="preserve">21 </w:t>
                </w:r>
                <w:r>
                  <w:rPr>
                    <w:iCs/>
                    <w:sz w:val="18"/>
                    <w:szCs w:val="22"/>
                  </w:rPr>
                  <w:t>–</w:t>
                </w:r>
                <w:r>
                  <w:rPr>
                    <w:iCs/>
                    <w:sz w:val="18"/>
                  </w:rPr>
                  <w:t xml:space="preserve"> švietimas</w:t>
                </w:r>
              </w:p>
            </w:tc>
            <w:tc>
              <w:tcPr>
                <w:tcW w:w="1132" w:type="dxa"/>
                <w:tcMar>
                  <w:left w:w="28" w:type="dxa"/>
                  <w:right w:w="28" w:type="dxa"/>
                </w:tcMar>
              </w:tcPr>
              <w:p w:rsidR="001D5DA6" w:rsidRDefault="00470559">
                <w:pPr>
                  <w:jc w:val="center"/>
                  <w:rPr>
                    <w:sz w:val="18"/>
                  </w:rPr>
                </w:pPr>
                <w:r>
                  <w:rPr>
                    <w:iCs/>
                    <w:sz w:val="18"/>
                  </w:rPr>
                  <w:t xml:space="preserve">09 </w:t>
                </w:r>
                <w:r>
                  <w:rPr>
                    <w:iCs/>
                    <w:sz w:val="18"/>
                    <w:szCs w:val="22"/>
                  </w:rPr>
                  <w:t>–</w:t>
                </w:r>
                <w:r>
                  <w:rPr>
                    <w:iCs/>
                    <w:sz w:val="18"/>
                  </w:rPr>
                  <w:t xml:space="preserve"> netaikoma</w:t>
                </w:r>
              </w:p>
            </w:tc>
            <w:tc>
              <w:tcPr>
                <w:tcW w:w="859" w:type="dxa"/>
                <w:tcMar>
                  <w:left w:w="28" w:type="dxa"/>
                  <w:right w:w="28" w:type="dxa"/>
                </w:tcMar>
              </w:tcPr>
              <w:p w:rsidR="001D5DA6" w:rsidRDefault="00470559">
                <w:pPr>
                  <w:jc w:val="center"/>
                  <w:rPr>
                    <w:sz w:val="18"/>
                    <w:szCs w:val="18"/>
                  </w:rPr>
                </w:pPr>
                <w:r>
                  <w:rPr>
                    <w:sz w:val="18"/>
                    <w:szCs w:val="18"/>
                  </w:rPr>
                  <w:t xml:space="preserve">02 – </w:t>
                </w:r>
                <w:r>
                  <w:rPr>
                    <w:sz w:val="20"/>
                  </w:rPr>
                  <w:t xml:space="preserve"> </w:t>
                </w:r>
                <w:r>
                  <w:rPr>
                    <w:sz w:val="18"/>
                    <w:szCs w:val="18"/>
                  </w:rPr>
                  <w:t>lyčių aspekto integravimas</w:t>
                </w:r>
              </w:p>
            </w:tc>
            <w:tc>
              <w:tcPr>
                <w:tcW w:w="1149" w:type="dxa"/>
              </w:tcPr>
              <w:p w:rsidR="001D5DA6" w:rsidRDefault="00470559">
                <w:pPr>
                  <w:jc w:val="center"/>
                  <w:rPr>
                    <w:sz w:val="18"/>
                    <w:szCs w:val="18"/>
                  </w:rPr>
                </w:pPr>
                <w:r>
                  <w:rPr>
                    <w:sz w:val="18"/>
                    <w:szCs w:val="18"/>
                  </w:rPr>
                  <w:t>Ne</w:t>
                </w:r>
              </w:p>
            </w:tc>
          </w:tr>
        </w:tbl>
        <w:p w:rsidR="001D5DA6" w:rsidRDefault="001D5DA6">
          <w:pPr>
            <w:ind w:firstLine="567"/>
            <w:jc w:val="both"/>
            <w:rPr>
              <w:i/>
              <w:i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73"/>
            <w:gridCol w:w="3827"/>
            <w:gridCol w:w="3261"/>
            <w:gridCol w:w="3373"/>
          </w:tblGrid>
          <w:tr w:rsidR="001D5DA6">
            <w:trPr>
              <w:trHeight w:val="405"/>
            </w:trPr>
            <w:tc>
              <w:tcPr>
                <w:tcW w:w="4673" w:type="dxa"/>
                <w:shd w:val="clear" w:color="auto" w:fill="auto"/>
                <w:vAlign w:val="center"/>
              </w:tcPr>
              <w:p w:rsidR="001D5DA6" w:rsidRDefault="00470559">
                <w:pPr>
                  <w:jc w:val="center"/>
                  <w:rPr>
                    <w:b/>
                    <w:bCs/>
                    <w:sz w:val="18"/>
                    <w:szCs w:val="18"/>
                  </w:rPr>
                </w:pPr>
                <w:r>
                  <w:rPr>
                    <w:b/>
                    <w:bCs/>
                    <w:sz w:val="22"/>
                    <w:szCs w:val="22"/>
                  </w:rPr>
                  <w:t>Rodiklio pavadinimas</w:t>
                </w:r>
              </w:p>
            </w:tc>
            <w:tc>
              <w:tcPr>
                <w:tcW w:w="3827" w:type="dxa"/>
                <w:shd w:val="clear" w:color="auto" w:fill="auto"/>
                <w:vAlign w:val="center"/>
              </w:tcPr>
              <w:p w:rsidR="001D5DA6" w:rsidRDefault="00470559">
                <w:pPr>
                  <w:jc w:val="center"/>
                  <w:rPr>
                    <w:b/>
                    <w:bCs/>
                    <w:sz w:val="18"/>
                    <w:szCs w:val="18"/>
                  </w:rPr>
                </w:pPr>
                <w:r>
                  <w:rPr>
                    <w:b/>
                    <w:bCs/>
                    <w:sz w:val="22"/>
                    <w:szCs w:val="22"/>
                  </w:rPr>
                  <w:t>Rodiklio kodas</w:t>
                </w:r>
              </w:p>
            </w:tc>
            <w:tc>
              <w:tcPr>
                <w:tcW w:w="3261" w:type="dxa"/>
                <w:shd w:val="clear" w:color="auto" w:fill="auto"/>
                <w:vAlign w:val="center"/>
              </w:tcPr>
              <w:p w:rsidR="001D5DA6" w:rsidRDefault="00470559">
                <w:pPr>
                  <w:jc w:val="center"/>
                  <w:rPr>
                    <w:b/>
                    <w:bCs/>
                    <w:sz w:val="18"/>
                    <w:szCs w:val="18"/>
                  </w:rPr>
                </w:pPr>
                <w:r>
                  <w:rPr>
                    <w:b/>
                    <w:bCs/>
                    <w:sz w:val="22"/>
                    <w:szCs w:val="22"/>
                  </w:rPr>
                  <w:t>Matavimo vienetai</w:t>
                </w:r>
              </w:p>
            </w:tc>
            <w:tc>
              <w:tcPr>
                <w:tcW w:w="3373" w:type="dxa"/>
                <w:shd w:val="clear" w:color="auto" w:fill="auto"/>
                <w:vAlign w:val="center"/>
              </w:tcPr>
              <w:p w:rsidR="001D5DA6" w:rsidRDefault="00470559">
                <w:pPr>
                  <w:jc w:val="center"/>
                  <w:rPr>
                    <w:b/>
                    <w:bCs/>
                    <w:sz w:val="18"/>
                    <w:szCs w:val="18"/>
                  </w:rPr>
                </w:pPr>
                <w:r>
                  <w:rPr>
                    <w:b/>
                    <w:bCs/>
                    <w:sz w:val="22"/>
                    <w:szCs w:val="22"/>
                  </w:rPr>
                  <w:t>Siektina reikšmė</w:t>
                </w:r>
              </w:p>
            </w:tc>
          </w:tr>
          <w:tr w:rsidR="001D5DA6">
            <w:trPr>
              <w:trHeight w:val="725"/>
            </w:trPr>
            <w:tc>
              <w:tcPr>
                <w:tcW w:w="4673" w:type="dxa"/>
              </w:tcPr>
              <w:p w:rsidR="001D5DA6" w:rsidRDefault="00470559">
                <w:pPr>
                  <w:jc w:val="center"/>
                  <w:rPr>
                    <w:szCs w:val="24"/>
                  </w:rPr>
                </w:pPr>
                <w:r>
                  <w:rPr>
                    <w:szCs w:val="24"/>
                  </w:rPr>
                  <w:t>Jaunesnių nei 18 metų vaikų skaičius</w:t>
                </w:r>
              </w:p>
            </w:tc>
            <w:tc>
              <w:tcPr>
                <w:tcW w:w="3827" w:type="dxa"/>
              </w:tcPr>
              <w:p w:rsidR="001D5DA6" w:rsidRDefault="00470559">
                <w:pPr>
                  <w:spacing w:line="276" w:lineRule="auto"/>
                  <w:jc w:val="center"/>
                </w:pPr>
                <w:r>
                  <w:t>P-12-003-03-01-04-05</w:t>
                </w:r>
              </w:p>
              <w:p w:rsidR="001D5DA6" w:rsidRDefault="00470559">
                <w:pPr>
                  <w:jc w:val="center"/>
                  <w:rPr>
                    <w:szCs w:val="24"/>
                  </w:rPr>
                </w:pPr>
                <w:r>
                  <w:rPr>
                    <w:szCs w:val="24"/>
                  </w:rPr>
                  <w:t>P.B.2.0506</w:t>
                </w:r>
              </w:p>
            </w:tc>
            <w:tc>
              <w:tcPr>
                <w:tcW w:w="3261" w:type="dxa"/>
              </w:tcPr>
              <w:p w:rsidR="001D5DA6" w:rsidRDefault="00470559">
                <w:pPr>
                  <w:jc w:val="center"/>
                  <w:rPr>
                    <w:sz w:val="22"/>
                    <w:szCs w:val="22"/>
                  </w:rPr>
                </w:pPr>
                <w:r>
                  <w:rPr>
                    <w:sz w:val="22"/>
                    <w:szCs w:val="22"/>
                  </w:rPr>
                  <w:t>asmenys</w:t>
                </w:r>
              </w:p>
            </w:tc>
            <w:tc>
              <w:tcPr>
                <w:tcW w:w="3373" w:type="dxa"/>
              </w:tcPr>
              <w:p w:rsidR="001D5DA6" w:rsidRDefault="00470559">
                <w:pPr>
                  <w:jc w:val="center"/>
                  <w:rPr>
                    <w:sz w:val="22"/>
                    <w:szCs w:val="22"/>
                  </w:rPr>
                </w:pPr>
                <w:r>
                  <w:rPr>
                    <w:sz w:val="22"/>
                    <w:szCs w:val="22"/>
                  </w:rPr>
                  <w:t>510</w:t>
                </w:r>
              </w:p>
            </w:tc>
          </w:tr>
          <w:tr w:rsidR="001D5DA6">
            <w:trPr>
              <w:trHeight w:val="725"/>
            </w:trPr>
            <w:tc>
              <w:tcPr>
                <w:tcW w:w="4673" w:type="dxa"/>
              </w:tcPr>
              <w:p w:rsidR="001D5DA6" w:rsidRDefault="00470559">
                <w:pPr>
                  <w:jc w:val="center"/>
                  <w:rPr>
                    <w:szCs w:val="24"/>
                  </w:rPr>
                </w:pPr>
                <w:r>
                  <w:rPr>
                    <w:szCs w:val="24"/>
                  </w:rPr>
                  <w:t xml:space="preserve">Socialinės rizikos šeimose augančių vaikų, kurie yra privalomai ugdomi pagal </w:t>
                </w:r>
                <w:r>
                  <w:rPr>
                    <w:szCs w:val="24"/>
                  </w:rPr>
                  <w:lastRenderedPageBreak/>
                  <w:t>ikimokyklinio ar priešmokyklinio ugdymo programas ne trumpiau kaip 6 mėnesius, dalis</w:t>
                </w:r>
              </w:p>
            </w:tc>
            <w:tc>
              <w:tcPr>
                <w:tcW w:w="3827" w:type="dxa"/>
              </w:tcPr>
              <w:p w:rsidR="001D5DA6" w:rsidRDefault="00470559">
                <w:pPr>
                  <w:jc w:val="center"/>
                  <w:rPr>
                    <w:szCs w:val="24"/>
                  </w:rPr>
                </w:pPr>
                <w:r>
                  <w:rPr>
                    <w:szCs w:val="24"/>
                  </w:rPr>
                  <w:lastRenderedPageBreak/>
                  <w:t>R-12-003-03-01-04-03</w:t>
                </w:r>
              </w:p>
              <w:p w:rsidR="001D5DA6" w:rsidRDefault="00470559">
                <w:pPr>
                  <w:jc w:val="center"/>
                  <w:rPr>
                    <w:szCs w:val="24"/>
                  </w:rPr>
                </w:pPr>
                <w:r>
                  <w:rPr>
                    <w:color w:val="000000"/>
                    <w:szCs w:val="24"/>
                  </w:rPr>
                  <w:t>R.S.2.3509</w:t>
                </w:r>
              </w:p>
            </w:tc>
            <w:tc>
              <w:tcPr>
                <w:tcW w:w="3261" w:type="dxa"/>
              </w:tcPr>
              <w:p w:rsidR="001D5DA6" w:rsidRDefault="00470559">
                <w:pPr>
                  <w:jc w:val="center"/>
                  <w:rPr>
                    <w:sz w:val="22"/>
                    <w:szCs w:val="22"/>
                  </w:rPr>
                </w:pPr>
                <w:r>
                  <w:rPr>
                    <w:sz w:val="22"/>
                    <w:szCs w:val="22"/>
                  </w:rPr>
                  <w:t>procentas</w:t>
                </w:r>
              </w:p>
            </w:tc>
            <w:tc>
              <w:tcPr>
                <w:tcW w:w="3373" w:type="dxa"/>
              </w:tcPr>
              <w:p w:rsidR="001D5DA6" w:rsidRDefault="00470559">
                <w:pPr>
                  <w:jc w:val="center"/>
                  <w:rPr>
                    <w:sz w:val="22"/>
                    <w:szCs w:val="22"/>
                  </w:rPr>
                </w:pPr>
                <w:r>
                  <w:rPr>
                    <w:sz w:val="22"/>
                    <w:szCs w:val="22"/>
                  </w:rPr>
                  <w:t>80</w:t>
                </w:r>
              </w:p>
            </w:tc>
          </w:tr>
        </w:tbl>
        <w:p w:rsidR="001D5DA6" w:rsidRDefault="001D5DA6">
          <w:pPr>
            <w:ind w:firstLine="567"/>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1D5DA6">
            <w:trPr>
              <w:trHeight w:val="298"/>
            </w:trPr>
            <w:tc>
              <w:tcPr>
                <w:tcW w:w="15158" w:type="dxa"/>
              </w:tcPr>
              <w:p w:rsidR="001D5DA6" w:rsidRDefault="00470559">
                <w:pPr>
                  <w:jc w:val="both"/>
                  <w:rPr>
                    <w:szCs w:val="24"/>
                  </w:rPr>
                </w:pPr>
                <w:r>
                  <w:rPr>
                    <w:szCs w:val="24"/>
                  </w:rPr>
                  <w:t>Ministerijos stebėsenos rodiklių aprašymo kortelės</w:t>
                </w:r>
              </w:p>
            </w:tc>
          </w:tr>
          <w:tr w:rsidR="001D5DA6">
            <w:trPr>
              <w:trHeight w:val="315"/>
            </w:trPr>
            <w:tc>
              <w:tcPr>
                <w:tcW w:w="15158" w:type="dxa"/>
              </w:tcPr>
              <w:p w:rsidR="001D5DA6" w:rsidRDefault="00470559">
                <w:pPr>
                  <w:rPr>
                    <w:i/>
                    <w:szCs w:val="24"/>
                  </w:rPr>
                </w:pPr>
                <w:r>
                  <w:rPr>
                    <w:i/>
                    <w:color w:val="0563C1"/>
                    <w:szCs w:val="24"/>
                    <w:u w:val="single"/>
                  </w:rPr>
                  <w:t>https://smsm.lrv.lt/uploads/smsm/documents/files/Steb%C4%97senos%2Brodikli%C5%B3%2Bapra%C5%A1ym%C5%B3%2Bkortel%C4%97s_05-26.pdf</w:t>
                </w:r>
              </w:p>
            </w:tc>
          </w:tr>
        </w:tbl>
        <w:p w:rsidR="001D5DA6" w:rsidRDefault="001D5DA6">
          <w:pPr>
            <w:jc w:val="both"/>
            <w:rPr>
              <w:i/>
              <w:iCs/>
              <w:szCs w:val="24"/>
            </w:rPr>
          </w:pPr>
        </w:p>
        <w:p w:rsidR="001D5DA6" w:rsidRDefault="001D5DA6">
          <w:pPr>
            <w:jc w:val="both"/>
            <w:rPr>
              <w:i/>
              <w:iCs/>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236"/>
            <w:gridCol w:w="1134"/>
            <w:gridCol w:w="1134"/>
            <w:gridCol w:w="1457"/>
            <w:gridCol w:w="1344"/>
            <w:gridCol w:w="1080"/>
            <w:gridCol w:w="1344"/>
            <w:gridCol w:w="1051"/>
            <w:gridCol w:w="1132"/>
            <w:gridCol w:w="859"/>
            <w:gridCol w:w="1128"/>
            <w:gridCol w:w="21"/>
          </w:tblGrid>
          <w:tr w:rsidR="001D5DA6">
            <w:trPr>
              <w:gridAfter w:val="1"/>
              <w:wAfter w:w="21" w:type="dxa"/>
            </w:trPr>
            <w:tc>
              <w:tcPr>
                <w:tcW w:w="15134" w:type="dxa"/>
                <w:gridSpan w:val="13"/>
                <w:tcBorders>
                  <w:top w:val="single" w:sz="4" w:space="0" w:color="auto"/>
                  <w:left w:val="single" w:sz="4" w:space="0" w:color="auto"/>
                  <w:bottom w:val="single" w:sz="4" w:space="0" w:color="auto"/>
                  <w:right w:val="single" w:sz="4" w:space="0" w:color="auto"/>
                </w:tcBorders>
                <w:vAlign w:val="center"/>
              </w:tcPr>
              <w:p w:rsidR="001D5DA6" w:rsidRDefault="00470559">
                <w:pPr>
                  <w:jc w:val="center"/>
                  <w:rPr>
                    <w:b/>
                    <w:sz w:val="22"/>
                    <w:szCs w:val="22"/>
                  </w:rPr>
                </w:pPr>
                <w:r>
                  <w:rPr>
                    <w:b/>
                    <w:sz w:val="22"/>
                    <w:szCs w:val="22"/>
                  </w:rPr>
                  <w:t>VEIKLOS AR POVEIKLĖS, KURIOMS NUSTATOMOS PROJEKTŲ FINANSAVIMO SĄLYGOS</w:t>
                </w:r>
              </w:p>
            </w:tc>
          </w:tr>
          <w:tr w:rsidR="001D5DA6">
            <w:tc>
              <w:tcPr>
                <w:tcW w:w="1110" w:type="dxa"/>
                <w:vAlign w:val="center"/>
              </w:tcPr>
              <w:p w:rsidR="001D5DA6" w:rsidRDefault="00470559">
                <w:pPr>
                  <w:jc w:val="center"/>
                  <w:rPr>
                    <w:b/>
                    <w:sz w:val="20"/>
                  </w:rPr>
                </w:pPr>
                <w:r>
                  <w:rPr>
                    <w:b/>
                    <w:sz w:val="20"/>
                  </w:rPr>
                  <w:t>Veiklos ar poveiklės pavadini-mas</w:t>
                </w:r>
              </w:p>
            </w:tc>
            <w:tc>
              <w:tcPr>
                <w:tcW w:w="1125" w:type="dxa"/>
                <w:vAlign w:val="center"/>
              </w:tcPr>
              <w:p w:rsidR="001D5DA6" w:rsidRDefault="00470559">
                <w:pPr>
                  <w:jc w:val="center"/>
                  <w:rPr>
                    <w:b/>
                    <w:sz w:val="20"/>
                  </w:rPr>
                </w:pPr>
                <w:r>
                  <w:rPr>
                    <w:b/>
                    <w:sz w:val="20"/>
                  </w:rPr>
                  <w:t>Finansa-vimo šaltinis</w:t>
                </w:r>
              </w:p>
            </w:tc>
            <w:tc>
              <w:tcPr>
                <w:tcW w:w="1236" w:type="dxa"/>
                <w:vAlign w:val="center"/>
              </w:tcPr>
              <w:p w:rsidR="001D5DA6" w:rsidRDefault="00470559">
                <w:pPr>
                  <w:jc w:val="center"/>
                  <w:rPr>
                    <w:b/>
                    <w:sz w:val="20"/>
                  </w:rPr>
                </w:pPr>
                <w:r>
                  <w:rPr>
                    <w:b/>
                    <w:bCs/>
                    <w:sz w:val="20"/>
                  </w:rPr>
                  <w:t>Prioritetas ar komponen-tas</w:t>
                </w:r>
              </w:p>
            </w:tc>
            <w:tc>
              <w:tcPr>
                <w:tcW w:w="1134" w:type="dxa"/>
                <w:vAlign w:val="center"/>
              </w:tcPr>
              <w:p w:rsidR="001D5DA6" w:rsidRDefault="00470559">
                <w:pPr>
                  <w:jc w:val="center"/>
                  <w:rPr>
                    <w:b/>
                    <w:sz w:val="20"/>
                  </w:rPr>
                </w:pPr>
                <w:r>
                  <w:rPr>
                    <w:b/>
                    <w:bCs/>
                    <w:sz w:val="20"/>
                  </w:rPr>
                  <w:t>Uždavi-nys ar priemonė</w:t>
                </w:r>
              </w:p>
            </w:tc>
            <w:tc>
              <w:tcPr>
                <w:tcW w:w="1134" w:type="dxa"/>
                <w:vAlign w:val="center"/>
              </w:tcPr>
              <w:p w:rsidR="001D5DA6" w:rsidRDefault="00470559">
                <w:pPr>
                  <w:jc w:val="center"/>
                  <w:rPr>
                    <w:b/>
                    <w:sz w:val="20"/>
                  </w:rPr>
                </w:pPr>
                <w:r>
                  <w:rPr>
                    <w:b/>
                    <w:bCs/>
                    <w:sz w:val="20"/>
                  </w:rPr>
                  <w:t>Veikla ar paprie-monė</w:t>
                </w:r>
              </w:p>
            </w:tc>
            <w:tc>
              <w:tcPr>
                <w:tcW w:w="1457" w:type="dxa"/>
                <w:vAlign w:val="center"/>
              </w:tcPr>
              <w:p w:rsidR="001D5DA6" w:rsidRDefault="00470559">
                <w:pPr>
                  <w:jc w:val="center"/>
                  <w:rPr>
                    <w:b/>
                    <w:sz w:val="20"/>
                  </w:rPr>
                </w:pPr>
                <w:r>
                  <w:rPr>
                    <w:b/>
                    <w:sz w:val="20"/>
                  </w:rPr>
                  <w:t>Intervencinės priemonės kodas</w:t>
                </w:r>
              </w:p>
            </w:tc>
            <w:tc>
              <w:tcPr>
                <w:tcW w:w="1344" w:type="dxa"/>
                <w:vAlign w:val="center"/>
              </w:tcPr>
              <w:p w:rsidR="001D5DA6" w:rsidRDefault="00470559">
                <w:pPr>
                  <w:jc w:val="center"/>
                  <w:rPr>
                    <w:b/>
                    <w:bCs/>
                    <w:sz w:val="20"/>
                  </w:rPr>
                </w:pPr>
                <w:r>
                  <w:rPr>
                    <w:b/>
                    <w:sz w:val="20"/>
                  </w:rPr>
                  <w:t>Regionas, kuriam priskiriama veikla ar poveiklė</w:t>
                </w:r>
              </w:p>
            </w:tc>
            <w:tc>
              <w:tcPr>
                <w:tcW w:w="1080" w:type="dxa"/>
                <w:vAlign w:val="center"/>
              </w:tcPr>
              <w:p w:rsidR="001D5DA6" w:rsidRDefault="00470559">
                <w:pPr>
                  <w:jc w:val="center"/>
                  <w:rPr>
                    <w:b/>
                    <w:sz w:val="20"/>
                  </w:rPr>
                </w:pPr>
                <w:r>
                  <w:rPr>
                    <w:b/>
                    <w:bCs/>
                    <w:sz w:val="20"/>
                  </w:rPr>
                  <w:t>Paramos formos kodas</w:t>
                </w:r>
              </w:p>
            </w:tc>
            <w:tc>
              <w:tcPr>
                <w:tcW w:w="1344" w:type="dxa"/>
                <w:vAlign w:val="center"/>
              </w:tcPr>
              <w:p w:rsidR="001D5DA6" w:rsidRDefault="00470559">
                <w:pPr>
                  <w:jc w:val="center"/>
                  <w:rPr>
                    <w:b/>
                    <w:sz w:val="20"/>
                  </w:rPr>
                </w:pPr>
                <w:r>
                  <w:rPr>
                    <w:b/>
                    <w:bCs/>
                    <w:sz w:val="20"/>
                  </w:rPr>
                  <w:t>Pagrindinės teritorinės srities kodas (-ai)</w:t>
                </w:r>
              </w:p>
            </w:tc>
            <w:tc>
              <w:tcPr>
                <w:tcW w:w="1051" w:type="dxa"/>
                <w:vAlign w:val="center"/>
              </w:tcPr>
              <w:p w:rsidR="001D5DA6" w:rsidRDefault="00470559">
                <w:pPr>
                  <w:jc w:val="center"/>
                  <w:rPr>
                    <w:b/>
                    <w:bCs/>
                    <w:sz w:val="20"/>
                  </w:rPr>
                </w:pPr>
                <w:r>
                  <w:rPr>
                    <w:b/>
                    <w:bCs/>
                    <w:sz w:val="20"/>
                  </w:rPr>
                  <w:t xml:space="preserve">Ekono-minės veiklos kodas </w:t>
                </w:r>
              </w:p>
              <w:p w:rsidR="001D5DA6" w:rsidRDefault="00470559">
                <w:pPr>
                  <w:jc w:val="center"/>
                  <w:rPr>
                    <w:b/>
                    <w:sz w:val="20"/>
                  </w:rPr>
                </w:pPr>
                <w:r>
                  <w:rPr>
                    <w:b/>
                    <w:bCs/>
                    <w:sz w:val="20"/>
                  </w:rPr>
                  <w:t>(-ai)</w:t>
                </w:r>
              </w:p>
            </w:tc>
            <w:tc>
              <w:tcPr>
                <w:tcW w:w="1132" w:type="dxa"/>
                <w:vAlign w:val="center"/>
              </w:tcPr>
              <w:p w:rsidR="001D5DA6" w:rsidRDefault="00470559">
                <w:pPr>
                  <w:jc w:val="center"/>
                  <w:rPr>
                    <w:b/>
                    <w:bCs/>
                    <w:sz w:val="20"/>
                  </w:rPr>
                </w:pPr>
                <w:r>
                  <w:rPr>
                    <w:b/>
                    <w:bCs/>
                    <w:sz w:val="20"/>
                  </w:rPr>
                  <w:t>ESF+</w:t>
                </w:r>
              </w:p>
              <w:p w:rsidR="001D5DA6" w:rsidRDefault="00470559">
                <w:pPr>
                  <w:jc w:val="center"/>
                  <w:rPr>
                    <w:b/>
                    <w:bCs/>
                    <w:sz w:val="20"/>
                  </w:rPr>
                </w:pPr>
                <w:r>
                  <w:rPr>
                    <w:b/>
                    <w:bCs/>
                    <w:sz w:val="20"/>
                  </w:rPr>
                  <w:t>antrinių temų kodai</w:t>
                </w:r>
              </w:p>
            </w:tc>
            <w:tc>
              <w:tcPr>
                <w:tcW w:w="859" w:type="dxa"/>
                <w:vAlign w:val="center"/>
              </w:tcPr>
              <w:p w:rsidR="001D5DA6" w:rsidRDefault="00470559">
                <w:pPr>
                  <w:jc w:val="center"/>
                  <w:rPr>
                    <w:b/>
                    <w:bCs/>
                    <w:sz w:val="20"/>
                  </w:rPr>
                </w:pPr>
                <w:r>
                  <w:rPr>
                    <w:b/>
                    <w:bCs/>
                    <w:sz w:val="20"/>
                  </w:rPr>
                  <w:t>Lyčių lygybės mat-mens kodas</w:t>
                </w:r>
              </w:p>
            </w:tc>
            <w:tc>
              <w:tcPr>
                <w:tcW w:w="1149" w:type="dxa"/>
                <w:gridSpan w:val="2"/>
                <w:vAlign w:val="center"/>
              </w:tcPr>
              <w:p w:rsidR="001D5DA6" w:rsidRDefault="00470559">
                <w:pPr>
                  <w:jc w:val="center"/>
                  <w:rPr>
                    <w:b/>
                    <w:sz w:val="20"/>
                  </w:rPr>
                </w:pPr>
                <w:r>
                  <w:rPr>
                    <w:b/>
                    <w:sz w:val="20"/>
                  </w:rPr>
                  <w:t>Nepanau-dotos Ekonomi-kos gaivinimo ir atsparumo didinimo priemonės lėšos</w:t>
                </w:r>
              </w:p>
              <w:p w:rsidR="001D5DA6" w:rsidRDefault="00470559">
                <w:pPr>
                  <w:jc w:val="center"/>
                  <w:rPr>
                    <w:b/>
                    <w:bCs/>
                    <w:sz w:val="20"/>
                  </w:rPr>
                </w:pPr>
                <w:r>
                  <w:rPr>
                    <w:b/>
                    <w:sz w:val="20"/>
                  </w:rPr>
                  <w:t>(Taip / Ne)</w:t>
                </w:r>
              </w:p>
            </w:tc>
          </w:tr>
          <w:tr w:rsidR="001D5DA6">
            <w:trPr>
              <w:trHeight w:val="278"/>
            </w:trPr>
            <w:tc>
              <w:tcPr>
                <w:tcW w:w="1110" w:type="dxa"/>
                <w:tcMar>
                  <w:left w:w="28" w:type="dxa"/>
                  <w:right w:w="28" w:type="dxa"/>
                </w:tcMar>
              </w:tcPr>
              <w:p w:rsidR="001D5DA6" w:rsidRDefault="00470559">
                <w:pPr>
                  <w:jc w:val="center"/>
                  <w:rPr>
                    <w:sz w:val="18"/>
                    <w:szCs w:val="18"/>
                  </w:rPr>
                </w:pPr>
                <w:r>
                  <w:rPr>
                    <w:color w:val="000000"/>
                    <w:sz w:val="18"/>
                    <w:szCs w:val="18"/>
                  </w:rPr>
                  <w:t xml:space="preserve">Įgyvendinti priemones, kad į ikimokyklinį ugdymą būtų sėkmingai įtraukti vaikai iš socialinę riziką patiriančių šeimų </w:t>
                </w:r>
                <w:r>
                  <w:rPr>
                    <w:sz w:val="18"/>
                    <w:szCs w:val="18"/>
                  </w:rPr>
                  <w:t>(Vaiko garantijos iniciatyva)</w:t>
                </w:r>
              </w:p>
              <w:p w:rsidR="001D5DA6" w:rsidRDefault="00470559">
                <w:pPr>
                  <w:ind w:firstLine="48"/>
                  <w:jc w:val="center"/>
                  <w:rPr>
                    <w:i/>
                    <w:sz w:val="18"/>
                    <w:szCs w:val="18"/>
                  </w:rPr>
                </w:pPr>
                <w:r>
                  <w:rPr>
                    <w:sz w:val="18"/>
                    <w:szCs w:val="22"/>
                  </w:rPr>
                  <w:t>VVL regione</w:t>
                </w:r>
              </w:p>
            </w:tc>
            <w:tc>
              <w:tcPr>
                <w:tcW w:w="1125" w:type="dxa"/>
                <w:tcMar>
                  <w:left w:w="28" w:type="dxa"/>
                  <w:right w:w="28" w:type="dxa"/>
                </w:tcMar>
              </w:tcPr>
              <w:p w:rsidR="001D5DA6" w:rsidRDefault="00470559">
                <w:pPr>
                  <w:jc w:val="center"/>
                  <w:rPr>
                    <w:sz w:val="18"/>
                    <w:szCs w:val="18"/>
                  </w:rPr>
                </w:pPr>
                <w:r>
                  <w:rPr>
                    <w:sz w:val="18"/>
                    <w:szCs w:val="18"/>
                  </w:rPr>
                  <w:t>Europos Sąjungos fondų lėšos ir  bendrojo finansavimo lėšos</w:t>
                </w:r>
              </w:p>
            </w:tc>
            <w:tc>
              <w:tcPr>
                <w:tcW w:w="1236" w:type="dxa"/>
                <w:tcMar>
                  <w:left w:w="28" w:type="dxa"/>
                  <w:right w:w="28" w:type="dxa"/>
                </w:tcMar>
              </w:tcPr>
              <w:p w:rsidR="001D5DA6" w:rsidRDefault="00470559">
                <w:pPr>
                  <w:jc w:val="center"/>
                  <w:rPr>
                    <w:sz w:val="18"/>
                    <w:szCs w:val="18"/>
                  </w:rPr>
                </w:pPr>
                <w:r>
                  <w:rPr>
                    <w:sz w:val="18"/>
                    <w:szCs w:val="18"/>
                  </w:rPr>
                  <w:t>4.</w:t>
                </w:r>
              </w:p>
              <w:p w:rsidR="001D5DA6" w:rsidRDefault="00470559">
                <w:pPr>
                  <w:jc w:val="center"/>
                  <w:rPr>
                    <w:i/>
                    <w:iCs/>
                    <w:sz w:val="18"/>
                    <w:szCs w:val="18"/>
                  </w:rPr>
                </w:pPr>
                <w:r>
                  <w:rPr>
                    <w:sz w:val="18"/>
                    <w:szCs w:val="18"/>
                  </w:rPr>
                  <w:t>Socialiai atsakingesnė Lietuva</w:t>
                </w:r>
              </w:p>
            </w:tc>
            <w:tc>
              <w:tcPr>
                <w:tcW w:w="1134" w:type="dxa"/>
                <w:tcMar>
                  <w:left w:w="28" w:type="dxa"/>
                  <w:right w:w="28" w:type="dxa"/>
                </w:tcMar>
              </w:tcPr>
              <w:p w:rsidR="001D5DA6" w:rsidRDefault="00470559">
                <w:pPr>
                  <w:jc w:val="center"/>
                  <w:rPr>
                    <w:sz w:val="18"/>
                    <w:szCs w:val="18"/>
                  </w:rPr>
                </w:pPr>
                <w:r>
                  <w:rPr>
                    <w:sz w:val="18"/>
                    <w:szCs w:val="18"/>
                  </w:rPr>
                  <w:t xml:space="preserve">4.3. </w:t>
                </w:r>
              </w:p>
              <w:p w:rsidR="001D5DA6" w:rsidRDefault="00470559">
                <w:pPr>
                  <w:jc w:val="center"/>
                  <w:rPr>
                    <w:sz w:val="18"/>
                    <w:szCs w:val="18"/>
                  </w:rPr>
                </w:pPr>
                <w:r>
                  <w:rPr>
                    <w:sz w:val="18"/>
                    <w:szCs w:val="18"/>
                  </w:rPr>
                  <w:t xml:space="preserve">Skatinti, kad visi, visų pirma palankių sąlygų neturinčios grupės, turėtų vienodas galimybes gauti kokybiškas ir įtraukias švietimo ir mokymo paslaugas ir užbaigti mokslą, pradedant </w:t>
                </w:r>
                <w:r>
                  <w:rPr>
                    <w:sz w:val="18"/>
                    <w:szCs w:val="18"/>
                  </w:rPr>
                  <w:lastRenderedPageBreak/>
                  <w:t>ikimokykliniu ugdymu ir priežiūra, taip pat bendruoju lavinimu ir profesiniu rengimu bei mokymu, baigiant tretiniu išsilavinimu ir suaugusiųjų švietimu ir mokymusi, be kita ko, visiems sudaryti palankesnes sąlygas judumui mokymosi tikslais ir užtikrinant prieinamumą neįgaliesiems</w:t>
                </w:r>
              </w:p>
            </w:tc>
            <w:tc>
              <w:tcPr>
                <w:tcW w:w="1134" w:type="dxa"/>
                <w:tcMar>
                  <w:left w:w="28" w:type="dxa"/>
                  <w:right w:w="28" w:type="dxa"/>
                </w:tcMar>
              </w:tcPr>
              <w:p w:rsidR="001D5DA6" w:rsidRDefault="00470559">
                <w:pPr>
                  <w:jc w:val="center"/>
                  <w:rPr>
                    <w:sz w:val="18"/>
                    <w:szCs w:val="18"/>
                  </w:rPr>
                </w:pPr>
                <w:r>
                  <w:rPr>
                    <w:color w:val="000000"/>
                    <w:sz w:val="18"/>
                    <w:szCs w:val="18"/>
                  </w:rPr>
                  <w:lastRenderedPageBreak/>
                  <w:t xml:space="preserve">4.3.3. </w:t>
                </w:r>
                <w:r>
                  <w:rPr>
                    <w:sz w:val="18"/>
                    <w:szCs w:val="18"/>
                  </w:rPr>
                  <w:t xml:space="preserve">Ikimokyklinio (įskaitant privalomąjį) ir priešmokyklinio ugdymo užtikrinimas socialinę atskirtį, skurdą ar socialines rizikas, dėl kurių kyla grėsmė patirti socialinę atskirtį, patiriantiems vaikams (Vaiko garantijų </w:t>
                </w:r>
                <w:r>
                  <w:rPr>
                    <w:sz w:val="18"/>
                    <w:szCs w:val="18"/>
                  </w:rPr>
                  <w:lastRenderedPageBreak/>
                  <w:t>sistemos įgyvendinimas bei tėvų (globėjų) ir ugdymo įstaigų, vykdančių ikimokyklinio ir / ar priešmokyklinio ugdymo programas, personalo neformalus švietimas)</w:t>
                </w:r>
              </w:p>
            </w:tc>
            <w:tc>
              <w:tcPr>
                <w:tcW w:w="1457" w:type="dxa"/>
                <w:tcMar>
                  <w:left w:w="28" w:type="dxa"/>
                  <w:right w:w="28" w:type="dxa"/>
                </w:tcMar>
              </w:tcPr>
              <w:p w:rsidR="001D5DA6" w:rsidRDefault="00470559">
                <w:pPr>
                  <w:jc w:val="center"/>
                  <w:rPr>
                    <w:iCs/>
                    <w:sz w:val="18"/>
                  </w:rPr>
                </w:pPr>
                <w:r>
                  <w:rPr>
                    <w:iCs/>
                    <w:sz w:val="18"/>
                  </w:rPr>
                  <w:lastRenderedPageBreak/>
                  <w:t>148</w:t>
                </w:r>
              </w:p>
              <w:p w:rsidR="001D5DA6" w:rsidRDefault="00470559">
                <w:pPr>
                  <w:jc w:val="center"/>
                  <w:rPr>
                    <w:sz w:val="18"/>
                    <w:szCs w:val="18"/>
                  </w:rPr>
                </w:pPr>
                <w:r>
                  <w:rPr>
                    <w:sz w:val="18"/>
                    <w:szCs w:val="18"/>
                    <w:lang w:eastAsia="lt-LT"/>
                  </w:rPr>
                  <w:t>Parama ikimokykliniam ugdymui ir priežiūrai (išskyrus infrastruktūrą)</w:t>
                </w:r>
              </w:p>
            </w:tc>
            <w:tc>
              <w:tcPr>
                <w:tcW w:w="1344" w:type="dxa"/>
                <w:tcMar>
                  <w:left w:w="28" w:type="dxa"/>
                  <w:right w:w="28" w:type="dxa"/>
                </w:tcMar>
              </w:tcPr>
              <w:p w:rsidR="001D5DA6" w:rsidRDefault="00470559">
                <w:pPr>
                  <w:rPr>
                    <w:i/>
                    <w:sz w:val="18"/>
                    <w:szCs w:val="18"/>
                  </w:rPr>
                </w:pPr>
                <w:r>
                  <w:rPr>
                    <w:iCs/>
                    <w:sz w:val="18"/>
                    <w:szCs w:val="18"/>
                  </w:rPr>
                  <w:t>Vidurio ir vakarų Lietuvos regionas</w:t>
                </w:r>
              </w:p>
            </w:tc>
            <w:tc>
              <w:tcPr>
                <w:tcW w:w="1080" w:type="dxa"/>
                <w:tcMar>
                  <w:left w:w="28" w:type="dxa"/>
                  <w:right w:w="28" w:type="dxa"/>
                </w:tcMar>
              </w:tcPr>
              <w:p w:rsidR="001D5DA6" w:rsidRDefault="00470559">
                <w:pPr>
                  <w:jc w:val="center"/>
                  <w:rPr>
                    <w:i/>
                    <w:sz w:val="18"/>
                    <w:szCs w:val="18"/>
                  </w:rPr>
                </w:pPr>
                <w:r>
                  <w:rPr>
                    <w:sz w:val="18"/>
                    <w:szCs w:val="22"/>
                  </w:rPr>
                  <w:t xml:space="preserve">01 </w:t>
                </w:r>
                <w:r>
                  <w:rPr>
                    <w:iCs/>
                    <w:sz w:val="18"/>
                    <w:szCs w:val="22"/>
                  </w:rPr>
                  <w:t>–</w:t>
                </w:r>
                <w:r>
                  <w:rPr>
                    <w:sz w:val="18"/>
                    <w:szCs w:val="22"/>
                  </w:rPr>
                  <w:t xml:space="preserve"> dotacija</w:t>
                </w:r>
              </w:p>
            </w:tc>
            <w:tc>
              <w:tcPr>
                <w:tcW w:w="1344" w:type="dxa"/>
                <w:tcMar>
                  <w:left w:w="28" w:type="dxa"/>
                  <w:right w:w="28" w:type="dxa"/>
                </w:tcMar>
              </w:tcPr>
              <w:p w:rsidR="001D5DA6" w:rsidRDefault="00470559">
                <w:pPr>
                  <w:jc w:val="center"/>
                  <w:rPr>
                    <w:sz w:val="18"/>
                    <w:szCs w:val="18"/>
                  </w:rPr>
                </w:pPr>
                <w:r>
                  <w:rPr>
                    <w:sz w:val="18"/>
                    <w:szCs w:val="18"/>
                  </w:rPr>
                  <w:t>33 –  nesiorientuojant į teritoriškumą</w:t>
                </w:r>
              </w:p>
            </w:tc>
            <w:tc>
              <w:tcPr>
                <w:tcW w:w="1051" w:type="dxa"/>
                <w:tcMar>
                  <w:left w:w="28" w:type="dxa"/>
                  <w:right w:w="28" w:type="dxa"/>
                </w:tcMar>
              </w:tcPr>
              <w:p w:rsidR="001D5DA6" w:rsidRDefault="00470559">
                <w:pPr>
                  <w:jc w:val="center"/>
                  <w:rPr>
                    <w:sz w:val="18"/>
                    <w:szCs w:val="18"/>
                  </w:rPr>
                </w:pPr>
                <w:r>
                  <w:rPr>
                    <w:iCs/>
                    <w:sz w:val="18"/>
                  </w:rPr>
                  <w:t xml:space="preserve">21 </w:t>
                </w:r>
                <w:r>
                  <w:rPr>
                    <w:iCs/>
                    <w:sz w:val="18"/>
                    <w:szCs w:val="22"/>
                  </w:rPr>
                  <w:t>–</w:t>
                </w:r>
                <w:r>
                  <w:rPr>
                    <w:iCs/>
                    <w:sz w:val="18"/>
                  </w:rPr>
                  <w:t xml:space="preserve"> švietimas</w:t>
                </w:r>
              </w:p>
            </w:tc>
            <w:tc>
              <w:tcPr>
                <w:tcW w:w="1132" w:type="dxa"/>
                <w:tcMar>
                  <w:left w:w="28" w:type="dxa"/>
                  <w:right w:w="28" w:type="dxa"/>
                </w:tcMar>
              </w:tcPr>
              <w:p w:rsidR="001D5DA6" w:rsidRDefault="00470559">
                <w:pPr>
                  <w:jc w:val="center"/>
                  <w:rPr>
                    <w:sz w:val="18"/>
                  </w:rPr>
                </w:pPr>
                <w:r>
                  <w:rPr>
                    <w:iCs/>
                    <w:sz w:val="18"/>
                  </w:rPr>
                  <w:t xml:space="preserve">09 </w:t>
                </w:r>
                <w:r>
                  <w:rPr>
                    <w:iCs/>
                    <w:sz w:val="18"/>
                    <w:szCs w:val="22"/>
                  </w:rPr>
                  <w:t>–</w:t>
                </w:r>
                <w:r>
                  <w:rPr>
                    <w:iCs/>
                    <w:sz w:val="18"/>
                  </w:rPr>
                  <w:t xml:space="preserve"> netaikoma</w:t>
                </w:r>
              </w:p>
            </w:tc>
            <w:tc>
              <w:tcPr>
                <w:tcW w:w="859" w:type="dxa"/>
                <w:tcMar>
                  <w:left w:w="28" w:type="dxa"/>
                  <w:right w:w="28" w:type="dxa"/>
                </w:tcMar>
              </w:tcPr>
              <w:p w:rsidR="001D5DA6" w:rsidRDefault="00470559">
                <w:pPr>
                  <w:jc w:val="center"/>
                  <w:rPr>
                    <w:sz w:val="18"/>
                    <w:szCs w:val="18"/>
                  </w:rPr>
                </w:pPr>
                <w:r>
                  <w:rPr>
                    <w:sz w:val="18"/>
                    <w:szCs w:val="18"/>
                  </w:rPr>
                  <w:t>02 –  lyčių aspekto integravimas</w:t>
                </w:r>
              </w:p>
            </w:tc>
            <w:tc>
              <w:tcPr>
                <w:tcW w:w="1149" w:type="dxa"/>
                <w:gridSpan w:val="2"/>
              </w:tcPr>
              <w:p w:rsidR="001D5DA6" w:rsidRDefault="00470559">
                <w:pPr>
                  <w:jc w:val="center"/>
                  <w:rPr>
                    <w:sz w:val="18"/>
                    <w:szCs w:val="18"/>
                  </w:rPr>
                </w:pPr>
                <w:r>
                  <w:rPr>
                    <w:sz w:val="18"/>
                    <w:szCs w:val="18"/>
                  </w:rPr>
                  <w:t>Ne</w:t>
                </w:r>
              </w:p>
            </w:tc>
          </w:tr>
        </w:tbl>
        <w:p w:rsidR="001D5DA6" w:rsidRDefault="001D5DA6">
          <w:pPr>
            <w:ind w:firstLine="567"/>
            <w:jc w:val="both"/>
            <w:rPr>
              <w:i/>
              <w:i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57"/>
            <w:gridCol w:w="3685"/>
            <w:gridCol w:w="3260"/>
            <w:gridCol w:w="3232"/>
          </w:tblGrid>
          <w:tr w:rsidR="001D5DA6">
            <w:trPr>
              <w:trHeight w:val="405"/>
            </w:trPr>
            <w:tc>
              <w:tcPr>
                <w:tcW w:w="4957" w:type="dxa"/>
                <w:shd w:val="clear" w:color="auto" w:fill="auto"/>
                <w:vAlign w:val="center"/>
              </w:tcPr>
              <w:p w:rsidR="001D5DA6" w:rsidRDefault="00470559">
                <w:pPr>
                  <w:jc w:val="center"/>
                  <w:rPr>
                    <w:b/>
                    <w:bCs/>
                    <w:sz w:val="18"/>
                    <w:szCs w:val="18"/>
                  </w:rPr>
                </w:pPr>
                <w:r>
                  <w:rPr>
                    <w:b/>
                    <w:bCs/>
                    <w:sz w:val="22"/>
                    <w:szCs w:val="22"/>
                  </w:rPr>
                  <w:t>Rodiklio pavadinimas</w:t>
                </w:r>
              </w:p>
            </w:tc>
            <w:tc>
              <w:tcPr>
                <w:tcW w:w="3685" w:type="dxa"/>
                <w:shd w:val="clear" w:color="auto" w:fill="auto"/>
                <w:vAlign w:val="center"/>
              </w:tcPr>
              <w:p w:rsidR="001D5DA6" w:rsidRDefault="00470559">
                <w:pPr>
                  <w:jc w:val="center"/>
                  <w:rPr>
                    <w:b/>
                    <w:bCs/>
                    <w:sz w:val="18"/>
                    <w:szCs w:val="18"/>
                  </w:rPr>
                </w:pPr>
                <w:r>
                  <w:rPr>
                    <w:b/>
                    <w:bCs/>
                    <w:sz w:val="22"/>
                    <w:szCs w:val="22"/>
                  </w:rPr>
                  <w:t>Rodiklio kodas</w:t>
                </w:r>
              </w:p>
            </w:tc>
            <w:tc>
              <w:tcPr>
                <w:tcW w:w="3260" w:type="dxa"/>
                <w:shd w:val="clear" w:color="auto" w:fill="auto"/>
                <w:vAlign w:val="center"/>
              </w:tcPr>
              <w:p w:rsidR="001D5DA6" w:rsidRDefault="00470559">
                <w:pPr>
                  <w:jc w:val="center"/>
                  <w:rPr>
                    <w:b/>
                    <w:bCs/>
                    <w:sz w:val="18"/>
                    <w:szCs w:val="18"/>
                  </w:rPr>
                </w:pPr>
                <w:r>
                  <w:rPr>
                    <w:b/>
                    <w:bCs/>
                    <w:sz w:val="22"/>
                    <w:szCs w:val="22"/>
                  </w:rPr>
                  <w:t>Matavimo vienetai</w:t>
                </w:r>
              </w:p>
            </w:tc>
            <w:tc>
              <w:tcPr>
                <w:tcW w:w="3232" w:type="dxa"/>
                <w:shd w:val="clear" w:color="auto" w:fill="auto"/>
                <w:vAlign w:val="center"/>
              </w:tcPr>
              <w:p w:rsidR="001D5DA6" w:rsidRDefault="00470559">
                <w:pPr>
                  <w:jc w:val="center"/>
                  <w:rPr>
                    <w:b/>
                    <w:bCs/>
                    <w:sz w:val="18"/>
                    <w:szCs w:val="18"/>
                  </w:rPr>
                </w:pPr>
                <w:r>
                  <w:rPr>
                    <w:b/>
                    <w:bCs/>
                    <w:sz w:val="22"/>
                    <w:szCs w:val="22"/>
                  </w:rPr>
                  <w:t>Siektina reikšmė</w:t>
                </w:r>
              </w:p>
            </w:tc>
          </w:tr>
          <w:tr w:rsidR="001D5DA6">
            <w:trPr>
              <w:trHeight w:val="725"/>
            </w:trPr>
            <w:tc>
              <w:tcPr>
                <w:tcW w:w="4957" w:type="dxa"/>
              </w:tcPr>
              <w:p w:rsidR="001D5DA6" w:rsidRDefault="00470559">
                <w:pPr>
                  <w:jc w:val="center"/>
                  <w:rPr>
                    <w:szCs w:val="24"/>
                  </w:rPr>
                </w:pPr>
                <w:r>
                  <w:rPr>
                    <w:szCs w:val="24"/>
                  </w:rPr>
                  <w:t>Jaunesnių nei 18 metų vaikų skaičius</w:t>
                </w:r>
              </w:p>
            </w:tc>
            <w:tc>
              <w:tcPr>
                <w:tcW w:w="3685" w:type="dxa"/>
              </w:tcPr>
              <w:p w:rsidR="001D5DA6" w:rsidRDefault="00470559">
                <w:pPr>
                  <w:spacing w:line="276" w:lineRule="auto"/>
                  <w:jc w:val="center"/>
                  <w:rPr>
                    <w:szCs w:val="24"/>
                  </w:rPr>
                </w:pPr>
                <w:r>
                  <w:rPr>
                    <w:szCs w:val="24"/>
                  </w:rPr>
                  <w:t>P-12-003-03-01-04-05</w:t>
                </w:r>
              </w:p>
              <w:p w:rsidR="001D5DA6" w:rsidRDefault="00470559">
                <w:pPr>
                  <w:jc w:val="center"/>
                  <w:rPr>
                    <w:szCs w:val="24"/>
                  </w:rPr>
                </w:pPr>
                <w:r>
                  <w:rPr>
                    <w:szCs w:val="24"/>
                  </w:rPr>
                  <w:t>P.B.2.0506</w:t>
                </w:r>
              </w:p>
            </w:tc>
            <w:tc>
              <w:tcPr>
                <w:tcW w:w="3260" w:type="dxa"/>
              </w:tcPr>
              <w:p w:rsidR="001D5DA6" w:rsidRDefault="00470559">
                <w:pPr>
                  <w:jc w:val="center"/>
                  <w:rPr>
                    <w:sz w:val="22"/>
                    <w:szCs w:val="22"/>
                  </w:rPr>
                </w:pPr>
                <w:r>
                  <w:rPr>
                    <w:sz w:val="22"/>
                    <w:szCs w:val="22"/>
                  </w:rPr>
                  <w:t>asmenys</w:t>
                </w:r>
              </w:p>
            </w:tc>
            <w:tc>
              <w:tcPr>
                <w:tcW w:w="3232" w:type="dxa"/>
              </w:tcPr>
              <w:p w:rsidR="001D5DA6" w:rsidRDefault="00470559">
                <w:pPr>
                  <w:jc w:val="center"/>
                  <w:rPr>
                    <w:sz w:val="22"/>
                    <w:szCs w:val="22"/>
                  </w:rPr>
                </w:pPr>
                <w:r>
                  <w:rPr>
                    <w:sz w:val="22"/>
                    <w:szCs w:val="22"/>
                  </w:rPr>
                  <w:t>2 540</w:t>
                </w:r>
              </w:p>
            </w:tc>
          </w:tr>
          <w:tr w:rsidR="001D5DA6">
            <w:trPr>
              <w:trHeight w:val="725"/>
            </w:trPr>
            <w:tc>
              <w:tcPr>
                <w:tcW w:w="4957" w:type="dxa"/>
              </w:tcPr>
              <w:p w:rsidR="001D5DA6" w:rsidRDefault="00470559">
                <w:pPr>
                  <w:jc w:val="center"/>
                  <w:rPr>
                    <w:sz w:val="22"/>
                    <w:szCs w:val="22"/>
                  </w:rPr>
                </w:pPr>
                <w:r>
                  <w:rPr>
                    <w:szCs w:val="24"/>
                  </w:rPr>
                  <w:t>Socialinės rizikos šeimose augančių vaikų, kurie yra privalomai ugdomi pagal ikimokyklinio ar priešmokyklinio ugdymo programas ne trumpiau kaip 6 mėnesius, dalis</w:t>
                </w:r>
              </w:p>
            </w:tc>
            <w:tc>
              <w:tcPr>
                <w:tcW w:w="3685" w:type="dxa"/>
              </w:tcPr>
              <w:p w:rsidR="001D5DA6" w:rsidRDefault="00470559">
                <w:pPr>
                  <w:jc w:val="center"/>
                  <w:rPr>
                    <w:szCs w:val="24"/>
                  </w:rPr>
                </w:pPr>
                <w:r>
                  <w:rPr>
                    <w:szCs w:val="24"/>
                  </w:rPr>
                  <w:t>R-12-003-03-01-04-03</w:t>
                </w:r>
              </w:p>
              <w:p w:rsidR="001D5DA6" w:rsidRDefault="00470559">
                <w:pPr>
                  <w:jc w:val="center"/>
                  <w:rPr>
                    <w:szCs w:val="24"/>
                  </w:rPr>
                </w:pPr>
                <w:r>
                  <w:rPr>
                    <w:szCs w:val="24"/>
                  </w:rPr>
                  <w:t>R.S.2.3509</w:t>
                </w:r>
              </w:p>
            </w:tc>
            <w:tc>
              <w:tcPr>
                <w:tcW w:w="3260" w:type="dxa"/>
              </w:tcPr>
              <w:p w:rsidR="001D5DA6" w:rsidRDefault="00470559">
                <w:pPr>
                  <w:jc w:val="center"/>
                  <w:rPr>
                    <w:sz w:val="22"/>
                    <w:szCs w:val="22"/>
                  </w:rPr>
                </w:pPr>
                <w:r>
                  <w:rPr>
                    <w:sz w:val="22"/>
                    <w:szCs w:val="22"/>
                  </w:rPr>
                  <w:t>procentas</w:t>
                </w:r>
              </w:p>
            </w:tc>
            <w:tc>
              <w:tcPr>
                <w:tcW w:w="3232" w:type="dxa"/>
              </w:tcPr>
              <w:p w:rsidR="001D5DA6" w:rsidRDefault="00470559">
                <w:pPr>
                  <w:jc w:val="center"/>
                  <w:rPr>
                    <w:sz w:val="22"/>
                    <w:szCs w:val="22"/>
                  </w:rPr>
                </w:pPr>
                <w:r>
                  <w:rPr>
                    <w:sz w:val="22"/>
                    <w:szCs w:val="22"/>
                  </w:rPr>
                  <w:t>80</w:t>
                </w:r>
              </w:p>
            </w:tc>
          </w:tr>
        </w:tbl>
        <w:p w:rsidR="001D5DA6" w:rsidRDefault="001D5DA6">
          <w:pP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1D5DA6">
            <w:trPr>
              <w:trHeight w:val="298"/>
            </w:trPr>
            <w:tc>
              <w:tcPr>
                <w:tcW w:w="15158" w:type="dxa"/>
              </w:tcPr>
              <w:p w:rsidR="001D5DA6" w:rsidRDefault="00470559">
                <w:pPr>
                  <w:jc w:val="both"/>
                  <w:rPr>
                    <w:szCs w:val="24"/>
                  </w:rPr>
                </w:pPr>
                <w:r>
                  <w:rPr>
                    <w:szCs w:val="24"/>
                  </w:rPr>
                  <w:t>Ministerijos stebėsenos rodiklių aprašymo kortelės</w:t>
                </w:r>
              </w:p>
            </w:tc>
          </w:tr>
          <w:tr w:rsidR="001D5DA6">
            <w:trPr>
              <w:trHeight w:val="315"/>
            </w:trPr>
            <w:tc>
              <w:tcPr>
                <w:tcW w:w="15158" w:type="dxa"/>
              </w:tcPr>
              <w:p w:rsidR="001D5DA6" w:rsidRDefault="00470559">
                <w:pPr>
                  <w:rPr>
                    <w:i/>
                    <w:szCs w:val="24"/>
                  </w:rPr>
                </w:pPr>
                <w:r>
                  <w:rPr>
                    <w:i/>
                    <w:color w:val="0563C1"/>
                    <w:szCs w:val="24"/>
                    <w:u w:val="single"/>
                  </w:rPr>
                  <w:t>https://smsm.lrv.lt/uploads/smsm/documents/files/Steb%C4%97senos%2Brodikli%C5%B3%2Bapra%C5%A1ym%C5%B3%2Bkortel%C4%97s_05-26.pdf</w:t>
                </w:r>
              </w:p>
            </w:tc>
          </w:tr>
        </w:tbl>
        <w:p w:rsidR="001D5DA6" w:rsidRDefault="001D5DA6">
          <w:pPr>
            <w:ind w:firstLine="567"/>
            <w:jc w:val="both"/>
            <w:rPr>
              <w:i/>
              <w:iCs/>
              <w:szCs w:val="24"/>
            </w:rPr>
          </w:pPr>
        </w:p>
        <w:p w:rsidR="001D5DA6" w:rsidRDefault="001D5DA6">
          <w:pPr>
            <w:ind w:firstLine="567"/>
            <w:jc w:val="both"/>
            <w:rPr>
              <w:i/>
              <w:i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1D5DA6">
            <w:tc>
              <w:tcPr>
                <w:tcW w:w="15134" w:type="dxa"/>
              </w:tcPr>
              <w:p w:rsidR="001D5DA6" w:rsidRDefault="00470559">
                <w:pPr>
                  <w:rPr>
                    <w:b/>
                    <w:szCs w:val="24"/>
                  </w:rPr>
                </w:pPr>
                <w:r>
                  <w:rPr>
                    <w:b/>
                    <w:szCs w:val="24"/>
                  </w:rPr>
                  <w:t>SPECIALIEJI FINANSAVIMO REIKALAVIMAI</w:t>
                </w:r>
              </w:p>
            </w:tc>
          </w:tr>
          <w:tr w:rsidR="001D5DA6">
            <w:tc>
              <w:tcPr>
                <w:tcW w:w="15134" w:type="dxa"/>
              </w:tcPr>
              <w:p w:rsidR="001D5DA6" w:rsidRDefault="00470559">
                <w:pPr>
                  <w:rPr>
                    <w:b/>
                    <w:bCs/>
                    <w:szCs w:val="24"/>
                  </w:rPr>
                </w:pPr>
                <w:r>
                  <w:rPr>
                    <w:b/>
                    <w:bCs/>
                    <w:szCs w:val="24"/>
                  </w:rPr>
                  <w:t>1. Taikomi teisės aktai</w:t>
                </w:r>
              </w:p>
            </w:tc>
          </w:tr>
          <w:tr w:rsidR="001D5DA6">
            <w:tc>
              <w:tcPr>
                <w:tcW w:w="15134" w:type="dxa"/>
              </w:tcPr>
              <w:p w:rsidR="001D5DA6" w:rsidRDefault="00470559">
                <w:pPr>
                  <w:jc w:val="both"/>
                  <w:rPr>
                    <w:iCs/>
                    <w:szCs w:val="24"/>
                  </w:rPr>
                </w:pPr>
                <w:r>
                  <w:rPr>
                    <w:iCs/>
                    <w:szCs w:val="24"/>
                  </w:rPr>
                  <w:t xml:space="preserve">Teisės aktai, kuriais vadovaujamasi rengiant, teikiant ir vertinant projektų įgyvendinimo planą, priimant sprendimą dėl projektų finansavimo, sudarant </w:t>
                </w:r>
              </w:p>
              <w:p w:rsidR="001D5DA6" w:rsidRDefault="00470559">
                <w:pPr>
                  <w:jc w:val="both"/>
                  <w:rPr>
                    <w:iCs/>
                    <w:szCs w:val="24"/>
                  </w:rPr>
                </w:pPr>
                <w:r>
                  <w:rPr>
                    <w:iCs/>
                    <w:szCs w:val="24"/>
                  </w:rPr>
                  <w:t xml:space="preserve">projektų sutartį ir įgyvendinant projektą, finansuojamą pagal 2021–2030 m. plėtros programos valdytojos Lietuvos Respublikos švietimo, mokslo ir sporto ministerijos švietimo plėtros programos pažangos priemonės </w:t>
                </w:r>
                <w:r>
                  <w:rPr>
                    <w:szCs w:val="24"/>
                  </w:rPr>
                  <w:t xml:space="preserve">Nr. </w:t>
                </w:r>
                <w:r>
                  <w:rPr>
                    <w:bCs/>
                    <w:color w:val="000000"/>
                    <w:shd w:val="clear" w:color="auto" w:fill="FFFFFF"/>
                  </w:rPr>
                  <w:t>12-003-03-01-04 „Užtikrinti visiems prieinamą ankstyvąjį ugdymą“</w:t>
                </w:r>
                <w:r>
                  <w:rPr>
                    <w:szCs w:val="24"/>
                  </w:rPr>
                  <w:t xml:space="preserve"> </w:t>
                </w:r>
                <w:r>
                  <w:rPr>
                    <w:iCs/>
                    <w:szCs w:val="24"/>
                  </w:rPr>
                  <w:t>projektų finansavimo sąlygų aprašą Nr. 2 (toliau – Aprašas):</w:t>
                </w:r>
              </w:p>
              <w:p w:rsidR="001D5DA6" w:rsidRDefault="00470559">
                <w:pPr>
                  <w:jc w:val="both"/>
                  <w:rPr>
                    <w:iCs/>
                    <w:szCs w:val="24"/>
                  </w:rPr>
                </w:pPr>
                <w:r>
                  <w:rPr>
                    <w:iCs/>
                    <w:szCs w:val="24"/>
                  </w:rPr>
                  <w:t>Bendrieji teisės aktai:</w:t>
                </w:r>
              </w:p>
              <w:p w:rsidR="001D5DA6" w:rsidRDefault="00470559">
                <w:pPr>
                  <w:jc w:val="both"/>
                  <w:rPr>
                    <w:iCs/>
                    <w:color w:val="000000"/>
                    <w:shd w:val="clear" w:color="auto" w:fill="FFFFFF"/>
                  </w:rPr>
                </w:pPr>
                <w:r>
                  <w:rPr>
                    <w:iCs/>
                    <w:color w:val="000000"/>
                    <w:shd w:val="clear" w:color="auto" w:fill="FFFFFF"/>
                  </w:rPr>
                  <w:t>1.1.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PAFT);</w:t>
                </w:r>
              </w:p>
              <w:p w:rsidR="001D5DA6" w:rsidRDefault="00470559">
                <w:pPr>
                  <w:jc w:val="both"/>
                  <w:rPr>
                    <w:iCs/>
                    <w:color w:val="000000"/>
                    <w:shd w:val="clear" w:color="auto" w:fill="FFFFFF"/>
                  </w:rPr>
                </w:pPr>
                <w:r>
                  <w:rPr>
                    <w:iCs/>
                    <w:color w:val="000000"/>
                    <w:shd w:val="clear" w:color="auto" w:fill="FFFFFF"/>
                  </w:rPr>
                  <w:t>1.2. 2021–2030 metų nacionalinis pažangos planas, patvirtintas Lietuvos Respublikos Vyriausybės 2020 m. rugsėjo 9 d. nutarimu Nr. 998 „Dėl 2021–2030 metų nacionalinio pažangos plano patvirtinimo“;</w:t>
                </w:r>
              </w:p>
              <w:p w:rsidR="001D5DA6" w:rsidRDefault="00470559">
                <w:pPr>
                  <w:jc w:val="both"/>
                  <w:rPr>
                    <w:lang w:eastAsia="lt-LT"/>
                  </w:rPr>
                </w:pPr>
                <w:r>
                  <w:rPr>
                    <w:color w:val="000000"/>
                  </w:rPr>
                  <w:t xml:space="preserve">1.3. </w:t>
                </w:r>
                <w:r>
                  <w:rPr>
                    <w:lang w:eastAsia="lt-LT"/>
                  </w:rPr>
                  <w:t>Strateginio valdymo metodika, patvirtinta Lietuvos Respublikos Vyriausybės 2021 m. balandžio 28 d. nutarimu Nr. 292 „Dėl Strateginio valdymo metodikos patvirtinimo“;</w:t>
                </w:r>
              </w:p>
              <w:p w:rsidR="001D5DA6" w:rsidRDefault="00470559">
                <w:pPr>
                  <w:jc w:val="both"/>
                  <w:rPr>
                    <w:szCs w:val="24"/>
                  </w:rPr>
                </w:pPr>
                <w:r>
                  <w:rPr>
                    <w:bCs/>
                    <w:color w:val="000000"/>
                  </w:rPr>
                  <w:t xml:space="preserve">1.4. </w:t>
                </w:r>
                <w:r>
                  <w:rPr>
                    <w:szCs w:val="24"/>
                  </w:rPr>
                  <w:t xml:space="preserve">2021 m. birželio 24 d. Europos Parlamento ir Tarybos reglamentas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(toliau – Reglamentas (ES) </w:t>
                </w:r>
                <w:r>
                  <w:t>2021/1060</w:t>
                </w:r>
                <w:r>
                  <w:rPr>
                    <w:szCs w:val="24"/>
                  </w:rPr>
                  <w:t>).</w:t>
                </w:r>
              </w:p>
              <w:p w:rsidR="001D5DA6" w:rsidRDefault="00470559">
                <w:pPr>
                  <w:jc w:val="both"/>
                  <w:rPr>
                    <w:iCs/>
                    <w:color w:val="000000"/>
                    <w:shd w:val="clear" w:color="auto" w:fill="FFFFFF"/>
                  </w:rPr>
                </w:pPr>
                <w:r>
                  <w:rPr>
                    <w:iCs/>
                    <w:szCs w:val="24"/>
                  </w:rPr>
                  <w:t>Specialieji teisės aktai:</w:t>
                </w:r>
              </w:p>
              <w:p w:rsidR="001D5DA6" w:rsidRDefault="00470559">
                <w:pPr>
                  <w:jc w:val="both"/>
                  <w:rPr>
                    <w:color w:val="000000"/>
                    <w:shd w:val="clear" w:color="auto" w:fill="FFFFFF"/>
                  </w:rPr>
                </w:pPr>
                <w:r>
                  <w:rPr>
                    <w:iCs/>
                    <w:color w:val="000000"/>
                    <w:shd w:val="clear" w:color="auto" w:fill="FFFFFF"/>
                  </w:rPr>
                  <w:t>1.5. Lietuvos Respublikos švietimo įstatymas;</w:t>
                </w:r>
              </w:p>
              <w:p w:rsidR="001D5DA6" w:rsidRDefault="00470559">
                <w:pPr>
                  <w:jc w:val="both"/>
                  <w:rPr>
                    <w:color w:val="000000"/>
                    <w:shd w:val="clear" w:color="auto" w:fill="FFFFFF"/>
                  </w:rPr>
                </w:pPr>
                <w:r>
                  <w:rPr>
                    <w:iCs/>
                    <w:color w:val="000000"/>
                    <w:shd w:val="clear" w:color="auto" w:fill="FFFFFF"/>
                  </w:rPr>
                  <w:t>1.6. Aštuonioliktosios Lietuvos Respublikos Vyriausybės programa, patvirtinta Lietuvos Respublikos Seimo 2020 m. gruodžio 11 d. nutarimu Nr. XIV-72 „Dėl Aštuonioliktosios Lietuvos Respublikos Vyriausybės programos“;</w:t>
                </w:r>
              </w:p>
              <w:p w:rsidR="001D5DA6" w:rsidRDefault="00470559">
                <w:pPr>
                  <w:jc w:val="both"/>
                  <w:rPr>
                    <w:color w:val="000000"/>
                    <w:shd w:val="clear" w:color="auto" w:fill="FFFFFF"/>
                  </w:rPr>
                </w:pPr>
                <w:r>
                  <w:rPr>
                    <w:iCs/>
                    <w:color w:val="000000"/>
                    <w:shd w:val="clear" w:color="auto" w:fill="FFFFFF"/>
                  </w:rPr>
                  <w:t xml:space="preserve">1.7. 2021–2030 m. plėtros programos valdytojos Lietuvos Respublikos švietimo, mokslo ir sporto ministerijos švietimo plėtros programa, patvirtinta </w:t>
                </w:r>
              </w:p>
              <w:p w:rsidR="001D5DA6" w:rsidRDefault="00470559">
                <w:pPr>
                  <w:jc w:val="both"/>
                  <w:rPr>
                    <w:color w:val="000000"/>
                    <w:shd w:val="clear" w:color="auto" w:fill="FFFFFF"/>
                  </w:rPr>
                </w:pPr>
                <w:r>
                  <w:rPr>
                    <w:iCs/>
                    <w:color w:val="000000"/>
                    <w:shd w:val="clear" w:color="auto" w:fill="FFFFFF"/>
                  </w:rPr>
                  <w:t xml:space="preserve">Lietuvos Respublikos Vyriausybės 2021 m. gruodžio 1 d. nutarimu Nr. 1016 „Dėl 2021–2030 m. plėtros programos valdytojos Lietuvos Respublikos </w:t>
                </w:r>
              </w:p>
              <w:p w:rsidR="001D5DA6" w:rsidRDefault="00470559">
                <w:pPr>
                  <w:jc w:val="both"/>
                  <w:rPr>
                    <w:color w:val="000000"/>
                    <w:shd w:val="clear" w:color="auto" w:fill="FFFFFF"/>
                  </w:rPr>
                </w:pPr>
                <w:r>
                  <w:rPr>
                    <w:iCs/>
                    <w:color w:val="000000"/>
                    <w:shd w:val="clear" w:color="auto" w:fill="FFFFFF"/>
                  </w:rPr>
                  <w:t>švietimo, mokslo ir sporto ministerijos švietimo plėtros programos patvirtinimo“;</w:t>
                </w:r>
              </w:p>
              <w:p w:rsidR="001D5DA6" w:rsidRDefault="00470559">
                <w:pPr>
                  <w:jc w:val="both"/>
                  <w:rPr>
                    <w:shd w:val="clear" w:color="auto" w:fill="FFFFFF"/>
                  </w:rPr>
                </w:pPr>
                <w:r>
                  <w:rPr>
                    <w:shd w:val="clear" w:color="auto" w:fill="FFFFFF"/>
                  </w:rPr>
                  <w:t>1.8. Lietuvos Respublikos švietimo, mokslo ir sporto ministro 2016 m. birželio 30 d. įsakymas Nr. V-620 „Dėl Mokinių vežimo mokykliniu autobusu tvarkos aprašo patvirtinimo“;</w:t>
                </w:r>
              </w:p>
              <w:p w:rsidR="001D5DA6" w:rsidRDefault="00470559">
                <w:pPr>
                  <w:jc w:val="both"/>
                  <w:rPr>
                    <w:caps/>
                    <w:color w:val="000000"/>
                  </w:rPr>
                </w:pPr>
                <w:r>
                  <w:rPr>
                    <w:shd w:val="clear" w:color="auto" w:fill="FFFFFF"/>
                  </w:rPr>
                  <w:t xml:space="preserve">1.9. </w:t>
                </w:r>
                <w:r>
                  <w:rPr>
                    <w:color w:val="000000"/>
                  </w:rPr>
                  <w:t xml:space="preserve">Priešmokyklinio, pradinio, pagrindinio ir vidurinio ugdymo bendrąsias programos, patvirtintos </w:t>
                </w:r>
                <w:r>
                  <w:rPr>
                    <w:shd w:val="clear" w:color="auto" w:fill="FFFFFF"/>
                  </w:rPr>
                  <w:t xml:space="preserve">Lietuvos Respublikos švietimo, mokslo ir sporto ministro </w:t>
                </w:r>
                <w:r>
                  <w:rPr>
                    <w:color w:val="000000"/>
                  </w:rPr>
                  <w:t>2022 m. rugpjūčio 24 d. įsakymu Nr. V-1269 „Dėl Priešmokyklinio, pradinio, pagrindinio ir vidurinio ugdymo bendrųjų programų patvirtinimo</w:t>
                </w:r>
                <w:r>
                  <w:rPr>
                    <w:caps/>
                    <w:color w:val="000000"/>
                  </w:rPr>
                  <w:t>“;</w:t>
                </w:r>
              </w:p>
              <w:p w:rsidR="001D5DA6" w:rsidRDefault="00470559">
                <w:pPr>
                  <w:jc w:val="both"/>
                  <w:rPr>
                    <w:color w:val="000000"/>
                  </w:rPr>
                </w:pPr>
                <w:r>
                  <w:t xml:space="preserve">1.10. </w:t>
                </w:r>
                <w:r>
                  <w:rPr>
                    <w:color w:val="000000"/>
                  </w:rPr>
                  <w:t xml:space="preserve">Ikimokyklinio ugdymo programų kriterijų aprašas, patvirtintas </w:t>
                </w:r>
                <w:r>
                  <w:t xml:space="preserve">Lietuvos Respublikos švietimo ir mokslo ministro </w:t>
                </w:r>
                <w:r>
                  <w:rPr>
                    <w:color w:val="000000"/>
                  </w:rPr>
                  <w:t>2005 m. balandžio 18 d. įsakymu Nr. ISAK-627 „Dėl Ikimokyklinio ugdymo programų kriterijų aprašo“;</w:t>
                </w:r>
              </w:p>
              <w:p w:rsidR="001D5DA6" w:rsidRDefault="00470559">
                <w:pPr>
                  <w:jc w:val="both"/>
                  <w:rPr>
                    <w:color w:val="000000"/>
                  </w:rPr>
                </w:pPr>
                <w:r>
                  <w:rPr>
                    <w:shd w:val="clear" w:color="auto" w:fill="FFFFFF"/>
                  </w:rPr>
                  <w:lastRenderedPageBreak/>
                  <w:t xml:space="preserve">1.11. </w:t>
                </w:r>
                <w:r>
                  <w:rPr>
                    <w:color w:val="000000"/>
                  </w:rPr>
                  <w:t>Bendrojo ugdymo dalykų vadovėlių ir mokymo priemonių atitikties teisės aktams įvertinimo ir aprūpinimo jais tvarkos aprašas, patvirtintas</w:t>
                </w:r>
                <w:r>
                  <w:rPr>
                    <w:shd w:val="clear" w:color="auto" w:fill="FFFFFF"/>
                  </w:rPr>
                  <w:t xml:space="preserve"> Lietuvos Respublikos švietimo, mokslo ir sporto ministro </w:t>
                </w:r>
                <w:r>
                  <w:rPr>
                    <w:color w:val="000000"/>
                  </w:rPr>
                  <w:t>2019 m. birželio 26 d. įsakymas Nr. V-755 „Dėl Bendrojo ugdymo dalykų vadovėlių ir mokymo priemonių atitikties teisės aktams įvertinimo ir aprūpinimo jais tvarkos aprašo patvirtinimo“;</w:t>
                </w:r>
              </w:p>
              <w:p w:rsidR="001D5DA6" w:rsidRDefault="00470559">
                <w:pPr>
                  <w:jc w:val="both"/>
                  <w:rPr>
                    <w:color w:val="000000"/>
                  </w:rPr>
                </w:pPr>
                <w:r>
                  <w:rPr>
                    <w:shd w:val="clear" w:color="auto" w:fill="FFFFFF"/>
                  </w:rPr>
                  <w:t xml:space="preserve">1.12. </w:t>
                </w:r>
                <w:r>
                  <w:rPr>
                    <w:color w:val="000000"/>
                  </w:rPr>
                  <w:t xml:space="preserve">Priešmokyklinio ugdymo tvarkos aprašas, patvirtintas </w:t>
                </w:r>
                <w:r>
                  <w:rPr>
                    <w:shd w:val="clear" w:color="auto" w:fill="FFFFFF"/>
                  </w:rPr>
                  <w:t xml:space="preserve">Lietuvos Respublikos švietimo, mokslo ir sporto ministro </w:t>
                </w:r>
                <w:r>
                  <w:rPr>
                    <w:color w:val="000000"/>
                  </w:rPr>
                  <w:t>2013 m. lapkričio 21 d. įsakymu Nr. V-1106 „Dėl Priešmokyklinio ugdymo tvarkos aprašo patvirtinimo“;</w:t>
                </w:r>
              </w:p>
              <w:p w:rsidR="001D5DA6" w:rsidRDefault="00470559">
                <w:pPr>
                  <w:jc w:val="both"/>
                  <w:rPr>
                    <w:shd w:val="clear" w:color="auto" w:fill="FFFFFF"/>
                  </w:rPr>
                </w:pPr>
                <w:r>
                  <w:t>1.13. Vaikų maitinimo organizavimo tvarkos aprašas, patvirtintas Lietuvos Respublikos sveikatos apsaugos ministro 2011 m. lapkričio 11 d. įsakymu Nr. V-964 „Dėl Vaikų maitinimo organizavimo tvarkos aprašo patvirtinimo“;</w:t>
                </w:r>
              </w:p>
              <w:p w:rsidR="001D5DA6" w:rsidRDefault="00470559">
                <w:pPr>
                  <w:jc w:val="both"/>
                  <w:rPr>
                    <w:shd w:val="clear" w:color="auto" w:fill="FFFFFF"/>
                  </w:rPr>
                </w:pPr>
                <w:r>
                  <w:t xml:space="preserve">1.14. </w:t>
                </w:r>
                <w:r>
                  <w:rPr>
                    <w:color w:val="000000"/>
                  </w:rPr>
                  <w:t xml:space="preserve">Ugdymo, maitinimo ir pavėžėjimo lėšų socialinę riziką patiriančių vaikų ikimokykliniam ugdymui užtikrinti apskaičiavimo, paskirstymo ir panaudojimo tvarkos aprašas, patvirtintas </w:t>
                </w:r>
                <w:r>
                  <w:t>Lietuvos Respublikos Vyriausybės 2021 m. rugpjūčio 18 d. nutarimu Nr. 677 „Dėl Ugdymo, maitinimo ir pavėžėjimo lėšų socialinę riziką patiriančių vaikų ikimokykliniam ugdymui užtikrinti apskaičiavimo, paskirstymo ir panaudojimo tvarkos aprašo patvirtinimo“;</w:t>
                </w:r>
              </w:p>
              <w:p w:rsidR="001D5DA6" w:rsidRDefault="00470559">
                <w:pPr>
                  <w:jc w:val="both"/>
                </w:pPr>
                <w:r>
                  <w:t>1.15. Lietuvos Respublikos socialinės paramos mokiniams įstatymas;</w:t>
                </w:r>
              </w:p>
              <w:p w:rsidR="001D5DA6" w:rsidRDefault="00470559">
                <w:pPr>
                  <w:jc w:val="both"/>
                </w:pPr>
                <w:r>
                  <w:t>1.16. Švietimo aprūpinimo standartai, patvirtinti Lietuvos Respublikos švietimo ir mokslo ministro 2011 m. gruodžio 12 d. įsakymu Nr. V-2368 „Dėl Švietimo aprūpinimo standartų patvirtinimo“;</w:t>
                </w:r>
              </w:p>
              <w:p w:rsidR="001D5DA6" w:rsidRDefault="00470559">
                <w:pPr>
                  <w:jc w:val="both"/>
                  <w:rPr>
                    <w:color w:val="0078D4"/>
                    <w:u w:val="single"/>
                  </w:rPr>
                </w:pPr>
                <w:r>
                  <w:rPr>
                    <w:color w:val="000000"/>
                    <w:shd w:val="clear" w:color="auto" w:fill="FFFFFF"/>
                  </w:rPr>
                  <w:t xml:space="preserve">1.17. Apraše vartojamos sąvokos suprantamos taip, kaip jos apibrėžtos PAFT, Lietuvos Respublikos švietimo įstatyme ir anksčiau paminėtuose teisės aktuose. </w:t>
                </w:r>
                <w:r>
                  <w:t>Apraše vartojama sąvoka „socialinė rizika“ suprantama taip, kaip ji apibrėžta Lietuvos Respublikos socialinių paslaugų įstatymo 2 straipsnio 7 dalyje.</w:t>
                </w:r>
              </w:p>
            </w:tc>
          </w:tr>
          <w:tr w:rsidR="001D5DA6">
            <w:tc>
              <w:tcPr>
                <w:tcW w:w="15134" w:type="dxa"/>
              </w:tcPr>
              <w:p w:rsidR="001D5DA6" w:rsidRDefault="00470559">
                <w:pPr>
                  <w:rPr>
                    <w:b/>
                    <w:bCs/>
                  </w:rPr>
                </w:pPr>
                <w:r>
                  <w:rPr>
                    <w:b/>
                    <w:bCs/>
                  </w:rPr>
                  <w:lastRenderedPageBreak/>
                  <w:t>2. Reikalavimai projektams, pareiškėjams ir partneriams</w:t>
                </w:r>
              </w:p>
            </w:tc>
          </w:tr>
          <w:tr w:rsidR="001D5DA6">
            <w:tc>
              <w:tcPr>
                <w:tcW w:w="15134" w:type="dxa"/>
              </w:tcPr>
              <w:p w:rsidR="001D5DA6" w:rsidRDefault="00470559">
                <w:pPr>
                  <w:jc w:val="both"/>
                </w:pPr>
                <w:r>
                  <w:t>2.1. Galimas pareiškėjas – Europos socialinio fondo agentūra.</w:t>
                </w:r>
              </w:p>
              <w:p w:rsidR="001D5DA6" w:rsidRDefault="00470559">
                <w:pPr>
                  <w:jc w:val="both"/>
                </w:pPr>
                <w:r>
                  <w:t xml:space="preserve">2.2. Galimi projekto partneriai – savivaldybės ar savivaldybių administracijos, </w:t>
                </w:r>
                <w:r>
                  <w:rPr>
                    <w:color w:val="000000"/>
                  </w:rPr>
                  <w:t xml:space="preserve">mokyklos, kurių savininko teises ir pareigas įgyvendina Lietuvos Respublikos švietimo, mokslo ir sporto ministerijai </w:t>
                </w:r>
                <w:r>
                  <w:t xml:space="preserve">(toliau – Valstybinės mokyklos) </w:t>
                </w:r>
                <w:r>
                  <w:rPr>
                    <w:color w:val="000000"/>
                  </w:rPr>
                  <w:t>ir kuriose veikia ikimokyklinio ir (ar) priešmokyklinio ugdymo grupės</w:t>
                </w:r>
                <w:r>
                  <w:t>.</w:t>
                </w:r>
              </w:p>
              <w:p w:rsidR="001D5DA6" w:rsidRDefault="00470559">
                <w:pPr>
                  <w:jc w:val="both"/>
                  <w:rPr>
                    <w:color w:val="000000"/>
                  </w:rPr>
                </w:pPr>
                <w:r>
                  <w:t xml:space="preserve">2.3. Pagal Aprašą remiama veikla – vaikų, augančių šeimose, kurios patiria socialinę riziką, įtraukimas į ikimokyklinį ir priešmokyklinį ugdymą bei pagalbos jiems teikimas ugdymo procese, siekiant užkirsti kelią pasiekimų ir pažangos atotrūkiui dėl socialinio ir ekonominio konteksto. Pagalba ugdymo procese suprantama kaip: ugdymo lėšų panaudojimas mokinio reikmėms, t. y., kai yra poreikis, švietimo pagalbai teikti ir įsigyti individualių ugdymo priemonių reikalingų ugdymo programai įgyvendinti, </w:t>
                </w:r>
                <w:r>
                  <w:rPr>
                    <w:color w:val="000000"/>
                  </w:rPr>
                  <w:t xml:space="preserve">vežimo į / iš ugdymo įstaigos paslaugos užtikrinimas, </w:t>
                </w:r>
                <w:r>
                  <w:t>kultūros ir neformaliojo švietimo paslaugų teikimas, savivaldybių reglamentuoto vaikų išlaikymo mokesčio ir mokesčio už vaikų maitinimą apmokėjimas.</w:t>
                </w:r>
              </w:p>
              <w:p w:rsidR="001D5DA6" w:rsidRDefault="00470559">
                <w:pPr>
                  <w:jc w:val="both"/>
                </w:pPr>
                <w:r>
                  <w:t>2.4. Pagal Aprašą teikiamo finansavimo forma – dotacija. Dotacija skirta visoms Lietuvos savivaldybėms ir</w:t>
                </w:r>
                <w:r>
                  <w:rPr>
                    <w:color w:val="000000"/>
                  </w:rPr>
                  <w:t xml:space="preserve"> Valstybinėms mokykloms</w:t>
                </w:r>
                <w:r>
                  <w:t xml:space="preserve"> kuriose yra vaikų, patiriančių socialinę riziką ir ugdomų pagal ikimokyklinio ir priešmokyklinio ugdymo programas, atsižvelgiant į ugdomų vaikų skaičių, nurodytą Švietimo valdymo informacinėje sistemoje (toliau – ŠVIS), bei finansavimą skirstant pagal 2.5 papunkčio nuostatas.</w:t>
                </w:r>
              </w:p>
              <w:p w:rsidR="001D5DA6" w:rsidRDefault="00470559">
                <w:pPr>
                  <w:jc w:val="both"/>
                </w:pPr>
                <w:r>
                  <w:t>2.5. Pagal Aprašą projektui įgyvendinti skiriama iki 35 171 555 (trisdešimt penkių milijonų vieno šimto septyniasdešimt vieno tūkstančio penkių šimtų penkiasdešimt penkių eurų), projektui įgyvendinti skiriamas finansavimas sudaro 100 proc. projekto vertės, iš kurių:</w:t>
                </w:r>
              </w:p>
              <w:p w:rsidR="001D5DA6" w:rsidRDefault="00470559">
                <w:pPr>
                  <w:jc w:val="both"/>
                </w:pPr>
                <w:r>
                  <w:lastRenderedPageBreak/>
                  <w:t>2.5.1. iki 27 830 778 Eur (dvidešimt septynių milijonų aštuonių šimtų trisdešimties tūkstančių septynių šimtų septyniasdešimt aštuonių eurų) Europos Sąjungos fondų lėšų, iš kurių Sostinės regionui iki 2 950 062 Eur (dviejų milijonų devynių šimtų penkiasdešimties tūkstančių šešiasdešimt dviejų eurų) ir Vidurio ir vakarų Lietuvos regionui iki 24 880 716 Eur (dvidešimt keturių milijonų aštuonių šimtų aštuoniasdešimties tūkstančių septynių šimtų šešiolikos eurų);</w:t>
                </w:r>
              </w:p>
              <w:p w:rsidR="001D5DA6" w:rsidRDefault="00470559">
                <w:pPr>
                  <w:jc w:val="both"/>
                </w:pPr>
                <w:r>
                  <w:t>2.5.2. iki 7 340 777 Eur (septynių milijonų trijų šimtų keturiasdešimties tūkstančių septynių šimtų septyniasdešimt septynių eurų) Europos Sąjungos fondų bendrojo finansavimo lėšų, iš kurių Sostinės regionui iki 2 950 062 Eur (dviejų milijonų devynių šimtų penkiasdešimties tūkstančių šešiasdešimt dviejų eurų) ir Vidurio ir vakarų Lietuvos regionui iki 4 390 715 Eur (keturių milijonų trijų šimtų devyniasdešimties tūkstančių septynių šimtų penkiolikos eurų).</w:t>
                </w:r>
              </w:p>
              <w:p w:rsidR="001D5DA6" w:rsidRDefault="00470559">
                <w:pPr>
                  <w:jc w:val="both"/>
                  <w:rPr>
                    <w:szCs w:val="24"/>
                  </w:rPr>
                </w:pPr>
                <w:r>
                  <w:rPr>
                    <w:szCs w:val="24"/>
                  </w:rPr>
                  <w:t>2.6. Projekte siekiama šių stebėsenos rodiklių:</w:t>
                </w:r>
              </w:p>
              <w:p w:rsidR="001D5DA6" w:rsidRDefault="00470559">
                <w:pPr>
                  <w:jc w:val="both"/>
                </w:pPr>
                <w:r>
                  <w:t>2.6.1. produkto rodiklio Nr.</w:t>
                </w:r>
                <w:r>
                  <w:rPr>
                    <w:szCs w:val="24"/>
                  </w:rPr>
                  <w:t xml:space="preserve"> P.B.2.0506</w:t>
                </w:r>
                <w:r>
                  <w:t xml:space="preserve"> „Jaunesnių nei 18 metų vaikų skaičius“ minimali siektina reikšmė Sostinės regione – 510 asmenų, Vidurio ir vakarų Lietuvos regione – 2 540 asmenų;</w:t>
                </w:r>
              </w:p>
              <w:p w:rsidR="001D5DA6" w:rsidRDefault="00470559">
                <w:pPr>
                  <w:jc w:val="both"/>
                  <w:rPr>
                    <w:szCs w:val="24"/>
                  </w:rPr>
                </w:pPr>
                <w:r>
                  <w:rPr>
                    <w:szCs w:val="24"/>
                  </w:rPr>
                  <w:t>2.6.2. rezultato rodiklio Nr. R.S.2.3509 „</w:t>
                </w:r>
                <w:r>
                  <w:rPr>
                    <w:szCs w:val="24"/>
                    <w:lang w:eastAsia="lt-LT"/>
                  </w:rPr>
                  <w:t xml:space="preserve">Socialinės rizikos šeimose augančių vaikų, kurie yra privalomai ugdomi pagal ikimokyklinio ar priešmokyklinio ugdymo programas ne trumpiau kaip 6 mėnesius, dalis“ </w:t>
                </w:r>
                <w:r>
                  <w:rPr>
                    <w:szCs w:val="24"/>
                  </w:rPr>
                  <w:t>minimali siektina reikšmė Sostinės regione – 80 proc., Vidurio ir vakarų Lietuvos regione – 80 proc.</w:t>
                </w:r>
              </w:p>
              <w:p w:rsidR="001D5DA6" w:rsidRDefault="00470559">
                <w:pPr>
                  <w:jc w:val="both"/>
                </w:pPr>
                <w:r>
                  <w:t xml:space="preserve">2.7. Taikant Reglamento (ES) 2021/1060 63 straipsnio 3 dalies nuostatą dėl ESF+, su veiksmais susijusios išlaidos gali būti priskirtos bet kuriai programos regionų kategorijai su sąlyga, kad veiksmas padeda siekti konkrečių 2021 – 2027 m. plėtros programos </w:t>
                </w:r>
                <w:r>
                  <w:rPr>
                    <w:iCs/>
                    <w:szCs w:val="24"/>
                  </w:rPr>
                  <w:t xml:space="preserve">Lietuvos Respublikos švietimo, mokslo ir sporto ministerijos švietimo plėtros programos pažangos priemonės </w:t>
                </w:r>
                <w:r>
                  <w:rPr>
                    <w:szCs w:val="24"/>
                  </w:rPr>
                  <w:t xml:space="preserve">Nr. </w:t>
                </w:r>
                <w:r>
                  <w:rPr>
                    <w:bCs/>
                    <w:color w:val="000000"/>
                    <w:shd w:val="clear" w:color="auto" w:fill="FFFFFF"/>
                  </w:rPr>
                  <w:t>12-003-03-01-04 „Užtikrinti visiems prieinamą ankstyvąjį ugdymą“</w:t>
                </w:r>
                <w:r>
                  <w:rPr>
                    <w:szCs w:val="24"/>
                  </w:rPr>
                  <w:t xml:space="preserve"> </w:t>
                </w:r>
                <w:r>
                  <w:t>tikslų.</w:t>
                </w:r>
              </w:p>
              <w:p w:rsidR="001D5DA6" w:rsidRDefault="00470559">
                <w:pPr>
                  <w:jc w:val="both"/>
                </w:pPr>
                <w:r>
                  <w:t xml:space="preserve">2.8. Taikant Reglamento (ES) 2021/1060 63 straipsnio 3 dalies nuostatą dėl ESF+ projektų, tinkama tikslinė grupė ar jos dalis, kai yra pagrįstas poreikis, gali būti priskiriama vienam iš regionų, neatsižvelgiant į tai, kuriame regione asmenys gyvena ar dirba, su sąlyga, kad veiksmas padeda siekti konkrečių 2021 – 2027 m. plėtros programos </w:t>
                </w:r>
                <w:r>
                  <w:rPr>
                    <w:iCs/>
                    <w:szCs w:val="24"/>
                  </w:rPr>
                  <w:t xml:space="preserve">Lietuvos Respublikos švietimo, mokslo ir sporto ministerijos švietimo plėtros programos pažangos priemonės </w:t>
                </w:r>
                <w:r>
                  <w:rPr>
                    <w:szCs w:val="24"/>
                  </w:rPr>
                  <w:t xml:space="preserve">Nr. </w:t>
                </w:r>
                <w:r>
                  <w:rPr>
                    <w:bCs/>
                    <w:color w:val="000000"/>
                    <w:shd w:val="clear" w:color="auto" w:fill="FFFFFF"/>
                  </w:rPr>
                  <w:t>12-003-03-01-04 „Užtikrinti visiems prieinamą ankstyvąjį ugdymą“</w:t>
                </w:r>
                <w:r>
                  <w:rPr>
                    <w:szCs w:val="24"/>
                  </w:rPr>
                  <w:t xml:space="preserve"> tikslų</w:t>
                </w:r>
                <w:r>
                  <w:t>.</w:t>
                </w:r>
              </w:p>
              <w:p w:rsidR="001D5DA6" w:rsidRDefault="00470559">
                <w:pPr>
                  <w:jc w:val="both"/>
                </w:pPr>
                <w:r>
                  <w:t>2.9. Projekto išlaidos pagal regionus negali viršyti regionams Aprašo 2.5.1 ir 2.5.2 papunkčiuose nurodytų sumų ir turi būti pasiekti regionams nurodyti stebėsenos rodikliai.</w:t>
                </w:r>
              </w:p>
              <w:p w:rsidR="001D5DA6" w:rsidRDefault="00470559">
                <w:pPr>
                  <w:ind w:left="32"/>
                  <w:jc w:val="both"/>
                </w:pPr>
                <w:r>
                  <w:t xml:space="preserve">2.10. Pareiškėjas, prieš teikdamas projekto įgyvendinimo planą (toliau – PĮP) administruojančiai institucijai, turi suderinti jį su Ministerija, pateikdamas projektinį siūlymą, užpildytą pagal Lietuvos Respublikos švietimo, mokslo ir sporto ministerijos 2021–2027 metų Europos Sąjungos fondų investicijų programos ir Ekonomikos gaivinimo ir atsparumo didinimo plano „Naujos kartos Lietuva“ administravimo procedūrų aprašo, patvirtinto Lietuvos Respublikos švietimo, mokslo ir sporto ministro 2023 m. sausio 4 d. įsakymu Nr. V-22 „Dėl Lietuvos Respublikos švietimo, mokslo ir sporto ministerijos 2021–2027 metų Europos Sąjungos fondų investicijų programos ir Ekonomikos gaivinimo ir atsparumo didinimo plano „Naujos kartos Lietuva“ administravimo procedūrų aprašo patvirtinimo“, priedą, kuris skelbiamas Ministerijos svetainėje </w:t>
                </w:r>
                <w:r>
                  <w:rPr>
                    <w:color w:val="0563C1"/>
                    <w:u w:val="single"/>
                  </w:rPr>
                  <w:t>www.smsm.lt</w:t>
                </w:r>
                <w:r>
                  <w:t xml:space="preserve">, </w:t>
                </w:r>
                <w:r>
                  <w:rPr>
                    <w:color w:val="0563C1"/>
                    <w:u w:val="single"/>
                  </w:rPr>
                  <w:t>https://smsm.lrv.lt/lt/es-investicijos/pasirengimas-2021-2027-m-es-investiciniam-laikotarpiui</w:t>
                </w:r>
              </w:p>
              <w:p w:rsidR="001D5DA6" w:rsidRDefault="00470559">
                <w:pPr>
                  <w:ind w:left="32"/>
                  <w:jc w:val="both"/>
                </w:pPr>
                <w:r>
                  <w:t>2.11. Projektas turi atitikti projektų bendruosius atrankos kriterijus, nustatytus Strateginio valdymo metodikos 136 punkte ir PAFT 2 priede.</w:t>
                </w:r>
              </w:p>
              <w:p w:rsidR="001D5DA6" w:rsidRDefault="00470559">
                <w:pPr>
                  <w:ind w:left="32"/>
                  <w:jc w:val="both"/>
                </w:pPr>
                <w:r>
                  <w:t>2.12. Projekto veiklos turi būti įgyvendintos per 36 mėnesius nuo projekto sutarties įsigaliojimo. Prireikus projekto veiklos gali būti pratęstos pagrįstam laikotarpiui, bet ne vėliau kaip iki 2029 m. gruodžio 31 d.</w:t>
                </w:r>
              </w:p>
              <w:p w:rsidR="001D5DA6" w:rsidRDefault="00470559">
                <w:pPr>
                  <w:ind w:left="32"/>
                  <w:jc w:val="both"/>
                </w:pPr>
                <w:r>
                  <w:t>2.13. Projekto vykdytojas privalo įgyvendinti privalomas matomumo ir informavimo apie projektą veiksmų priemones, nustatytas PAFT.</w:t>
                </w:r>
              </w:p>
              <w:p w:rsidR="001D5DA6" w:rsidRDefault="00470559">
                <w:pPr>
                  <w:jc w:val="both"/>
                </w:pPr>
                <w:r>
                  <w:lastRenderedPageBreak/>
                  <w:t>2.14. Projektai gali būti įgyvendinami Sostinės regione ir Vidurio ir vakarų Lietuvos regione.</w:t>
                </w:r>
              </w:p>
              <w:p w:rsidR="001D5DA6" w:rsidRDefault="00470559">
                <w:pPr>
                  <w:jc w:val="both"/>
                  <w:rPr>
                    <w:szCs w:val="24"/>
                    <w:lang w:eastAsia="lt-LT"/>
                  </w:rPr>
                </w:pPr>
                <w:r>
                  <w:rPr>
                    <w:szCs w:val="24"/>
                    <w:lang w:eastAsia="lt-LT"/>
                  </w:rPr>
                  <w:t>2.15. Projekto išlaidos, kurios apmokamos iš valstybės ir savivaldybių biudžeto lėšų kitų teisės aktų nustatyta tvarka, negali būti kompensuojamos projekto lėšomis</w:t>
                </w:r>
                <w:r>
                  <w:rPr>
                    <w:rFonts w:ascii="Segoe UI" w:hAnsi="Segoe UI" w:cs="Segoe UI"/>
                    <w:sz w:val="18"/>
                    <w:szCs w:val="18"/>
                    <w:lang w:eastAsia="lt-LT"/>
                  </w:rPr>
                  <w:t>.</w:t>
                </w:r>
              </w:p>
              <w:p w:rsidR="001D5DA6" w:rsidRDefault="00470559">
                <w:pPr>
                  <w:jc w:val="both"/>
                  <w:rPr>
                    <w:szCs w:val="24"/>
                    <w:lang w:eastAsia="lt-LT"/>
                  </w:rPr>
                </w:pPr>
                <w:r>
                  <w:rPr>
                    <w:szCs w:val="24"/>
                    <w:lang w:eastAsia="lt-LT"/>
                  </w:rPr>
                  <w:t>2.16. Siekiama, kad pagal Aprašą įgyvendinamos veiklos padės pritraukti į ikimokyklinį ugdymą daugiau vaikų iš socialinę riziką patiriančių šeimų, nei jų dalyvauja ikimokykliniame ugdyme iki veiklų įgyvendinimo pradžios.</w:t>
                </w:r>
              </w:p>
              <w:p w:rsidR="001D5DA6" w:rsidRDefault="00470559">
                <w:pPr>
                  <w:tabs>
                    <w:tab w:val="left" w:pos="1134"/>
                  </w:tabs>
                  <w:jc w:val="both"/>
                </w:pPr>
                <w:r>
                  <w:t>2.17. Kartu su PĮP turi būti pateikti:</w:t>
                </w:r>
              </w:p>
              <w:p w:rsidR="001D5DA6" w:rsidRDefault="00470559">
                <w:pPr>
                  <w:tabs>
                    <w:tab w:val="left" w:pos="1134"/>
                  </w:tabs>
                  <w:jc w:val="both"/>
                </w:pPr>
                <w:r>
                  <w:t>2.17.1. dokumentai, pagrindžiantys projekto išlaidų tinkamumą finansuoti (pvz., sudarytos sutartys, komerciniai siūlymai, nuorodos į rinkoje esančias kainas), išlaidų skaičiavimai);</w:t>
                </w:r>
              </w:p>
              <w:p w:rsidR="001D5DA6" w:rsidRDefault="00470559">
                <w:pPr>
                  <w:jc w:val="both"/>
                </w:pPr>
                <w:r>
                  <w:t>2.17.2. projekto atitiktį bendriesiems projektų atrankos kriterijams, nurodytiems Strateginio valdymo metodikos 136 punkte ir PAFT 2 priede, patvirtinantys dokumentai.</w:t>
                </w:r>
              </w:p>
            </w:tc>
          </w:tr>
          <w:tr w:rsidR="001D5DA6">
            <w:trPr>
              <w:trHeight w:val="285"/>
            </w:trPr>
            <w:tc>
              <w:tcPr>
                <w:tcW w:w="15134" w:type="dxa"/>
              </w:tcPr>
              <w:p w:rsidR="001D5DA6" w:rsidRDefault="00470559">
                <w:pPr>
                  <w:rPr>
                    <w:b/>
                    <w:bCs/>
                  </w:rPr>
                </w:pPr>
                <w:r>
                  <w:rPr>
                    <w:b/>
                    <w:bCs/>
                  </w:rPr>
                  <w:lastRenderedPageBreak/>
                  <w:t xml:space="preserve">3. Reikalavimai jungtinio projekto projektams ir jungtinio projekto projektų pareiškėjams </w:t>
                </w:r>
              </w:p>
            </w:tc>
          </w:tr>
          <w:tr w:rsidR="001D5DA6">
            <w:trPr>
              <w:trHeight w:val="285"/>
            </w:trPr>
            <w:tc>
              <w:tcPr>
                <w:tcW w:w="15134" w:type="dxa"/>
              </w:tcPr>
              <w:p w:rsidR="001D5DA6" w:rsidRDefault="00470559">
                <w:pPr>
                  <w:rPr>
                    <w:b/>
                    <w:bCs/>
                    <w:i/>
                    <w:iCs/>
                  </w:rPr>
                </w:pPr>
                <w:r>
                  <w:rPr>
                    <w:i/>
                    <w:iCs/>
                  </w:rPr>
                  <w:t>Netaikoma.</w:t>
                </w:r>
              </w:p>
            </w:tc>
          </w:tr>
          <w:tr w:rsidR="001D5DA6">
            <w:trPr>
              <w:trHeight w:val="285"/>
            </w:trPr>
            <w:tc>
              <w:tcPr>
                <w:tcW w:w="15134" w:type="dxa"/>
              </w:tcPr>
              <w:p w:rsidR="001D5DA6" w:rsidRDefault="00470559">
                <w:pPr>
                  <w:rPr>
                    <w:b/>
                    <w:bCs/>
                  </w:rPr>
                </w:pPr>
                <w:r>
                  <w:rPr>
                    <w:b/>
                    <w:bCs/>
                  </w:rPr>
                  <w:t>4. Projekto tikslinė grupė</w:t>
                </w:r>
              </w:p>
            </w:tc>
          </w:tr>
          <w:tr w:rsidR="001D5DA6">
            <w:trPr>
              <w:trHeight w:val="285"/>
            </w:trPr>
            <w:tc>
              <w:tcPr>
                <w:tcW w:w="15134" w:type="dxa"/>
              </w:tcPr>
              <w:p w:rsidR="001D5DA6" w:rsidRDefault="00470559">
                <w:pPr>
                  <w:jc w:val="both"/>
                </w:pPr>
                <w:r>
                  <w:t>Projekto tikslinė grupė – vaikai, augantys socialinę riziką patiriančiose šeimose, ugdomi pagal ikimokyklinio ir priešmokyklinio ugdymo programas. Žyma, apie vaikus, augančius socialinę riziką patiriančiose šeimose, gaunama iš ŠVIS, kuri sujungta su Socialinės paramos šeimai informacine sistema.</w:t>
                </w:r>
              </w:p>
            </w:tc>
          </w:tr>
          <w:tr w:rsidR="001D5DA6">
            <w:trPr>
              <w:trHeight w:val="285"/>
            </w:trPr>
            <w:tc>
              <w:tcPr>
                <w:tcW w:w="15134" w:type="dxa"/>
              </w:tcPr>
              <w:p w:rsidR="001D5DA6" w:rsidRDefault="00470559">
                <w:pPr>
                  <w:rPr>
                    <w:b/>
                    <w:bCs/>
                  </w:rPr>
                </w:pPr>
                <w:r>
                  <w:rPr>
                    <w:b/>
                    <w:bCs/>
                  </w:rPr>
                  <w:t>5. Horizontaliųjų principų (toliau – HP) reikalavimai</w:t>
                </w:r>
              </w:p>
            </w:tc>
          </w:tr>
          <w:tr w:rsidR="001D5DA6">
            <w:tc>
              <w:tcPr>
                <w:tcW w:w="15134" w:type="dxa"/>
              </w:tcPr>
              <w:p w:rsidR="001D5DA6" w:rsidRDefault="00470559">
                <w:pPr>
                  <w:jc w:val="both"/>
                  <w:rPr>
                    <w:iCs/>
                    <w:szCs w:val="24"/>
                  </w:rPr>
                </w:pPr>
                <w:r>
                  <w:rPr>
                    <w:iCs/>
                    <w:szCs w:val="24"/>
                  </w:rPr>
                  <w:t>5.1. Projekte negali būti numatyta:</w:t>
                </w:r>
              </w:p>
              <w:p w:rsidR="001D5DA6" w:rsidRDefault="00470559">
                <w:pPr>
                  <w:ind w:left="32" w:hanging="32"/>
                  <w:jc w:val="both"/>
                </w:pPr>
                <w:r>
                  <w:t>5.1.1. apribojimų, kurie turėtų neigiamą poveikį lygių galimybių ir nediskriminavimo dėl lyties, rasės, tautybės, pilietybės, kalbos, kilmės, socialinės padėties, tikėjimo, religijos ar įsitikinimų, pažiūrų, amžiaus, negalios, lytinės orientacijos, etninės priklausomybės ar kitais pagrindais principui įgyvendinti;</w:t>
                </w:r>
              </w:p>
              <w:p w:rsidR="001D5DA6" w:rsidRDefault="00470559">
                <w:pPr>
                  <w:ind w:left="32" w:hanging="32"/>
                  <w:jc w:val="both"/>
                  <w:rPr>
                    <w:iCs/>
                    <w:szCs w:val="24"/>
                  </w:rPr>
                </w:pPr>
                <w:r>
                  <w:rPr>
                    <w:iCs/>
                    <w:szCs w:val="24"/>
                  </w:rPr>
                  <w:t>5.1.2. veiksmų, kurie turėtų neigiamą poveikį darnaus vystymosi principui įgyvendinti;</w:t>
                </w:r>
              </w:p>
              <w:p w:rsidR="001D5DA6" w:rsidRDefault="00470559">
                <w:pPr>
                  <w:ind w:left="32" w:hanging="32"/>
                  <w:jc w:val="both"/>
                  <w:rPr>
                    <w:iCs/>
                    <w:szCs w:val="24"/>
                  </w:rPr>
                </w:pPr>
                <w:r>
                  <w:rPr>
                    <w:iCs/>
                    <w:szCs w:val="24"/>
                  </w:rPr>
                  <w:t>5.1.3. veiksmų, kurie turėtų neigiamą poveikį inovatyvumo (kūrybingumo) principui įgyvendinti.</w:t>
                </w:r>
              </w:p>
              <w:p w:rsidR="001D5DA6" w:rsidRDefault="00470559">
                <w:pPr>
                  <w:jc w:val="both"/>
                  <w:rPr>
                    <w:iCs/>
                    <w:szCs w:val="24"/>
                  </w:rPr>
                </w:pPr>
                <w:r>
                  <w:rPr>
                    <w:iCs/>
                    <w:szCs w:val="24"/>
                  </w:rPr>
                  <w:t>5.2. Projekte turi būti numatyta:</w:t>
                </w:r>
              </w:p>
              <w:p w:rsidR="001D5DA6" w:rsidRDefault="00470559">
                <w:pPr>
                  <w:jc w:val="both"/>
                </w:pPr>
                <w:r>
                  <w:t>5.2.1. projektas turi prisidėti prie horizontaliojo principo mažinti socialinę atskirtį, t. y. kad būtų sudaroma galimybė vaikams, augantiems socialinę riziką patiriančiose šeimose, gauti kokybiškas paslaugas ir priemones dalyvauti ikimokykliniame ir priešmokykliniame ugdyme;</w:t>
                </w:r>
              </w:p>
              <w:p w:rsidR="001D5DA6" w:rsidRDefault="00470559">
                <w:pPr>
                  <w:jc w:val="both"/>
                  <w:rPr>
                    <w:i/>
                  </w:rPr>
                </w:pPr>
                <w:r>
                  <w:t>5.2.2.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Nr. 2019/2088. Atitiktis šiam principui turi būti užtikrinta viso projekto įgyvendinimo metu (Aprašo priedas).</w:t>
                </w:r>
              </w:p>
            </w:tc>
          </w:tr>
          <w:tr w:rsidR="001D5DA6">
            <w:tc>
              <w:tcPr>
                <w:tcW w:w="15134" w:type="dxa"/>
              </w:tcPr>
              <w:p w:rsidR="001D5DA6" w:rsidRDefault="00470559">
                <w:pPr>
                  <w:spacing w:line="259" w:lineRule="auto"/>
                  <w:jc w:val="both"/>
                  <w:rPr>
                    <w:b/>
                    <w:bCs/>
                  </w:rPr>
                </w:pPr>
                <w:r>
                  <w:rPr>
                    <w:b/>
                    <w:bCs/>
                  </w:rPr>
                  <w:t>6. Europos Sąjungos pagrindinių teisių chartijos (toliau – Chartija) reikalavimai</w:t>
                </w:r>
              </w:p>
            </w:tc>
          </w:tr>
          <w:tr w:rsidR="001D5DA6">
            <w:tc>
              <w:tcPr>
                <w:tcW w:w="15134" w:type="dxa"/>
              </w:tcPr>
              <w:p w:rsidR="001D5DA6" w:rsidRDefault="00470559">
                <w:pPr>
                  <w:jc w:val="both"/>
                </w:pPr>
                <w:r>
                  <w:t>Veiklos ir poveiklės atitinka Europos Sąjungos pagrindinių teisių chartijos nuostatas pagal 2016 m. liepos 23 d. Europos Komisijos pranešimą – Rekomendacijų, kaip užtikrinti, kad būtų laikomasi Europos Sąjungos pagrindinių teisių chartijos nuostatų skirstant Europos struktūrinių ir investicinių fondų (toliau – ESI fondų) paramą (2016/C 269/01), III priedą.</w:t>
                </w:r>
              </w:p>
              <w:p w:rsidR="001D5DA6" w:rsidRDefault="00470559">
                <w:pPr>
                  <w:jc w:val="both"/>
                  <w:rPr>
                    <w:szCs w:val="24"/>
                  </w:rPr>
                </w:pPr>
                <w:r>
                  <w:rPr>
                    <w:szCs w:val="24"/>
                  </w:rPr>
                  <w:lastRenderedPageBreak/>
                  <w:t xml:space="preserve">Projekto vykdytojas privalo </w:t>
                </w:r>
                <w:r>
                  <w:rPr>
                    <w:color w:val="000000"/>
                    <w:szCs w:val="24"/>
                  </w:rPr>
                  <w:t>nepažeisti Chartijos reikalavimų projekto vykdymo metu</w:t>
                </w:r>
                <w:r>
                  <w:rPr>
                    <w:szCs w:val="24"/>
                  </w:rPr>
                  <w:t>.</w:t>
                </w:r>
              </w:p>
            </w:tc>
          </w:tr>
          <w:tr w:rsidR="001D5DA6">
            <w:tc>
              <w:tcPr>
                <w:tcW w:w="15134" w:type="dxa"/>
              </w:tcPr>
              <w:p w:rsidR="001D5DA6" w:rsidRDefault="00470559">
                <w:pPr>
                  <w:rPr>
                    <w:b/>
                    <w:szCs w:val="24"/>
                  </w:rPr>
                </w:pPr>
                <w:r>
                  <w:rPr>
                    <w:b/>
                    <w:szCs w:val="24"/>
                  </w:rPr>
                  <w:lastRenderedPageBreak/>
                  <w:t>7. Apskritis, kurioje gali būti įgyvendinami projektai</w:t>
                </w:r>
              </w:p>
            </w:tc>
          </w:tr>
          <w:tr w:rsidR="001D5DA6">
            <w:tc>
              <w:tcPr>
                <w:tcW w:w="15134" w:type="dxa"/>
              </w:tcPr>
              <w:p w:rsidR="001D5DA6" w:rsidRDefault="00470559">
                <w:pPr>
                  <w:jc w:val="both"/>
                  <w:rPr>
                    <w:i/>
                    <w:szCs w:val="24"/>
                  </w:rPr>
                </w:pPr>
                <w:r>
                  <w:rPr>
                    <w:i/>
                    <w:iCs/>
                    <w:szCs w:val="24"/>
                  </w:rPr>
                  <w:t>Netaikoma.</w:t>
                </w:r>
              </w:p>
            </w:tc>
          </w:tr>
          <w:tr w:rsidR="001D5DA6">
            <w:tc>
              <w:tcPr>
                <w:tcW w:w="15134" w:type="dxa"/>
              </w:tcPr>
              <w:p w:rsidR="001D5DA6" w:rsidRDefault="00470559">
                <w:pPr>
                  <w:jc w:val="both"/>
                  <w:rPr>
                    <w:b/>
                    <w:szCs w:val="24"/>
                  </w:rPr>
                </w:pPr>
                <w:r>
                  <w:rPr>
                    <w:b/>
                    <w:szCs w:val="24"/>
                  </w:rPr>
                  <w:t>8. Reikalavimai valstybės pagalbai</w:t>
                </w:r>
              </w:p>
            </w:tc>
          </w:tr>
          <w:tr w:rsidR="001D5DA6">
            <w:tc>
              <w:tcPr>
                <w:tcW w:w="15134" w:type="dxa"/>
              </w:tcPr>
              <w:p w:rsidR="001D5DA6" w:rsidRDefault="00470559">
                <w:pPr>
                  <w:jc w:val="both"/>
                  <w:rPr>
                    <w:iCs/>
                    <w:szCs w:val="24"/>
                  </w:rPr>
                </w:pPr>
                <w:r>
                  <w:rPr>
                    <w:iCs/>
                    <w:szCs w:val="24"/>
                  </w:rPr>
                  <w:t xml:space="preserve">8.1. Pagal Aprašą valstybės pagalba, kaip ji apibrėžta Sutarties dėl Europos Sąjungos veikimo 107 straipsnyje, ir </w:t>
                </w:r>
                <w:r>
                  <w:rPr>
                    <w:i/>
                    <w:iCs/>
                    <w:szCs w:val="24"/>
                  </w:rPr>
                  <w:t>de minimis</w:t>
                </w:r>
                <w:r>
                  <w:rPr>
                    <w:iCs/>
                    <w:szCs w:val="24"/>
                  </w:rPr>
                  <w:t xml:space="preserve"> pagalba, kuri atitinka 2013 m. gruodžio 18 d. Komisijos reglamento (ES) Nr. 1407/2013 dėl Sutarties dėl Europos Sąjungos veikimo 107 ir 108 straipsnių taikymo </w:t>
                </w:r>
                <w:r>
                  <w:rPr>
                    <w:i/>
                    <w:iCs/>
                    <w:szCs w:val="24"/>
                  </w:rPr>
                  <w:t>de minimis</w:t>
                </w:r>
                <w:r>
                  <w:rPr>
                    <w:iCs/>
                    <w:szCs w:val="24"/>
                  </w:rPr>
                  <w:t xml:space="preserve"> pagalbai nuostatas, neteikiama.</w:t>
                </w:r>
              </w:p>
              <w:p w:rsidR="001D5DA6" w:rsidRDefault="00470559">
                <w:pPr>
                  <w:jc w:val="both"/>
                  <w:rPr>
                    <w:i/>
                    <w:iCs/>
                    <w:szCs w:val="24"/>
                  </w:rPr>
                </w:pPr>
                <w:r>
                  <w:rPr>
                    <w:iCs/>
                    <w:szCs w:val="24"/>
                  </w:rPr>
                  <w:t>8.2. Pagal Aprašą valstybės pagalba, atitinkanti 2014 m. birželio 17 d. Komisijos reglamento (ES) Nr. 651/2014, kuriuo tam tikrų kategorijų pagalba skelbiama suderinama su vidaus rinka, taikant Sutarties 107 ir 108 straipsnius, neteikiama.</w:t>
                </w:r>
              </w:p>
            </w:tc>
          </w:tr>
          <w:tr w:rsidR="001D5DA6">
            <w:tc>
              <w:tcPr>
                <w:tcW w:w="15134" w:type="dxa"/>
              </w:tcPr>
              <w:p w:rsidR="001D5DA6" w:rsidRDefault="00470559">
                <w:pPr>
                  <w:ind w:left="426" w:hanging="426"/>
                  <w:jc w:val="both"/>
                  <w:rPr>
                    <w:i/>
                    <w:szCs w:val="24"/>
                  </w:rPr>
                </w:pPr>
                <w:r>
                  <w:rPr>
                    <w:b/>
                    <w:szCs w:val="24"/>
                  </w:rPr>
                  <w:t>9. Projektų atrankos kriterijai</w:t>
                </w:r>
              </w:p>
            </w:tc>
          </w:tr>
          <w:tr w:rsidR="001D5DA6">
            <w:trPr>
              <w:trHeight w:val="302"/>
            </w:trPr>
            <w:tc>
              <w:tcPr>
                <w:tcW w:w="15134" w:type="dxa"/>
              </w:tcPr>
              <w:p w:rsidR="001D5DA6" w:rsidRDefault="00470559">
                <w:pPr>
                  <w:jc w:val="both"/>
                  <w:rPr>
                    <w:i/>
                    <w:sz w:val="22"/>
                    <w:szCs w:val="22"/>
                  </w:rPr>
                </w:pPr>
                <w:r>
                  <w:rPr>
                    <w:szCs w:val="24"/>
                  </w:rPr>
                  <w:t>Specialieji ir prioritetiniai projektų atrankos kriterijai nėra nustatomi.</w:t>
                </w:r>
              </w:p>
            </w:tc>
          </w:tr>
          <w:tr w:rsidR="001D5DA6">
            <w:tc>
              <w:tcPr>
                <w:tcW w:w="15134" w:type="dxa"/>
              </w:tcPr>
              <w:p w:rsidR="001D5DA6" w:rsidRDefault="00470559">
                <w:pPr>
                  <w:rPr>
                    <w:b/>
                    <w:szCs w:val="24"/>
                  </w:rPr>
                </w:pPr>
                <w:r>
                  <w:rPr>
                    <w:b/>
                    <w:szCs w:val="24"/>
                  </w:rPr>
                  <w:t xml:space="preserve">10. Jungtinio projekto projektų atrankos kriterijai </w:t>
                </w:r>
                <w:r>
                  <w:rPr>
                    <w:b/>
                    <w:i/>
                    <w:iCs/>
                    <w:szCs w:val="24"/>
                  </w:rPr>
                  <w:t>(pildomi tik jungtiniam projektui)</w:t>
                </w:r>
              </w:p>
            </w:tc>
          </w:tr>
          <w:tr w:rsidR="001D5DA6">
            <w:tc>
              <w:tcPr>
                <w:tcW w:w="15134" w:type="dxa"/>
              </w:tcPr>
              <w:p w:rsidR="001D5DA6" w:rsidRDefault="00470559">
                <w:pPr>
                  <w:rPr>
                    <w:bCs/>
                    <w:i/>
                    <w:iCs/>
                    <w:szCs w:val="24"/>
                  </w:rPr>
                </w:pPr>
                <w:r>
                  <w:rPr>
                    <w:bCs/>
                    <w:i/>
                    <w:iCs/>
                    <w:szCs w:val="24"/>
                  </w:rPr>
                  <w:t>Netaikoma.</w:t>
                </w:r>
              </w:p>
            </w:tc>
          </w:tr>
          <w:tr w:rsidR="001D5DA6">
            <w:tc>
              <w:tcPr>
                <w:tcW w:w="15134" w:type="dxa"/>
              </w:tcPr>
              <w:p w:rsidR="001D5DA6" w:rsidRDefault="00470559">
                <w:pPr>
                  <w:rPr>
                    <w:b/>
                    <w:szCs w:val="24"/>
                  </w:rPr>
                </w:pPr>
                <w:r>
                  <w:rPr>
                    <w:b/>
                    <w:szCs w:val="24"/>
                  </w:rPr>
                  <w:t>11. Reikalavimai įgyvendinus projektų veiklas</w:t>
                </w:r>
              </w:p>
            </w:tc>
          </w:tr>
          <w:tr w:rsidR="001D5DA6">
            <w:tc>
              <w:tcPr>
                <w:tcW w:w="15134" w:type="dxa"/>
              </w:tcPr>
              <w:p w:rsidR="001D5DA6" w:rsidRDefault="00470559">
                <w:pPr>
                  <w:rPr>
                    <w:i/>
                    <w:szCs w:val="24"/>
                  </w:rPr>
                </w:pPr>
                <w:r>
                  <w:rPr>
                    <w:szCs w:val="24"/>
                  </w:rPr>
                  <w:t xml:space="preserve">Papildomi reikalavimai įgyvendinus projektų veiklas, nei tie, kurie numatyti </w:t>
                </w:r>
                <w:r>
                  <w:rPr>
                    <w:iCs/>
                    <w:color w:val="000000"/>
                    <w:shd w:val="clear" w:color="auto" w:fill="FFFFFF"/>
                  </w:rPr>
                  <w:t>PAFT</w:t>
                </w:r>
                <w:r>
                  <w:rPr>
                    <w:szCs w:val="24"/>
                  </w:rPr>
                  <w:t>, netaikomi.</w:t>
                </w:r>
              </w:p>
            </w:tc>
          </w:tr>
          <w:tr w:rsidR="001D5DA6">
            <w:tc>
              <w:tcPr>
                <w:tcW w:w="15134" w:type="dxa"/>
              </w:tcPr>
              <w:p w:rsidR="001D5DA6" w:rsidRDefault="00470559">
                <w:pPr>
                  <w:rPr>
                    <w:szCs w:val="24"/>
                  </w:rPr>
                </w:pPr>
                <w:r>
                  <w:rPr>
                    <w:b/>
                    <w:szCs w:val="24"/>
                  </w:rPr>
                  <w:t>12. Kiti reikalavimai</w:t>
                </w:r>
              </w:p>
            </w:tc>
          </w:tr>
          <w:tr w:rsidR="001D5DA6">
            <w:tc>
              <w:tcPr>
                <w:tcW w:w="15134" w:type="dxa"/>
              </w:tcPr>
              <w:p w:rsidR="001D5DA6" w:rsidRDefault="00470559">
                <w:pPr>
                  <w:tabs>
                    <w:tab w:val="left" w:pos="1134"/>
                  </w:tabs>
                  <w:jc w:val="both"/>
                  <w:rPr>
                    <w:szCs w:val="24"/>
                  </w:rPr>
                </w:pPr>
                <w:r>
                  <w:rPr>
                    <w:szCs w:val="24"/>
                  </w:rPr>
                  <w:t>12.1. Administruojanti institucija turi informuoti Ministeriją, jeigu vertinimo metu nustatyta, kad pareiškėjo pateiktas PĮP neatitinka šio Aprašo 2.11 papunkčio.</w:t>
                </w:r>
              </w:p>
              <w:p w:rsidR="001D5DA6" w:rsidRDefault="00470559">
                <w:pPr>
                  <w:tabs>
                    <w:tab w:val="left" w:pos="1134"/>
                  </w:tabs>
                  <w:jc w:val="both"/>
                  <w:rPr>
                    <w:i/>
                    <w:sz w:val="22"/>
                    <w:szCs w:val="22"/>
                  </w:rPr>
                </w:pPr>
                <w:r>
                  <w:rPr>
                    <w:szCs w:val="24"/>
                  </w:rPr>
                  <w:t xml:space="preserve">12.2. Jei </w:t>
                </w:r>
                <w:r>
                  <w:rPr>
                    <w:iCs/>
                    <w:szCs w:val="24"/>
                  </w:rPr>
                  <w:t>pagal pažangos priemonę numatoma įgyvendinti strateginės svarbos projektą arba projektą, kurio vertė viršija 10 000 000 eurų (dešimt milijonų eurų), įtraukiamas reikalavimas projekto vykdytojui surengti komunikacinį renginį ar veiklą, įtraukiant Europos Komisiją ir vadovaujančiąją instituciją.</w:t>
                </w:r>
              </w:p>
            </w:tc>
          </w:tr>
          <w:tr w:rsidR="001D5DA6">
            <w:tc>
              <w:tcPr>
                <w:tcW w:w="15134" w:type="dxa"/>
              </w:tcPr>
              <w:p w:rsidR="001D5DA6" w:rsidRDefault="00470559">
                <w:pPr>
                  <w:rPr>
                    <w:b/>
                    <w:szCs w:val="24"/>
                  </w:rPr>
                </w:pPr>
                <w:r>
                  <w:rPr>
                    <w:b/>
                    <w:szCs w:val="24"/>
                  </w:rPr>
                  <w:t>IŠLAIDŲ TINKAMUMO FINANSUOTI REIKALAVIMAI</w:t>
                </w:r>
              </w:p>
            </w:tc>
          </w:tr>
          <w:tr w:rsidR="001D5DA6">
            <w:tc>
              <w:tcPr>
                <w:tcW w:w="15134" w:type="dxa"/>
              </w:tcPr>
              <w:p w:rsidR="001D5DA6" w:rsidRDefault="00470559">
                <w:pPr>
                  <w:jc w:val="both"/>
                  <w:rPr>
                    <w:b/>
                    <w:szCs w:val="24"/>
                  </w:rPr>
                </w:pPr>
                <w:r>
                  <w:rPr>
                    <w:b/>
                    <w:szCs w:val="24"/>
                  </w:rPr>
                  <w:t>13. Išlaidų tinkamumo finansuoti reikalavimai</w:t>
                </w:r>
              </w:p>
            </w:tc>
          </w:tr>
          <w:tr w:rsidR="001D5DA6">
            <w:tc>
              <w:tcPr>
                <w:tcW w:w="15134" w:type="dxa"/>
              </w:tcPr>
              <w:p w:rsidR="001D5DA6" w:rsidRDefault="00470559">
                <w:pPr>
                  <w:jc w:val="both"/>
                  <w:rPr>
                    <w:iCs/>
                    <w:szCs w:val="24"/>
                  </w:rPr>
                </w:pPr>
                <w:r>
                  <w:rPr>
                    <w:iCs/>
                    <w:szCs w:val="24"/>
                  </w:rPr>
                  <w:t>13.1. Didžiausia galima projektų finansuojamoji dalis sudaro 100 proc. visų tinkamų finansuoti projekto išlaidų. Pareiškėjas savo iniciatyva ir savo, ir (arba) kitų šaltinių lėšomis gali prisidėti prie projekto įgyvendinimo.</w:t>
                </w:r>
              </w:p>
              <w:p w:rsidR="001D5DA6" w:rsidRDefault="00470559">
                <w:pPr>
                  <w:jc w:val="both"/>
                  <w:rPr>
                    <w:iCs/>
                    <w:szCs w:val="24"/>
                  </w:rPr>
                </w:pPr>
                <w:r>
                  <w:rPr>
                    <w:iCs/>
                    <w:szCs w:val="24"/>
                  </w:rPr>
                  <w:t>13.2. Projekto tinkamų finansuoti išlaidų dalis, kurios nepadengia projektui skiriamo finansavimo lėšos, turi būti finansuojama iš projekto vykdytojo lėšų.</w:t>
                </w:r>
              </w:p>
              <w:p w:rsidR="001D5DA6" w:rsidRDefault="00470559">
                <w:pPr>
                  <w:jc w:val="both"/>
                  <w:rPr>
                    <w:iCs/>
                    <w:szCs w:val="24"/>
                  </w:rPr>
                </w:pPr>
                <w:r>
                  <w:rPr>
                    <w:iCs/>
                    <w:szCs w:val="24"/>
                  </w:rPr>
                  <w:t xml:space="preserve">13.3. Planuojamos išlaidos turi atitikti </w:t>
                </w:r>
                <w:r>
                  <w:rPr>
                    <w:iCs/>
                    <w:color w:val="000000"/>
                    <w:shd w:val="clear" w:color="auto" w:fill="FFFFFF"/>
                  </w:rPr>
                  <w:t xml:space="preserve"> PAFT</w:t>
                </w:r>
                <w:r>
                  <w:rPr>
                    <w:iCs/>
                    <w:szCs w:val="24"/>
                  </w:rPr>
                  <w:t xml:space="preserve"> VII skyriuje išdėstytus projektų išlaidoms taikomus reikalavimus.</w:t>
                </w:r>
              </w:p>
              <w:p w:rsidR="001D5DA6" w:rsidRDefault="00470559">
                <w:pPr>
                  <w:jc w:val="both"/>
                  <w:rPr>
                    <w:iCs/>
                    <w:szCs w:val="24"/>
                  </w:rPr>
                </w:pPr>
                <w:r>
                  <w:rPr>
                    <w:iCs/>
                    <w:szCs w:val="22"/>
                  </w:rPr>
                  <w:t>13.4. Projekto vykdytojui gali būti išmokamas avansas, vadovaujantis PAFT 155, 156 punktais.</w:t>
                </w:r>
              </w:p>
              <w:p w:rsidR="001D5DA6" w:rsidRDefault="00470559">
                <w:pPr>
                  <w:jc w:val="both"/>
                </w:pPr>
                <w:r>
                  <w:t>13.5. Pagal Aprašą tinkamų finansuoti išlaidų kategorijos yra šios:</w:t>
                </w:r>
              </w:p>
              <w:p w:rsidR="001D5DA6" w:rsidRDefault="00470559">
                <w:pPr>
                  <w:jc w:val="both"/>
                  <w:rPr>
                    <w:color w:val="000000"/>
                    <w:szCs w:val="24"/>
                  </w:rPr>
                </w:pPr>
                <w:r>
                  <w:t>13.5.1.</w:t>
                </w:r>
                <w:r>
                  <w:rPr>
                    <w:szCs w:val="24"/>
                  </w:rPr>
                  <w:t xml:space="preserve"> individualios ugdymo priemonės, reikalingos ugdymo programai įgyvendinti (pvz., </w:t>
                </w:r>
                <w:r>
                  <w:rPr>
                    <w:color w:val="000000"/>
                    <w:szCs w:val="24"/>
                  </w:rPr>
                  <w:t>pratybų sąsiuviniai, skaičiuotuvai, rašymo, braižymo, piešimo ir kitos vaiko individualiai naudojamos mokymosi priemonės),</w:t>
                </w:r>
                <w:r>
                  <w:rPr>
                    <w:b/>
                    <w:bCs/>
                    <w:color w:val="000000"/>
                    <w:szCs w:val="24"/>
                  </w:rPr>
                  <w:t xml:space="preserve"> </w:t>
                </w:r>
                <w:r>
                  <w:rPr>
                    <w:color w:val="000000"/>
                    <w:szCs w:val="24"/>
                  </w:rPr>
                  <w:t>sportinė apranga, avalynė, drabužiai ir kiti būtini vaikui ugdyti reikmenys, kuriais vaikai neaprūpinami Lietuvos Respublikos švietimo įstatymo ir kitų teisės aktų nustatyta tvarka);</w:t>
                </w:r>
              </w:p>
              <w:p w:rsidR="001D5DA6" w:rsidRDefault="00470559">
                <w:pPr>
                  <w:jc w:val="both"/>
                  <w:rPr>
                    <w:szCs w:val="24"/>
                  </w:rPr>
                </w:pPr>
                <w:r>
                  <w:rPr>
                    <w:szCs w:val="24"/>
                  </w:rPr>
                  <w:t>13.5.2. vaikų vežimo ir lydinčio asmens darbo užmokesčio išlaidos;</w:t>
                </w:r>
              </w:p>
              <w:p w:rsidR="001D5DA6" w:rsidRDefault="00470559">
                <w:pPr>
                  <w:jc w:val="both"/>
                </w:pPr>
                <w:r>
                  <w:lastRenderedPageBreak/>
                  <w:t>13.5.3. kultūros ir neformaliojo švietimo paslaugos;</w:t>
                </w:r>
              </w:p>
              <w:p w:rsidR="001D5DA6" w:rsidRDefault="00470559">
                <w:pPr>
                  <w:jc w:val="both"/>
                </w:pPr>
                <w:r>
                  <w:t>13.5.4. papildomos mokymo išlaidos ugdymui ir švietimo pagalbai (ugdymo lėšos);</w:t>
                </w:r>
              </w:p>
              <w:p w:rsidR="001D5DA6" w:rsidRDefault="00470559">
                <w:pPr>
                  <w:jc w:val="both"/>
                </w:pPr>
                <w:r>
                  <w:t>13.5.5. savivaldybių reglamentuotas vaikų išlaikymo mokestis;</w:t>
                </w:r>
              </w:p>
              <w:p w:rsidR="001D5DA6" w:rsidRDefault="00470559">
                <w:pPr>
                  <w:jc w:val="both"/>
                </w:pPr>
                <w:r>
                  <w:t>13.5.6. maitinimas (išskyrus atvejus, kai skiriamas nemokamas maitinimas pagal Lietuvos Respublikos socialinės paramos mokiniams įstatymą).</w:t>
                </w:r>
              </w:p>
              <w:p w:rsidR="001D5DA6" w:rsidRDefault="00470559">
                <w:pPr>
                  <w:jc w:val="both"/>
                </w:pPr>
                <w:r>
                  <w:t>13.6. Projekto partneriai išlaidas gali patirti pagal visas ar pagal dalį Aprašo 13.5 papunktyje nurodytų išlaidų kategorijų bei paskirstyti išlaidas pagal šias kategorijas proporcingai, atsižvelgdami į vaikų poreikius.</w:t>
                </w:r>
              </w:p>
              <w:p w:rsidR="001D5DA6" w:rsidRDefault="00470559">
                <w:pPr>
                  <w:jc w:val="both"/>
                </w:pPr>
                <w:r>
                  <w:t>13.7. Vadovaujantis Ugdymo, maitinimo ir pavėžėjimo lėšų socialinę riziką patiriančių vaikų ikimokykliniam ugdymui užtikrinti apskaičiavimo, paskirstymo ir panaudojimo tvarkos aprašu, patvirtintu Lietuvos Respublikos Vyriausybės 2021 m. rugpjūčio 18 d. nutarimu Nr. 677 „Dėl Ugdymo, maitinimo ir pavėžėjimo lėšų socialinę riziką patiriančių vaikų ikimokykliniam ugdymui užtikrinti apskaičiavimo, paskirstymo ir panaudojimo tvarkos aprašo patvirtinimo“, projekto partneriai, esant poreikiui, turi pateikti dokumentus, pagrindžiančius, kad vaikai, kurie buvo įtraukti į Mokinių registrą vėliau nei buvo pateikti duomenys Ministerijai dėl valstybės biudžeto asignavimų, negauna finansavimo. Tokiu atveju projekto išlaidos yra tinkamos finansuoti išlaidos pagal šį Aprašą.</w:t>
                </w:r>
              </w:p>
              <w:p w:rsidR="001D5DA6" w:rsidRDefault="00470559">
                <w:pPr>
                  <w:jc w:val="both"/>
                </w:pPr>
                <w:r>
                  <w:t>13.8. Privalomos projektų matomumo ir informavimo apie projektus priemonės pagal PAFT 340 ir 341 punktus. Išlaidos aptartos Aprašo 12.2 papunktyje.</w:t>
                </w:r>
              </w:p>
              <w:p w:rsidR="001D5DA6" w:rsidRDefault="00470559">
                <w:pPr>
                  <w:jc w:val="both"/>
                  <w:rPr>
                    <w:b/>
                    <w:sz w:val="22"/>
                    <w:szCs w:val="22"/>
                  </w:rPr>
                </w:pPr>
                <w:r>
                  <w:t>13.9. Projektas ir projekto veiklos negali būti finansuotos ar finansuojamos iš kitų Lietuvos Respublikos valstybės biudžeto ir (arba) savivaldybių biudžetų, kitų piniginių išteklių, kuriais disponuoja valstybė ir (ar) savivaldybės, ES struktūrinių fondų, kitų ES finansinės paramos priemonių ar kitos tarptautinės paramos lėšų, kurioms apmokėti, skyrus ES struktūrinių fondų lėšų pagal šį Aprašą, jos būtų pripažintos tinkamomis finansuoti ir (arba) apmokėtos daugiau nei vieną kartą.</w:t>
                </w:r>
              </w:p>
            </w:tc>
          </w:tr>
          <w:tr w:rsidR="001D5DA6">
            <w:trPr>
              <w:trHeight w:val="349"/>
            </w:trPr>
            <w:tc>
              <w:tcPr>
                <w:tcW w:w="15134" w:type="dxa"/>
              </w:tcPr>
              <w:p w:rsidR="001D5DA6" w:rsidRDefault="00470559">
                <w:pPr>
                  <w:jc w:val="both"/>
                  <w:rPr>
                    <w:szCs w:val="24"/>
                  </w:rPr>
                </w:pPr>
                <w:r>
                  <w:rPr>
                    <w:b/>
                    <w:szCs w:val="24"/>
                  </w:rPr>
                  <w:lastRenderedPageBreak/>
                  <w:t>14. Projektų veiklų ir jungtinio projekto projektų įgyvendinimui taikomi supaprastintai apmokamų išlaidų dydžiai</w:t>
                </w:r>
              </w:p>
            </w:tc>
          </w:tr>
          <w:tr w:rsidR="001D5DA6">
            <w:tc>
              <w:tcPr>
                <w:tcW w:w="15134" w:type="dxa"/>
              </w:tcPr>
              <w:p w:rsidR="001D5DA6" w:rsidRDefault="00470559">
                <w:pPr>
                  <w:jc w:val="both"/>
                  <w:rPr>
                    <w:iCs/>
                    <w:szCs w:val="22"/>
                  </w:rPr>
                </w:pPr>
                <w:r>
                  <w:rPr>
                    <w:iCs/>
                    <w:szCs w:val="22"/>
                  </w:rPr>
                  <w:t xml:space="preserve">14.1. Supaprastintai apmokamos išlaidos yra tinkamos finansuoti, jei galimybė jas apmokėti supaprastintai iš anksto (iki projekto sutarties sudarymo) yra įtraukta į Supaprastintai apmokamų išlaidų dydžių registrą, skelbiamą Europos socialinio fondo agentūros interneto svetainės </w:t>
                </w:r>
                <w:r>
                  <w:rPr>
                    <w:iCs/>
                    <w:color w:val="0563C1"/>
                    <w:szCs w:val="22"/>
                    <w:u w:val="single"/>
                  </w:rPr>
                  <w:t>www.esf.lt</w:t>
                </w:r>
                <w:r>
                  <w:rPr>
                    <w:iCs/>
                    <w:szCs w:val="22"/>
                  </w:rPr>
                  <w:t xml:space="preserve">  skiltyje „Metodinės pagalbos centras“.</w:t>
                </w:r>
              </w:p>
              <w:p w:rsidR="001D5DA6" w:rsidRDefault="00470559">
                <w:pPr>
                  <w:jc w:val="both"/>
                </w:pPr>
                <w:r>
                  <w:t>14.2. Supaprastintai apmokamų išlaidų dydžiai gali būti įtraukti laikotarpiu ir po projektų sutarčių pasirašymo nuo 2020 m. vasario 1 d. iki 2026 m. rugpjūčio 31 d.</w:t>
                </w:r>
              </w:p>
              <w:p w:rsidR="001D5DA6" w:rsidRDefault="00470559">
                <w:pPr>
                  <w:jc w:val="both"/>
                </w:pPr>
                <w:r>
                  <w:t>14.3. Projektų įgyvendinimo metu administruojančiai institucijai ar audito institucijoms nustačius, kad fiksuotosios sumos ar fiksuotosios normos buvo netinkamai nustatytos, patikslinti dydžiai ar jų taikymo sąlygos taikomi projektų veiksmų, vykdomų nuo dydžių ar jų taikymo sąlygų patikslinimo įsigaliojimo dienos, išlaidoms apmokėti.</w:t>
                </w:r>
              </w:p>
              <w:p w:rsidR="001D5DA6" w:rsidRDefault="001D5DA6">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1D5DA6">
                  <w:tc>
                    <w:tcPr>
                      <w:tcW w:w="14449" w:type="dxa"/>
                      <w:gridSpan w:val="5"/>
                      <w:tcBorders>
                        <w:top w:val="single" w:sz="8" w:space="0" w:color="auto"/>
                        <w:left w:val="single" w:sz="8" w:space="0" w:color="auto"/>
                        <w:bottom w:val="single" w:sz="8" w:space="0" w:color="auto"/>
                        <w:right w:val="single" w:sz="8" w:space="0" w:color="auto"/>
                      </w:tcBorders>
                    </w:tcPr>
                    <w:p w:rsidR="001D5DA6" w:rsidRDefault="00470559">
                      <w:pPr>
                        <w:jc w:val="both"/>
                        <w:rPr>
                          <w:b/>
                          <w:bCs/>
                          <w:sz w:val="22"/>
                          <w:szCs w:val="22"/>
                        </w:rPr>
                      </w:pPr>
                      <w:r>
                        <w:rPr>
                          <w:rFonts w:ascii="Segoe UI Symbol" w:eastAsia="MS Gothic" w:hAnsi="Segoe UI Symbol" w:cs="Segoe UI Symbol"/>
                          <w:b/>
                          <w:bCs/>
                          <w:sz w:val="22"/>
                          <w:szCs w:val="22"/>
                        </w:rPr>
                        <w:t xml:space="preserve">☒ </w:t>
                      </w:r>
                      <w:r>
                        <w:rPr>
                          <w:b/>
                          <w:bCs/>
                          <w:sz w:val="22"/>
                          <w:szCs w:val="22"/>
                        </w:rPr>
                        <w:t>Indeksuojama</w:t>
                      </w:r>
                    </w:p>
                    <w:p w:rsidR="001D5DA6" w:rsidRDefault="00470559">
                      <w:pPr>
                        <w:jc w:val="both"/>
                        <w:rPr>
                          <w:b/>
                          <w:bCs/>
                          <w:sz w:val="22"/>
                          <w:szCs w:val="22"/>
                        </w:rPr>
                      </w:pPr>
                      <w:r>
                        <w:rPr>
                          <w:rFonts w:ascii="MS Gothic" w:eastAsia="MS Gothic" w:hAnsi="MS Gothic" w:cs="MS Gothic"/>
                          <w:b/>
                          <w:bCs/>
                          <w:sz w:val="22"/>
                          <w:szCs w:val="22"/>
                        </w:rPr>
                        <w:t>☐</w:t>
                      </w:r>
                      <w:r>
                        <w:rPr>
                          <w:rFonts w:ascii="Segoe UI Symbol" w:eastAsia="MS Gothic" w:hAnsi="Segoe UI Symbol" w:cs="Segoe UI Symbol"/>
                          <w:b/>
                          <w:bCs/>
                          <w:sz w:val="22"/>
                          <w:szCs w:val="22"/>
                        </w:rPr>
                        <w:t xml:space="preserve"> </w:t>
                      </w:r>
                      <w:r>
                        <w:rPr>
                          <w:b/>
                          <w:bCs/>
                          <w:sz w:val="22"/>
                          <w:szCs w:val="22"/>
                        </w:rPr>
                        <w:t>Neindeksuojama</w:t>
                      </w:r>
                    </w:p>
                  </w:tc>
                </w:tr>
                <w:tr w:rsidR="001D5DA6">
                  <w:tc>
                    <w:tcPr>
                      <w:tcW w:w="2889" w:type="dxa"/>
                      <w:tcBorders>
                        <w:top w:val="single" w:sz="8" w:space="0" w:color="auto"/>
                        <w:left w:val="single" w:sz="8" w:space="0" w:color="auto"/>
                        <w:bottom w:val="single" w:sz="8" w:space="0" w:color="auto"/>
                        <w:right w:val="single" w:sz="8" w:space="0" w:color="auto"/>
                      </w:tcBorders>
                      <w:vAlign w:val="center"/>
                    </w:tcPr>
                    <w:p w:rsidR="001D5DA6" w:rsidRDefault="00470559">
                      <w:pPr>
                        <w:jc w:val="center"/>
                        <w:rPr>
                          <w:b/>
                          <w:bCs/>
                          <w:sz w:val="22"/>
                          <w:szCs w:val="22"/>
                        </w:rPr>
                      </w:pPr>
                      <w:r>
                        <w:rPr>
                          <w:b/>
                          <w:bCs/>
                          <w:sz w:val="22"/>
                          <w:szCs w:val="22"/>
                        </w:rPr>
                        <w:t xml:space="preserve">Veiklos ir (ar) išlaidos, kurioms taikomi </w:t>
                      </w:r>
                      <w:r>
                        <w:rPr>
                          <w:b/>
                          <w:bCs/>
                          <w:sz w:val="22"/>
                          <w:szCs w:val="22"/>
                        </w:rPr>
                        <w:lastRenderedPageBreak/>
                        <w:t>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rsidR="001D5DA6" w:rsidRDefault="00470559">
                      <w:pPr>
                        <w:jc w:val="center"/>
                        <w:rPr>
                          <w:b/>
                          <w:bCs/>
                          <w:sz w:val="22"/>
                          <w:szCs w:val="22"/>
                        </w:rPr>
                      </w:pPr>
                      <w:r>
                        <w:rPr>
                          <w:b/>
                          <w:bCs/>
                          <w:sz w:val="22"/>
                          <w:szCs w:val="22"/>
                        </w:rPr>
                        <w:lastRenderedPageBreak/>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rsidR="001D5DA6" w:rsidRDefault="00470559">
                      <w:pPr>
                        <w:jc w:val="center"/>
                        <w:rPr>
                          <w:b/>
                          <w:bCs/>
                          <w:i/>
                          <w:iCs/>
                          <w:color w:val="808080"/>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rsidR="001D5DA6" w:rsidRDefault="00470559">
                      <w:pPr>
                        <w:jc w:val="center"/>
                        <w:rPr>
                          <w:b/>
                          <w:bCs/>
                          <w:sz w:val="22"/>
                          <w:szCs w:val="22"/>
                        </w:rPr>
                      </w:pPr>
                      <w:r>
                        <w:rPr>
                          <w:b/>
                          <w:bCs/>
                          <w:sz w:val="22"/>
                          <w:szCs w:val="22"/>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rsidR="001D5DA6" w:rsidRDefault="00470559">
                      <w:pPr>
                        <w:jc w:val="center"/>
                        <w:rPr>
                          <w:b/>
                          <w:bCs/>
                          <w:sz w:val="22"/>
                          <w:szCs w:val="22"/>
                        </w:rPr>
                      </w:pPr>
                      <w:r>
                        <w:rPr>
                          <w:b/>
                          <w:bCs/>
                          <w:sz w:val="22"/>
                          <w:szCs w:val="22"/>
                        </w:rPr>
                        <w:t>Papildoma informacija</w:t>
                      </w:r>
                    </w:p>
                  </w:tc>
                </w:tr>
                <w:tr w:rsidR="001D5DA6">
                  <w:tc>
                    <w:tcPr>
                      <w:tcW w:w="2889" w:type="dxa"/>
                      <w:tcBorders>
                        <w:top w:val="single" w:sz="8" w:space="0" w:color="auto"/>
                        <w:left w:val="single" w:sz="8" w:space="0" w:color="auto"/>
                        <w:bottom w:val="single" w:sz="8" w:space="0" w:color="auto"/>
                        <w:right w:val="single" w:sz="8" w:space="0" w:color="auto"/>
                      </w:tcBorders>
                    </w:tcPr>
                    <w:p w:rsidR="001D5DA6" w:rsidRDefault="00470559">
                      <w:pPr>
                        <w:rPr>
                          <w:i/>
                          <w:iCs/>
                          <w:sz w:val="20"/>
                        </w:rPr>
                      </w:pPr>
                      <w:r>
                        <w:rPr>
                          <w:sz w:val="22"/>
                          <w:szCs w:val="22"/>
                        </w:rPr>
                        <w:t>Netiesioginės išlaidos</w:t>
                      </w:r>
                    </w:p>
                  </w:tc>
                  <w:tc>
                    <w:tcPr>
                      <w:tcW w:w="2890" w:type="dxa"/>
                      <w:tcBorders>
                        <w:top w:val="single" w:sz="8" w:space="0" w:color="auto"/>
                        <w:left w:val="single" w:sz="8" w:space="0" w:color="auto"/>
                        <w:bottom w:val="single" w:sz="8" w:space="0" w:color="auto"/>
                        <w:right w:val="single" w:sz="8" w:space="0" w:color="auto"/>
                      </w:tcBorders>
                    </w:tcPr>
                    <w:p w:rsidR="001D5DA6" w:rsidRDefault="00470559">
                      <w:pPr>
                        <w:jc w:val="center"/>
                        <w:rPr>
                          <w:i/>
                          <w:iCs/>
                          <w:sz w:val="20"/>
                        </w:rPr>
                      </w:pPr>
                      <w:r>
                        <w:rPr>
                          <w:sz w:val="22"/>
                          <w:szCs w:val="22"/>
                        </w:rPr>
                        <w:t>(FN-01)</w:t>
                      </w:r>
                    </w:p>
                  </w:tc>
                  <w:tc>
                    <w:tcPr>
                      <w:tcW w:w="2890" w:type="dxa"/>
                      <w:tcBorders>
                        <w:top w:val="single" w:sz="8" w:space="0" w:color="auto"/>
                        <w:left w:val="single" w:sz="8" w:space="0" w:color="auto"/>
                        <w:bottom w:val="single" w:sz="8" w:space="0" w:color="auto"/>
                        <w:right w:val="single" w:sz="8" w:space="0" w:color="auto"/>
                      </w:tcBorders>
                    </w:tcPr>
                    <w:p w:rsidR="001D5DA6" w:rsidRDefault="00470559">
                      <w:pPr>
                        <w:jc w:val="center"/>
                        <w:rPr>
                          <w:i/>
                          <w:iCs/>
                          <w:sz w:val="20"/>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rsidR="001D5DA6" w:rsidRDefault="00470559">
                      <w:pPr>
                        <w:rPr>
                          <w:i/>
                          <w:iCs/>
                          <w:sz w:val="20"/>
                        </w:rPr>
                      </w:pPr>
                      <w:r>
                        <w:rPr>
                          <w:sz w:val="22"/>
                          <w:szCs w:val="22"/>
                        </w:rPr>
                        <w:t>Fiksuotoji norma netiesioginėms projekto išlaidoms</w:t>
                      </w:r>
                    </w:p>
                  </w:tc>
                  <w:tc>
                    <w:tcPr>
                      <w:tcW w:w="2890" w:type="dxa"/>
                      <w:tcBorders>
                        <w:top w:val="single" w:sz="8" w:space="0" w:color="auto"/>
                        <w:left w:val="single" w:sz="8" w:space="0" w:color="auto"/>
                        <w:bottom w:val="single" w:sz="8" w:space="0" w:color="auto"/>
                        <w:right w:val="single" w:sz="8" w:space="0" w:color="auto"/>
                      </w:tcBorders>
                    </w:tcPr>
                    <w:p w:rsidR="001D5DA6" w:rsidRDefault="00470559">
                      <w:pPr>
                        <w:rPr>
                          <w:i/>
                          <w:iCs/>
                          <w:sz w:val="20"/>
                        </w:rPr>
                      </w:pPr>
                      <w:r>
                        <w:rPr>
                          <w:sz w:val="22"/>
                          <w:szCs w:val="22"/>
                        </w:rPr>
                        <w:t>Netiesioginės projekto išlaidos skaičiuojamos nuo tinkamų finansuoti tiesioginių projekto išlaidų (7 proc.).</w:t>
                      </w:r>
                    </w:p>
                  </w:tc>
                </w:tr>
                <w:tr w:rsidR="001D5DA6">
                  <w:tc>
                    <w:tcPr>
                      <w:tcW w:w="2889" w:type="dxa"/>
                      <w:tcBorders>
                        <w:top w:val="single" w:sz="8" w:space="0" w:color="auto"/>
                        <w:left w:val="single" w:sz="8" w:space="0" w:color="auto"/>
                        <w:bottom w:val="single" w:sz="8" w:space="0" w:color="auto"/>
                        <w:right w:val="single" w:sz="8" w:space="0" w:color="auto"/>
                      </w:tcBorders>
                    </w:tcPr>
                    <w:p w:rsidR="001D5DA6" w:rsidRDefault="00470559">
                      <w:pPr>
                        <w:rPr>
                          <w:sz w:val="22"/>
                          <w:szCs w:val="22"/>
                          <w:shd w:val="clear" w:color="auto" w:fill="FFFFFF"/>
                        </w:rPr>
                      </w:pPr>
                      <w:r>
                        <w:rPr>
                          <w:sz w:val="22"/>
                          <w:szCs w:val="22"/>
                          <w:shd w:val="clear" w:color="auto" w:fill="FFFFFF"/>
                        </w:rPr>
                        <w:t>Privalomoms projektų matomumo ir informavimo apie projektus priemonėms pagal PAFT 340 ir 341 punktus taikoma fiksuotoji suma (toliau – FS)</w:t>
                      </w:r>
                    </w:p>
                  </w:tc>
                  <w:tc>
                    <w:tcPr>
                      <w:tcW w:w="2890" w:type="dxa"/>
                      <w:tcBorders>
                        <w:top w:val="single" w:sz="8" w:space="0" w:color="auto"/>
                        <w:left w:val="single" w:sz="8" w:space="0" w:color="auto"/>
                        <w:bottom w:val="single" w:sz="8" w:space="0" w:color="auto"/>
                        <w:right w:val="single" w:sz="8" w:space="0" w:color="auto"/>
                      </w:tcBorders>
                    </w:tcPr>
                    <w:p w:rsidR="001D5DA6" w:rsidRDefault="00470559">
                      <w:pPr>
                        <w:jc w:val="center"/>
                        <w:rPr>
                          <w:i/>
                          <w:iCs/>
                          <w:sz w:val="20"/>
                        </w:rPr>
                      </w:pPr>
                      <w:r>
                        <w:rPr>
                          <w:sz w:val="22"/>
                          <w:szCs w:val="22"/>
                        </w:rPr>
                        <w:t>FS-01-02</w:t>
                      </w:r>
                    </w:p>
                  </w:tc>
                  <w:tc>
                    <w:tcPr>
                      <w:tcW w:w="2890" w:type="dxa"/>
                      <w:tcBorders>
                        <w:top w:val="single" w:sz="8" w:space="0" w:color="auto"/>
                        <w:left w:val="single" w:sz="8" w:space="0" w:color="auto"/>
                        <w:bottom w:val="single" w:sz="8" w:space="0" w:color="auto"/>
                        <w:right w:val="single" w:sz="8" w:space="0" w:color="auto"/>
                      </w:tcBorders>
                    </w:tcPr>
                    <w:p w:rsidR="001D5DA6" w:rsidRDefault="00470559">
                      <w:pPr>
                        <w:jc w:val="center"/>
                        <w:rPr>
                          <w:i/>
                          <w:iCs/>
                          <w:sz w:val="20"/>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rsidR="001D5DA6" w:rsidRDefault="00470559">
                      <w:pPr>
                        <w:rPr>
                          <w:i/>
                          <w:iCs/>
                          <w:sz w:val="20"/>
                        </w:rPr>
                      </w:pPr>
                      <w:r>
                        <w:rPr>
                          <w:sz w:val="22"/>
                          <w:szCs w:val="22"/>
                        </w:rPr>
                        <w:t>Įgyvendintų privalomų matomumo ir informavimo priemonių apie Europos Sąjungos fondų investicijų veiklas fiksuotoji suma, pirmojo rinkinio FS su PVM</w:t>
                      </w:r>
                    </w:p>
                  </w:tc>
                  <w:tc>
                    <w:tcPr>
                      <w:tcW w:w="2890" w:type="dxa"/>
                      <w:tcBorders>
                        <w:top w:val="single" w:sz="8" w:space="0" w:color="auto"/>
                        <w:left w:val="single" w:sz="8" w:space="0" w:color="auto"/>
                        <w:bottom w:val="single" w:sz="8" w:space="0" w:color="auto"/>
                        <w:right w:val="single" w:sz="8" w:space="0" w:color="auto"/>
                      </w:tcBorders>
                    </w:tcPr>
                    <w:p w:rsidR="001D5DA6" w:rsidRDefault="00470559">
                      <w:pPr>
                        <w:rPr>
                          <w:sz w:val="22"/>
                          <w:szCs w:val="22"/>
                        </w:rPr>
                      </w:pPr>
                      <w:r>
                        <w:rPr>
                          <w:sz w:val="22"/>
                          <w:szCs w:val="22"/>
                        </w:rPr>
                        <w:t>Fiksuotąją sumą sudaro visų pirmojo privalomų matomumo ir informavimo priemonių rinkinio išlaidos, kai:</w:t>
                      </w:r>
                    </w:p>
                    <w:p w:rsidR="001D5DA6" w:rsidRDefault="00470559">
                      <w:pPr>
                        <w:rPr>
                          <w:sz w:val="22"/>
                          <w:szCs w:val="22"/>
                        </w:rPr>
                      </w:pPr>
                      <w:r>
                        <w:rPr>
                          <w:sz w:val="22"/>
                          <w:szCs w:val="22"/>
                        </w:rPr>
                        <w:t>a) projekto įgyvendinimo pradžioje projekto vykdytojo oficialioje interneto svetainėje, jei tokia yra, ir socialinės žiniasklaidos svetainėse paskelbta informacija – trumpas veiksmo, įskaitant jo tikslus ir rezultatus, aprašymas, proporcingas paramos dydžiui, bei informavimas apie iš ES gaunamą finansinę paramą;</w:t>
                      </w:r>
                    </w:p>
                    <w:p w:rsidR="001D5DA6" w:rsidRDefault="00470559">
                      <w:pPr>
                        <w:rPr>
                          <w:sz w:val="22"/>
                          <w:szCs w:val="22"/>
                        </w:rPr>
                      </w:pPr>
                      <w:r>
                        <w:rPr>
                          <w:sz w:val="22"/>
                          <w:szCs w:val="22"/>
                        </w:rPr>
                        <w:t xml:space="preserve">b) projekto įgyvendinimo pradžioje visuomenei gerai matomoje vietoje pakabintas bent vienas ne mažesnio nei A3 formato spausdintas skelbimas (plakatas) arba elektroniniame ekrane paskelbtas lygiavertis pranešimas, kuriame turi būti pateikta informacija apie </w:t>
                      </w:r>
                      <w:r>
                        <w:rPr>
                          <w:sz w:val="22"/>
                          <w:szCs w:val="22"/>
                        </w:rPr>
                        <w:lastRenderedPageBreak/>
                        <w:t>veiksmą, akcentuojant iš ES gaunamą finansinę paramą;</w:t>
                      </w:r>
                    </w:p>
                    <w:p w:rsidR="001D5DA6" w:rsidRDefault="00470559">
                      <w:pPr>
                        <w:rPr>
                          <w:i/>
                          <w:iCs/>
                          <w:sz w:val="20"/>
                        </w:rPr>
                      </w:pPr>
                      <w:r>
                        <w:rPr>
                          <w:sz w:val="22"/>
                          <w:szCs w:val="22"/>
                        </w:rPr>
                        <w:t>c) visuomenei arba dalyviams skirtuose dokumentuose ir komunikacijos medžiagoje, susijusioje su veiksmo įgyvendinimu, gerai matomai pateiktas pareiškimas, kuriame akcentuojama gaunama ES parama.</w:t>
                      </w:r>
                    </w:p>
                  </w:tc>
                </w:tr>
                <w:tr w:rsidR="001D5DA6">
                  <w:tc>
                    <w:tcPr>
                      <w:tcW w:w="2889" w:type="dxa"/>
                      <w:tcBorders>
                        <w:top w:val="single" w:sz="8" w:space="0" w:color="auto"/>
                        <w:left w:val="single" w:sz="8" w:space="0" w:color="auto"/>
                        <w:bottom w:val="single" w:sz="8" w:space="0" w:color="auto"/>
                        <w:right w:val="single" w:sz="8" w:space="0" w:color="auto"/>
                      </w:tcBorders>
                    </w:tcPr>
                    <w:p w:rsidR="001D5DA6" w:rsidRDefault="00470559">
                      <w:pPr>
                        <w:rPr>
                          <w:i/>
                          <w:iCs/>
                          <w:sz w:val="20"/>
                        </w:rPr>
                      </w:pPr>
                      <w:r>
                        <w:rPr>
                          <w:sz w:val="22"/>
                          <w:szCs w:val="22"/>
                        </w:rPr>
                        <w:lastRenderedPageBreak/>
                        <w:t>Privalomoms projektų matomumo ir informavimo apie projektus priemonėms pagal PAFT 340 ir 341 punktus taikoma fiksuotoji suma (FS) be PVM</w:t>
                      </w:r>
                    </w:p>
                  </w:tc>
                  <w:tc>
                    <w:tcPr>
                      <w:tcW w:w="2890" w:type="dxa"/>
                      <w:tcBorders>
                        <w:top w:val="single" w:sz="8" w:space="0" w:color="auto"/>
                        <w:left w:val="single" w:sz="8" w:space="0" w:color="auto"/>
                        <w:bottom w:val="single" w:sz="8" w:space="0" w:color="auto"/>
                        <w:right w:val="single" w:sz="8" w:space="0" w:color="auto"/>
                      </w:tcBorders>
                    </w:tcPr>
                    <w:p w:rsidR="001D5DA6" w:rsidRDefault="00470559">
                      <w:pPr>
                        <w:jc w:val="center"/>
                        <w:rPr>
                          <w:i/>
                          <w:iCs/>
                          <w:sz w:val="20"/>
                        </w:rPr>
                      </w:pPr>
                      <w:r>
                        <w:rPr>
                          <w:sz w:val="22"/>
                          <w:szCs w:val="22"/>
                        </w:rPr>
                        <w:t>FS-01-01</w:t>
                      </w:r>
                    </w:p>
                  </w:tc>
                  <w:tc>
                    <w:tcPr>
                      <w:tcW w:w="2890" w:type="dxa"/>
                      <w:tcBorders>
                        <w:top w:val="single" w:sz="8" w:space="0" w:color="auto"/>
                        <w:left w:val="single" w:sz="8" w:space="0" w:color="auto"/>
                        <w:bottom w:val="single" w:sz="8" w:space="0" w:color="auto"/>
                        <w:right w:val="single" w:sz="8" w:space="0" w:color="auto"/>
                      </w:tcBorders>
                    </w:tcPr>
                    <w:p w:rsidR="001D5DA6" w:rsidRDefault="00470559">
                      <w:pPr>
                        <w:jc w:val="center"/>
                        <w:rPr>
                          <w:i/>
                          <w:iCs/>
                          <w:sz w:val="20"/>
                        </w:rPr>
                      </w:pPr>
                      <w:r>
                        <w:rPr>
                          <w:sz w:val="22"/>
                          <w:szCs w:val="22"/>
                        </w:rPr>
                        <w:t>-</w:t>
                      </w:r>
                    </w:p>
                  </w:tc>
                  <w:tc>
                    <w:tcPr>
                      <w:tcW w:w="2890" w:type="dxa"/>
                      <w:tcBorders>
                        <w:top w:val="single" w:sz="8" w:space="0" w:color="auto"/>
                        <w:left w:val="single" w:sz="8" w:space="0" w:color="auto"/>
                        <w:bottom w:val="single" w:sz="8" w:space="0" w:color="auto"/>
                        <w:right w:val="single" w:sz="8" w:space="0" w:color="auto"/>
                      </w:tcBorders>
                    </w:tcPr>
                    <w:p w:rsidR="001D5DA6" w:rsidRDefault="00470559">
                      <w:pPr>
                        <w:rPr>
                          <w:i/>
                          <w:iCs/>
                          <w:sz w:val="20"/>
                        </w:rPr>
                      </w:pPr>
                      <w:r>
                        <w:rPr>
                          <w:sz w:val="22"/>
                          <w:szCs w:val="22"/>
                        </w:rPr>
                        <w:t>Įgyvendintų privalomų matomumo ir informavimo priemonių apie Europos Sąjungos fondų investicijų veiklas fiksuotoji suma, pirmojo rinkinio FS be PVM</w:t>
                      </w:r>
                    </w:p>
                  </w:tc>
                  <w:tc>
                    <w:tcPr>
                      <w:tcW w:w="2890" w:type="dxa"/>
                      <w:tcBorders>
                        <w:top w:val="single" w:sz="8" w:space="0" w:color="auto"/>
                        <w:left w:val="single" w:sz="8" w:space="0" w:color="auto"/>
                        <w:bottom w:val="single" w:sz="8" w:space="0" w:color="auto"/>
                        <w:right w:val="single" w:sz="8" w:space="0" w:color="auto"/>
                      </w:tcBorders>
                    </w:tcPr>
                    <w:p w:rsidR="001D5DA6" w:rsidRDefault="00470559">
                      <w:pPr>
                        <w:rPr>
                          <w:sz w:val="22"/>
                          <w:szCs w:val="22"/>
                        </w:rPr>
                      </w:pPr>
                      <w:r>
                        <w:rPr>
                          <w:sz w:val="22"/>
                          <w:szCs w:val="22"/>
                        </w:rPr>
                        <w:t>Fiksuotąją sumą sudaro visų pirmojo privalomų matomumo ir informavimo priemonių rinkinio išlaidos, kai:</w:t>
                      </w:r>
                    </w:p>
                    <w:p w:rsidR="001D5DA6" w:rsidRDefault="00470559">
                      <w:pPr>
                        <w:rPr>
                          <w:sz w:val="22"/>
                          <w:szCs w:val="22"/>
                        </w:rPr>
                      </w:pPr>
                      <w:r>
                        <w:rPr>
                          <w:sz w:val="22"/>
                          <w:szCs w:val="22"/>
                        </w:rPr>
                        <w:t>a) projekto įgyvendinimo pradžioje projekto vykdytojo oficialioje interneto svetainėje, jei tokia yra, ir socialinės žiniasklaidos svetainėse paskelbta informacija – trumpas veiksmo, įskaitant jo tikslus ir rezultatus, aprašymas, proporcingas paramos dydžiui, bei informavimas apie iš ES gaunamą finansinę paramą;</w:t>
                      </w:r>
                    </w:p>
                    <w:p w:rsidR="001D5DA6" w:rsidRDefault="00470559">
                      <w:pPr>
                        <w:rPr>
                          <w:sz w:val="22"/>
                          <w:szCs w:val="22"/>
                        </w:rPr>
                      </w:pPr>
                      <w:r>
                        <w:rPr>
                          <w:sz w:val="22"/>
                          <w:szCs w:val="22"/>
                        </w:rPr>
                        <w:t xml:space="preserve">b) projekto įgyvendinimo pradžioje visuomenei gerai matomoje vietoje pakabintas bent vienas ne mažesnio nei A3 formato spausdintas skelbimas (plakatas) arba elektroniniame ekrane </w:t>
                      </w:r>
                      <w:r>
                        <w:rPr>
                          <w:sz w:val="22"/>
                          <w:szCs w:val="22"/>
                        </w:rPr>
                        <w:lastRenderedPageBreak/>
                        <w:t>paskelbtas lygiavertis pranešimas, kuriame turi būti pateikta informacija apie veiksmą, akcentuojant iš ES gaunamą finansinę paramą;</w:t>
                      </w:r>
                    </w:p>
                    <w:p w:rsidR="001D5DA6" w:rsidRDefault="00470559">
                      <w:pPr>
                        <w:rPr>
                          <w:i/>
                          <w:iCs/>
                          <w:sz w:val="20"/>
                        </w:rPr>
                      </w:pPr>
                      <w:r>
                        <w:rPr>
                          <w:sz w:val="22"/>
                          <w:szCs w:val="22"/>
                        </w:rPr>
                        <w:t>c) visuomenei arba dalyviams skirtuose dokumentuose ir komunikacijos medžiagoje, susijusioje su veiksmo įgyvendinimu, gerai matomai pateiktas pareiškimas, kuriame akcentuojama gaunama ES parama.</w:t>
                      </w:r>
                    </w:p>
                  </w:tc>
                </w:tr>
              </w:tbl>
              <w:p w:rsidR="001D5DA6" w:rsidRDefault="001D5DA6">
                <w:pPr>
                  <w:jc w:val="both"/>
                  <w:rPr>
                    <w:i/>
                    <w:iCs/>
                    <w:szCs w:val="24"/>
                  </w:rPr>
                </w:pPr>
              </w:p>
              <w:p w:rsidR="001D5DA6" w:rsidRDefault="001D5DA6">
                <w:pPr>
                  <w:jc w:val="both"/>
                  <w:rPr>
                    <w:i/>
                    <w:iCs/>
                    <w:sz w:val="22"/>
                    <w:szCs w:val="22"/>
                  </w:rPr>
                </w:pPr>
              </w:p>
            </w:tc>
          </w:tr>
        </w:tbl>
        <w:p w:rsidR="001D5DA6" w:rsidRDefault="001D5DA6">
          <w:pPr>
            <w:spacing w:line="276" w:lineRule="auto"/>
            <w:jc w:val="center"/>
            <w:rPr>
              <w:rFonts w:eastAsia="Calibri"/>
              <w:sz w:val="22"/>
              <w:szCs w:val="22"/>
            </w:rPr>
          </w:pPr>
        </w:p>
        <w:p w:rsidR="001D5DA6" w:rsidRDefault="001D5DA6">
          <w:pPr>
            <w:rPr>
              <w:sz w:val="18"/>
              <w:szCs w:val="18"/>
            </w:rPr>
          </w:pPr>
        </w:p>
        <w:sdt>
          <w:sdtPr>
            <w:alias w:val="pabaiga"/>
            <w:tag w:val="part_df704a2c63c742ecab6113c73f9b620f"/>
            <w:id w:val="-2088142740"/>
            <w:lock w:val="sdtLocked"/>
          </w:sdtPr>
          <w:sdtEndPr/>
          <w:sdtContent>
            <w:p w:rsidR="001D5DA6" w:rsidRDefault="00470559" w:rsidP="00470559">
              <w:pPr>
                <w:spacing w:line="276" w:lineRule="auto"/>
                <w:jc w:val="center"/>
              </w:pPr>
              <w:r>
                <w:rPr>
                  <w:rFonts w:eastAsia="Calibri"/>
                  <w:szCs w:val="24"/>
                </w:rPr>
                <w:t>________________</w:t>
              </w:r>
            </w:p>
          </w:sdtContent>
        </w:sdt>
        <w:bookmarkEnd w:id="0" w:displacedByCustomXml="next"/>
      </w:sdtContent>
    </w:sdt>
    <w:sdt>
      <w:sdtPr>
        <w:alias w:val="pr."/>
        <w:tag w:val="part_c71d6ba1ed9c4266bfc270fbbe53a218"/>
        <w:id w:val="1812822567"/>
        <w:lock w:val="sdtLocked"/>
      </w:sdtPr>
      <w:sdtEndPr/>
      <w:sdtContent>
        <w:p w:rsidR="00470559" w:rsidRDefault="00470559">
          <w:pPr>
            <w:ind w:left="9639"/>
            <w:jc w:val="both"/>
            <w:sectPr w:rsidR="00470559">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567" w:bottom="1134" w:left="1134" w:header="567" w:footer="567" w:gutter="0"/>
              <w:pgNumType w:start="1"/>
              <w:cols w:space="1296"/>
              <w:titlePg/>
              <w:docGrid w:linePitch="360"/>
            </w:sectPr>
          </w:pPr>
        </w:p>
        <w:p w:rsidR="001D5DA6" w:rsidRDefault="00470559">
          <w:pPr>
            <w:ind w:left="9639"/>
            <w:jc w:val="both"/>
            <w:rPr>
              <w:bCs/>
              <w:color w:val="000000"/>
              <w:shd w:val="clear" w:color="auto" w:fill="FFFFFF"/>
            </w:rPr>
          </w:pPr>
          <w:r>
            <w:rPr>
              <w:szCs w:val="24"/>
              <w:lang w:eastAsia="lt-LT"/>
            </w:rPr>
            <w:lastRenderedPageBreak/>
            <w:t>2 priedo</w:t>
          </w:r>
          <w:r>
            <w:rPr>
              <w:szCs w:val="24"/>
              <w:lang w:val="en-GB" w:eastAsia="lt-LT"/>
            </w:rPr>
            <w:t xml:space="preserve"> </w:t>
          </w:r>
          <w:r>
            <w:rPr>
              <w:szCs w:val="24"/>
              <w:lang w:eastAsia="lt-LT"/>
            </w:rPr>
            <w:t xml:space="preserve">„2021–2030 m. plėtros programos valdytojos Lietuvos Respublikos švietimo, mokslo ir sporto ministerijos švietimo plėtros programos pažangos priemonės </w:t>
          </w:r>
          <w:r>
            <w:rPr>
              <w:bCs/>
              <w:color w:val="000000"/>
              <w:shd w:val="clear" w:color="auto" w:fill="FFFFFF"/>
            </w:rPr>
            <w:t xml:space="preserve">Nr. 12-003-03-01-04 „Užtikrinti visiems prieinamą ankstyvąjį ugdymą“ projektų finansavimo sąlygų aprašo Nr. 2“ </w:t>
          </w:r>
        </w:p>
        <w:p w:rsidR="001D5DA6" w:rsidRDefault="00470559">
          <w:pPr>
            <w:ind w:left="9639"/>
            <w:jc w:val="both"/>
            <w:rPr>
              <w:i/>
              <w:iCs/>
              <w:szCs w:val="24"/>
            </w:rPr>
          </w:pPr>
          <w:r>
            <w:rPr>
              <w:bCs/>
              <w:color w:val="000000"/>
              <w:shd w:val="clear" w:color="auto" w:fill="FFFFFF"/>
            </w:rPr>
            <w:t>priedas</w:t>
          </w:r>
        </w:p>
        <w:p w:rsidR="001D5DA6" w:rsidRDefault="001D5DA6">
          <w:pPr>
            <w:jc w:val="center"/>
            <w:rPr>
              <w:rFonts w:eastAsia="Calibri"/>
              <w:b/>
              <w:bCs/>
              <w:szCs w:val="24"/>
            </w:rPr>
          </w:pPr>
        </w:p>
        <w:p w:rsidR="001D5DA6" w:rsidRDefault="001D5DA6">
          <w:pPr>
            <w:jc w:val="center"/>
            <w:rPr>
              <w:rFonts w:eastAsia="Calibri"/>
              <w:b/>
              <w:bCs/>
              <w:szCs w:val="24"/>
            </w:rPr>
          </w:pPr>
        </w:p>
        <w:p w:rsidR="001D5DA6" w:rsidRDefault="004F52BC">
          <w:pPr>
            <w:jc w:val="center"/>
            <w:rPr>
              <w:rFonts w:eastAsia="Calibri"/>
              <w:b/>
              <w:bCs/>
              <w:szCs w:val="24"/>
            </w:rPr>
          </w:pPr>
          <w:sdt>
            <w:sdtPr>
              <w:alias w:val="Pavadinimas"/>
              <w:tag w:val="title_c71d6ba1ed9c4266bfc270fbbe53a218"/>
              <w:id w:val="-550070299"/>
              <w:lock w:val="sdtLocked"/>
            </w:sdtPr>
            <w:sdtEndPr/>
            <w:sdtContent>
              <w:r w:rsidR="00470559">
                <w:rPr>
                  <w:rFonts w:eastAsia="Calibri"/>
                  <w:b/>
                  <w:bCs/>
                  <w:szCs w:val="24"/>
                </w:rPr>
                <w:t>PROJEKTO (ĮSKAITANT JUNGTINĮ PROJEKTĄ) ATITIKTIES REIKŠMINGOS ŽALOS NEDARYMO HORIZONTALIAJAM PRINCIPUI VERTINIMO REIKALAVIMŲ APRAŠAS</w:t>
              </w:r>
            </w:sdtContent>
          </w:sdt>
        </w:p>
        <w:p w:rsidR="001D5DA6" w:rsidRDefault="001D5DA6">
          <w:pPr>
            <w:jc w:val="center"/>
            <w:rPr>
              <w:rFonts w:eastAsia="Calibri"/>
              <w:b/>
              <w:bCs/>
              <w:szCs w:val="24"/>
            </w:rPr>
          </w:pPr>
        </w:p>
        <w:p w:rsidR="001D5DA6" w:rsidRDefault="00470559">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1D5DA6" w:rsidRDefault="00470559">
          <w:pPr>
            <w:spacing w:line="276" w:lineRule="auto"/>
            <w:jc w:val="both"/>
            <w:rPr>
              <w:rFonts w:eastAsia="Calibri"/>
              <w:bCs/>
              <w:szCs w:val="24"/>
            </w:rPr>
          </w:pPr>
          <w:r>
            <w:sym w:font="Wingdings 2" w:char="00A3"/>
          </w:r>
          <w:r>
            <w:t xml:space="preserve"> </w:t>
          </w:r>
          <w:r>
            <w:rPr>
              <w:rFonts w:eastAsia="Calibri"/>
              <w:bCs/>
              <w:szCs w:val="24"/>
            </w:rPr>
            <w:t>Ekonomikos gaivinimo ir atsparumo didinimo priemonė (toliau – EGADP)</w:t>
          </w:r>
        </w:p>
        <w:p w:rsidR="001D5DA6" w:rsidRDefault="00470559">
          <w:pPr>
            <w:spacing w:line="276" w:lineRule="auto"/>
            <w:jc w:val="both"/>
            <w:rPr>
              <w:rFonts w:eastAsia="Calibri"/>
              <w:bCs/>
              <w:szCs w:val="24"/>
            </w:rPr>
          </w:pPr>
          <w:r>
            <w:rPr>
              <w:rFonts w:ascii="MS Gothic" w:eastAsia="MS Gothic" w:hAnsi="MS Gothic"/>
            </w:rPr>
            <w:t>☒</w:t>
          </w:r>
          <w:r>
            <w:t xml:space="preserve"> Europos Sąjungos fondų i</w:t>
          </w:r>
          <w:r>
            <w:rPr>
              <w:rFonts w:eastAsia="Calibri"/>
              <w:bCs/>
              <w:szCs w:val="24"/>
            </w:rPr>
            <w:t>nvesticijų programa (toliau – ESIP)</w:t>
          </w:r>
        </w:p>
        <w:p w:rsidR="001D5DA6" w:rsidRDefault="001D5DA6">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8079"/>
            <w:gridCol w:w="3225"/>
          </w:tblGrid>
          <w:tr w:rsidR="001D5DA6">
            <w:tc>
              <w:tcPr>
                <w:tcW w:w="3545" w:type="dxa"/>
              </w:tcPr>
              <w:p w:rsidR="001D5DA6" w:rsidRDefault="00470559">
                <w:pPr>
                  <w:jc w:val="center"/>
                  <w:rPr>
                    <w:rFonts w:eastAsia="Calibri"/>
                    <w:b/>
                    <w:szCs w:val="24"/>
                  </w:rPr>
                </w:pPr>
                <w:r>
                  <w:rPr>
                    <w:rFonts w:eastAsia="Calibri"/>
                    <w:b/>
                    <w:szCs w:val="24"/>
                  </w:rPr>
                  <w:t>Aplinkos tikslai</w:t>
                </w:r>
              </w:p>
              <w:p w:rsidR="001D5DA6" w:rsidRDefault="001D5DA6">
                <w:pPr>
                  <w:jc w:val="both"/>
                  <w:rPr>
                    <w:rFonts w:eastAsia="Calibri"/>
                    <w:b/>
                    <w:szCs w:val="24"/>
                  </w:rPr>
                </w:pPr>
              </w:p>
            </w:tc>
            <w:tc>
              <w:tcPr>
                <w:tcW w:w="8079" w:type="dxa"/>
              </w:tcPr>
              <w:p w:rsidR="001D5DA6" w:rsidRDefault="00470559">
                <w:pPr>
                  <w:jc w:val="center"/>
                  <w:rPr>
                    <w:rFonts w:eastAsia="Calibri"/>
                    <w:b/>
                    <w:szCs w:val="24"/>
                  </w:rPr>
                </w:pPr>
                <w:r>
                  <w:rPr>
                    <w:rFonts w:eastAsia="Calibri"/>
                    <w:b/>
                    <w:szCs w:val="24"/>
                  </w:rPr>
                  <w:t>Pagrindimas</w:t>
                </w:r>
              </w:p>
              <w:p w:rsidR="001D5DA6" w:rsidRDefault="001D5DA6">
                <w:pPr>
                  <w:jc w:val="both"/>
                  <w:rPr>
                    <w:rFonts w:eastAsia="Calibri"/>
                    <w:b/>
                    <w:szCs w:val="24"/>
                  </w:rPr>
                </w:pPr>
              </w:p>
            </w:tc>
            <w:tc>
              <w:tcPr>
                <w:tcW w:w="3225" w:type="dxa"/>
              </w:tcPr>
              <w:p w:rsidR="001D5DA6" w:rsidRDefault="00470559">
                <w:pPr>
                  <w:jc w:val="center"/>
                  <w:rPr>
                    <w:rFonts w:eastAsia="Calibri"/>
                    <w:i/>
                    <w:sz w:val="20"/>
                  </w:rPr>
                </w:pPr>
                <w:r>
                  <w:rPr>
                    <w:rFonts w:eastAsia="Calibri"/>
                    <w:b/>
                    <w:szCs w:val="24"/>
                  </w:rPr>
                  <w:t>Pagrindimo dokumentai</w:t>
                </w:r>
              </w:p>
              <w:p w:rsidR="001D5DA6" w:rsidRDefault="001D5DA6">
                <w:pPr>
                  <w:jc w:val="both"/>
                  <w:rPr>
                    <w:rFonts w:eastAsia="Calibri"/>
                    <w:i/>
                    <w:szCs w:val="24"/>
                  </w:rPr>
                </w:pPr>
              </w:p>
            </w:tc>
          </w:tr>
          <w:tr w:rsidR="001D5DA6">
            <w:tc>
              <w:tcPr>
                <w:tcW w:w="3545" w:type="dxa"/>
              </w:tcPr>
              <w:p w:rsidR="001D5DA6" w:rsidRDefault="00470559">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8079" w:type="dxa"/>
              </w:tcPr>
              <w:p w:rsidR="001D5DA6" w:rsidRDefault="00470559">
                <w:pPr>
                  <w:jc w:val="both"/>
                  <w:rPr>
                    <w:rFonts w:eastAsia="Calibri"/>
                    <w:bCs/>
                    <w:i/>
                    <w:sz w:val="20"/>
                  </w:rPr>
                </w:pPr>
                <w:r>
                  <w:rPr>
                    <w:color w:val="000000"/>
                    <w:shd w:val="clear" w:color="auto" w:fill="FFFFFF"/>
                  </w:rPr>
                  <w:t>Bus investuojama į ikimokyklinio ir priešmokyklinio ugdymo užtikrinimą socialinę atskirtį, skurdą ar socialines rizikas, dėl kurių kyla grėsmė patirti socialinę atskirtį, patiriantiems vaikams (švietimo specialistai, papildomas ugdymas ir kt. veiklos) (Vaiko garantijų sistemos įgyvendinimas).</w:t>
                </w:r>
                <w:r>
                  <w:rPr>
                    <w:rFonts w:ascii="Calibri" w:hAnsi="Calibri" w:cs="Calibri"/>
                    <w:color w:val="000000"/>
                    <w:sz w:val="22"/>
                    <w:szCs w:val="22"/>
                    <w:shd w:val="clear" w:color="auto" w:fill="FFFFFF"/>
                  </w:rPr>
                  <w:t xml:space="preserve"> </w:t>
                </w:r>
                <w:r>
                  <w:rPr>
                    <w:i/>
                    <w:iCs/>
                    <w:color w:val="000000"/>
                    <w:shd w:val="clear" w:color="auto" w:fill="FFFFFF"/>
                  </w:rPr>
                  <w:t>Šie veiksmai (veiklos) (dėl savo pobūdžio) neturės jokio neigiamo tiesioginio ar netiesioginio poveikio klimato kaitos švelninimo tikslui, nes nenumatoma, kad įgyvendinant veiklas galėtų būti šiltnamio efektą sukeliančių dujų išsiskyrimas.</w:t>
                </w:r>
              </w:p>
            </w:tc>
            <w:tc>
              <w:tcPr>
                <w:tcW w:w="3225" w:type="dxa"/>
              </w:tcPr>
              <w:p w:rsidR="001D5DA6" w:rsidRDefault="00470559">
                <w:pPr>
                  <w:jc w:val="both"/>
                </w:pPr>
                <w:r>
                  <w:t>Netaikoma. Numatomos veiklos neturi neigiamo poveikio, todėl papildomi dokumentai neteikiami.</w:t>
                </w:r>
              </w:p>
            </w:tc>
          </w:tr>
          <w:tr w:rsidR="001D5DA6">
            <w:tc>
              <w:tcPr>
                <w:tcW w:w="3545" w:type="dxa"/>
              </w:tcPr>
              <w:p w:rsidR="001D5DA6" w:rsidRDefault="00470559">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8079" w:type="dxa"/>
              </w:tcPr>
              <w:p w:rsidR="001D5DA6" w:rsidRDefault="00470559">
                <w:pPr>
                  <w:jc w:val="both"/>
                  <w:rPr>
                    <w:color w:val="000000"/>
                    <w:shd w:val="clear" w:color="auto" w:fill="FFFFFF"/>
                  </w:rPr>
                </w:pPr>
                <w:r>
                  <w:rPr>
                    <w:color w:val="000000"/>
                    <w:shd w:val="clear" w:color="auto" w:fill="FFFFFF"/>
                  </w:rPr>
                  <w:t>Bus investuojama į ikimokyklinio ir priešmokyklinio ugdymo užtikrinimą socialinę atskirtį, skurdą ar socialines rizikas, dėl kurių kyla grėsmė patirti socialinę atskirtį, patiriantiems vaikams (švietimo specialistai, papildomas ugdymas ir kt. veiklos) (Vaiko garantijų sistemos įgyvendinimas).</w:t>
                </w:r>
                <w:r>
                  <w:rPr>
                    <w:rFonts w:ascii="Calibri" w:hAnsi="Calibri" w:cs="Calibri"/>
                    <w:color w:val="000000"/>
                    <w:sz w:val="22"/>
                    <w:szCs w:val="22"/>
                    <w:shd w:val="clear" w:color="auto" w:fill="FFFFFF"/>
                  </w:rPr>
                  <w:t xml:space="preserve"> </w:t>
                </w:r>
                <w:r>
                  <w:rPr>
                    <w:i/>
                    <w:iCs/>
                    <w:color w:val="000000"/>
                    <w:shd w:val="clear" w:color="auto" w:fill="FFFFFF"/>
                  </w:rPr>
                  <w:t xml:space="preserve">Šie veiksmai (veiklos) (dėl savo pobūdžio) neturės jokio neigiamo tiesioginio ar netiesioginio </w:t>
                </w:r>
                <w:r>
                  <w:rPr>
                    <w:i/>
                    <w:iCs/>
                    <w:color w:val="000000"/>
                    <w:shd w:val="clear" w:color="auto" w:fill="FFFFFF"/>
                  </w:rPr>
                  <w:lastRenderedPageBreak/>
                  <w:t>poveikio prisitaikymo prie klimato kaitos tikslui, nes neplanuojamos kurti jokios infrastruktūros potvynių zonoje.</w:t>
                </w:r>
              </w:p>
            </w:tc>
            <w:tc>
              <w:tcPr>
                <w:tcW w:w="3225" w:type="dxa"/>
              </w:tcPr>
              <w:p w:rsidR="001D5DA6" w:rsidRDefault="00470559">
                <w:pPr>
                  <w:jc w:val="both"/>
                </w:pPr>
                <w:r>
                  <w:lastRenderedPageBreak/>
                  <w:t>Netaikoma. Numatomos veiklos neturi neigiamo poveikio, todėl papildomi dokumentai neteikiami.</w:t>
                </w:r>
              </w:p>
            </w:tc>
          </w:tr>
          <w:tr w:rsidR="001D5DA6">
            <w:tc>
              <w:tcPr>
                <w:tcW w:w="3545" w:type="dxa"/>
              </w:tcPr>
              <w:p w:rsidR="001D5DA6" w:rsidRDefault="00470559">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8079" w:type="dxa"/>
              </w:tcPr>
              <w:p w:rsidR="001D5DA6" w:rsidRDefault="00470559">
                <w:pPr>
                  <w:jc w:val="both"/>
                  <w:rPr>
                    <w:color w:val="000000"/>
                    <w:shd w:val="clear" w:color="auto" w:fill="FFFFFF"/>
                  </w:rPr>
                </w:pPr>
                <w:r>
                  <w:rPr>
                    <w:color w:val="000000"/>
                    <w:shd w:val="clear" w:color="auto" w:fill="FFFFFF"/>
                  </w:rPr>
                  <w:t xml:space="preserve">Bus investuojama į ikimokyklinio ir priešmokyklinio ugdymo užtikrinimą socialinę atskirtį, skurdą ar socialines rizikas, dėl kurių kyla grėsmė patirti socialinę atskirtį, patiriantiems vaikams (švietimo specialistai, papildomas ugdymas ir kt. veiklos) (Vaiko garantijų sistemos įgyvendinimas). </w:t>
                </w:r>
                <w:r>
                  <w:rPr>
                    <w:i/>
                    <w:iCs/>
                    <w:color w:val="000000"/>
                    <w:shd w:val="clear" w:color="auto" w:fill="FFFFFF"/>
                  </w:rPr>
                  <w:t>Šie veiksmai (veiklos) (dėl savo pobūdžio) neturės jokio neigiamo tiesioginio ir netiesioginio poveikio šiam aplinkos tikslui.</w:t>
                </w:r>
              </w:p>
            </w:tc>
            <w:tc>
              <w:tcPr>
                <w:tcW w:w="3225" w:type="dxa"/>
              </w:tcPr>
              <w:p w:rsidR="001D5DA6" w:rsidRDefault="00470559">
                <w:pPr>
                  <w:jc w:val="both"/>
                </w:pPr>
                <w:r>
                  <w:t>Netaikoma. Numatomos veiklos neturi neigiamo poveikio, todėl papildomi dokumentai neteikiami.</w:t>
                </w:r>
              </w:p>
            </w:tc>
          </w:tr>
          <w:tr w:rsidR="001D5DA6">
            <w:tc>
              <w:tcPr>
                <w:tcW w:w="3545" w:type="dxa"/>
              </w:tcPr>
              <w:p w:rsidR="001D5DA6" w:rsidRDefault="00470559">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8079" w:type="dxa"/>
              </w:tcPr>
              <w:p w:rsidR="001D5DA6" w:rsidRDefault="00470559">
                <w:pPr>
                  <w:jc w:val="both"/>
                  <w:rPr>
                    <w:color w:val="000000"/>
                    <w:shd w:val="clear" w:color="auto" w:fill="FFFFFF"/>
                  </w:rPr>
                </w:pPr>
                <w:r>
                  <w:rPr>
                    <w:color w:val="000000"/>
                    <w:shd w:val="clear" w:color="auto" w:fill="FFFFFF"/>
                  </w:rPr>
                  <w:t>Bus investuojama į ikimokyklinio ir priešmokyklinio ugdymo užtikrinimą socialinę atskirtį, skurdą ar socialines rizikas, dėl kurių kyla grėsmė patirti socialinę atskirtį, patiriantiems vaikams (švietimo specialistai, papildomas ugdymas ir kt. veiklos) (Vaiko garantijų sistemos įgyvendinimas).</w:t>
                </w:r>
                <w:r>
                  <w:rPr>
                    <w:rFonts w:ascii="Calibri" w:hAnsi="Calibri" w:cs="Calibri"/>
                    <w:color w:val="000000"/>
                    <w:sz w:val="22"/>
                    <w:szCs w:val="22"/>
                    <w:shd w:val="clear" w:color="auto" w:fill="FFFFFF"/>
                  </w:rPr>
                  <w:t xml:space="preserve"> </w:t>
                </w:r>
                <w:r>
                  <w:rPr>
                    <w:i/>
                    <w:iCs/>
                    <w:color w:val="000000"/>
                    <w:shd w:val="clear" w:color="auto" w:fill="FFFFFF"/>
                  </w:rPr>
                  <w:t>Šie veiksmai (veiklos) (dėl savo pobūdžio) neturės jokio neigiamo tiesioginio ir netiesioginio poveikio šiam aplinkos tikslui.</w:t>
                </w:r>
              </w:p>
            </w:tc>
            <w:tc>
              <w:tcPr>
                <w:tcW w:w="3225" w:type="dxa"/>
              </w:tcPr>
              <w:p w:rsidR="001D5DA6" w:rsidRDefault="00470559">
                <w:pPr>
                  <w:jc w:val="both"/>
                </w:pPr>
                <w:r>
                  <w:t>Netaikoma. Numatomos veiklos neturi neigiamo poveikio, todėl papildomi dokumentai neteikiami.</w:t>
                </w:r>
              </w:p>
            </w:tc>
          </w:tr>
          <w:tr w:rsidR="001D5DA6">
            <w:tc>
              <w:tcPr>
                <w:tcW w:w="3545" w:type="dxa"/>
              </w:tcPr>
              <w:p w:rsidR="001D5DA6" w:rsidRDefault="00470559">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8079" w:type="dxa"/>
              </w:tcPr>
              <w:p w:rsidR="001D5DA6" w:rsidRDefault="00470559">
                <w:pPr>
                  <w:jc w:val="both"/>
                  <w:rPr>
                    <w:color w:val="000000"/>
                    <w:shd w:val="clear" w:color="auto" w:fill="FFFFFF"/>
                  </w:rPr>
                </w:pPr>
                <w:r>
                  <w:rPr>
                    <w:color w:val="000000"/>
                    <w:shd w:val="clear" w:color="auto" w:fill="FFFFFF"/>
                  </w:rPr>
                  <w:t xml:space="preserve">Bus investuojama į ikimokyklinio ir priešmokyklinio ugdymo užtikrinimą socialinę atskirtį, skurdą ar socialines rizikas, dėl kurių kyla grėsmė patirti socialinę atskirtį, patiriantiems vaikams (švietimo specialistai, papildomas ugdymas ir kt. veiklos) (Vaiko garantijų sistemos įgyvendinimas). </w:t>
                </w:r>
                <w:r>
                  <w:rPr>
                    <w:i/>
                    <w:iCs/>
                    <w:color w:val="000000"/>
                    <w:shd w:val="clear" w:color="auto" w:fill="FFFFFF"/>
                  </w:rPr>
                  <w:t>Šie veiksmai (veiklos) (dėl savo pobūdžio) neturės jokio neigiamo tiesioginio ir netiesioginio poveikio šiam aplinkos tikslui.</w:t>
                </w:r>
              </w:p>
            </w:tc>
            <w:tc>
              <w:tcPr>
                <w:tcW w:w="3225" w:type="dxa"/>
              </w:tcPr>
              <w:p w:rsidR="001D5DA6" w:rsidRDefault="00470559">
                <w:pPr>
                  <w:jc w:val="both"/>
                </w:pPr>
                <w:r>
                  <w:t>Netaikoma. Numatomos veiklos neturi neigiamo poveikio, todėl papildomi dokumentai neteikiami.</w:t>
                </w:r>
              </w:p>
            </w:tc>
          </w:tr>
          <w:tr w:rsidR="001D5DA6">
            <w:tc>
              <w:tcPr>
                <w:tcW w:w="3545" w:type="dxa"/>
              </w:tcPr>
              <w:p w:rsidR="001D5DA6" w:rsidRDefault="00470559">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8079" w:type="dxa"/>
              </w:tcPr>
              <w:p w:rsidR="001D5DA6" w:rsidRDefault="00470559">
                <w:pPr>
                  <w:jc w:val="both"/>
                  <w:rPr>
                    <w:color w:val="000000"/>
                    <w:shd w:val="clear" w:color="auto" w:fill="FFFFFF"/>
                  </w:rPr>
                </w:pPr>
                <w:r>
                  <w:rPr>
                    <w:color w:val="000000"/>
                    <w:shd w:val="clear" w:color="auto" w:fill="FFFFFF"/>
                  </w:rPr>
                  <w:t xml:space="preserve">Bus investuojama į ikimokyklinio ir priešmokyklinio ugdymo užtikrinimą socialinę atskirtį, skurdą ar socialines rizikas, dėl kurių kyla grėsmė patirti socialinę atskirtį, patiriantiems vaikams (švietimo specialistai, papildomas ugdymas ir kt. veiklos) (Vaiko garantijų sistemos įgyvendinimas). </w:t>
                </w:r>
                <w:r>
                  <w:rPr>
                    <w:i/>
                    <w:color w:val="000000"/>
                    <w:shd w:val="clear" w:color="auto" w:fill="FFFFFF"/>
                  </w:rPr>
                  <w:t>Šie veiksmai (veiklos) (dėl savo pobūdžio) neturės jokio neigiamo tiesioginio ir netiesioginio poveikio šiam aplinkos tikslui.</w:t>
                </w:r>
              </w:p>
            </w:tc>
            <w:tc>
              <w:tcPr>
                <w:tcW w:w="3225" w:type="dxa"/>
              </w:tcPr>
              <w:p w:rsidR="001D5DA6" w:rsidRDefault="00470559">
                <w:pPr>
                  <w:jc w:val="both"/>
                </w:pPr>
                <w:r>
                  <w:t>Netaikoma. Numatomos veiklos neturi neigiamo poveikio, todėl papildomi dokumentai neteikiami.</w:t>
                </w:r>
              </w:p>
            </w:tc>
          </w:tr>
        </w:tbl>
        <w:p w:rsidR="001D5DA6" w:rsidRDefault="001D5DA6"/>
        <w:sdt>
          <w:sdtPr>
            <w:alias w:val="pabaiga"/>
            <w:tag w:val="part_25459e53fc5b475587907f327cc1f9cf"/>
            <w:id w:val="2049574119"/>
            <w:lock w:val="sdtLocked"/>
          </w:sdtPr>
          <w:sdtEndPr/>
          <w:sdtContent>
            <w:p w:rsidR="001D5DA6" w:rsidRDefault="00470559">
              <w:pPr>
                <w:spacing w:line="276" w:lineRule="auto"/>
                <w:jc w:val="center"/>
                <w:rPr>
                  <w:sz w:val="22"/>
                  <w:szCs w:val="22"/>
                  <w:u w:val="single"/>
                </w:rPr>
              </w:pPr>
              <w:r>
                <w:rPr>
                  <w:rFonts w:ascii="Calibri" w:eastAsia="Calibri" w:hAnsi="Calibri"/>
                  <w:sz w:val="22"/>
                  <w:szCs w:val="22"/>
                  <w:u w:val="single"/>
                </w:rPr>
                <w:t>________________</w:t>
              </w:r>
            </w:p>
          </w:sdtContent>
        </w:sdt>
      </w:sdtContent>
    </w:sdt>
    <w:sectPr w:rsidR="001D5DA6">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D5DA6" w:rsidRDefault="00470559">
      <w:pPr>
        <w:rPr>
          <w:sz w:val="22"/>
          <w:szCs w:val="22"/>
        </w:rPr>
      </w:pPr>
      <w:r>
        <w:rPr>
          <w:sz w:val="22"/>
          <w:szCs w:val="22"/>
        </w:rPr>
        <w:separator/>
      </w:r>
    </w:p>
  </w:endnote>
  <w:endnote w:type="continuationSeparator" w:id="0">
    <w:p w:rsidR="001D5DA6" w:rsidRDefault="00470559">
      <w:pPr>
        <w:rPr>
          <w:sz w:val="22"/>
          <w:szCs w:val="22"/>
        </w:rPr>
      </w:pPr>
      <w:r>
        <w:rPr>
          <w:sz w:val="22"/>
          <w:szCs w:val="22"/>
        </w:rPr>
        <w:continuationSeparator/>
      </w:r>
    </w:p>
  </w:endnote>
  <w:endnote w:type="continuationNotice" w:id="1">
    <w:p w:rsidR="001D5DA6" w:rsidRDefault="001D5DA6">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5DA6" w:rsidRDefault="001D5DA6">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5DA6" w:rsidRDefault="001D5DA6">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5DA6" w:rsidRDefault="001D5DA6">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D5DA6" w:rsidRDefault="00470559">
      <w:pPr>
        <w:rPr>
          <w:sz w:val="22"/>
          <w:szCs w:val="22"/>
        </w:rPr>
      </w:pPr>
      <w:r>
        <w:rPr>
          <w:sz w:val="22"/>
          <w:szCs w:val="22"/>
        </w:rPr>
        <w:separator/>
      </w:r>
    </w:p>
  </w:footnote>
  <w:footnote w:type="continuationSeparator" w:id="0">
    <w:p w:rsidR="001D5DA6" w:rsidRDefault="00470559">
      <w:pPr>
        <w:rPr>
          <w:sz w:val="22"/>
          <w:szCs w:val="22"/>
        </w:rPr>
      </w:pPr>
      <w:r>
        <w:rPr>
          <w:sz w:val="22"/>
          <w:szCs w:val="22"/>
        </w:rPr>
        <w:continuationSeparator/>
      </w:r>
    </w:p>
  </w:footnote>
  <w:footnote w:type="continuationNotice" w:id="1">
    <w:p w:rsidR="001D5DA6" w:rsidRDefault="001D5DA6">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5DA6" w:rsidRDefault="001D5DA6">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5DA6" w:rsidRDefault="00470559">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4F52BC">
      <w:rPr>
        <w:noProof/>
        <w:szCs w:val="22"/>
      </w:rPr>
      <w:t>2</w:t>
    </w:r>
    <w:r>
      <w:rPr>
        <w:szCs w:val="22"/>
      </w:rPr>
      <w:fldChar w:fldCharType="end"/>
    </w:r>
  </w:p>
  <w:p w:rsidR="001D5DA6" w:rsidRDefault="001D5DA6">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5DA6" w:rsidRDefault="001D5DA6">
    <w:pPr>
      <w:tabs>
        <w:tab w:val="center" w:pos="4680"/>
        <w:tab w:val="right" w:pos="9360"/>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1D5DA6"/>
    <w:rsid w:val="00470559"/>
    <w:rsid w:val="004F52BC"/>
    <w:rsid w:val="00A361B0"/>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5:docId w15:val="{8CC51164-6ADA-4548-916A-4EB1BF8F1D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2413555">
      <w:bodyDiv w:val="1"/>
      <w:marLeft w:val="0"/>
      <w:marRight w:val="0"/>
      <w:marTop w:val="0"/>
      <w:marBottom w:val="0"/>
      <w:divBdr>
        <w:top w:val="none" w:sz="0" w:space="0" w:color="auto"/>
        <w:left w:val="none" w:sz="0" w:space="0" w:color="auto"/>
        <w:bottom w:val="none" w:sz="0" w:space="0" w:color="auto"/>
        <w:right w:val="none" w:sz="0" w:space="0" w:color="auto"/>
      </w:divBdr>
    </w:div>
    <w:div w:id="258224543">
      <w:bodyDiv w:val="1"/>
      <w:marLeft w:val="0"/>
      <w:marRight w:val="0"/>
      <w:marTop w:val="0"/>
      <w:marBottom w:val="0"/>
      <w:divBdr>
        <w:top w:val="none" w:sz="0" w:space="0" w:color="auto"/>
        <w:left w:val="none" w:sz="0" w:space="0" w:color="auto"/>
        <w:bottom w:val="none" w:sz="0" w:space="0" w:color="auto"/>
        <w:right w:val="none" w:sz="0" w:space="0" w:color="auto"/>
      </w:divBdr>
    </w:div>
    <w:div w:id="383795350">
      <w:bodyDiv w:val="1"/>
      <w:marLeft w:val="0"/>
      <w:marRight w:val="0"/>
      <w:marTop w:val="0"/>
      <w:marBottom w:val="0"/>
      <w:divBdr>
        <w:top w:val="none" w:sz="0" w:space="0" w:color="auto"/>
        <w:left w:val="none" w:sz="0" w:space="0" w:color="auto"/>
        <w:bottom w:val="none" w:sz="0" w:space="0" w:color="auto"/>
        <w:right w:val="none" w:sz="0" w:space="0" w:color="auto"/>
      </w:divBdr>
    </w:div>
    <w:div w:id="522137628">
      <w:bodyDiv w:val="1"/>
      <w:marLeft w:val="0"/>
      <w:marRight w:val="0"/>
      <w:marTop w:val="0"/>
      <w:marBottom w:val="0"/>
      <w:divBdr>
        <w:top w:val="none" w:sz="0" w:space="0" w:color="auto"/>
        <w:left w:val="none" w:sz="0" w:space="0" w:color="auto"/>
        <w:bottom w:val="none" w:sz="0" w:space="0" w:color="auto"/>
        <w:right w:val="none" w:sz="0" w:space="0" w:color="auto"/>
      </w:divBdr>
    </w:div>
    <w:div w:id="534388596">
      <w:bodyDiv w:val="1"/>
      <w:marLeft w:val="0"/>
      <w:marRight w:val="0"/>
      <w:marTop w:val="0"/>
      <w:marBottom w:val="0"/>
      <w:divBdr>
        <w:top w:val="none" w:sz="0" w:space="0" w:color="auto"/>
        <w:left w:val="none" w:sz="0" w:space="0" w:color="auto"/>
        <w:bottom w:val="none" w:sz="0" w:space="0" w:color="auto"/>
        <w:right w:val="none" w:sz="0" w:space="0" w:color="auto"/>
      </w:divBdr>
    </w:div>
    <w:div w:id="539633784">
      <w:bodyDiv w:val="1"/>
      <w:marLeft w:val="0"/>
      <w:marRight w:val="0"/>
      <w:marTop w:val="0"/>
      <w:marBottom w:val="0"/>
      <w:divBdr>
        <w:top w:val="none" w:sz="0" w:space="0" w:color="auto"/>
        <w:left w:val="none" w:sz="0" w:space="0" w:color="auto"/>
        <w:bottom w:val="none" w:sz="0" w:space="0" w:color="auto"/>
        <w:right w:val="none" w:sz="0" w:space="0" w:color="auto"/>
      </w:divBdr>
    </w:div>
    <w:div w:id="703946987">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32931751">
      <w:bodyDiv w:val="1"/>
      <w:marLeft w:val="0"/>
      <w:marRight w:val="0"/>
      <w:marTop w:val="0"/>
      <w:marBottom w:val="0"/>
      <w:divBdr>
        <w:top w:val="none" w:sz="0" w:space="0" w:color="auto"/>
        <w:left w:val="none" w:sz="0" w:space="0" w:color="auto"/>
        <w:bottom w:val="none" w:sz="0" w:space="0" w:color="auto"/>
        <w:right w:val="none" w:sz="0" w:space="0" w:color="auto"/>
      </w:divBdr>
    </w:div>
    <w:div w:id="1081558590">
      <w:bodyDiv w:val="1"/>
      <w:marLeft w:val="0"/>
      <w:marRight w:val="0"/>
      <w:marTop w:val="0"/>
      <w:marBottom w:val="0"/>
      <w:divBdr>
        <w:top w:val="none" w:sz="0" w:space="0" w:color="auto"/>
        <w:left w:val="none" w:sz="0" w:space="0" w:color="auto"/>
        <w:bottom w:val="none" w:sz="0" w:space="0" w:color="auto"/>
        <w:right w:val="none" w:sz="0" w:space="0" w:color="auto"/>
      </w:divBdr>
    </w:div>
    <w:div w:id="1297023866">
      <w:bodyDiv w:val="1"/>
      <w:marLeft w:val="0"/>
      <w:marRight w:val="0"/>
      <w:marTop w:val="0"/>
      <w:marBottom w:val="0"/>
      <w:divBdr>
        <w:top w:val="none" w:sz="0" w:space="0" w:color="auto"/>
        <w:left w:val="none" w:sz="0" w:space="0" w:color="auto"/>
        <w:bottom w:val="none" w:sz="0" w:space="0" w:color="auto"/>
        <w:right w:val="none" w:sz="0" w:space="0" w:color="auto"/>
      </w:divBdr>
    </w:div>
    <w:div w:id="1435980495">
      <w:bodyDiv w:val="1"/>
      <w:marLeft w:val="0"/>
      <w:marRight w:val="0"/>
      <w:marTop w:val="0"/>
      <w:marBottom w:val="0"/>
      <w:divBdr>
        <w:top w:val="none" w:sz="0" w:space="0" w:color="auto"/>
        <w:left w:val="none" w:sz="0" w:space="0" w:color="auto"/>
        <w:bottom w:val="none" w:sz="0" w:space="0" w:color="auto"/>
        <w:right w:val="none" w:sz="0" w:space="0" w:color="auto"/>
      </w:divBdr>
    </w:div>
    <w:div w:id="1476223120">
      <w:bodyDiv w:val="1"/>
      <w:marLeft w:val="0"/>
      <w:marRight w:val="0"/>
      <w:marTop w:val="0"/>
      <w:marBottom w:val="0"/>
      <w:divBdr>
        <w:top w:val="none" w:sz="0" w:space="0" w:color="auto"/>
        <w:left w:val="none" w:sz="0" w:space="0" w:color="auto"/>
        <w:bottom w:val="none" w:sz="0" w:space="0" w:color="auto"/>
        <w:right w:val="none" w:sz="0" w:space="0" w:color="auto"/>
      </w:divBdr>
    </w:div>
    <w:div w:id="1571765379">
      <w:bodyDiv w:val="1"/>
      <w:marLeft w:val="0"/>
      <w:marRight w:val="0"/>
      <w:marTop w:val="0"/>
      <w:marBottom w:val="0"/>
      <w:divBdr>
        <w:top w:val="none" w:sz="0" w:space="0" w:color="auto"/>
        <w:left w:val="none" w:sz="0" w:space="0" w:color="auto"/>
        <w:bottom w:val="none" w:sz="0" w:space="0" w:color="auto"/>
        <w:right w:val="none" w:sz="0" w:space="0" w:color="auto"/>
      </w:divBdr>
    </w:div>
    <w:div w:id="1789087173">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13018309">
      <w:bodyDiv w:val="1"/>
      <w:marLeft w:val="0"/>
      <w:marRight w:val="0"/>
      <w:marTop w:val="0"/>
      <w:marBottom w:val="0"/>
      <w:divBdr>
        <w:top w:val="none" w:sz="0" w:space="0" w:color="auto"/>
        <w:left w:val="none" w:sz="0" w:space="0" w:color="auto"/>
        <w:bottom w:val="none" w:sz="0" w:space="0" w:color="auto"/>
        <w:right w:val="none" w:sz="0" w:space="0" w:color="auto"/>
      </w:divBdr>
    </w:div>
    <w:div w:id="1817719013">
      <w:bodyDiv w:val="1"/>
      <w:marLeft w:val="0"/>
      <w:marRight w:val="0"/>
      <w:marTop w:val="0"/>
      <w:marBottom w:val="0"/>
      <w:divBdr>
        <w:top w:val="none" w:sz="0" w:space="0" w:color="auto"/>
        <w:left w:val="none" w:sz="0" w:space="0" w:color="auto"/>
        <w:bottom w:val="none" w:sz="0" w:space="0" w:color="auto"/>
        <w:right w:val="none" w:sz="0" w:space="0" w:color="auto"/>
      </w:divBdr>
    </w:div>
    <w:div w:id="1825509052">
      <w:bodyDiv w:val="1"/>
      <w:marLeft w:val="0"/>
      <w:marRight w:val="0"/>
      <w:marTop w:val="0"/>
      <w:marBottom w:val="0"/>
      <w:divBdr>
        <w:top w:val="none" w:sz="0" w:space="0" w:color="auto"/>
        <w:left w:val="none" w:sz="0" w:space="0" w:color="auto"/>
        <w:bottom w:val="none" w:sz="0" w:space="0" w:color="auto"/>
        <w:right w:val="none" w:sz="0" w:space="0" w:color="auto"/>
      </w:divBdr>
    </w:div>
    <w:div w:id="2057587154">
      <w:bodyDiv w:val="1"/>
      <w:marLeft w:val="0"/>
      <w:marRight w:val="0"/>
      <w:marTop w:val="0"/>
      <w:marBottom w:val="0"/>
      <w:divBdr>
        <w:top w:val="none" w:sz="0" w:space="0" w:color="auto"/>
        <w:left w:val="none" w:sz="0" w:space="0" w:color="auto"/>
        <w:bottom w:val="none" w:sz="0" w:space="0" w:color="auto"/>
        <w:right w:val="none" w:sz="0" w:space="0" w:color="auto"/>
      </w:divBdr>
    </w:div>
    <w:div w:id="2085756256">
      <w:bodyDiv w:val="1"/>
      <w:marLeft w:val="0"/>
      <w:marRight w:val="0"/>
      <w:marTop w:val="0"/>
      <w:marBottom w:val="0"/>
      <w:divBdr>
        <w:top w:val="none" w:sz="0" w:space="0" w:color="auto"/>
        <w:left w:val="none" w:sz="0" w:space="0" w:color="auto"/>
        <w:bottom w:val="none" w:sz="0" w:space="0" w:color="auto"/>
        <w:right w:val="none" w:sz="0" w:space="0" w:color="auto"/>
      </w:divBdr>
    </w:div>
    <w:div w:id="21419221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4.xml><?xml version="1.0" encoding="utf-8"?>
<Parts xmlns="http://lrs.lt/TAIS/DocParts">
  <Part Type="priedas" Nr="2" Abbr="2 pr." Title="2021–2030 M. PLĖTROS PROGRAMOS VALDYTOJOS LIETUVOS RESPUBLIKOS ŠVIETIMO, MOKSLO IR SPORTO MINISTERIJOS ŠVIETIMO PLĖTROS PROGRAMOS PAŽANGOS PRIEMONĖS NR. 12-003-03-01-04 „UŽTIKRINTI VISIEMS PRIEINAMĄ ANKSTYVĄJĮ UGDYMĄ“ PROJEKTŲ FINANSAVIMO SĄLYGŲ APRAŠAS NR. 2" DocPartId="18d9a2f1a15f4e48a1383a815d563290" PartId="13447a4623064e50a497414471a10be0">
    <Part Type="pabaiga" DocPartId="6917049a3e5a4a80b83eb22d75822570" PartId="df704a2c63c742ecab6113c73f9b620f"/>
  </Part>
  <Part Type="priedas" Abbr="pr." Title="PROJEKTO (ĮSKAITANT JUNGTINĮ PROJEKTĄ) ATITIKTIES REIKŠMINGOS ŽALOS NEDARYMO HORIZONTALIAJAM PRINCIPUI VERTINIMO REIKALAVIMŲ APRAŠAS" DocPartId="44d06f27aa7c456cbd6f729f345d3909" PartId="c71d6ba1ed9c4266bfc270fbbe53a218">
    <Part Type="pabaiga" DocPartId="19f65b073c4b4520b328c2487ce281a1" PartId="25459e53fc5b475587907f327cc1f9cf"/>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customXml/itemProps4.xml><?xml version="1.0" encoding="utf-8"?>
<ds:datastoreItem xmlns:ds="http://schemas.openxmlformats.org/officeDocument/2006/customXml" ds:itemID="{5DF8D4D9-A5C0-4CF2-86F0-41500B303DEE}">
  <ds:schemaRefs>
    <ds:schemaRef ds:uri="http://lrs.lt/TAIS/DocParts"/>
  </ds:schemaRefs>
</ds:datastoreItem>
</file>

<file path=customXml/itemProps5.xml><?xml version="1.0" encoding="utf-8"?>
<ds:datastoreItem xmlns:ds="http://schemas.openxmlformats.org/officeDocument/2006/customXml" ds:itemID="{2643D592-1823-49D1-A166-1C40B2D8C139}">
  <ds:schemaRefs>
    <ds:schemaRef ds:uri="http://schemas.openxmlformats.org/officeDocument/2006/bibliography"/>
  </ds:schemaRefs>
</ds:datastoreItem>
</file>

<file path=customXml/itemProps6.xml><?xml version="1.0" encoding="utf-8"?>
<ds:datastoreItem xmlns:ds="http://schemas.openxmlformats.org/officeDocument/2006/customXml" ds:itemID="{1387B023-00D9-4C51-A58F-928AE177CE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15</Pages>
  <Words>20540</Words>
  <Characters>11708</Characters>
  <Application>Microsoft Office Word</Application>
  <DocSecurity>0</DocSecurity>
  <Lines>97</Lines>
  <Paragraphs>64</Paragraphs>
  <ScaleCrop>false</ScaleCrop>
  <HeadingPairs>
    <vt:vector size="2" baseType="variant">
      <vt:variant>
        <vt:lpstr>Pavadinimas</vt:lpstr>
      </vt:variant>
      <vt:variant>
        <vt:i4>1</vt:i4>
      </vt:variant>
    </vt:vector>
  </HeadingPairs>
  <TitlesOfParts>
    <vt:vector size="1" baseType="lpstr">
      <vt:lpstr/>
    </vt:vector>
  </TitlesOfParts>
  <Company>HP Inc.</Company>
  <LinksUpToDate>false</LinksUpToDate>
  <CharactersWithSpaces>32184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Virginija Levinskienė</dc:creator>
  <cp:lastModifiedBy>DZIKAITĖ Jolanta</cp:lastModifiedBy>
  <cp:revision>4</cp:revision>
  <dcterms:created xsi:type="dcterms:W3CDTF">2023-08-31T10:54:00Z</dcterms:created>
  <dcterms:modified xsi:type="dcterms:W3CDTF">2023-08-31T12:45:00Z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