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7 pr."/>
        <w:tag w:val="part_d8869617fe534beeb33adc60cb8181a0"/>
        <w:lock w:val="sdtLocked"/>
        <w:richText/>
      </w:sdtPr>
      <w:sdtContent>
        <w:p w14:paraId="3603121E" w14:textId="77777777">
          <w:pPr>
            <w:tabs>
              <w:tab w:val="center" w:pos="4819"/>
              <w:tab w:val="right" w:pos="9638"/>
            </w:tabs>
          </w:pPr>
        </w:p>
        <w:p w14:paraId="6889E6B9" w14:textId="436995F1">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72013658" w14:textId="7908DA6E">
          <w:pPr>
            <w:ind w:left="10328" w:firstLine="729"/>
            <w:jc w:val="both"/>
            <w:rPr>
              <w:szCs w:val="24"/>
            </w:rPr>
          </w:pPr>
          <w:sdt>
            <w:sdtPr>
              <w:alias w:val="Numeris"/>
              <w:tag w:val="nr_d8869617fe534beeb33adc60cb8181a0"/>
              <w:lock w:val="sdtLocked"/>
              <w:richText/>
            </w:sdtPr>
            <w:sdtContent>
              <w:r>
                <w:rPr>
                  <w:color w:val="000000"/>
                  <w:szCs w:val="24"/>
                </w:rPr>
                <w:t>17</w:t>
              </w:r>
            </w:sdtContent>
          </w:sdt>
          <w:r>
            <w:rPr>
              <w:color w:val="FF0000"/>
              <w:szCs w:val="24"/>
            </w:rPr>
            <w:t xml:space="preserve"> </w:t>
          </w:r>
          <w:r>
            <w:rPr>
              <w:szCs w:val="24"/>
            </w:rPr>
            <w:t>priedas</w:t>
          </w:r>
        </w:p>
        <w:p w14:paraId="338EBB84" w14:textId="77777777">
          <w:pPr>
            <w:jc w:val="center"/>
            <w:rPr>
              <w:iCs/>
              <w:szCs w:val="24"/>
            </w:rPr>
          </w:pPr>
        </w:p>
        <w:p w14:paraId="05BC8003" w14:textId="3A7C5C46">
          <w:pPr>
            <w:jc w:val="center"/>
            <w:rPr>
              <w:iCs/>
              <w:szCs w:val="24"/>
            </w:rPr>
          </w:pPr>
          <w:sdt>
            <w:sdtPr>
              <w:alias w:val="Pavadinimas"/>
              <w:tag w:val="title_d8869617fe534beeb33adc60cb8181a0"/>
              <w:lock w:val="sdtLocked"/>
              <w:richText/>
            </w:sdtPr>
            <w:sdtContent>
              <w:r>
                <w:rPr>
                  <w:b/>
                  <w:bCs/>
                  <w:szCs w:val="24"/>
                </w:rPr>
                <w:t>2022–2030 METŲ SVEIKATOS PRIEŽIŪROS KOKYBĖS IR EFEKTYVUMO DIDINIMO PLĖTROS PROGRAMOS PAŽANGOS PRIEMONĖS NR. 11-002-02-11-01 „GERINTI SVEIKATOS PRIEŽIŪROS PASLAUGŲ KOKYBĘ IR PRIEINAMUMĄ“ PROJEKTŲ FINANSAVIMO SĄLYGŲ APRAŠAS NR. 17</w:t>
              </w:r>
            </w:sdtContent>
          </w:sdt>
        </w:p>
        <w:p w14:paraId="2B87AA63" w14:textId="77777777">
          <w:pPr>
            <w:jc w:val="center"/>
            <w:rPr>
              <w:iCs/>
              <w:szCs w:val="24"/>
            </w:rPr>
          </w:pPr>
        </w:p>
        <w:p w14:paraId="093318F6" w14:textId="77777777">
          <w:pPr>
            <w:jc w:val="center"/>
            <w:rPr>
              <w:iCs/>
              <w:szCs w:val="24"/>
            </w:rPr>
          </w:pPr>
        </w:p>
        <w:tbl>
          <w:tblPr>
            <w:tblW w:w="147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103"/>
            <w:gridCol w:w="993"/>
            <w:gridCol w:w="992"/>
            <w:gridCol w:w="1417"/>
            <w:gridCol w:w="1418"/>
            <w:gridCol w:w="1134"/>
            <w:gridCol w:w="1134"/>
            <w:gridCol w:w="881"/>
            <w:gridCol w:w="1165"/>
            <w:gridCol w:w="851"/>
            <w:gridCol w:w="1102"/>
            <w:gridCol w:w="7"/>
          </w:tblGrid>
          <w:tr w14:paraId="50A4B738" w14:textId="77777777">
            <w:tc>
              <w:tcPr>
                <w:tcW w:w="14744" w:type="dxa"/>
                <w:gridSpan w:val="14"/>
                <w:vAlign w:val="center"/>
              </w:tcPr>
              <w:p w14:paraId="25D0A708" w14:textId="77777777">
                <w:pPr>
                  <w:jc w:val="center"/>
                  <w:rPr>
                    <w:b/>
                    <w:sz w:val="22"/>
                    <w:szCs w:val="22"/>
                  </w:rPr>
                </w:pPr>
                <w:r>
                  <w:rPr>
                    <w:b/>
                    <w:sz w:val="22"/>
                    <w:szCs w:val="22"/>
                  </w:rPr>
                  <w:t>VEIKLOS AR POVEIKLĖS, KURIOMS NUSTATOMOS PROJEKTŲ FINANSAVIMO SĄLYGOS</w:t>
                </w:r>
              </w:p>
            </w:tc>
          </w:tr>
          <w:tr w14:paraId="0609559A" w14:textId="77777777">
            <w:trPr>
              <w:gridAfter w:val="1"/>
              <w:wAfter w:w="7" w:type="dxa"/>
            </w:trPr>
            <w:tc>
              <w:tcPr>
                <w:tcW w:w="1271" w:type="dxa"/>
                <w:vAlign w:val="center"/>
              </w:tcPr>
              <w:p w14:paraId="5A15CCF6" w14:textId="77777777">
                <w:pPr>
                  <w:jc w:val="center"/>
                  <w:rPr>
                    <w:b/>
                    <w:sz w:val="20"/>
                    <w:szCs w:val="22"/>
                  </w:rPr>
                </w:pPr>
                <w:r>
                  <w:rPr>
                    <w:b/>
                    <w:sz w:val="20"/>
                    <w:szCs w:val="22"/>
                  </w:rPr>
                  <w:t>Veiklos ar poveiklės pavadini-</w:t>
                </w:r>
              </w:p>
              <w:p w14:paraId="1164EF9B" w14:textId="77777777">
                <w:pPr>
                  <w:jc w:val="center"/>
                  <w:rPr>
                    <w:b/>
                    <w:sz w:val="20"/>
                    <w:szCs w:val="22"/>
                  </w:rPr>
                </w:pPr>
                <w:r>
                  <w:rPr>
                    <w:b/>
                    <w:sz w:val="20"/>
                    <w:szCs w:val="22"/>
                  </w:rPr>
                  <w:t>mas</w:t>
                </w:r>
              </w:p>
            </w:tc>
            <w:tc>
              <w:tcPr>
                <w:tcW w:w="1276" w:type="dxa"/>
                <w:vAlign w:val="center"/>
              </w:tcPr>
              <w:p w14:paraId="6848D8E9" w14:textId="77777777">
                <w:pPr>
                  <w:jc w:val="center"/>
                  <w:rPr>
                    <w:b/>
                    <w:sz w:val="20"/>
                    <w:szCs w:val="22"/>
                  </w:rPr>
                </w:pPr>
                <w:r>
                  <w:rPr>
                    <w:b/>
                    <w:sz w:val="20"/>
                    <w:szCs w:val="22"/>
                  </w:rPr>
                  <w:t>Finansa-vimo šaltinis</w:t>
                </w:r>
              </w:p>
            </w:tc>
            <w:tc>
              <w:tcPr>
                <w:tcW w:w="1103" w:type="dxa"/>
                <w:vAlign w:val="center"/>
              </w:tcPr>
              <w:p w14:paraId="4DB6470C" w14:textId="6525510A">
                <w:pPr>
                  <w:jc w:val="center"/>
                  <w:rPr>
                    <w:b/>
                    <w:sz w:val="20"/>
                    <w:szCs w:val="22"/>
                  </w:rPr>
                </w:pPr>
                <w:r>
                  <w:rPr>
                    <w:b/>
                    <w:bCs/>
                    <w:sz w:val="20"/>
                    <w:szCs w:val="22"/>
                  </w:rPr>
                  <w:t>Priorite-tas ar kompo-nentas</w:t>
                </w:r>
              </w:p>
            </w:tc>
            <w:tc>
              <w:tcPr>
                <w:tcW w:w="993" w:type="dxa"/>
                <w:vAlign w:val="center"/>
              </w:tcPr>
              <w:p w14:paraId="64D0807B" w14:textId="77777777">
                <w:pPr>
                  <w:jc w:val="center"/>
                  <w:rPr>
                    <w:b/>
                    <w:sz w:val="20"/>
                    <w:szCs w:val="22"/>
                  </w:rPr>
                </w:pPr>
                <w:r>
                  <w:rPr>
                    <w:b/>
                    <w:bCs/>
                    <w:sz w:val="20"/>
                    <w:szCs w:val="22"/>
                  </w:rPr>
                  <w:t>Uždavi-nys ar priemo-nė</w:t>
                </w:r>
              </w:p>
            </w:tc>
            <w:tc>
              <w:tcPr>
                <w:tcW w:w="992" w:type="dxa"/>
                <w:vAlign w:val="center"/>
              </w:tcPr>
              <w:p w14:paraId="2DDDE8D1" w14:textId="77777777">
                <w:pPr>
                  <w:jc w:val="center"/>
                  <w:rPr>
                    <w:b/>
                    <w:sz w:val="20"/>
                    <w:szCs w:val="22"/>
                  </w:rPr>
                </w:pPr>
                <w:r>
                  <w:rPr>
                    <w:b/>
                    <w:bCs/>
                    <w:sz w:val="20"/>
                    <w:szCs w:val="22"/>
                  </w:rPr>
                  <w:t>Veikla ar poveiklė</w:t>
                </w:r>
              </w:p>
            </w:tc>
            <w:tc>
              <w:tcPr>
                <w:tcW w:w="1417" w:type="dxa"/>
                <w:vAlign w:val="center"/>
              </w:tcPr>
              <w:p w14:paraId="3539769D" w14:textId="77777777">
                <w:pPr>
                  <w:jc w:val="center"/>
                  <w:rPr>
                    <w:b/>
                    <w:sz w:val="20"/>
                    <w:szCs w:val="22"/>
                  </w:rPr>
                </w:pPr>
                <w:r>
                  <w:rPr>
                    <w:b/>
                    <w:sz w:val="20"/>
                    <w:szCs w:val="22"/>
                  </w:rPr>
                  <w:t>Intervencinės priemonės kodas</w:t>
                </w:r>
              </w:p>
            </w:tc>
            <w:tc>
              <w:tcPr>
                <w:tcW w:w="1418" w:type="dxa"/>
                <w:vAlign w:val="center"/>
              </w:tcPr>
              <w:p w14:paraId="788832F5" w14:textId="77777777">
                <w:pPr>
                  <w:jc w:val="center"/>
                  <w:rPr>
                    <w:b/>
                    <w:bCs/>
                    <w:sz w:val="20"/>
                    <w:szCs w:val="22"/>
                  </w:rPr>
                </w:pPr>
                <w:r>
                  <w:rPr>
                    <w:b/>
                    <w:sz w:val="20"/>
                  </w:rPr>
                  <w:t>Regionas, kuriam priskiriama veikla ar poveiklė</w:t>
                </w:r>
              </w:p>
            </w:tc>
            <w:tc>
              <w:tcPr>
                <w:tcW w:w="1134" w:type="dxa"/>
                <w:vAlign w:val="center"/>
              </w:tcPr>
              <w:p w14:paraId="1C17DD9D" w14:textId="77777777">
                <w:pPr>
                  <w:jc w:val="center"/>
                  <w:rPr>
                    <w:b/>
                    <w:sz w:val="20"/>
                    <w:szCs w:val="22"/>
                  </w:rPr>
                </w:pPr>
                <w:r>
                  <w:rPr>
                    <w:b/>
                    <w:bCs/>
                    <w:sz w:val="20"/>
                    <w:szCs w:val="22"/>
                  </w:rPr>
                  <w:t>Paramos formos kodas</w:t>
                </w:r>
              </w:p>
            </w:tc>
            <w:tc>
              <w:tcPr>
                <w:tcW w:w="1134" w:type="dxa"/>
                <w:vAlign w:val="center"/>
              </w:tcPr>
              <w:p w14:paraId="5A9D8635" w14:textId="77777777">
                <w:pPr>
                  <w:jc w:val="center"/>
                  <w:rPr>
                    <w:b/>
                    <w:sz w:val="20"/>
                    <w:szCs w:val="22"/>
                  </w:rPr>
                </w:pPr>
                <w:r>
                  <w:rPr>
                    <w:b/>
                    <w:bCs/>
                    <w:sz w:val="20"/>
                    <w:szCs w:val="22"/>
                  </w:rPr>
                  <w:t>Pagrin-dinės teritorinės srities kodas (-ai)</w:t>
                </w:r>
              </w:p>
            </w:tc>
            <w:tc>
              <w:tcPr>
                <w:tcW w:w="881" w:type="dxa"/>
                <w:vAlign w:val="center"/>
              </w:tcPr>
              <w:p w14:paraId="6832859B" w14:textId="2A2DE502">
                <w:pPr>
                  <w:jc w:val="center"/>
                  <w:rPr>
                    <w:b/>
                    <w:sz w:val="20"/>
                    <w:szCs w:val="22"/>
                  </w:rPr>
                </w:pPr>
                <w:r>
                  <w:rPr>
                    <w:b/>
                    <w:bCs/>
                    <w:sz w:val="20"/>
                    <w:szCs w:val="22"/>
                  </w:rPr>
                  <w:t>Ekono-minės veiklos kodas (-ai)</w:t>
                </w:r>
              </w:p>
            </w:tc>
            <w:tc>
              <w:tcPr>
                <w:tcW w:w="1165" w:type="dxa"/>
                <w:vAlign w:val="center"/>
              </w:tcPr>
              <w:p w14:paraId="753C69CA" w14:textId="77777777">
                <w:pPr>
                  <w:jc w:val="center"/>
                  <w:rPr>
                    <w:b/>
                    <w:bCs/>
                    <w:sz w:val="20"/>
                    <w:szCs w:val="22"/>
                  </w:rPr>
                </w:pPr>
                <w:r>
                  <w:rPr>
                    <w:b/>
                    <w:bCs/>
                    <w:sz w:val="20"/>
                    <w:szCs w:val="22"/>
                  </w:rPr>
                  <w:t>„Europos socialinio fondo +“ (toliau – ESF+) antrinių temų kodai</w:t>
                </w:r>
              </w:p>
            </w:tc>
            <w:tc>
              <w:tcPr>
                <w:tcW w:w="851" w:type="dxa"/>
                <w:vAlign w:val="center"/>
              </w:tcPr>
              <w:p w14:paraId="29B36C76" w14:textId="77777777">
                <w:pPr>
                  <w:jc w:val="center"/>
                  <w:rPr>
                    <w:b/>
                    <w:bCs/>
                    <w:sz w:val="20"/>
                    <w:szCs w:val="22"/>
                  </w:rPr>
                </w:pPr>
                <w:r>
                  <w:rPr>
                    <w:b/>
                    <w:bCs/>
                    <w:sz w:val="20"/>
                    <w:szCs w:val="22"/>
                  </w:rPr>
                  <w:t>Lyčių lygybės mat-mens kodas</w:t>
                </w:r>
              </w:p>
            </w:tc>
            <w:tc>
              <w:tcPr>
                <w:tcW w:w="1102" w:type="dxa"/>
              </w:tcPr>
              <w:p w14:paraId="6354AAEE" w14:textId="5C1ABD0B">
                <w:pPr>
                  <w:jc w:val="center"/>
                  <w:rPr>
                    <w:b/>
                    <w:sz w:val="20"/>
                  </w:rPr>
                </w:pPr>
                <w:r>
                  <w:rPr>
                    <w:b/>
                    <w:sz w:val="20"/>
                  </w:rPr>
                  <w:t>Nepa-naudotos Ekono-mikos gaivi-nimo ir atspa-rumo didinimo prie-monės lėšos</w:t>
                </w:r>
              </w:p>
              <w:p w14:paraId="422E51EA" w14:textId="77777777">
                <w:pPr>
                  <w:jc w:val="center"/>
                  <w:rPr>
                    <w:b/>
                    <w:bCs/>
                    <w:sz w:val="20"/>
                    <w:szCs w:val="22"/>
                  </w:rPr>
                </w:pPr>
                <w:r>
                  <w:rPr>
                    <w:b/>
                    <w:sz w:val="20"/>
                  </w:rPr>
                  <w:t>(Taip / Ne)</w:t>
                </w:r>
              </w:p>
            </w:tc>
          </w:tr>
          <w:tr w14:paraId="2421B00A" w14:textId="77777777">
            <w:trPr>
              <w:gridAfter w:val="1"/>
              <w:wAfter w:w="7" w:type="dxa"/>
              <w:trHeight w:val="1898"/>
            </w:trPr>
            <w:tc>
              <w:tcPr>
                <w:tcW w:w="1271" w:type="dxa"/>
                <w:vMerge w:val="restart"/>
                <w:tcMar>
                  <w:left w:w="28" w:type="dxa"/>
                  <w:right w:w="28" w:type="dxa"/>
                </w:tcMar>
              </w:tcPr>
              <w:p w14:paraId="2F25B563" w14:textId="14D486DD">
                <w:pPr>
                  <w:rPr>
                    <w:sz w:val="22"/>
                    <w:szCs w:val="22"/>
                  </w:rPr>
                </w:pPr>
                <w:r>
                  <w:rPr>
                    <w:iCs/>
                    <w:sz w:val="22"/>
                    <w:szCs w:val="22"/>
                  </w:rPr>
                  <w:t>4.4. Sveika-tos sektoriaus skaitmenini-mo projektai</w:t>
                </w:r>
              </w:p>
            </w:tc>
            <w:tc>
              <w:tcPr>
                <w:tcW w:w="1276" w:type="dxa"/>
                <w:tcMar>
                  <w:left w:w="28" w:type="dxa"/>
                  <w:right w:w="28" w:type="dxa"/>
                </w:tcMar>
              </w:tcPr>
              <w:p w14:paraId="54AC5288" w14:textId="77777777">
                <w:pPr>
                  <w:rPr>
                    <w:rFonts w:eastAsia="Republika"/>
                    <w:sz w:val="22"/>
                    <w:szCs w:val="22"/>
                  </w:rPr>
                </w:pPr>
                <w:r>
                  <w:rPr>
                    <w:rFonts w:eastAsia="Republika"/>
                    <w:sz w:val="22"/>
                    <w:szCs w:val="22"/>
                  </w:rPr>
                  <w:t xml:space="preserve">Ekonomikos gaivinimo ir atsparumo didinimo priemonė  (toliau – EGADP). </w:t>
                </w:r>
              </w:p>
            </w:tc>
            <w:tc>
              <w:tcPr>
                <w:tcW w:w="1103" w:type="dxa"/>
                <w:vMerge w:val="restart"/>
                <w:tcMar>
                  <w:left w:w="28" w:type="dxa"/>
                  <w:right w:w="28" w:type="dxa"/>
                </w:tcMar>
              </w:tcPr>
              <w:p w14:paraId="71E714C1" w14:textId="77777777">
                <w:pPr>
                  <w:jc w:val="center"/>
                  <w:rPr>
                    <w:sz w:val="22"/>
                    <w:szCs w:val="22"/>
                  </w:rPr>
                </w:pPr>
                <w:r>
                  <w:rPr>
                    <w:sz w:val="22"/>
                    <w:szCs w:val="22"/>
                  </w:rPr>
                  <w:t>1</w:t>
                </w:r>
              </w:p>
            </w:tc>
            <w:tc>
              <w:tcPr>
                <w:tcW w:w="993" w:type="dxa"/>
                <w:vMerge w:val="restart"/>
                <w:tcMar>
                  <w:left w:w="28" w:type="dxa"/>
                  <w:right w:w="28" w:type="dxa"/>
                </w:tcMar>
              </w:tcPr>
              <w:p w14:paraId="491418CA" w14:textId="77777777">
                <w:pPr>
                  <w:jc w:val="center"/>
                  <w:rPr>
                    <w:sz w:val="22"/>
                    <w:szCs w:val="22"/>
                  </w:rPr>
                </w:pPr>
                <w:r>
                  <w:rPr>
                    <w:sz w:val="22"/>
                    <w:szCs w:val="22"/>
                  </w:rPr>
                  <w:t>A.1.1</w:t>
                </w:r>
              </w:p>
            </w:tc>
            <w:tc>
              <w:tcPr>
                <w:tcW w:w="992" w:type="dxa"/>
                <w:vMerge w:val="restart"/>
                <w:tcMar>
                  <w:left w:w="28" w:type="dxa"/>
                  <w:right w:w="28" w:type="dxa"/>
                </w:tcMar>
              </w:tcPr>
              <w:p w14:paraId="2307CDC8" w14:textId="77777777">
                <w:pPr>
                  <w:jc w:val="center"/>
                  <w:rPr>
                    <w:sz w:val="22"/>
                    <w:szCs w:val="22"/>
                  </w:rPr>
                </w:pPr>
                <w:r>
                  <w:rPr>
                    <w:sz w:val="22"/>
                    <w:szCs w:val="22"/>
                  </w:rPr>
                  <w:t>A.1.1.11</w:t>
                </w:r>
              </w:p>
            </w:tc>
            <w:tc>
              <w:tcPr>
                <w:tcW w:w="1417" w:type="dxa"/>
                <w:tcMar>
                  <w:left w:w="28" w:type="dxa"/>
                  <w:right w:w="28" w:type="dxa"/>
                </w:tcMar>
              </w:tcPr>
              <w:p w14:paraId="7D6E47AC" w14:textId="77777777">
                <w:pPr>
                  <w:jc w:val="center"/>
                  <w:rPr>
                    <w:sz w:val="22"/>
                    <w:szCs w:val="22"/>
                  </w:rPr>
                </w:pPr>
                <w:r>
                  <w:rPr>
                    <w:sz w:val="22"/>
                    <w:szCs w:val="22"/>
                  </w:rPr>
                  <w:t>095</w:t>
                </w:r>
              </w:p>
            </w:tc>
            <w:tc>
              <w:tcPr>
                <w:tcW w:w="1418" w:type="dxa"/>
                <w:vMerge w:val="restart"/>
                <w:tcMar>
                  <w:left w:w="28" w:type="dxa"/>
                  <w:right w:w="28" w:type="dxa"/>
                </w:tcMar>
              </w:tcPr>
              <w:p w14:paraId="0AC07F68" w14:textId="77777777">
                <w:pPr>
                  <w:jc w:val="center"/>
                  <w:rPr>
                    <w:sz w:val="22"/>
                    <w:szCs w:val="22"/>
                  </w:rPr>
                </w:pPr>
                <w:r>
                  <w:rPr>
                    <w:sz w:val="22"/>
                    <w:szCs w:val="22"/>
                  </w:rPr>
                  <w:t>-</w:t>
                </w:r>
              </w:p>
            </w:tc>
            <w:tc>
              <w:tcPr>
                <w:tcW w:w="1134" w:type="dxa"/>
                <w:vMerge w:val="restart"/>
                <w:tcMar>
                  <w:left w:w="28" w:type="dxa"/>
                  <w:right w:w="28" w:type="dxa"/>
                </w:tcMar>
              </w:tcPr>
              <w:p w14:paraId="15E47E3E" w14:textId="77777777">
                <w:pPr>
                  <w:jc w:val="center"/>
                  <w:rPr>
                    <w:sz w:val="22"/>
                    <w:szCs w:val="22"/>
                  </w:rPr>
                </w:pPr>
                <w:r>
                  <w:rPr>
                    <w:sz w:val="22"/>
                    <w:szCs w:val="22"/>
                  </w:rPr>
                  <w:t>-</w:t>
                </w:r>
              </w:p>
            </w:tc>
            <w:tc>
              <w:tcPr>
                <w:tcW w:w="1134" w:type="dxa"/>
                <w:vMerge w:val="restart"/>
                <w:tcMar>
                  <w:left w:w="28" w:type="dxa"/>
                  <w:right w:w="28" w:type="dxa"/>
                </w:tcMar>
              </w:tcPr>
              <w:p w14:paraId="79CBD29B" w14:textId="77777777">
                <w:pPr>
                  <w:jc w:val="center"/>
                  <w:rPr>
                    <w:sz w:val="22"/>
                    <w:szCs w:val="22"/>
                  </w:rPr>
                </w:pPr>
                <w:r>
                  <w:rPr>
                    <w:sz w:val="22"/>
                    <w:szCs w:val="22"/>
                  </w:rPr>
                  <w:t>-</w:t>
                </w:r>
              </w:p>
            </w:tc>
            <w:tc>
              <w:tcPr>
                <w:tcW w:w="881" w:type="dxa"/>
                <w:vMerge w:val="restart"/>
                <w:tcMar>
                  <w:left w:w="28" w:type="dxa"/>
                  <w:right w:w="28" w:type="dxa"/>
                </w:tcMar>
              </w:tcPr>
              <w:p w14:paraId="1B5B8C75" w14:textId="77777777">
                <w:pPr>
                  <w:jc w:val="center"/>
                  <w:rPr>
                    <w:sz w:val="22"/>
                    <w:szCs w:val="22"/>
                  </w:rPr>
                </w:pPr>
                <w:r>
                  <w:rPr>
                    <w:sz w:val="22"/>
                    <w:szCs w:val="22"/>
                  </w:rPr>
                  <w:t>-</w:t>
                </w:r>
              </w:p>
            </w:tc>
            <w:tc>
              <w:tcPr>
                <w:tcW w:w="1165" w:type="dxa"/>
                <w:vMerge w:val="restart"/>
                <w:tcMar>
                  <w:left w:w="28" w:type="dxa"/>
                  <w:right w:w="28" w:type="dxa"/>
                </w:tcMar>
              </w:tcPr>
              <w:p w14:paraId="222819A1" w14:textId="77777777">
                <w:pPr>
                  <w:jc w:val="center"/>
                  <w:rPr>
                    <w:sz w:val="22"/>
                    <w:szCs w:val="22"/>
                  </w:rPr>
                </w:pPr>
                <w:r>
                  <w:rPr>
                    <w:sz w:val="22"/>
                    <w:szCs w:val="22"/>
                  </w:rPr>
                  <w:t>-</w:t>
                </w:r>
              </w:p>
            </w:tc>
            <w:tc>
              <w:tcPr>
                <w:tcW w:w="851" w:type="dxa"/>
                <w:vMerge w:val="restart"/>
                <w:tcMar>
                  <w:left w:w="28" w:type="dxa"/>
                  <w:right w:w="28" w:type="dxa"/>
                </w:tcMar>
              </w:tcPr>
              <w:p w14:paraId="776C0702" w14:textId="77777777">
                <w:pPr>
                  <w:jc w:val="center"/>
                  <w:rPr>
                    <w:sz w:val="22"/>
                    <w:szCs w:val="22"/>
                  </w:rPr>
                </w:pPr>
                <w:r>
                  <w:rPr>
                    <w:sz w:val="22"/>
                    <w:szCs w:val="22"/>
                  </w:rPr>
                  <w:t>-</w:t>
                </w:r>
              </w:p>
            </w:tc>
            <w:tc>
              <w:tcPr>
                <w:tcW w:w="1102" w:type="dxa"/>
                <w:vMerge w:val="restart"/>
              </w:tcPr>
              <w:p w14:paraId="0655C98C" w14:textId="77777777">
                <w:pPr>
                  <w:jc w:val="center"/>
                  <w:rPr>
                    <w:sz w:val="22"/>
                    <w:szCs w:val="22"/>
                  </w:rPr>
                </w:pPr>
                <w:r>
                  <w:rPr>
                    <w:sz w:val="18"/>
                    <w:szCs w:val="18"/>
                  </w:rPr>
                  <w:t>Ne</w:t>
                </w:r>
              </w:p>
            </w:tc>
          </w:tr>
          <w:tr w14:paraId="47358049" w14:textId="77777777">
            <w:trPr>
              <w:gridAfter w:val="1"/>
              <w:wAfter w:w="7" w:type="dxa"/>
              <w:trHeight w:val="557"/>
            </w:trPr>
            <w:tc>
              <w:tcPr>
                <w:tcW w:w="1271" w:type="dxa"/>
                <w:vMerge/>
                <w:tcMar>
                  <w:left w:w="28" w:type="dxa"/>
                  <w:right w:w="28" w:type="dxa"/>
                </w:tcMar>
              </w:tcPr>
              <w:p w14:paraId="3B6B419B" w14:textId="77777777">
                <w:pPr>
                  <w:rPr>
                    <w:rFonts w:eastAsia="Republika"/>
                    <w:sz w:val="22"/>
                    <w:szCs w:val="22"/>
                  </w:rPr>
                </w:pPr>
              </w:p>
            </w:tc>
            <w:tc>
              <w:tcPr>
                <w:tcW w:w="1276" w:type="dxa"/>
                <w:tcMar>
                  <w:left w:w="28" w:type="dxa"/>
                  <w:right w:w="28" w:type="dxa"/>
                </w:tcMar>
              </w:tcPr>
              <w:p w14:paraId="1CC0A636" w14:textId="78F2E3D3">
                <w:pPr>
                  <w:rPr>
                    <w:rFonts w:eastAsia="Republika"/>
                    <w:sz w:val="22"/>
                    <w:szCs w:val="22"/>
                  </w:rPr>
                </w:pPr>
                <w:r>
                  <w:rPr>
                    <w:rFonts w:eastAsia="Republika"/>
                    <w:sz w:val="22"/>
                    <w:szCs w:val="22"/>
                  </w:rPr>
                  <w:t xml:space="preserve">Valstybės biudžeto lėšos, skirtos apmokėti bendrai finansuojamų iš ES fondų lėšų projektų netinkamam finansuoti iš ES fondų lėšų pirkimo ir (arba) importo PVM </w:t>
                </w:r>
              </w:p>
            </w:tc>
            <w:tc>
              <w:tcPr>
                <w:tcW w:w="1103" w:type="dxa"/>
                <w:vMerge/>
                <w:tcMar>
                  <w:left w:w="28" w:type="dxa"/>
                  <w:right w:w="28" w:type="dxa"/>
                </w:tcMar>
              </w:tcPr>
              <w:p w14:paraId="25B5235C" w14:textId="77777777">
                <w:pPr>
                  <w:jc w:val="center"/>
                  <w:rPr>
                    <w:sz w:val="22"/>
                    <w:szCs w:val="22"/>
                  </w:rPr>
                </w:pPr>
              </w:p>
            </w:tc>
            <w:tc>
              <w:tcPr>
                <w:tcW w:w="993" w:type="dxa"/>
                <w:vMerge/>
                <w:tcMar>
                  <w:left w:w="28" w:type="dxa"/>
                  <w:right w:w="28" w:type="dxa"/>
                </w:tcMar>
              </w:tcPr>
              <w:p w14:paraId="311A4DAD" w14:textId="77777777">
                <w:pPr>
                  <w:jc w:val="center"/>
                  <w:rPr>
                    <w:sz w:val="22"/>
                    <w:szCs w:val="22"/>
                  </w:rPr>
                </w:pPr>
              </w:p>
            </w:tc>
            <w:tc>
              <w:tcPr>
                <w:tcW w:w="992" w:type="dxa"/>
                <w:vMerge/>
                <w:tcMar>
                  <w:left w:w="28" w:type="dxa"/>
                  <w:right w:w="28" w:type="dxa"/>
                </w:tcMar>
              </w:tcPr>
              <w:p w14:paraId="5922A3BD" w14:textId="77777777">
                <w:pPr>
                  <w:jc w:val="center"/>
                  <w:rPr>
                    <w:sz w:val="22"/>
                    <w:szCs w:val="22"/>
                  </w:rPr>
                </w:pPr>
              </w:p>
            </w:tc>
            <w:tc>
              <w:tcPr>
                <w:tcW w:w="1417" w:type="dxa"/>
                <w:tcMar>
                  <w:left w:w="28" w:type="dxa"/>
                  <w:right w:w="28" w:type="dxa"/>
                </w:tcMar>
              </w:tcPr>
              <w:p w14:paraId="20F064DA" w14:textId="77777777">
                <w:pPr>
                  <w:jc w:val="center"/>
                  <w:rPr>
                    <w:sz w:val="22"/>
                    <w:szCs w:val="22"/>
                  </w:rPr>
                </w:pPr>
                <w:r>
                  <w:rPr>
                    <w:sz w:val="22"/>
                    <w:szCs w:val="22"/>
                  </w:rPr>
                  <w:t>-</w:t>
                </w:r>
              </w:p>
            </w:tc>
            <w:tc>
              <w:tcPr>
                <w:tcW w:w="1418" w:type="dxa"/>
                <w:vMerge/>
                <w:tcMar>
                  <w:left w:w="28" w:type="dxa"/>
                  <w:right w:w="28" w:type="dxa"/>
                </w:tcMar>
              </w:tcPr>
              <w:p w14:paraId="4159B4D8" w14:textId="77777777">
                <w:pPr>
                  <w:jc w:val="center"/>
                  <w:rPr>
                    <w:sz w:val="22"/>
                    <w:szCs w:val="22"/>
                  </w:rPr>
                </w:pPr>
              </w:p>
            </w:tc>
            <w:tc>
              <w:tcPr>
                <w:tcW w:w="1134" w:type="dxa"/>
                <w:vMerge/>
                <w:tcMar>
                  <w:left w:w="28" w:type="dxa"/>
                  <w:right w:w="28" w:type="dxa"/>
                </w:tcMar>
              </w:tcPr>
              <w:p w14:paraId="297B9E68" w14:textId="77777777">
                <w:pPr>
                  <w:jc w:val="center"/>
                  <w:rPr>
                    <w:sz w:val="22"/>
                    <w:szCs w:val="22"/>
                  </w:rPr>
                </w:pPr>
              </w:p>
            </w:tc>
            <w:tc>
              <w:tcPr>
                <w:tcW w:w="1134" w:type="dxa"/>
                <w:vMerge/>
                <w:tcMar>
                  <w:left w:w="28" w:type="dxa"/>
                  <w:right w:w="28" w:type="dxa"/>
                </w:tcMar>
              </w:tcPr>
              <w:p w14:paraId="0678D0C1" w14:textId="77777777">
                <w:pPr>
                  <w:jc w:val="center"/>
                  <w:rPr>
                    <w:sz w:val="22"/>
                    <w:szCs w:val="22"/>
                  </w:rPr>
                </w:pPr>
              </w:p>
            </w:tc>
            <w:tc>
              <w:tcPr>
                <w:tcW w:w="881" w:type="dxa"/>
                <w:vMerge/>
                <w:tcMar>
                  <w:left w:w="28" w:type="dxa"/>
                  <w:right w:w="28" w:type="dxa"/>
                </w:tcMar>
              </w:tcPr>
              <w:p w14:paraId="63ED2ED6" w14:textId="77777777">
                <w:pPr>
                  <w:jc w:val="center"/>
                  <w:rPr>
                    <w:sz w:val="22"/>
                    <w:szCs w:val="22"/>
                  </w:rPr>
                </w:pPr>
              </w:p>
            </w:tc>
            <w:tc>
              <w:tcPr>
                <w:tcW w:w="1165" w:type="dxa"/>
                <w:vMerge/>
                <w:tcMar>
                  <w:left w:w="28" w:type="dxa"/>
                  <w:right w:w="28" w:type="dxa"/>
                </w:tcMar>
              </w:tcPr>
              <w:p w14:paraId="1D2AC6D3" w14:textId="77777777">
                <w:pPr>
                  <w:jc w:val="center"/>
                  <w:rPr>
                    <w:sz w:val="22"/>
                    <w:szCs w:val="22"/>
                  </w:rPr>
                </w:pPr>
              </w:p>
            </w:tc>
            <w:tc>
              <w:tcPr>
                <w:tcW w:w="851" w:type="dxa"/>
                <w:vMerge/>
                <w:tcMar>
                  <w:left w:w="28" w:type="dxa"/>
                  <w:right w:w="28" w:type="dxa"/>
                </w:tcMar>
              </w:tcPr>
              <w:p w14:paraId="0D1A4287" w14:textId="77777777">
                <w:pPr>
                  <w:jc w:val="center"/>
                  <w:rPr>
                    <w:sz w:val="22"/>
                    <w:szCs w:val="22"/>
                  </w:rPr>
                </w:pPr>
              </w:p>
            </w:tc>
            <w:tc>
              <w:tcPr>
                <w:tcW w:w="1102" w:type="dxa"/>
                <w:vMerge/>
              </w:tcPr>
              <w:p w14:paraId="4376FF86" w14:textId="77777777">
                <w:pPr>
                  <w:jc w:val="center"/>
                  <w:rPr>
                    <w:sz w:val="22"/>
                    <w:szCs w:val="22"/>
                  </w:rPr>
                </w:pPr>
              </w:p>
            </w:tc>
          </w:tr>
        </w:tbl>
        <w:p w14:paraId="6A874ABB" w14:textId="5EBD6B27">
          <w:pPr>
            <w:jc w:val="both"/>
            <w:rPr>
              <w:szCs w:val="24"/>
            </w:rPr>
          </w:pPr>
          <w:r>
            <w:rPr>
              <w:b/>
              <w:i/>
              <w:iCs/>
              <w:szCs w:val="24"/>
            </w:rPr>
            <w:t>Pastaba.</w:t>
          </w:r>
          <w:r>
            <w:rPr>
              <w:i/>
              <w:iCs/>
              <w:szCs w:val="24"/>
            </w:rPr>
            <w:t xml:space="preserve"> </w:t>
          </w:r>
          <w:r>
            <w:rPr>
              <w:szCs w:val="24"/>
            </w:rPr>
            <w:t>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(toliau – Investicijų programos ir Plano „Naujos kartos Lietuva“ administravimo taisyklės), 72</w:t>
          </w:r>
          <w:r>
            <w:rPr>
              <w:szCs w:val="24"/>
              <w:vertAlign w:val="superscript"/>
            </w:rPr>
            <w:t>1</w:t>
          </w:r>
          <w:r>
            <w:rPr>
              <w:szCs w:val="24"/>
            </w:rPr>
            <w:t xml:space="preserve"> punkte.</w:t>
          </w:r>
        </w:p>
        <w:p w14:paraId="1C038051" w14:textId="223E863E">
          <w:pPr>
            <w:jc w:val="both"/>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73"/>
          </w:tblGrid>
          <w:tr w14:paraId="06687010" w14:textId="77777777">
            <w:trPr>
              <w:trHeight w:val="405"/>
            </w:trPr>
            <w:tc>
              <w:tcPr>
                <w:tcW w:w="3688" w:type="dxa"/>
                <w:shd w:val="clear" w:color="auto" w:fill="auto"/>
                <w:vAlign w:val="center"/>
              </w:tcPr>
              <w:p w14:paraId="52EAC48F" w14:textId="77777777">
                <w:pPr>
                  <w:jc w:val="center"/>
                  <w:rPr>
                    <w:szCs w:val="24"/>
                  </w:rPr>
                </w:pPr>
                <w:r>
                  <w:rPr>
                    <w:szCs w:val="24"/>
                  </w:rPr>
                  <w:t>Rodiklio pavadinimas</w:t>
                </w:r>
              </w:p>
            </w:tc>
            <w:tc>
              <w:tcPr>
                <w:tcW w:w="3688" w:type="dxa"/>
                <w:shd w:val="clear" w:color="auto" w:fill="auto"/>
                <w:vAlign w:val="center"/>
              </w:tcPr>
              <w:p w14:paraId="13837965" w14:textId="77777777">
                <w:pPr>
                  <w:jc w:val="center"/>
                  <w:rPr>
                    <w:szCs w:val="24"/>
                  </w:rPr>
                </w:pPr>
                <w:r>
                  <w:rPr>
                    <w:szCs w:val="24"/>
                  </w:rPr>
                  <w:t>Rodiklio kodas</w:t>
                </w:r>
              </w:p>
            </w:tc>
            <w:tc>
              <w:tcPr>
                <w:tcW w:w="3688" w:type="dxa"/>
                <w:shd w:val="clear" w:color="auto" w:fill="auto"/>
                <w:vAlign w:val="center"/>
              </w:tcPr>
              <w:p w14:paraId="35D4CA32" w14:textId="77777777">
                <w:pPr>
                  <w:jc w:val="center"/>
                  <w:rPr>
                    <w:szCs w:val="24"/>
                  </w:rPr>
                </w:pPr>
                <w:r>
                  <w:rPr>
                    <w:szCs w:val="24"/>
                  </w:rPr>
                  <w:t>Matavimo vienetai</w:t>
                </w:r>
              </w:p>
            </w:tc>
            <w:tc>
              <w:tcPr>
                <w:tcW w:w="3673" w:type="dxa"/>
                <w:shd w:val="clear" w:color="auto" w:fill="auto"/>
                <w:vAlign w:val="center"/>
              </w:tcPr>
              <w:p w14:paraId="3F5DA3F9" w14:textId="04324074">
                <w:pPr>
                  <w:jc w:val="center"/>
                  <w:rPr>
                    <w:szCs w:val="24"/>
                  </w:rPr>
                </w:pPr>
                <w:r>
                  <w:rPr>
                    <w:szCs w:val="24"/>
                  </w:rPr>
                  <w:t>Siektina reikšmė ir pasiekimo data</w:t>
                </w:r>
              </w:p>
            </w:tc>
          </w:tr>
          <w:tr w14:paraId="5F7D7148" w14:textId="77777777">
            <w:trPr>
              <w:trHeight w:val="725"/>
            </w:trPr>
            <w:tc>
              <w:tcPr>
                <w:tcW w:w="3688" w:type="dxa"/>
              </w:tcPr>
              <w:p w14:paraId="151B638C" w14:textId="15978EEB">
                <w:pPr>
                  <w:rPr>
                    <w:szCs w:val="24"/>
                  </w:rPr>
                </w:pPr>
                <w:r>
                  <w:rPr>
                    <w:szCs w:val="24"/>
                  </w:rPr>
                  <w:t>Naujų ir patobulintų viešųjų skaitmeninių paslaugų, produktų ir procesų naudotojai</w:t>
                  <w:tab/>
                </w:r>
              </w:p>
              <w:p w14:paraId="5D818A01" w14:textId="56C6B6B8">
                <w:pPr>
                  <w:ind w:firstLine="720"/>
                  <w:jc w:val="center"/>
                  <w:rPr>
                    <w:i/>
                    <w:iCs/>
                    <w:szCs w:val="24"/>
                  </w:rPr>
                </w:pPr>
              </w:p>
            </w:tc>
            <w:tc>
              <w:tcPr>
                <w:tcW w:w="3688" w:type="dxa"/>
              </w:tcPr>
              <w:p w14:paraId="41F566DD" w14:textId="60196C1C">
                <w:pPr>
                  <w:jc w:val="center"/>
                  <w:rPr>
                    <w:szCs w:val="24"/>
                  </w:rPr>
                </w:pPr>
                <w:r>
                  <w:rPr>
                    <w:szCs w:val="24"/>
                  </w:rPr>
                  <w:t>R.B.1.2007</w:t>
                </w:r>
              </w:p>
              <w:p w14:paraId="2BC4540B" w14:textId="25D8F5E6">
                <w:pPr>
                  <w:jc w:val="center"/>
                  <w:rPr>
                    <w:b/>
                    <w:bCs/>
                    <w:i/>
                    <w:iCs/>
                    <w:szCs w:val="24"/>
                  </w:rPr>
                </w:pPr>
                <w:r>
                  <w:rPr>
                    <w:szCs w:val="24"/>
                  </w:rPr>
                  <w:t>R-11-002-02-11-01-34</w:t>
                </w:r>
              </w:p>
              <w:p w14:paraId="63FCCD2D" w14:textId="1139611C">
                <w:pPr>
                  <w:jc w:val="center"/>
                  <w:rPr>
                    <w:i/>
                    <w:iCs/>
                    <w:szCs w:val="24"/>
                  </w:rPr>
                </w:pPr>
              </w:p>
            </w:tc>
            <w:tc>
              <w:tcPr>
                <w:tcW w:w="3688" w:type="dxa"/>
              </w:tcPr>
              <w:p w14:paraId="745828B6" w14:textId="774B1664">
                <w:pPr>
                  <w:jc w:val="center"/>
                  <w:rPr>
                    <w:i/>
                    <w:iCs/>
                    <w:szCs w:val="24"/>
                  </w:rPr>
                </w:pPr>
                <w:r>
                  <w:rPr>
                    <w:color w:val="000000"/>
                    <w:szCs w:val="24"/>
                  </w:rPr>
                  <w:t>Naudotojų skaičius per metus</w:t>
                </w:r>
              </w:p>
            </w:tc>
            <w:tc>
              <w:tcPr>
                <w:tcW w:w="3673" w:type="dxa"/>
              </w:tcPr>
              <w:p w14:paraId="38D85D3B" w14:textId="60926985">
                <w:pPr>
                  <w:jc w:val="center"/>
                  <w:rPr>
                    <w:szCs w:val="24"/>
                  </w:rPr>
                </w:pPr>
                <w:r>
                  <w:rPr>
                    <w:szCs w:val="24"/>
                  </w:rPr>
                  <w:t>n/a,</w:t>
                </w:r>
                <w:r>
                  <w:rPr>
                    <w:i/>
                    <w:iCs/>
                    <w:szCs w:val="24"/>
                  </w:rPr>
                  <w:t xml:space="preserve"> </w:t>
                </w:r>
                <w:r>
                  <w:rPr>
                    <w:szCs w:val="24"/>
                  </w:rPr>
                  <w:t>2026 m. IV ketv.</w:t>
                </w:r>
              </w:p>
            </w:tc>
          </w:tr>
        </w:tbl>
        <w:p w14:paraId="339F3FDF" w14:textId="0F9C0B8A">
          <w:pPr>
            <w:spacing w:line="259" w:lineRule="auto"/>
            <w:jc w:val="both"/>
            <w:rPr>
              <w:szCs w:val="24"/>
            </w:rPr>
          </w:pPr>
          <w:r>
            <w:rPr>
              <w:b/>
              <w:bCs/>
              <w:szCs w:val="24"/>
              <w:lang w:eastAsia="lt-LT"/>
            </w:rPr>
            <w:t>Pastaba</w:t>
          </w:r>
          <w:r>
            <w:rPr>
              <w:szCs w:val="24"/>
              <w:lang w:eastAsia="lt-LT"/>
            </w:rPr>
            <w:t>.</w:t>
          </w:r>
          <w:r>
            <w:rPr>
              <w:i/>
              <w:iCs/>
              <w:szCs w:val="24"/>
              <w:lang w:eastAsia="lt-LT"/>
            </w:rPr>
            <w:t xml:space="preserve"> </w:t>
          </w:r>
          <w:r>
            <w:rPr>
              <w:szCs w:val="24"/>
              <w:lang w:eastAsia="lt-LT"/>
            </w:rPr>
            <w:t xml:space="preserve">Bendrieji rodikliai </w:t>
          </w:r>
          <w:r>
            <w:rPr>
              <w:szCs w:val="24"/>
            </w:rPr>
            <w:t xml:space="preserve">nurodyti Ekonomikos gaivinimo ir atsparumo didinimo plane „Naujos kartos Lietuva“ ir neturi siektinų reikšmių. Duomenys bus renkami iš susijusių reformų ir investicijų rodiklių. Ataskaitinis laikotarpis </w:t>
          </w:r>
          <w:r>
            <w:rPr>
              <w:lang w:eastAsia="ar-SA"/>
            </w:rPr>
            <w:t xml:space="preserve">– </w:t>
          </w:r>
          <w:r>
            <w:rPr>
              <w:szCs w:val="24"/>
            </w:rPr>
            <w:t>iki 2026 m. gruodžio 31 d.</w:t>
          </w:r>
        </w:p>
        <w:p w14:paraId="0BEF9190" w14:textId="77777777">
          <w:pPr>
            <w:spacing w:line="259" w:lineRule="auto"/>
            <w:jc w:val="both"/>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14:paraId="3CB43A17" w14:textId="77777777">
            <w:trPr>
              <w:trHeight w:val="298"/>
            </w:trPr>
            <w:tc>
              <w:tcPr>
                <w:tcW w:w="14737" w:type="dxa"/>
              </w:tcPr>
              <w:p w14:paraId="3022A8D8" w14:textId="77777777">
                <w:pPr>
                  <w:jc w:val="both"/>
                  <w:rPr>
                    <w:szCs w:val="24"/>
                  </w:rPr>
                </w:pPr>
                <w:r>
                  <w:rPr>
                    <w:szCs w:val="24"/>
                  </w:rPr>
                  <w:t>Ministerijos stebėsenos rodiklių aprašymo kortelės</w:t>
                </w:r>
              </w:p>
            </w:tc>
          </w:tr>
          <w:tr w14:paraId="2896C492" w14:textId="77777777">
            <w:trPr>
              <w:trHeight w:val="315"/>
            </w:trPr>
            <w:tc>
              <w:tcPr>
                <w:tcW w:w="14737" w:type="dxa"/>
              </w:tcPr>
              <w:p w14:paraId="6925531A" w14:textId="77777777">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14:paraId="7B4F344F" w14:textId="653C8B6B">
                <w:pPr>
                  <w:ind w:right="340"/>
                  <w:jc w:val="both"/>
                  <w:rPr>
                    <w:i/>
                    <w:szCs w:val="24"/>
                  </w:rPr>
                </w:pPr>
                <w:r>
                  <w:rPr>
                    <w:iCs/>
                    <w:szCs w:val="24"/>
                  </w:rPr>
                  <w:t>https://sam.lrv.lt/lt/administracine-informacija/planavimo-dokumentai/pletros-programos/sveikatos-prieziuros-kokybes-ir-efektyvumo-didinimo-pletros-programa</w:t>
                </w:r>
              </w:p>
            </w:tc>
          </w:tr>
        </w:tbl>
        <w:p w14:paraId="3F13B6A3" w14:textId="1EF21990">
          <w:pPr>
            <w:spacing w:line="259" w:lineRule="auto"/>
            <w:jc w:val="both"/>
            <w:rPr>
              <w:sz w:val="22"/>
              <w:szCs w:val="22"/>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14:paraId="5BF63309" w14:textId="77777777">
            <w:tc>
              <w:tcPr>
                <w:tcW w:w="14709" w:type="dxa"/>
              </w:tcPr>
              <w:p w14:paraId="72525790" w14:textId="77777777">
                <w:pPr>
                  <w:rPr>
                    <w:b/>
                    <w:szCs w:val="24"/>
                  </w:rPr>
                </w:pPr>
                <w:r>
                  <w:rPr>
                    <w:b/>
                    <w:szCs w:val="24"/>
                  </w:rPr>
                  <w:t>SPECIALIEJI FINANSAVIMO REIKALAVIMAI</w:t>
                </w:r>
              </w:p>
            </w:tc>
          </w:tr>
          <w:tr w14:paraId="11A3801F" w14:textId="77777777">
            <w:tc>
              <w:tcPr>
                <w:tcW w:w="14709" w:type="dxa"/>
              </w:tcPr>
              <w:p w14:paraId="0F10C6B3" w14:textId="77777777">
                <w:pPr>
                  <w:rPr>
                    <w:b/>
                    <w:bCs/>
                    <w:szCs w:val="24"/>
                  </w:rPr>
                </w:pPr>
                <w:r>
                  <w:rPr>
                    <w:b/>
                    <w:bCs/>
                    <w:szCs w:val="24"/>
                  </w:rPr>
                  <w:t>1. Taikomi teisės aktai</w:t>
                </w:r>
              </w:p>
            </w:tc>
          </w:tr>
          <w:tr w14:paraId="120F6037" w14:textId="77777777">
            <w:tc>
              <w:tcPr>
                <w:tcW w:w="14709" w:type="dxa"/>
              </w:tcPr>
              <w:p w14:paraId="299F8BA3" w14:textId="0B1ADA62">
                <w:pPr>
                  <w:tabs>
                    <w:tab w:val="left" w:pos="306"/>
                  </w:tabs>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17 priedą „2022–2030 metų sveikatos priežiūros kokybės ir efektyvumo didinimo plėtros programos pažangos priemonės Nr. 11-002-02-11-01 „Gerinti sveikatos priežiūros paslaugų kokybę ir prieinamumą“ projektų finansavimo sąlygų aprašas Nr. 17“ (toliau – Aprašas):</w:t>
                </w:r>
              </w:p>
              <w:p w14:paraId="3C988C32" w14:textId="1F3366AF">
                <w:pPr>
                  <w:tabs>
                    <w:tab w:val="left" w:pos="306"/>
                  </w:tabs>
                  <w:ind w:firstLine="62"/>
                  <w:jc w:val="both"/>
                  <w:rPr>
                    <w:szCs w:val="24"/>
                    <w:lang w:eastAsia="lt-LT"/>
                  </w:rPr>
                </w:pPr>
                <w:r>
                  <w:rPr>
                    <w:color w:val="000000"/>
                    <w:szCs w:val="24"/>
                  </w:rPr>
                  <w:t>1.1. bendrieji teisės aktai:</w:t>
                </w:r>
              </w:p>
              <w:p w14:paraId="43472252" w14:textId="69EF5B08">
                <w:pPr>
                  <w:tabs>
                    <w:tab w:val="left" w:pos="600"/>
                  </w:tabs>
                  <w:ind w:left="29"/>
                  <w:jc w:val="both"/>
                  <w:rPr>
                    <w:szCs w:val="24"/>
                  </w:rPr>
                </w:pPr>
                <w:r>
                  <w:rPr>
                    <w:szCs w:val="24"/>
                    <w:lang w:eastAsia="lt-LT"/>
                  </w:rPr>
                  <w:t xml:space="preserve">1.1. 1. </w:t>
                </w:r>
                <w:r>
                  <w:rPr>
                    <w:color w:val="000000"/>
                    <w:szCs w:val="24"/>
                  </w:rPr>
                  <w:t>2021 m. vasario 12 d. Europos Parlamento ir Tarybos reglamentas (ES) 2021/241, kuriuo nustatoma ekonomikos gaivinimo ir atsparumo didinimo priemonė;</w:t>
                </w:r>
              </w:p>
              <w:p w14:paraId="1AFC7A8F" w14:textId="72590D47">
                <w:pPr>
                  <w:tabs>
                    <w:tab w:val="left" w:pos="600"/>
                  </w:tabs>
                  <w:ind w:left="29"/>
                  <w:jc w:val="both"/>
                  <w:rPr>
                    <w:szCs w:val="24"/>
                  </w:rPr>
                </w:pPr>
                <w:r>
                  <w:rPr>
                    <w:color w:val="000000"/>
                    <w:szCs w:val="24"/>
                    <w:lang w:eastAsia="lt-LT"/>
                  </w:rPr>
                  <w:t xml:space="preserve">1.1.2. </w:t>
                </w:r>
                <w:r>
                  <w:rPr>
                    <w:szCs w:val="24"/>
                  </w:rPr>
                  <w:t>2021 m. liepos 28 d. Europos Sąjungos Tarybos įgyvendinimo sprendimas CM4171/21 dėl Lietuvos ekonomikos gaivinimo ir atsparumo didinimo plano „Naujos kartos Lietuva“ įvertinimo patvirtinimo;</w:t>
                </w:r>
              </w:p>
              <w:p w14:paraId="7B4B911B" w14:textId="33DDD4E6">
                <w:pPr>
                  <w:tabs>
                    <w:tab w:val="left" w:pos="457"/>
                  </w:tabs>
                  <w:ind w:firstLine="34"/>
                  <w:jc w:val="both"/>
                  <w:rPr>
                    <w:szCs w:val="24"/>
                  </w:rPr>
                </w:pPr>
                <w:r>
                  <w:rPr>
                    <w:szCs w:val="24"/>
                  </w:rPr>
                  <w:t xml:space="preserve">1.1.3.  Lietuvos Respublikos finansų ministro 2022 m. birželio 22 d. įsakymu Nr. 1K-237 „Dėl 2021–2027 metų Europos Sąjungos fondų investicijų programos ir Ekonomikos gaivinimo ir atsparumo didinimo plano „Naujos kartos Lietuva“ įgyvendinimo“ patvirtintos 2021–2027 metų Europos Sąjungos fondų investicijų programos ir Ekonomikos gaivinimo ir atsparumo didinimo plano „Naujos kartos Lietuva“ administravimo taisyklės (toliau – Administravimo taisyklės) ir Projektų administravimo ir finansavimo taisyklės (toliau – Projektų administravimo ir finansavimo taisyklės);</w:t>
                </w:r>
              </w:p>
              <w:p w14:paraId="794D55C5" w14:textId="5333BA7B">
                <w:pPr>
                  <w:tabs>
                    <w:tab w:val="left" w:pos="600"/>
                  </w:tabs>
                  <w:jc w:val="both"/>
                  <w:rPr>
                    <w:color w:val="000000"/>
                    <w:szCs w:val="24"/>
                  </w:rPr>
                </w:pPr>
                <w:r>
                  <w:rPr>
                    <w:color w:val="000000"/>
                    <w:szCs w:val="24"/>
                  </w:rPr>
                  <w:t>1.2. specialieji teisės aktai:</w:t>
                </w:r>
              </w:p>
              <w:p w14:paraId="5CBD498F" w14:textId="5AB5B158">
                <w:pPr>
                  <w:jc w:val="both"/>
                  <w:rPr>
                    <w:szCs w:val="24"/>
                  </w:rPr>
                </w:pPr>
                <w:r>
                  <w:rPr>
                    <w:szCs w:val="24"/>
                  </w:rPr>
                  <w:t xml:space="preserve">1.2.1. 2021–2030 metų nacionalinis pažangos planas, patvirtintas Lietuvos Respublikos Vyriausybės  2020 m. rugsėjo 9 d. nutarimu Nr. 998 „Dėl 2021–2030 metų nacionalinio pažangos plano patvirtinimo“;</w:t>
                </w:r>
              </w:p>
              <w:p w14:paraId="64BBE909" w14:textId="78535034">
                <w:pPr>
                  <w:jc w:val="both"/>
                  <w:rPr>
                    <w:szCs w:val="24"/>
                  </w:rPr>
                </w:pPr>
                <w:r>
                  <w:rPr>
                    <w:szCs w:val="24"/>
                  </w:rPr>
                  <w:t>1.2.2. 2022–2030 metų Lietuvos Respublikos sveikatos apsaugos ministerijos sveikatos priežiūros kokybės ir efektyvumo didinimo plėtros programa, patvirtinta Lietuvos Respublikos Vyriausybės 2022 m. kovo 30 d. nutarimu Nr. 319 „Dėl 2022–2030 metų plėtros programos valdytojos Lietuvos Respublikos sveikatos apsaugos ministerijos sveikatos priežiūros kokybės ir efektyvumo didinimo plėtros programos patvirtinimo“;</w:t>
                </w:r>
              </w:p>
              <w:p w14:paraId="509A8972" w14:textId="772785D0">
                <w:pPr>
                  <w:jc w:val="both"/>
                  <w:rPr>
                    <w:szCs w:val="24"/>
                  </w:rPr>
                </w:pPr>
                <w:r>
                  <w:rPr>
                    <w:color w:val="000000"/>
                    <w:szCs w:val="24"/>
                  </w:rPr>
                  <w:t xml:space="preserve">1.2.3. </w:t>
                </w:r>
                <w:r>
                  <w:rPr>
                    <w:szCs w:val="24"/>
                  </w:rPr>
                  <w:t>Lietuvos Respublikos sveikatos sistemos įstatymas;</w:t>
                </w:r>
              </w:p>
              <w:p w14:paraId="09F1A99F" w14:textId="7789CC6B">
                <w:pPr>
                  <w:tabs>
                    <w:tab w:val="left" w:pos="600"/>
                  </w:tabs>
                  <w:jc w:val="both"/>
                  <w:rPr>
                    <w:color w:val="000000"/>
                    <w:szCs w:val="24"/>
                  </w:rPr>
                </w:pPr>
                <w:r>
                  <w:rPr>
                    <w:color w:val="000000"/>
                    <w:szCs w:val="24"/>
                  </w:rPr>
                  <w:t>1.2.4.</w:t>
                </w:r>
                <w:r>
                  <w:t xml:space="preserve"> </w:t>
                </w:r>
                <w:r>
                  <w:rPr>
                    <w:color w:val="000000"/>
                    <w:szCs w:val="24"/>
                  </w:rPr>
                  <w:t>Lietuvos Respublikos teisės gauti informaciją ir duomenų pakartotinio naudojimo įstatymas;</w:t>
                </w:r>
              </w:p>
              <w:p w14:paraId="34571C72" w14:textId="4FF64FCB">
                <w:pPr>
                  <w:jc w:val="both"/>
                  <w:rPr>
                    <w:szCs w:val="24"/>
                  </w:rPr>
                </w:pPr>
                <w:r>
                  <w:rPr>
                    <w:szCs w:val="24"/>
                  </w:rPr>
                  <w:t xml:space="preserve">1.2.5. Lietuvos Respublikos valstybės informacinių išteklių valdymo įstatymas; </w:t>
                </w:r>
              </w:p>
              <w:p w14:paraId="0CEB1975" w14:textId="5CA9DEEF">
                <w:pPr>
                  <w:jc w:val="both"/>
                  <w:rPr>
                    <w:szCs w:val="24"/>
                  </w:rPr>
                </w:pPr>
                <w:r>
                  <w:rPr>
                    <w:szCs w:val="24"/>
                  </w:rPr>
                  <w:t>1.2.6. Lietuvos Respublikos kibernetinio saugumo įstatymas;</w:t>
                </w:r>
              </w:p>
              <w:p w14:paraId="323C6164" w14:textId="0982A1BA">
                <w:pPr>
                  <w:jc w:val="both"/>
                  <w:rPr>
                    <w:szCs w:val="24"/>
                  </w:rPr>
                </w:pPr>
                <w:r>
                  <w:rPr>
                    <w:szCs w:val="24"/>
                  </w:rPr>
                  <w:t>1.2.7. Valstybės informacinių sistemų steigimo, kūrimo, modernizavimo ir likvidavimo tvarkos aprašas, patvirtintas Lietuvos Respublikos Vyriausybės 2013 m. vasario 27 d. nutarimu Nr. 180 „Dėl Valstybės informacinių sistemų steigimo, kūrimo, modernizavimo ir likvidavimo tvarkos aprašo patvirtinimo“;</w:t>
                </w:r>
              </w:p>
              <w:p w14:paraId="51710288" w14:textId="78CF5552">
                <w:pPr>
                  <w:jc w:val="both"/>
                  <w:rPr>
                    <w:szCs w:val="24"/>
                  </w:rPr>
                </w:pPr>
                <w:r>
                  <w:rPr>
                    <w:szCs w:val="24"/>
                  </w:rPr>
                  <w:t>1.2.8. Valstybės informacinių sistemų gyvavimo ciklo valdymo metodika, patvirtinta Informacinės visuomenės plėtros komiteto prie Susisiekimo ministerijos direktoriaus 2014 m. vasario 25 d. įsakymu Nr. T-29 „Dėl Valstybės informacinių sistemų gyvavimo ciklo valdymo metodikos patvirtinimo“;</w:t>
                </w:r>
              </w:p>
              <w:p w14:paraId="4876D67D" w14:textId="5D5A33FE">
                <w:pPr>
                  <w:jc w:val="both"/>
                  <w:rPr>
                    <w:strike/>
                    <w:szCs w:val="24"/>
                  </w:rPr>
                </w:pPr>
                <w:r>
                  <w:rPr>
                    <w:szCs w:val="24"/>
                  </w:rPr>
                  <w:t>1.2.9. Elektroninių paslaugų kūrimo metodika, patvirtinta Lietuvos Respublikos susisiekimo ministro 2015 m. spalio 7 d. įsakymu Nr. 3-416(1.5 E) „Dėl metodinių dokumentų patvirtinimo“.</w:t>
                </w:r>
              </w:p>
            </w:tc>
          </w:tr>
          <w:tr w14:paraId="36A8B936" w14:textId="77777777">
            <w:tc>
              <w:tcPr>
                <w:tcW w:w="14709" w:type="dxa"/>
              </w:tcPr>
              <w:p w14:paraId="72EAD98C" w14:textId="77777777">
                <w:pPr>
                  <w:rPr>
                    <w:b/>
                    <w:szCs w:val="24"/>
                  </w:rPr>
                </w:pPr>
                <w:r>
                  <w:rPr>
                    <w:b/>
                    <w:szCs w:val="24"/>
                  </w:rPr>
                  <w:t>2. Reikalavimai projektams</w:t>
                </w:r>
              </w:p>
            </w:tc>
          </w:tr>
          <w:tr w14:paraId="77814FE2" w14:textId="77777777">
            <w:trPr>
              <w:trHeight w:val="1124"/>
            </w:trPr>
            <w:tc>
              <w:tcPr>
                <w:tcW w:w="14709" w:type="dxa"/>
              </w:tcPr>
              <w:p w14:paraId="7E9CF09E" w14:textId="2AE2E616">
                <w:pPr>
                  <w:tabs>
                    <w:tab w:val="left" w:pos="454"/>
                  </w:tabs>
                  <w:jc w:val="both"/>
                  <w:rPr>
                    <w:color w:val="000000"/>
                    <w:szCs w:val="24"/>
                    <w:lang w:eastAsia="lt-LT"/>
                  </w:rPr>
                </w:pPr>
                <w:r>
                  <w:rPr>
                    <w:color w:val="000000"/>
                    <w:szCs w:val="24"/>
                    <w:lang w:eastAsia="lt-LT"/>
                  </w:rPr>
                  <w:t xml:space="preserve">2.1. Galimas pareiškėjas – </w:t>
                </w:r>
                <w:r>
                  <w:rPr>
                    <w:iCs/>
                    <w:szCs w:val="24"/>
                  </w:rPr>
                  <w:t xml:space="preserve"> Valstybinė ligonių kasa prie Sveikatos apsaugos ministerijos </w:t>
                </w:r>
                <w:r>
                  <w:t xml:space="preserve">(toliau – </w:t>
                </w:r>
                <w:r>
                  <w:rPr>
                    <w:color w:val="000000"/>
                    <w:szCs w:val="24"/>
                  </w:rPr>
                  <w:t>VLK)</w:t>
                </w:r>
                <w:r>
                  <w:rPr>
                    <w:iCs/>
                    <w:szCs w:val="24"/>
                  </w:rPr>
                  <w:t>.</w:t>
                </w:r>
              </w:p>
              <w:p w14:paraId="54CE0D2E" w14:textId="77777777">
                <w:pPr>
                  <w:rPr>
                    <w:bCs/>
                    <w:iCs/>
                    <w:szCs w:val="24"/>
                  </w:rPr>
                </w:pPr>
                <w:r>
                  <w:rPr>
                    <w:color w:val="000000"/>
                    <w:szCs w:val="24"/>
                    <w:lang w:eastAsia="lt-LT"/>
                  </w:rPr>
                  <w:t xml:space="preserve">2.2. </w:t>
                </w:r>
                <w:r>
                  <w:rPr>
                    <w:bCs/>
                    <w:iCs/>
                    <w:szCs w:val="24"/>
                  </w:rPr>
                  <w:t xml:space="preserve">Partneris – </w:t>
                </w:r>
                <w:r>
                  <w:rPr>
                    <w:color w:val="000000"/>
                    <w:szCs w:val="24"/>
                    <w:lang w:eastAsia="lt-LT"/>
                  </w:rPr>
                  <w:t>VšĮ</w:t>
                </w:r>
                <w:r>
                  <w:rPr>
                    <w:rFonts w:ascii="Calibri" w:eastAsia="Calibri" w:hAnsi="Calibri" w:cs="Calibri"/>
                    <w:b/>
                    <w:bCs/>
                    <w:sz w:val="22"/>
                    <w:szCs w:val="22"/>
                    <w:lang w:eastAsia="ar-SA"/>
                    <w14:ligatures w14:val="standardContextual"/>
                  </w:rPr>
                  <w:t xml:space="preserve"> </w:t>
                </w:r>
                <w:r>
                  <w:rPr>
                    <w:bCs/>
                    <w:iCs/>
                    <w:szCs w:val="24"/>
                  </w:rPr>
                  <w:t>Respublikinė Vilniaus universitetinė ligoninė.</w:t>
                </w:r>
              </w:p>
              <w:p w14:paraId="69479840" w14:textId="31B9676E">
                <w:pPr>
                  <w:jc w:val="both"/>
                  <w:rPr>
                    <w:bCs/>
                    <w:iCs/>
                    <w:szCs w:val="24"/>
                  </w:rPr>
                </w:pPr>
                <w:r>
                  <w:rPr>
                    <w:color w:val="000000"/>
                    <w:szCs w:val="24"/>
                    <w:lang w:eastAsia="lt-LT"/>
                  </w:rPr>
                  <w:t xml:space="preserve">2.3. </w:t>
                </w:r>
                <w:r>
                  <w:rPr>
                    <w:color w:val="000000"/>
                    <w:szCs w:val="24"/>
                  </w:rPr>
                  <w:t xml:space="preserve">Projektui pagal šio Aprašo veiklą įgyvendinti skiriama iki </w:t>
                </w:r>
                <w:r>
                  <w:t>3 801 653</w:t>
                </w:r>
                <w:r>
                  <w:rPr>
                    <w:szCs w:val="24"/>
                  </w:rPr>
                  <w:t xml:space="preserve">,00 </w:t>
                </w:r>
                <w:r>
                  <w:rPr>
                    <w:color w:val="000000"/>
                    <w:szCs w:val="24"/>
                  </w:rPr>
                  <w:t xml:space="preserve">Eur </w:t>
                </w:r>
                <w:r>
                  <w:rPr>
                    <w:szCs w:val="24"/>
                  </w:rPr>
                  <w:t>(</w:t>
                </w:r>
                <w:r>
                  <w:rPr>
                    <w:color w:val="000000"/>
                    <w:szCs w:val="24"/>
                  </w:rPr>
                  <w:t xml:space="preserve">trijų milijonų aštuonių šimtų vieno tūkstančio šešių šimtų penkiasdešimt trijų </w:t>
                </w:r>
                <w:r>
                  <w:rPr>
                    <w:szCs w:val="24"/>
                  </w:rPr>
                  <w:t xml:space="preserve">eurų) </w:t>
                </w:r>
                <w:r>
                  <w:rPr>
                    <w:color w:val="000000"/>
                    <w:szCs w:val="24"/>
                  </w:rPr>
                  <w:t xml:space="preserve">Europos Sąjungos Ekonomikos gaivinimo ir atsparumo didinimo priemonės lėšų ir iki </w:t>
                </w:r>
                <w:r>
                  <w:t>798 347</w:t>
                </w:r>
                <w:r>
                  <w:rPr>
                    <w:color w:val="000000"/>
                    <w:szCs w:val="24"/>
                  </w:rPr>
                  <w:t xml:space="preserve">,00 </w:t>
                </w:r>
                <w:r>
                  <w:rPr>
                    <w:szCs w:val="24"/>
                  </w:rPr>
                  <w:t>Eur (</w:t>
                </w:r>
                <w:r>
                  <w:rPr>
                    <w:color w:val="000000"/>
                    <w:szCs w:val="24"/>
                  </w:rPr>
                  <w:t xml:space="preserve">septynių šimtų devyniasdešimt aštuonių  tūkstančių trijų šimtų keturiasdešimt septynių eurų) Valstybės biudžeto lėšų, skirtų apmokėti bendrai finansuojamų iš ES fondų lėšų projektų netinkamam finansuoti iš ES fondų lėšų pirkimo ir (arba) importo PVM. </w:t>
                </w:r>
              </w:p>
              <w:p w14:paraId="3D137142" w14:textId="36CAAD82">
                <w:pPr>
                  <w:ind w:left="454" w:hanging="425"/>
                  <w:rPr>
                    <w:color w:val="000000"/>
                    <w:szCs w:val="24"/>
                  </w:rPr>
                </w:pPr>
                <w:r>
                  <w:rPr>
                    <w:szCs w:val="24"/>
                  </w:rPr>
                  <w:t xml:space="preserve">2.4. Finansuojamos veiklos turi būti baigtos įgyvendinti </w:t>
                </w:r>
                <w:r>
                  <w:rPr>
                    <w:color w:val="000000"/>
                    <w:szCs w:val="24"/>
                  </w:rPr>
                  <w:t>iki 2025 metų gruodžio 31 d.</w:t>
                </w:r>
              </w:p>
              <w:p w14:paraId="08D75D22" w14:textId="3AE83839">
                <w:pPr>
                  <w:tabs>
                    <w:tab w:val="left" w:pos="459"/>
                  </w:tabs>
                  <w:jc w:val="both"/>
                  <w:rPr>
                    <w:szCs w:val="24"/>
                    <w:lang w:eastAsia="lt-LT"/>
                  </w:rPr>
                </w:pPr>
                <w:r>
                  <w:rPr>
                    <w:szCs w:val="24"/>
                  </w:rPr>
                  <w:t xml:space="preserve">2.5. </w:t>
                </w:r>
                <w:r>
                  <w:rPr>
                    <w:bCs/>
                    <w:iCs/>
                    <w:szCs w:val="24"/>
                  </w:rPr>
                  <w:t xml:space="preserve">Pagal Aprašą finansuojama veikla – </w:t>
                </w:r>
                <w:r>
                  <w:rPr>
                    <w:iCs/>
                    <w:szCs w:val="24"/>
                  </w:rPr>
                  <w:t>sveikatos sektoriaus skaitmeninimas</w:t>
                </w:r>
                <w:r>
                  <w:rPr>
                    <w:bCs/>
                    <w:iCs/>
                    <w:szCs w:val="24"/>
                  </w:rPr>
                  <w:t>.</w:t>
                </w:r>
                <w:r>
                  <w:rPr>
                    <w:b/>
                    <w:szCs w:val="24"/>
                  </w:rPr>
                  <w:t xml:space="preserve"> </w:t>
                </w:r>
                <w:r>
                  <w:rPr>
                    <w:color w:val="000000"/>
                    <w:szCs w:val="24"/>
                    <w:lang w:eastAsia="lt-LT"/>
                  </w:rPr>
                  <w:t>Numatoma poveiklė –</w:t>
                </w:r>
                <w:r>
                  <w:rPr>
                    <w:iCs/>
                    <w:szCs w:val="24"/>
                  </w:rPr>
                  <w:t xml:space="preserve"> </w:t>
                </w:r>
                <w:r>
                  <w:t>sveikatos sektoriaus skaitmeninimo projektai</w:t>
                </w:r>
                <w:r>
                  <w:rPr>
                    <w:iCs/>
                    <w:szCs w:val="24"/>
                  </w:rPr>
                  <w:t xml:space="preserve">. </w:t>
                </w:r>
                <w:r>
                  <w:rPr>
                    <w:szCs w:val="24"/>
                    <w:lang w:eastAsia="lt-LT"/>
                  </w:rPr>
                  <w:t xml:space="preserve">Finansuojama </w:t>
                </w:r>
                <w:r>
                  <w:rPr>
                    <w:lang w:eastAsia="lt-LT"/>
                  </w:rPr>
                  <w:t xml:space="preserve">objektyviomis sąnaudomis grįsto sveikatos finansavimo modelio sukūrimas ir įgyvendinimas. Numatoma suprojektuoti ir įdiegti </w:t>
                </w:r>
                <w:r>
                  <w:t xml:space="preserve">bendrą ligoninių išteklių valdymo ir apskaitos informacinę sistemą (toliau – VLIVAS) </w:t>
                </w:r>
                <w:r>
                  <w:rPr>
                    <w:color w:val="000000"/>
                    <w:shd w:val="clear" w:color="auto" w:fill="FFFFFF"/>
                  </w:rPr>
                  <w:t>ir ją pritaikyti unifikuotų ir išsamių duomenų automatizuotam teikimui VšĮ Respublikinėje Vilniaus universitetinėje ligoninėje</w:t>
                </w:r>
                <w:r>
                  <w:t xml:space="preserve">. </w:t>
                </w:r>
              </w:p>
              <w:p w14:paraId="62F2692C" w14:textId="475B917B">
                <w:pPr>
                  <w:tabs>
                    <w:tab w:val="left" w:pos="690"/>
                  </w:tabs>
                  <w:ind w:left="29" w:hanging="32"/>
                  <w:jc w:val="both"/>
                  <w:rPr>
                    <w:color w:val="000000"/>
                    <w:szCs w:val="24"/>
                  </w:rPr>
                </w:pPr>
                <w:r>
                  <w:rPr>
                    <w:szCs w:val="24"/>
                  </w:rPr>
                  <w:t>2.</w:t>
                </w:r>
                <w:r>
                  <w:rPr>
                    <w:color w:val="000000"/>
                    <w:szCs w:val="24"/>
                  </w:rPr>
                  <w:t>6. Projekto investicinis projektas iki pateikiant administruojančiajai institucijai (toliau – CPVA) turi būti pristatytas Sveikatos apsaugos ministerijai.</w:t>
                </w:r>
              </w:p>
              <w:p w14:paraId="632A479E" w14:textId="0DB6AAE2">
                <w:pPr>
                  <w:jc w:val="both"/>
                  <w:rPr>
                    <w:color w:val="000000"/>
                    <w:szCs w:val="24"/>
                  </w:rPr>
                </w:pPr>
                <w:r>
                  <w:rPr>
                    <w:rFonts w:eastAsia="Calibri"/>
                    <w:bCs/>
                    <w:szCs w:val="24"/>
                  </w:rPr>
                  <w:t>2.7. Pagal Aprašą veikla įgyvendinama valstybės planavimo būdu.</w:t>
                </w:r>
              </w:p>
              <w:p w14:paraId="70A19BCF" w14:textId="392053F2">
                <w:pPr>
                  <w:jc w:val="both"/>
                  <w:rPr>
                    <w:rFonts w:eastAsia="Calibri"/>
                    <w:szCs w:val="24"/>
                  </w:rPr>
                </w:pPr>
                <w:r>
                  <w:rPr>
                    <w:rFonts w:eastAsia="Calibri"/>
                    <w:szCs w:val="24"/>
                  </w:rPr>
                  <w:t>2.8. Projektas turi atitikti projekto bendruosius atrankos kriterijus, nustatytus Projektų administravimo ir finansavimo taisyklių 2 priede „Projektų bendrųjų atrankos kriterijų sąrašo ir jų vertinimo metodikos“.</w:t>
                </w:r>
              </w:p>
              <w:p w14:paraId="292A79B8" w14:textId="257CC304">
                <w:pPr>
                  <w:tabs>
                    <w:tab w:val="decimal" w:pos="458"/>
                    <w:tab w:val="left" w:pos="660"/>
                  </w:tabs>
                  <w:jc w:val="both"/>
                  <w:rPr>
                    <w:szCs w:val="24"/>
                    <w:lang w:eastAsia="lt-LT"/>
                  </w:rPr>
                </w:pPr>
                <w:r>
                  <w:rPr>
                    <w:szCs w:val="24"/>
                  </w:rPr>
                  <w:t xml:space="preserve">2.9. </w:t>
                </w:r>
                <w:r>
                  <w:rPr>
                    <w:szCs w:val="24"/>
                    <w:lang w:eastAsia="lt-LT"/>
                  </w:rPr>
                  <w:t>Projektui taikomos matomumo ir informavimo priemonės nurodytos Projektų administravimo ir finansavimo taisyklių VIII skyriaus „Kiti projektų reikalavimai“ pirmame skirsnyje „Informavimas apie projektą ir komunikacija“. Papildomi matomumo reikalavimai nenustatomi.</w:t>
                </w:r>
              </w:p>
              <w:p w14:paraId="11465CE0" w14:textId="77777777">
                <w:pPr>
                  <w:jc w:val="both"/>
                  <w:rPr>
                    <w:szCs w:val="24"/>
                  </w:rPr>
                </w:pPr>
                <w:r>
                  <w:rPr>
                    <w:szCs w:val="24"/>
                  </w:rPr>
                  <w:t xml:space="preserve">2.10. Jeigu projektas įgyvendinamas su partneriu, partnerystė projekte turi būti pagrįsta, teikti naudą ir prisidėti prie projekto tikslo įgyvendinimo; iki pateikiant projekto įgyvendinimo planą, turi būti sudaryta partnerystės sutartis. Partnerystės sutartį pasirašo projekto vykdytojas ir projekto partneris. Partnerystės sutartyje turi būti aiškiai išdėstyti šalių įsipareigojimai ir teisės dėl projekto (nurodytas kiekvienos šalies finansinis ir dalykinis indėlis į projektą, kokias veiklas vykdys kiekviena šalis, teisės į bendrai sukurtą ar įgytą turtą laikantis finansinės apskaitos principų, projekto rezultatai ir kita),  šalių atsakomybė, įsipareigojimai laikytis pagrindinių geros partnerystės praktikos taisyklių:</w:t>
                </w:r>
              </w:p>
              <w:p w14:paraId="5365B499" w14:textId="1254C7D7">
                <w:pPr>
                  <w:jc w:val="both"/>
                  <w:rPr>
                    <w:szCs w:val="24"/>
                  </w:rPr>
                </w:pPr>
                <w:r>
                  <w:rPr>
                    <w:szCs w:val="24"/>
                  </w:rPr>
                  <w:t>2.10.1. partneris turi būti perskaitęs projekto įgyvendinimo planą ir susipažinęs su savo teisėmis ir pareigomis įgyvendinant projekto įgyvendinimo planą;</w:t>
                </w:r>
              </w:p>
              <w:p w14:paraId="7FCE2666" w14:textId="32C7DAD7">
                <w:pPr>
                  <w:jc w:val="both"/>
                  <w:rPr>
                    <w:szCs w:val="24"/>
                  </w:rPr>
                </w:pPr>
                <w:r>
                  <w:rPr>
                    <w:szCs w:val="24"/>
                  </w:rPr>
                  <w:t>2.10.2. įgyvendindamas projektą projekto vykdytojas privalo reguliariai konsultuotis su partneriu ir nuolat jį informuoti apie projekto įgyvendinimo eigą;</w:t>
                </w:r>
              </w:p>
              <w:p w14:paraId="22A40893" w14:textId="3785DF8B">
                <w:pPr>
                  <w:jc w:val="both"/>
                  <w:rPr>
                    <w:szCs w:val="24"/>
                  </w:rPr>
                </w:pPr>
                <w:r>
                  <w:rPr>
                    <w:szCs w:val="24"/>
                  </w:rPr>
                  <w:t>2.10.3. visi projekto įgyvendinimo plano pakeitimai, turintys įtakos partnerio įsipareigojimams ir teisėms, prieš kreipiantis į CPVA pirmiausia turi būti suderinti su partneriu.</w:t>
                </w:r>
              </w:p>
              <w:p w14:paraId="627D11E5" w14:textId="6198A931">
                <w:pPr>
                  <w:tabs>
                    <w:tab w:val="left" w:pos="454"/>
                  </w:tabs>
                  <w:ind w:left="29" w:hanging="29"/>
                  <w:jc w:val="both"/>
                  <w:rPr>
                    <w:szCs w:val="24"/>
                  </w:rPr>
                </w:pPr>
                <w:r>
                  <w:rPr>
                    <w:szCs w:val="24"/>
                  </w:rPr>
                  <w:t xml:space="preserve">2.11. </w:t>
                </w:r>
                <w:r>
                  <w:rPr>
                    <w:szCs w:val="24"/>
                    <w:lang w:eastAsia="lt-LT"/>
                  </w:rPr>
                  <w:t>Kartu su projekto įgyvendinimo planu administruojančiajai institucijai turi būti pateikti šie dokumentai:</w:t>
                </w:r>
              </w:p>
              <w:p w14:paraId="6CAC8A12" w14:textId="16996D7C">
                <w:pPr>
                  <w:tabs>
                    <w:tab w:val="decimal" w:pos="33"/>
                    <w:tab w:val="left" w:pos="738"/>
                  </w:tabs>
                  <w:ind w:left="29" w:hanging="29"/>
                  <w:jc w:val="both"/>
                  <w:rPr>
                    <w:szCs w:val="24"/>
                  </w:rPr>
                </w:pPr>
                <w:r>
                  <w:rPr>
                    <w:szCs w:val="24"/>
                  </w:rPr>
                  <w:t>2.11.1. dokumentai, pagrindžiantys darbo užmokesčio išlaidų pagrįstumą (</w:t>
                </w:r>
                <w:r>
                  <w:rPr>
                    <w:szCs w:val="24"/>
                    <w:lang w:eastAsia="lt-LT"/>
                  </w:rPr>
                  <w:t>veiklų sąrašą, kuriame būtų nurodytos projektą vykdančių asmenų darbo valandos projekte, įkainis (valandinis arba mėnesinis), jo pagrindimas</w:t>
                </w:r>
                <w:r>
                  <w:rPr>
                    <w:szCs w:val="24"/>
                  </w:rPr>
                  <w:t xml:space="preserve">).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2–3 mėn. laikotarpio analogiškos pareigybės nuasmenintas priskaitymo-apmokėjimo žiniaraštis, įrodantis DU paskyrimo ir išmokėjimo faktą. Valstybės tarnautojų, biudžetinių įstaigų darbuotojų darbo užmokesčio įkainis (valandinis arba mėnesinis) turi būti apskaičiuotas vadovaujantis nacionaliniais teisės aktais, reglamentuojančiais tokių darbuotojų darbo užmokesčio apskaičiavimą; </w:t>
                </w:r>
              </w:p>
              <w:p w14:paraId="5647E5B4" w14:textId="3F4A88C9">
                <w:pPr>
                  <w:tabs>
                    <w:tab w:val="left" w:pos="680"/>
                  </w:tabs>
                  <w:jc w:val="both"/>
                  <w:rPr>
                    <w:szCs w:val="24"/>
                  </w:rPr>
                </w:pPr>
                <w:r>
                  <w:rPr>
                    <w:szCs w:val="24"/>
                  </w:rPr>
                  <w:t>2.11.2.</w:t>
                  <w:tab/>
                </w:r>
                <w:r>
                  <w:rPr>
                    <w:szCs w:val="24"/>
                    <w:lang w:eastAsia="lt-LT"/>
                  </w:rPr>
                  <w:t xml:space="preserve"> 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(2023 m. sausio 6 d. įsakymo Nr. 2023/8-4 redakcija), kuri paskelbta http://www.cpva.lt/ skiltyje „</w:t>
                </w:r>
                <w:r>
                  <w:rPr>
                    <w:szCs w:val="24"/>
                  </w:rPr>
                  <w:t>Plėtros programų portfelio metodinės pagalbos centras“ prie „Dokumentai“</w:t>
                </w:r>
                <w:r>
                  <w:rPr>
                    <w:szCs w:val="24"/>
                    <w:lang w:eastAsia="lt-LT"/>
                  </w:rPr>
                  <w:t>;</w:t>
                </w:r>
              </w:p>
              <w:p w14:paraId="0B21BE3F" w14:textId="1709F083">
                <w:pPr>
                  <w:jc w:val="both"/>
                  <w:rPr>
                    <w:szCs w:val="24"/>
                  </w:rPr>
                </w:pPr>
                <w:r>
                  <w:rPr>
                    <w:szCs w:val="24"/>
                  </w:rPr>
                  <w:t xml:space="preserve">2.11.3. dokumentai, pagrindžiantys projekto išlaidų pagrįstumą (sudarytos sutartys, komerciniai pasiūlymai, nuorodos į rinkoje esančias kainas (pvz.,  Centrinėje viešųjų pirkimų informacinėje sistemoje), jeigu išlaidos grindžiamos tiekėjų pasiūlymais, paklausimai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darbo įkainiai, išorinių sąsajų skaičius, įvertintos numatomos naudoti programinės įrangos licencijos, jų kaina ir pan.);</w:t>
                </w:r>
              </w:p>
              <w:p w14:paraId="78891ED8" w14:textId="4AF75C3F">
                <w:pPr>
                  <w:tabs>
                    <w:tab w:val="left" w:pos="680"/>
                  </w:tabs>
                  <w:jc w:val="both"/>
                  <w:rPr>
                    <w:szCs w:val="24"/>
                  </w:rPr>
                </w:pPr>
                <w:r>
                  <w:rPr>
                    <w:szCs w:val="24"/>
                    <w:lang w:eastAsia="lt-LT"/>
                  </w:rPr>
                  <w:t>2.11.4. p</w:t>
                </w:r>
                <w:r>
                  <w:rPr>
                    <w:szCs w:val="24"/>
                  </w:rPr>
                  <w:t xml:space="preserve">artnerio deklaracija (Projektų administravimo ir finansavimo taisyklių PĮP formos </w:t>
                </w:r>
                <w:r>
                  <w:rPr>
                    <w:szCs w:val="24"/>
                    <w:shd w:val="clear" w:color="auto" w:fill="FFFFFF"/>
                  </w:rPr>
                  <w:t>1 priedas</w:t>
                </w:r>
                <w:r>
                  <w:rPr>
                    <w:szCs w:val="24"/>
                  </w:rPr>
                  <w:t>) (taikoma, jei projektas bus įgyvendinamas su partneriu (-iais);</w:t>
                </w:r>
              </w:p>
              <w:p w14:paraId="78A54D08" w14:textId="40F52F70">
                <w:pPr>
                  <w:tabs>
                    <w:tab w:val="left" w:pos="680"/>
                  </w:tabs>
                  <w:jc w:val="both"/>
                  <w:rPr>
                    <w:szCs w:val="24"/>
                    <w:lang w:eastAsia="lt-LT"/>
                  </w:rPr>
                </w:pPr>
                <w:r>
                  <w:rPr>
                    <w:szCs w:val="24"/>
                  </w:rPr>
                  <w:t xml:space="preserve">2.11.5. informacija apie projekto biudžeto paskirstymą pagal pareiškėjus ir partnerius (Projektų administravimo ir finansavimo taisyklių PĮP formos </w:t>
                </w:r>
                <w:r>
                  <w:rPr>
                    <w:szCs w:val="24"/>
                    <w:shd w:val="clear" w:color="auto" w:fill="FFFFFF"/>
                  </w:rPr>
                  <w:t>2 priedas</w:t>
                </w:r>
                <w:r>
                  <w:rPr>
                    <w:szCs w:val="24"/>
                  </w:rPr>
                  <w:t>) (taikoma, jei projektas bus įgyvendinamas su partneriu (-iais).</w:t>
                </w:r>
              </w:p>
              <w:p w14:paraId="56933CEF" w14:textId="6F009AE7">
                <w:pPr>
                  <w:tabs>
                    <w:tab w:val="left" w:pos="426"/>
                    <w:tab w:val="left" w:pos="709"/>
                  </w:tabs>
                  <w:jc w:val="both"/>
                  <w:rPr>
                    <w:szCs w:val="24"/>
                  </w:rPr>
                </w:pPr>
                <w:r>
                  <w:rPr>
                    <w:szCs w:val="24"/>
                  </w:rPr>
                  <w:t>2.12. Taikomi reikalavimai projekto įgyvendinimo metu:</w:t>
                </w:r>
              </w:p>
              <w:p w14:paraId="1D9C0F39" w14:textId="0BAC4AA2">
                <w:pPr>
                  <w:tabs>
                    <w:tab w:val="left" w:pos="426"/>
                    <w:tab w:val="left" w:pos="709"/>
                  </w:tabs>
                  <w:jc w:val="both"/>
                  <w:rPr>
                    <w:szCs w:val="24"/>
                    <w:lang w:eastAsia="lt-LT"/>
                  </w:rPr>
                </w:pPr>
                <w:r>
                  <w:rPr>
                    <w:szCs w:val="24"/>
                  </w:rPr>
                  <w:t>2.12.1.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color w:val="000000"/>
                    <w:szCs w:val="24"/>
                  </w:rPr>
                  <w:t>Valstybės informacinė sistema laikoma įsteigta nuo valstybės informacinės sistemos nuostatų patvirtinimo;</w:t>
                </w:r>
              </w:p>
              <w:p w14:paraId="0700BF33" w14:textId="0891E86C">
                <w:pPr>
                  <w:tabs>
                    <w:tab w:val="left" w:pos="426"/>
                    <w:tab w:val="left" w:pos="709"/>
                  </w:tabs>
                  <w:jc w:val="both"/>
                  <w:rPr>
                    <w:color w:val="000000"/>
                    <w:szCs w:val="24"/>
                  </w:rPr>
                </w:pPr>
                <w:r>
                  <w:rPr>
                    <w:szCs w:val="24"/>
                  </w:rPr>
                  <w:t>2.12.2. sukūrus ar modernizavus elektronines paslaugas, turi būti atliktas atsparumo įsilaužimams testas, kaip tai numatyta Elektroninių paslaugų kūrimo metodikoje, nustačius kritinių klaidų, jos turi būti ištaisytos iki projekto veiklų pabaigos;</w:t>
                </w:r>
              </w:p>
              <w:p w14:paraId="2169EBA1" w14:textId="4A458B90">
                <w:pPr>
                  <w:jc w:val="both"/>
                  <w:rPr>
                    <w:szCs w:val="24"/>
                  </w:rPr>
                </w:pPr>
                <w:r>
                  <w:rPr>
                    <w:szCs w:val="24"/>
                  </w:rPr>
                  <w:t>2.12.3. sukūrus ar modernizavus elektronines paslaugas, turi būti patvirtintas kuriamos arba modernizuojamos informacinės sistemos priėmimo ir tinkamumo eksploatuoti aktas, kaip tai nustatyta Valstybės informacinių sistemų gyvavimo ciklo valdymo metodikoje.</w:t>
                </w:r>
              </w:p>
            </w:tc>
          </w:tr>
          <w:tr w14:paraId="2C5A959B" w14:textId="77777777">
            <w:tc>
              <w:tcPr>
                <w:tcW w:w="14709" w:type="dxa"/>
              </w:tcPr>
              <w:p w14:paraId="36E28D7C" w14:textId="48F826C2">
                <w:pPr>
                  <w:jc w:val="both"/>
                  <w:rPr>
                    <w:iCs/>
                    <w:szCs w:val="24"/>
                  </w:rPr>
                </w:pPr>
                <w:r>
                  <w:rPr>
                    <w:b/>
                    <w:szCs w:val="24"/>
                  </w:rPr>
                  <w:t>3. Reikalavimai jungtinio projekto projektams</w:t>
                </w:r>
              </w:p>
            </w:tc>
          </w:tr>
          <w:tr w14:paraId="38BE2ECA" w14:textId="77777777">
            <w:trPr>
              <w:trHeight w:val="327"/>
            </w:trPr>
            <w:tc>
              <w:tcPr>
                <w:tcW w:w="14709" w:type="dxa"/>
              </w:tcPr>
              <w:p w14:paraId="763DB7B9" w14:textId="5257739F">
                <w:pPr>
                  <w:jc w:val="both"/>
                  <w:rPr>
                    <w:szCs w:val="24"/>
                  </w:rPr>
                </w:pPr>
                <w:r>
                  <w:rPr>
                    <w:szCs w:val="24"/>
                  </w:rPr>
                  <w:t>Netaikoma.</w:t>
                </w:r>
              </w:p>
            </w:tc>
          </w:tr>
          <w:tr w14:paraId="159F0319" w14:textId="77777777">
            <w:trPr>
              <w:trHeight w:val="327"/>
            </w:trPr>
            <w:tc>
              <w:tcPr>
                <w:tcW w:w="14709" w:type="dxa"/>
              </w:tcPr>
              <w:p w14:paraId="19921E3E" w14:textId="76C4E72A">
                <w:pPr>
                  <w:jc w:val="both"/>
                  <w:rPr>
                    <w:szCs w:val="24"/>
                  </w:rPr>
                </w:pPr>
                <w:r>
                  <w:rPr>
                    <w:b/>
                    <w:szCs w:val="24"/>
                  </w:rPr>
                  <w:t>4. Projekto tikslinės grupės</w:t>
                </w:r>
              </w:p>
            </w:tc>
          </w:tr>
          <w:tr w14:paraId="291DB3C0" w14:textId="77777777">
            <w:trPr>
              <w:trHeight w:val="327"/>
            </w:trPr>
            <w:tc>
              <w:tcPr>
                <w:tcW w:w="14709" w:type="dxa"/>
              </w:tcPr>
              <w:p w14:paraId="7E0F397F" w14:textId="57B253ED">
                <w:pPr>
                  <w:jc w:val="both"/>
                  <w:rPr>
                    <w:szCs w:val="24"/>
                  </w:rPr>
                </w:pPr>
                <w:r>
                  <w:rPr>
                    <w:color w:val="000000"/>
                    <w:szCs w:val="24"/>
                  </w:rPr>
                  <w:t>Lietuvos Respublikos gyventojai, sveikatos sistemos atstovai (sveikatos priežiūros specialistai, asmens sveikatos priežiūros įstaigos, valstybinių institucijų atstovai ir pan.).</w:t>
                </w:r>
                <w:r>
                  <w:rPr>
                    <w:szCs w:val="24"/>
                  </w:rPr>
                  <w:t xml:space="preserve"> Tikslinių grupių poreikiai bus išgryninti investiciniame projekte.</w:t>
                </w:r>
              </w:p>
            </w:tc>
          </w:tr>
          <w:tr w14:paraId="28933284" w14:textId="77777777">
            <w:trPr>
              <w:trHeight w:val="285"/>
            </w:trPr>
            <w:tc>
              <w:tcPr>
                <w:tcW w:w="14709" w:type="dxa"/>
              </w:tcPr>
              <w:p w14:paraId="7315DB83" w14:textId="3D93A06E">
                <w:pPr>
                  <w:rPr>
                    <w:sz w:val="22"/>
                    <w:szCs w:val="22"/>
                  </w:rPr>
                </w:pPr>
                <w:r>
                  <w:rPr>
                    <w:b/>
                    <w:szCs w:val="24"/>
                  </w:rPr>
                  <w:t>5. Horizontaliųjų principų (toliau – HP) reikalavimai</w:t>
                </w:r>
              </w:p>
            </w:tc>
          </w:tr>
          <w:tr w14:paraId="02E4D004" w14:textId="77777777">
            <w:tc>
              <w:tcPr>
                <w:tcW w:w="14709" w:type="dxa"/>
              </w:tcPr>
              <w:p w14:paraId="7BE8D0F7" w14:textId="2B7FEBE4">
                <w:pPr>
                  <w:jc w:val="both"/>
                  <w:rPr>
                    <w:szCs w:val="24"/>
                    <w:highlight w:val="yellow"/>
                  </w:rPr>
                </w:pPr>
                <w:r>
                  <w:rPr>
                    <w:szCs w:val="24"/>
                  </w:rPr>
                  <w:t xml:space="preserve">Projekto įgyvendinimo metu nepažeidžiami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sprendimai, informacijos, transporto prieinamumo ir pan.); inovatyvumo (kūrybingumo) (vykdomi inovatyvūs viešieji pirkimai, taikomos naujos technologijos, kuriami ar diegiami inovatyvūs sprendimai ir pan.)). Projekte neturi būti numatyta veiksmų, kurie turėtų neigiamą poveikį įgyvendinant HP. </w:t>
                </w:r>
              </w:p>
              <w:p w14:paraId="6895EE70" w14:textId="405ED53D">
                <w:pPr>
                  <w:jc w:val="both"/>
                  <w:rPr>
                    <w:bCs/>
                    <w:szCs w:val="24"/>
                  </w:rPr>
                </w:pPr>
                <w:r>
                  <w:rPr>
                    <w:szCs w:val="24"/>
                  </w:rPr>
                  <w:t xml:space="preserve">Įvertinus EGADP 1 komponento planuojamos reformos „Sveikatos priežiūros paslaugų kokybės ir prieinamumo gerinimas bei inovacijų skatinimas“  pov</w:t>
                </w:r>
                <w:r>
                  <w:rPr>
                    <w:bCs/>
                    <w:szCs w:val="24"/>
                  </w:rPr>
                  <w:t>eikį šešiems aplinkos veiksniams, nurodytiems</w:t>
                </w:r>
                <w:r>
                  <w:rPr>
                    <w:szCs w:val="24"/>
                  </w:rPr>
                  <w:t xml:space="preserve"> 2020 m. birželio 18 d. Europos Parlamento ir Tarybos reglamento </w:t>
                </w:r>
                <w:r>
                  <w:rPr>
                    <w:color w:val="000000"/>
                    <w:szCs w:val="24"/>
                  </w:rPr>
                  <w:t xml:space="preserve">(ES) Nr. 2020/852 </w:t>
                </w:r>
                <w:r>
                  <w:rPr>
                    <w:szCs w:val="24"/>
                  </w:rPr>
                  <w:t xml:space="preserve">dėl sistemos tvariam investavimui palengvinti sukūrimo, kuriuo iš dalies keičiamas Reglamentas </w:t>
                </w:r>
                <w:r>
                  <w:rPr>
                    <w:color w:val="000000"/>
                    <w:szCs w:val="24"/>
                  </w:rPr>
                  <w:t>(ES) 2019/208</w:t>
                </w:r>
                <w:r>
                  <w:rPr>
                    <w:szCs w:val="24"/>
                  </w:rPr>
                  <w:t>, 17 straipsnyje,</w:t>
                </w:r>
                <w:r>
                  <w:rPr>
                    <w:bCs/>
                    <w:szCs w:val="24"/>
                  </w:rPr>
                  <w:t xml:space="preserv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w:t>
                </w:r>
                <w:r>
                  <w:t xml:space="preserve"> nedarymo</w:t>
                </w:r>
                <w:r>
                  <w:rPr>
                    <w:bCs/>
                    <w:szCs w:val="24"/>
                  </w:rPr>
                  <w:t xml:space="preserve"> principą.</w:t>
                </w:r>
              </w:p>
              <w:p w14:paraId="5AE92809" w14:textId="77777777">
                <w:pPr>
                  <w:jc w:val="both"/>
                </w:pPr>
                <w:r>
                  <w:t>Projektų atitikties reikšmingos žalos nedarymo HP vertinimo reikalavimai pateikiami Aprašo priede „Projekto atitikties reikšmingos žalos nedarymo horizontaliajam principui vertinimo reikalavimų aprašas“.</w:t>
                </w:r>
              </w:p>
              <w:p w14:paraId="2339FE7D" w14:textId="3DB1C9F2">
                <w:pPr>
                  <w:jc w:val="both"/>
                  <w:rPr>
                    <w:szCs w:val="24"/>
                  </w:rPr>
                </w:pPr>
                <w:r>
                  <w:rPr>
                    <w:szCs w:val="24"/>
                  </w:rPr>
                  <w:t>Projekto įgyvendinimo metu </w:t>
                </w:r>
                <w:r>
                  <w:rPr>
                    <w:szCs w:val="24"/>
                    <w:lang w:eastAsia="lt-LT"/>
                  </w:rPr>
                  <w:t>neturi būti pažeidžiamos Jungtinių Tautų neįgaliųjų teisių konvencijos nuostatos.</w:t>
                </w:r>
              </w:p>
            </w:tc>
          </w:tr>
          <w:tr w14:paraId="48E0E687" w14:textId="77777777">
            <w:tc>
              <w:tcPr>
                <w:tcW w:w="14709" w:type="dxa"/>
              </w:tcPr>
              <w:p w14:paraId="1F0CCB53" w14:textId="69E04272">
                <w:pPr>
                  <w:spacing w:line="259" w:lineRule="auto"/>
                  <w:jc w:val="both"/>
                  <w:rPr>
                    <w:b/>
                    <w:iCs/>
                    <w:szCs w:val="24"/>
                  </w:rPr>
                </w:pPr>
                <w:r>
                  <w:rPr>
                    <w:b/>
                    <w:iCs/>
                    <w:szCs w:val="24"/>
                  </w:rPr>
                  <w:t>6. Europos Sąjungos pagrindinių teisių chartijos (toliau – Chartija) reikalavimai</w:t>
                </w:r>
              </w:p>
            </w:tc>
          </w:tr>
          <w:tr w14:paraId="3A9654E5" w14:textId="77777777">
            <w:tc>
              <w:tcPr>
                <w:tcW w:w="14709" w:type="dxa"/>
              </w:tcPr>
              <w:p w14:paraId="76F89C6F" w14:textId="5B94537B">
                <w:pPr>
                  <w:jc w:val="both"/>
                  <w:rPr>
                    <w:szCs w:val="24"/>
                  </w:rPr>
                </w:pPr>
                <w:r>
                  <w:rPr>
                    <w:szCs w:val="24"/>
                  </w:rPr>
                  <w:t>Projekto įgyvendinimo metu nepažeidžiamos Europos Sąjungos pagrindinių teisių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reikalavimų).</w:t>
                </w:r>
              </w:p>
            </w:tc>
          </w:tr>
          <w:tr w14:paraId="24EC0894" w14:textId="77777777">
            <w:tc>
              <w:tcPr>
                <w:tcW w:w="14709" w:type="dxa"/>
              </w:tcPr>
              <w:p w14:paraId="3443B7B9" w14:textId="596E8F8E">
                <w:pPr>
                  <w:rPr>
                    <w:b/>
                    <w:szCs w:val="24"/>
                  </w:rPr>
                </w:pPr>
                <w:r>
                  <w:rPr>
                    <w:b/>
                    <w:szCs w:val="24"/>
                  </w:rPr>
                  <w:t>7. Apskritis, kurioje gali būti įgyvendinami projektai</w:t>
                </w:r>
              </w:p>
            </w:tc>
          </w:tr>
          <w:tr w14:paraId="5E6A3E47" w14:textId="77777777">
            <w:tc>
              <w:tcPr>
                <w:tcW w:w="14709" w:type="dxa"/>
              </w:tcPr>
              <w:p w14:paraId="0E11DD7A" w14:textId="645374D7">
                <w:pPr>
                  <w:jc w:val="both"/>
                  <w:rPr>
                    <w:i/>
                    <w:iCs/>
                    <w:szCs w:val="24"/>
                  </w:rPr>
                </w:pPr>
                <w:r>
                  <w:rPr>
                    <w:i/>
                    <w:iCs/>
                    <w:szCs w:val="24"/>
                  </w:rPr>
                  <w:t>Netaikoma.</w:t>
                </w:r>
              </w:p>
            </w:tc>
          </w:tr>
          <w:tr w14:paraId="4255308F" w14:textId="77777777">
            <w:tc>
              <w:tcPr>
                <w:tcW w:w="14709" w:type="dxa"/>
              </w:tcPr>
              <w:p w14:paraId="2CE40309" w14:textId="128D8B75">
                <w:pPr>
                  <w:jc w:val="both"/>
                  <w:rPr>
                    <w:b/>
                    <w:szCs w:val="24"/>
                  </w:rPr>
                </w:pPr>
                <w:r>
                  <w:rPr>
                    <w:b/>
                    <w:szCs w:val="24"/>
                  </w:rPr>
                  <w:t xml:space="preserve">8. Reikalavimai valstybės pagalbai </w:t>
                </w:r>
              </w:p>
            </w:tc>
          </w:tr>
          <w:tr w14:paraId="5033E6F9" w14:textId="77777777">
            <w:tc>
              <w:tcPr>
                <w:tcW w:w="14709" w:type="dxa"/>
              </w:tcPr>
              <w:p w14:paraId="2AEC8EED" w14:textId="4C966F9F">
                <w:pPr>
                  <w:jc w:val="both"/>
                  <w:rPr>
                    <w:i/>
                    <w:iCs/>
                    <w:szCs w:val="24"/>
                  </w:rPr>
                </w:pPr>
                <w:r>
                  <w:rPr>
                    <w:szCs w:val="24"/>
                  </w:rPr>
                  <w:t xml:space="preserve">Pagal šį Aprašą valstybės pagalba, kaip ji apibrėžta Sutarties dėl Europos Sąjungos veikimo (OL 2010 C 83, p. 47) 107 straipsnyje, ir </w:t>
                </w:r>
                <w:r>
                  <w:rPr>
                    <w:i/>
                    <w:iCs/>
                    <w:szCs w:val="24"/>
                  </w:rPr>
                  <w:t>de minimis</w:t>
                </w:r>
                <w:r>
                  <w:rPr>
                    <w:szCs w:val="24"/>
                  </w:rPr>
                  <w:t xml:space="preserve"> pagalba, kuri atitinka 2013 m. gruodžio 18 d. Komisijos reglamento </w:t>
                </w:r>
                <w:r>
                  <w:rPr>
                    <w:color w:val="000000"/>
                    <w:szCs w:val="24"/>
                  </w:rPr>
                  <w:t xml:space="preserve">(ES) Nr. 1407/2013 </w:t>
                </w:r>
                <w:r>
                  <w:rPr>
                    <w:szCs w:val="24"/>
                  </w:rPr>
                  <w:t xml:space="preserve">dėl Sutarties dėl Europos Sąjungos veikimo 107 ir 108 straipsnių taikymo </w:t>
                </w:r>
                <w:r>
                  <w:rPr>
                    <w:i/>
                    <w:iCs/>
                    <w:szCs w:val="24"/>
                  </w:rPr>
                  <w:t>de minimis</w:t>
                </w:r>
                <w:r>
                  <w:rPr>
                    <w:szCs w:val="24"/>
                  </w:rPr>
                  <w:t xml:space="preserve"> pagalbai (OL 2013 L 352, p. 1) nuostatas, neteikiama.</w:t>
                </w:r>
              </w:p>
            </w:tc>
          </w:tr>
          <w:tr w14:paraId="5431B53A" w14:textId="77777777">
            <w:trPr>
              <w:trHeight w:val="270"/>
            </w:trPr>
            <w:tc>
              <w:tcPr>
                <w:tcW w:w="14709" w:type="dxa"/>
              </w:tcPr>
              <w:p w14:paraId="7230C63B" w14:textId="5AA30C79">
                <w:pPr>
                  <w:spacing w:line="276" w:lineRule="auto"/>
                  <w:ind w:left="426" w:hanging="426"/>
                  <w:jc w:val="both"/>
                  <w:rPr>
                    <w:b/>
                    <w:szCs w:val="24"/>
                  </w:rPr>
                </w:pPr>
                <w:r>
                  <w:rPr>
                    <w:b/>
                    <w:szCs w:val="24"/>
                  </w:rPr>
                  <w:t>9. Projektų atrankos kriterijai</w:t>
                </w:r>
              </w:p>
            </w:tc>
          </w:tr>
          <w:tr w14:paraId="74B6648A" w14:textId="77777777">
            <w:trPr>
              <w:trHeight w:val="360"/>
            </w:trPr>
            <w:tc>
              <w:tcPr>
                <w:tcW w:w="14709" w:type="dxa"/>
              </w:tcPr>
              <w:p w14:paraId="748A323E" w14:textId="77777777">
                <w:pPr>
                  <w:spacing w:line="276" w:lineRule="auto"/>
                  <w:ind w:left="426" w:hanging="426"/>
                  <w:jc w:val="both"/>
                  <w:rPr>
                    <w:b/>
                    <w:szCs w:val="24"/>
                  </w:rPr>
                </w:pPr>
                <w:r>
                  <w:rPr>
                    <w:iCs/>
                    <w:szCs w:val="24"/>
                  </w:rPr>
                  <w:t>Specialieji ir prioritetiniai projektų atrankos kriterijai nėra nustatomi.</w:t>
                </w:r>
              </w:p>
            </w:tc>
          </w:tr>
          <w:tr w14:paraId="3E328D52" w14:textId="77777777">
            <w:trPr>
              <w:trHeight w:val="309"/>
            </w:trPr>
            <w:tc>
              <w:tcPr>
                <w:tcW w:w="14709" w:type="dxa"/>
              </w:tcPr>
              <w:p w14:paraId="7AE1A98D" w14:textId="534CBEAA">
                <w:pPr>
                  <w:jc w:val="both"/>
                  <w:rPr>
                    <w:i/>
                    <w:sz w:val="22"/>
                    <w:szCs w:val="22"/>
                  </w:rPr>
                </w:pPr>
                <w:r>
                  <w:rPr>
                    <w:b/>
                    <w:szCs w:val="22"/>
                  </w:rPr>
                  <w:t xml:space="preserve">10.  Jungtinio projekto projektų atrankos kriterijai (</w:t>
                </w:r>
                <w:r>
                  <w:rPr>
                    <w:b/>
                    <w:i/>
                    <w:szCs w:val="22"/>
                  </w:rPr>
                  <w:t>pildoma tik jungtiniam projektui)</w:t>
                </w:r>
              </w:p>
            </w:tc>
          </w:tr>
          <w:tr w14:paraId="044A739F" w14:textId="77777777">
            <w:trPr>
              <w:trHeight w:val="244"/>
            </w:trPr>
            <w:tc>
              <w:tcPr>
                <w:tcW w:w="14709" w:type="dxa"/>
              </w:tcPr>
              <w:p w14:paraId="060B8DC5" w14:textId="069298CB">
                <w:pPr>
                  <w:jc w:val="both"/>
                  <w:rPr>
                    <w:iCs/>
                    <w:szCs w:val="24"/>
                  </w:rPr>
                </w:pPr>
                <w:r>
                  <w:rPr>
                    <w:iCs/>
                    <w:szCs w:val="24"/>
                  </w:rPr>
                  <w:t>Netaikoma.</w:t>
                </w:r>
              </w:p>
            </w:tc>
          </w:tr>
          <w:tr w14:paraId="0375E638" w14:textId="77777777">
            <w:tc>
              <w:tcPr>
                <w:tcW w:w="14709" w:type="dxa"/>
              </w:tcPr>
              <w:p w14:paraId="37423EF4" w14:textId="37C09972">
                <w:pPr>
                  <w:rPr>
                    <w:b/>
                    <w:szCs w:val="24"/>
                  </w:rPr>
                </w:pPr>
                <w:r>
                  <w:rPr>
                    <w:b/>
                    <w:szCs w:val="24"/>
                  </w:rPr>
                  <w:t xml:space="preserve">11. Reikalavimai įgyvendinus projektų veiklas </w:t>
                </w:r>
              </w:p>
            </w:tc>
          </w:tr>
          <w:tr w14:paraId="6F0F816D" w14:textId="77777777">
            <w:tc>
              <w:tcPr>
                <w:tcW w:w="14709" w:type="dxa"/>
              </w:tcPr>
              <w:p w14:paraId="5D0DA212" w14:textId="6BA48861">
                <w:pPr>
                  <w:rPr>
                    <w:iCs/>
                    <w:szCs w:val="24"/>
                  </w:rPr>
                </w:pPr>
                <w:r>
                  <w:rPr>
                    <w:iCs/>
                    <w:szCs w:val="24"/>
                  </w:rPr>
                  <w:t>Papildomi reikalavimai, kurie nėra nurodyti Projektų administravimo ir finansavimo taisyklėse, nenustatyti.</w:t>
                </w:r>
              </w:p>
            </w:tc>
          </w:tr>
          <w:tr w14:paraId="302BDEA4" w14:textId="77777777">
            <w:tc>
              <w:tcPr>
                <w:tcW w:w="14709" w:type="dxa"/>
              </w:tcPr>
              <w:p w14:paraId="40E51A39" w14:textId="76D9DA1D">
                <w:pPr>
                  <w:rPr>
                    <w:szCs w:val="24"/>
                  </w:rPr>
                </w:pPr>
                <w:r>
                  <w:rPr>
                    <w:b/>
                    <w:szCs w:val="24"/>
                  </w:rPr>
                  <w:t>12. Kiti reikalavimai</w:t>
                </w:r>
              </w:p>
            </w:tc>
          </w:tr>
          <w:tr w14:paraId="11CC9E83" w14:textId="77777777">
            <w:tc>
              <w:tcPr>
                <w:tcW w:w="14709" w:type="dxa"/>
              </w:tcPr>
              <w:p w14:paraId="1ACBA6D9" w14:textId="690882E8">
                <w:pPr>
                  <w:tabs>
                    <w:tab w:val="left" w:pos="449"/>
                  </w:tabs>
                  <w:spacing w:line="276" w:lineRule="auto"/>
                  <w:jc w:val="both"/>
                  <w:rPr>
                    <w:iCs/>
                    <w:szCs w:val="24"/>
                  </w:rPr>
                </w:pPr>
                <w:r>
                  <w:rPr>
                    <w:iCs/>
                    <w:szCs w:val="24"/>
                  </w:rPr>
                  <w:t>Netaikoma.</w:t>
                </w:r>
              </w:p>
            </w:tc>
          </w:tr>
          <w:tr w14:paraId="315AEE96" w14:textId="77777777">
            <w:tc>
              <w:tcPr>
                <w:tcW w:w="14709" w:type="dxa"/>
              </w:tcPr>
              <w:p w14:paraId="71E9CC99" w14:textId="77777777">
                <w:pPr>
                  <w:rPr>
                    <w:b/>
                    <w:szCs w:val="24"/>
                  </w:rPr>
                </w:pPr>
                <w:r>
                  <w:rPr>
                    <w:b/>
                    <w:szCs w:val="24"/>
                  </w:rPr>
                  <w:t>IŠLAIDŲ TINKAMUMO FINANSUOTI REIKALAVIMAI</w:t>
                </w:r>
              </w:p>
            </w:tc>
          </w:tr>
          <w:tr w14:paraId="28A77A62" w14:textId="77777777">
            <w:tc>
              <w:tcPr>
                <w:tcW w:w="14709" w:type="dxa"/>
              </w:tcPr>
              <w:p w14:paraId="087FC4A4" w14:textId="7840BF8F">
                <w:pPr>
                  <w:jc w:val="both"/>
                  <w:rPr>
                    <w:b/>
                    <w:szCs w:val="24"/>
                  </w:rPr>
                </w:pPr>
                <w:r>
                  <w:rPr>
                    <w:b/>
                    <w:szCs w:val="24"/>
                  </w:rPr>
                  <w:t>13. Išlaidų tinkamumo finansuoti reikalavimai</w:t>
                </w:r>
              </w:p>
            </w:tc>
          </w:tr>
          <w:tr w14:paraId="73643E95" w14:textId="77777777">
            <w:tc>
              <w:tcPr>
                <w:tcW w:w="14709" w:type="dxa"/>
              </w:tcPr>
              <w:p w14:paraId="59696426" w14:textId="4146FFE3">
                <w:pPr>
                  <w:tabs>
                    <w:tab w:val="left" w:pos="458"/>
                    <w:tab w:val="left" w:pos="589"/>
                  </w:tabs>
                  <w:jc w:val="both"/>
                  <w:rPr>
                    <w:bCs/>
                    <w:szCs w:val="24"/>
                  </w:rPr>
                </w:pPr>
                <w:r>
                  <w:rPr>
                    <w:bCs/>
                    <w:szCs w:val="24"/>
                  </w:rPr>
                  <w:t>13.1.</w:t>
                </w:r>
                <w:r>
                  <w:rPr>
                    <w:b/>
                    <w:szCs w:val="24"/>
                  </w:rPr>
                  <w:t xml:space="preserve"> </w:t>
                </w:r>
                <w:r>
                  <w:rPr>
                    <w:bCs/>
                    <w:szCs w:val="24"/>
                  </w:rPr>
                  <w:t xml:space="preserve">Išlaidų tinkamumo finansuoti reikalavimai nustatyti </w:t>
                </w:r>
                <w:r>
                  <w:rPr>
                    <w:rFonts w:eastAsia="Calibri"/>
                    <w:szCs w:val="24"/>
                  </w:rPr>
                  <w:t>Projektų administravimo ir finansavimo taisyklių VII skyriuje „Projektų išlaidų reikalavimai“</w:t>
                </w:r>
                <w:r>
                  <w:rPr>
                    <w:bCs/>
                    <w:szCs w:val="24"/>
                  </w:rPr>
                  <w:t>.</w:t>
                </w:r>
              </w:p>
              <w:p w14:paraId="72A5128F" w14:textId="6D562E53">
                <w:pPr>
                  <w:tabs>
                    <w:tab w:val="left" w:pos="458"/>
                    <w:tab w:val="left" w:pos="613"/>
                  </w:tabs>
                  <w:jc w:val="both"/>
                  <w:rPr>
                    <w:bCs/>
                    <w:szCs w:val="24"/>
                  </w:rPr>
                </w:pPr>
                <w:r>
                  <w:rPr>
                    <w:bCs/>
                    <w:szCs w:val="24"/>
                  </w:rPr>
                  <w:t>13.2. Lietuvos Respublikos valstybės biudžeto lėšų pridėtinės vertės mokestis (toliau – PVM) nėra tinkamas finansuoti EGADP lėšomis. PVM gali būti finansuojamas Lietuvos biudžeto lėšomis vadovaujantis Projektų administravimo ir finansavimo taisyklių Ketvirtajame skirsnyje nustatyta tvarka. Projektuose išlaidos nurodomos su PVM, o jo tinkamumas finansuoti bus nustatytas vertinimo metu.</w:t>
                </w:r>
              </w:p>
              <w:p w14:paraId="61CE9EB8" w14:textId="035EF0FB">
                <w:pPr>
                  <w:tabs>
                    <w:tab w:val="left" w:pos="449"/>
                  </w:tabs>
                  <w:jc w:val="both"/>
                </w:pPr>
                <w:r>
                  <w:rPr>
                    <w:bCs/>
                    <w:szCs w:val="24"/>
                  </w:rPr>
                  <w:t>13.3. Didžiausia galima projektų finansuojamoji dalis sudaro 100 proc. visų tinkamų finansuoti projekto išlaidų. Pareiškėjas savo iniciatyva ir savo ir (arba) kitų šaltinių lėšomis gali prisidėti prie projekto įgyvendinimo.</w:t>
                </w:r>
                <w:r>
                  <w:t xml:space="preserve"> </w:t>
                </w:r>
              </w:p>
              <w:p w14:paraId="32982EB2" w14:textId="770B8F2E">
                <w:pPr>
                  <w:tabs>
                    <w:tab w:val="left" w:pos="449"/>
                  </w:tabs>
                  <w:jc w:val="both"/>
                  <w:rPr>
                    <w:bCs/>
                    <w:szCs w:val="24"/>
                  </w:rPr>
                </w:pPr>
                <w:r>
                  <w:rPr>
                    <w:bCs/>
                    <w:szCs w:val="24"/>
                  </w:rPr>
                  <w:t>13.4. Projekto vykdytojui, vadovaujantis PAFT numatytomis sąlygomis, gali būti mokamas avansas.</w:t>
                </w:r>
              </w:p>
              <w:p w14:paraId="0C97EC3A" w14:textId="0EE1B8C7">
                <w:pPr>
                  <w:tabs>
                    <w:tab w:val="left" w:pos="449"/>
                  </w:tabs>
                  <w:jc w:val="both"/>
                  <w:rPr>
                    <w:bCs/>
                    <w:szCs w:val="24"/>
                  </w:rPr>
                </w:pPr>
                <w:r>
                  <w:rPr>
                    <w:bCs/>
                    <w:szCs w:val="24"/>
                  </w:rPr>
                  <w:t>13.5. Projekto išlaidos įgyvendinimo metu apmokamos išlaidų kompensavimo būdu projekto vykdytojui deklaruojant patirtas ir apmokėtas išlaidas, supaprastintai apmokamas išlaidas arba kartu derinant šias abi apmokėjimo formas.</w:t>
                </w:r>
              </w:p>
              <w:p w14:paraId="5869B18F" w14:textId="31B82F85">
                <w:pPr>
                  <w:tabs>
                    <w:tab w:val="left" w:pos="449"/>
                  </w:tabs>
                  <w:jc w:val="both"/>
                  <w:rPr>
                    <w:bCs/>
                    <w:szCs w:val="24"/>
                  </w:rPr>
                </w:pPr>
                <w:r>
                  <w:rPr>
                    <w:bCs/>
                    <w:szCs w:val="24"/>
                  </w:rPr>
                  <w:t>13.6. Projekto tinkamų finansuoti išlaidų dalis, kurios nepadengia projektui skiriamo finansavimo lėšos, turi būti finansuojama iš projekto vykdytojo ir (arba) partnerio lėšų.</w:t>
                </w:r>
              </w:p>
              <w:p w14:paraId="152E16EB" w14:textId="72FEEF14">
                <w:pPr>
                  <w:jc w:val="both"/>
                  <w:rPr>
                    <w:bCs/>
                    <w:szCs w:val="24"/>
                  </w:rPr>
                </w:pPr>
                <w:r>
                  <w:rPr>
                    <w:bCs/>
                    <w:szCs w:val="24"/>
                  </w:rPr>
                  <w:t>13.7. Netiesioginėms išlaidoms taikoma 7 proc. fiksuotoji norma nuo tinkamų finansuoti tiesioginių projekto išlaidų.</w:t>
                </w:r>
              </w:p>
              <w:p w14:paraId="2431E7F3" w14:textId="59BD84B4">
                <w:pPr>
                  <w:jc w:val="both"/>
                  <w:rPr>
                    <w:bCs/>
                    <w:szCs w:val="24"/>
                  </w:rPr>
                </w:pPr>
                <w:r>
                  <w:rPr>
                    <w:bCs/>
                    <w:szCs w:val="24"/>
                  </w:rPr>
                  <w:t>13.8. Projektui taikomi supaprastinti išlaidų dydžiai, kurie nurodyti šio Aprašo 14 lentelėje „Projektų veiklų ir jungtinio projekto projektų įgyvendinimui</w:t>
                  <w:br/>
                  <w:t>taikomi supaprastintai apmokamų išlaidų dydžiai“.</w:t>
                </w:r>
              </w:p>
              <w:p w14:paraId="6CE07D10" w14:textId="0D28A565">
                <w:pPr>
                  <w:jc w:val="both"/>
                  <w:rPr>
                    <w:szCs w:val="24"/>
                  </w:rPr>
                </w:pPr>
                <w:r>
                  <w:rPr>
                    <w:color w:val="000000"/>
                    <w:szCs w:val="24"/>
                  </w:rPr>
                  <w:t xml:space="preserve">13.9. </w:t>
                </w:r>
                <w:r>
                  <w:rPr>
                    <w:szCs w:val="24"/>
                  </w:rPr>
                  <w:t>Netinkamos finansuoti projekto lėšomis išlaidos,</w:t>
                </w:r>
                <w:r>
                  <w:rPr>
                    <w:sz w:val="28"/>
                    <w:szCs w:val="22"/>
                  </w:rPr>
                  <w:t xml:space="preserve"> </w:t>
                </w:r>
                <w:r>
                  <w:rPr>
                    <w:szCs w:val="24"/>
                  </w:rPr>
                  <w:t xml:space="preserve">nustatytos </w:t>
                </w:r>
                <w:r>
                  <w:rPr>
                    <w:bCs/>
                    <w:szCs w:val="24"/>
                  </w:rPr>
                  <w:t xml:space="preserve">Projektų administravimo ir finansavimo taisyklių </w:t>
                </w:r>
                <w:r>
                  <w:rPr>
                    <w:szCs w:val="24"/>
                  </w:rPr>
                  <w:t>VII skyriaus „Projektų išlaidų reikalavimai“ 3 skirsnyje:</w:t>
                </w:r>
              </w:p>
              <w:p w14:paraId="61820C44" w14:textId="4852816A">
                <w:pPr>
                  <w:jc w:val="both"/>
                  <w:rPr>
                    <w:color w:val="000000"/>
                    <w:shd w:val="clear" w:color="auto" w:fill="FFFFFF"/>
                  </w:rPr>
                </w:pPr>
                <w:r>
                  <w:rPr>
                    <w:bCs/>
                    <w:szCs w:val="24"/>
                  </w:rPr>
                  <w:t xml:space="preserve">13.9.1. </w:t>
                </w:r>
                <w:r>
                  <w:rPr>
                    <w:color w:val="000000"/>
                    <w:szCs w:val="24"/>
                    <w:shd w:val="clear" w:color="auto" w:fill="FFFFFF"/>
                  </w:rPr>
                  <w:t>ž</w:t>
                </w:r>
                <w:r>
                  <w:rPr>
                    <w:color w:val="000000"/>
                    <w:shd w:val="clear" w:color="auto" w:fill="FFFFFF"/>
                  </w:rPr>
                  <w:t>emės ir kito nekilnojamojo turto įsigijimo išlaidos;</w:t>
                </w:r>
              </w:p>
              <w:p w14:paraId="551D7B26" w14:textId="28CBB4AA">
                <w:pPr>
                  <w:jc w:val="both"/>
                  <w:rPr>
                    <w:color w:val="000000"/>
                    <w:shd w:val="clear" w:color="auto" w:fill="FFFFFF"/>
                  </w:rPr>
                </w:pPr>
                <w:r>
                  <w:rPr>
                    <w:color w:val="000000"/>
                    <w:szCs w:val="24"/>
                    <w:shd w:val="clear" w:color="auto" w:fill="FFFFFF"/>
                  </w:rPr>
                  <w:t>13.9.2. t</w:t>
                </w:r>
                <w:r>
                  <w:rPr>
                    <w:color w:val="000000"/>
                    <w:shd w:val="clear" w:color="auto" w:fill="FFFFFF"/>
                  </w:rPr>
                  <w:t>ransporto priemonių, baldų įsigijimo išlaidos;</w:t>
                </w:r>
              </w:p>
              <w:p w14:paraId="20AC3BC4" w14:textId="5C1FE954">
                <w:pPr>
                  <w:jc w:val="both"/>
                  <w:rPr>
                    <w:bCs/>
                    <w:szCs w:val="24"/>
                  </w:rPr>
                </w:pPr>
                <w:r>
                  <w:rPr>
                    <w:color w:val="000000"/>
                    <w:szCs w:val="24"/>
                    <w:shd w:val="clear" w:color="auto" w:fill="FFFFFF"/>
                  </w:rPr>
                  <w:t>13.9.3. naudojamo ilgalaikio turto nusidėvėjimo (amortizacijos</w:t>
                </w:r>
                <w:r>
                  <w:rPr>
                    <w:szCs w:val="24"/>
                  </w:rPr>
                  <w:t>) sąnaudos;</w:t>
                </w:r>
                <w:r>
                  <w:rPr>
                    <w:bCs/>
                    <w:szCs w:val="24"/>
                  </w:rPr>
                  <w:t xml:space="preserve"> </w:t>
                </w:r>
              </w:p>
              <w:p w14:paraId="3DC2D7BF" w14:textId="758F4FC7">
                <w:pPr>
                  <w:jc w:val="both"/>
                  <w:rPr>
                    <w:bCs/>
                    <w:szCs w:val="24"/>
                  </w:rPr>
                </w:pPr>
                <w:r>
                  <w:rPr>
                    <w:bCs/>
                    <w:szCs w:val="24"/>
                  </w:rPr>
                  <w:t>13.9.4. nepiniginis projekto vykdytojo ir (ar) partnerio įnašas;</w:t>
                </w:r>
              </w:p>
              <w:p w14:paraId="4B0999FC" w14:textId="60F727C7">
                <w:pPr>
                  <w:jc w:val="both"/>
                  <w:rPr>
                    <w:bCs/>
                    <w:szCs w:val="24"/>
                  </w:rPr>
                </w:pPr>
                <w:r>
                  <w:rPr>
                    <w:bCs/>
                    <w:szCs w:val="24"/>
                  </w:rPr>
                  <w:t xml:space="preserve">13.9.5.  remonto ir (ar) rekonstrukcijos darbai;</w:t>
                </w:r>
              </w:p>
              <w:p w14:paraId="0EAA550B" w14:textId="0559FDD7">
                <w:pPr>
                  <w:jc w:val="both"/>
                  <w:rPr>
                    <w:szCs w:val="24"/>
                  </w:rPr>
                </w:pPr>
                <w:r>
                  <w:rPr>
                    <w:szCs w:val="24"/>
                  </w:rPr>
                  <w:t>13.9.6. PĮP rengimo išlaidos (išskyrus investicijų projekto ar kitų su PĮP privalomų teikti dokumentų rengimo išlaidas);</w:t>
                </w:r>
              </w:p>
              <w:p w14:paraId="09B0EE49" w14:textId="0E4DECB5">
                <w:pPr>
                  <w:jc w:val="both"/>
                  <w:rPr>
                    <w:szCs w:val="24"/>
                  </w:rPr>
                </w:pPr>
                <w:r>
                  <w:t xml:space="preserve">13.9.7. išlaidos, kuriomis pakeičiamos periodinės nacionalinės biudžeto išlaidos (tokios kaip valstybės tarnautojų, mokytojų, gydytojų atlyginimai už kasdienį darbą, periodinės infrastruktūros priežiūros išlaidos ir pan., angl. </w:t>
                </w:r>
                <w:r>
                  <w:rPr>
                    <w:i/>
                    <w:iCs/>
                  </w:rPr>
                  <w:t>recurrent costs</w:t>
                </w:r>
                <w:r>
                  <w:t>), išskyrus atvejus, kai tokios išlaidos numatytos Plane „Naujos kartos Lietuva“ arba suderintos su Europos Komisija. DU tinkamas esamiems įstaigų darbuotojams tik tuo atveju, jei darbo užmokestis mokamas už papildomų funkcijų ar užduočių, nenustatytų pareigybės aprašyme, vykdymą.</w:t>
                </w:r>
              </w:p>
              <w:p w14:paraId="077A2182" w14:textId="2124E8F2">
                <w:pPr>
                  <w:jc w:val="both"/>
                  <w:rPr>
                    <w:szCs w:val="24"/>
                  </w:rPr>
                </w:pPr>
                <w:r>
                  <w:rPr>
                    <w:bCs/>
                    <w:color w:val="000000"/>
                    <w:szCs w:val="24"/>
                  </w:rPr>
                  <w:t>13.10. Kryžminis finansavimas netaikomas.</w:t>
                </w:r>
              </w:p>
            </w:tc>
          </w:tr>
          <w:tr w14:paraId="105AFDCD" w14:textId="77777777">
            <w:trPr>
              <w:trHeight w:val="349"/>
            </w:trPr>
            <w:tc>
              <w:tcPr>
                <w:tcW w:w="14709" w:type="dxa"/>
              </w:tcPr>
              <w:p w14:paraId="67C1C978" w14:textId="48495EF4">
                <w:pPr>
                  <w:jc w:val="both"/>
                  <w:rPr>
                    <w:szCs w:val="24"/>
                  </w:rPr>
                </w:pPr>
                <w:r>
                  <w:rPr>
                    <w:b/>
                    <w:szCs w:val="24"/>
                  </w:rPr>
                  <w:t>14. Projektų veiklų ir jungtinio projekto projektų įgyvendinimui taikomi supaprastintai apmokamų išlaidų dydžiai</w:t>
                </w:r>
              </w:p>
            </w:tc>
          </w:tr>
        </w:tbl>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14:paraId="66441198" w14:textId="77777777">
            <w:tc>
              <w:tcPr>
                <w:tcW w:w="14709"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14:paraId="232B434A" w14:textId="77777777">
                  <w:tc>
                    <w:tcPr>
                      <w:tcW w:w="14449" w:type="dxa"/>
                      <w:gridSpan w:val="5"/>
                      <w:tcBorders>
                        <w:top w:val="single" w:sz="8" w:space="0" w:color="auto"/>
                        <w:left w:val="single" w:sz="8" w:space="0" w:color="auto"/>
                        <w:bottom w:val="single" w:sz="8" w:space="0" w:color="auto"/>
                        <w:right w:val="single" w:sz="8" w:space="0" w:color="auto"/>
                      </w:tcBorders>
                      <w:shd w:val="clear" w:color="auto" w:fill="auto"/>
                    </w:tcPr>
                    <w:p w14:paraId="4614B3DC" w14:textId="77777777">
                      <w:pPr>
                        <w:framePr w:hSpace="180" w:wrap="auto" w:vAnchor="text" w:hAnchor="text" w:y="1"/>
                        <w:ind w:firstLine="57"/>
                        <w:suppressOverlap/>
                        <w:jc w:val="both"/>
                        <w:rPr>
                          <w:b/>
                          <w:bCs/>
                          <w:color w:val="000000"/>
                          <w:sz w:val="22"/>
                          <w:szCs w:val="22"/>
                        </w:rPr>
                      </w:pPr>
                      <w:r>
                        <w:rPr>
                          <w:rFonts w:eastAsia="Calibri"/>
                          <w:color w:val="000000"/>
                        </w:rPr>
                        <w:fldChar w:fldCharType="begin" w:fldLock="1">
                          <w:ffData>
                            <w:name w:val="Tikrinti2"/>
                            <w:enabled/>
                            <w:calcOnExit w:val="0"/>
                            <w:checkBox>
                              <w:sizeAuto/>
                              <w:default w:val="0"/>
                            </w:checkBox>
                          </w:ffData>
                        </w:fldChar>
                      </w:r>
                      <w:r>
                        <w:rPr>
                          <w:rFonts w:eastAsia="Calibri"/>
                          <w:color w:val="000000"/>
                        </w:rPr>
                        <w:instrText xml:space="preserve"> FORMCHECKBOX </w:instrText>
                      </w:r>
                      <w:r>
                        <w:rPr>
                          <w:rFonts w:eastAsia="Calibri"/>
                          <w:color w:val="000000"/>
                        </w:rPr>
                        <w:fldChar w:fldCharType="separate"/>
                      </w:r>
                      <w:r>
                        <w:rPr>
                          <w:rFonts w:eastAsia="Calibri"/>
                          <w:color w:val="000000"/>
                        </w:rPr>
                        <w:fldChar w:fldCharType="end"/>
                      </w:r>
                      <w:r>
                        <w:rPr>
                          <w:b/>
                          <w:bCs/>
                          <w:color w:val="000000"/>
                          <w:sz w:val="22"/>
                          <w:szCs w:val="22"/>
                        </w:rPr>
                        <w:t>Indeksuojama</w:t>
                      </w:r>
                    </w:p>
                    <w:p w14:paraId="2344D850" w14:textId="77777777">
                      <w:pPr>
                        <w:framePr w:hSpace="180" w:wrap="auto" w:vAnchor="text" w:hAnchor="text" w:y="1"/>
                        <w:ind w:firstLine="57"/>
                        <w:suppressOverlap/>
                        <w:jc w:val="both"/>
                        <w:rPr>
                          <w:b/>
                          <w:bCs/>
                          <w:sz w:val="22"/>
                          <w:szCs w:val="22"/>
                        </w:rPr>
                      </w:pPr>
                      <w:r>
                        <w:rPr>
                          <w:rFonts w:eastAsia="Calibri"/>
                          <w:color w:val="000000"/>
                        </w:rPr>
                        <w:fldChar w:fldCharType="begin" w:fldLock="1">
                          <w:ffData>
                            <w:name w:val=""/>
                            <w:enabled/>
                            <w:calcOnExit w:val="0"/>
                            <w:checkBox>
                              <w:sizeAuto/>
                              <w:default w:val="1"/>
                            </w:checkBox>
                          </w:ffData>
                        </w:fldChar>
                      </w:r>
                      <w:r>
                        <w:rPr>
                          <w:rFonts w:eastAsia="Calibri"/>
                          <w:color w:val="000000"/>
                        </w:rPr>
                        <w:instrText xml:space="preserve"> FORMCHECKBOX </w:instrText>
                      </w:r>
                      <w:r>
                        <w:rPr>
                          <w:rFonts w:eastAsia="Calibri"/>
                          <w:color w:val="000000"/>
                        </w:rPr>
                        <w:fldChar w:fldCharType="separate"/>
                      </w:r>
                      <w:r>
                        <w:rPr>
                          <w:rFonts w:eastAsia="Calibri"/>
                          <w:color w:val="000000"/>
                        </w:rPr>
                        <w:fldChar w:fldCharType="end"/>
                      </w:r>
                      <w:r>
                        <w:rPr>
                          <w:b/>
                          <w:bCs/>
                          <w:color w:val="000000"/>
                          <w:sz w:val="22"/>
                          <w:szCs w:val="22"/>
                        </w:rPr>
                        <w:t>Neindeksuojama</w:t>
                      </w:r>
                    </w:p>
                  </w:tc>
                </w:tr>
                <w:tr w14:paraId="579C14DD" w14:textId="77777777">
                  <w:tc>
                    <w:tcPr>
                      <w:tcW w:w="2889" w:type="dxa"/>
                      <w:tcBorders>
                        <w:top w:val="single" w:sz="8" w:space="0" w:color="auto"/>
                        <w:left w:val="single" w:sz="8" w:space="0" w:color="auto"/>
                        <w:bottom w:val="single" w:sz="8" w:space="0" w:color="auto"/>
                        <w:right w:val="single" w:sz="8" w:space="0" w:color="auto"/>
                      </w:tcBorders>
                      <w:vAlign w:val="center"/>
                    </w:tcPr>
                    <w:p w14:paraId="4DC139A3" w14:textId="77777777">
                      <w:pPr>
                        <w:framePr w:hSpace="180" w:wrap="auto" w:vAnchor="text" w:hAnchor="text" w:y="1"/>
                        <w:suppressOverlap/>
                        <w:jc w:val="center"/>
                        <w:rPr>
                          <w:b/>
                          <w:bCs/>
                          <w:color w:val="0070C0"/>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08CCEE32" w14:textId="77777777">
                      <w:pPr>
                        <w:framePr w:hSpace="180" w:wrap="auto" w:vAnchor="text" w:hAnchor="text" w:y="1"/>
                        <w:suppressOverlap/>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38DAAEAF" w14:textId="77777777">
                      <w:pPr>
                        <w:framePr w:hSpace="180" w:wrap="auto" w:vAnchor="text" w:hAnchor="text" w:y="1"/>
                        <w:suppressOverlap/>
                        <w:jc w:val="center"/>
                        <w:rPr>
                          <w:b/>
                          <w:bCs/>
                          <w:i/>
                          <w:iCs/>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386C4418" w14:textId="77777777">
                      <w:pPr>
                        <w:framePr w:hSpace="180" w:wrap="auto" w:vAnchor="text" w:hAnchor="text" w:y="1"/>
                        <w:suppressOverlap/>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2C7D225D" w14:textId="77777777">
                      <w:pPr>
                        <w:framePr w:hSpace="180" w:wrap="auto" w:vAnchor="text" w:hAnchor="text" w:y="1"/>
                        <w:suppressOverlap/>
                        <w:jc w:val="center"/>
                        <w:rPr>
                          <w:b/>
                          <w:bCs/>
                          <w:sz w:val="22"/>
                          <w:szCs w:val="22"/>
                        </w:rPr>
                      </w:pPr>
                      <w:r>
                        <w:rPr>
                          <w:b/>
                          <w:bCs/>
                          <w:sz w:val="22"/>
                          <w:szCs w:val="22"/>
                        </w:rPr>
                        <w:t>Papildoma informacija</w:t>
                      </w:r>
                    </w:p>
                  </w:tc>
                </w:tr>
                <w:tr w14:paraId="622CA471" w14:textId="77777777">
                  <w:tc>
                    <w:tcPr>
                      <w:tcW w:w="2889" w:type="dxa"/>
                    </w:tcPr>
                    <w:p w14:paraId="43571F3F" w14:textId="77777777">
                      <w:pPr>
                        <w:framePr w:hSpace="180" w:wrap="auto" w:vAnchor="text" w:hAnchor="text" w:y="1"/>
                        <w:suppressOverlap/>
                        <w:jc w:val="center"/>
                        <w:rPr>
                          <w:szCs w:val="24"/>
                        </w:rPr>
                      </w:pPr>
                    </w:p>
                    <w:p w14:paraId="131D8F08" w14:textId="77777777">
                      <w:pPr>
                        <w:framePr w:hSpace="180" w:wrap="auto" w:vAnchor="text" w:hAnchor="text" w:y="1"/>
                        <w:suppressOverlap/>
                        <w:jc w:val="center"/>
                        <w:rPr>
                          <w:szCs w:val="24"/>
                        </w:rPr>
                      </w:pPr>
                    </w:p>
                    <w:p w14:paraId="19D93C47" w14:textId="00568AF5">
                      <w:pPr>
                        <w:framePr w:hSpace="180" w:wrap="auto" w:vAnchor="text" w:hAnchor="text" w:y="1"/>
                        <w:suppressOverlap/>
                        <w:jc w:val="center"/>
                        <w:rPr>
                          <w:i/>
                          <w:iCs/>
                          <w:szCs w:val="24"/>
                        </w:rPr>
                      </w:pPr>
                      <w:r>
                        <w:rPr>
                          <w:szCs w:val="24"/>
                        </w:rPr>
                        <w:t>Netiesioginių išlaidų fiksuotoji norma</w:t>
                      </w:r>
                    </w:p>
                  </w:tc>
                  <w:tc>
                    <w:tcPr>
                      <w:tcW w:w="2890" w:type="dxa"/>
                    </w:tcPr>
                    <w:p w14:paraId="04DDC71A" w14:textId="77777777">
                      <w:pPr>
                        <w:framePr w:hSpace="180" w:wrap="auto" w:vAnchor="text" w:hAnchor="text" w:y="1"/>
                        <w:tabs>
                          <w:tab w:val="left" w:pos="426"/>
                          <w:tab w:val="left" w:pos="709"/>
                        </w:tabs>
                        <w:ind w:left="720" w:hanging="720"/>
                        <w:suppressOverlap/>
                        <w:jc w:val="center"/>
                        <w:rPr>
                          <w:szCs w:val="24"/>
                        </w:rPr>
                      </w:pPr>
                    </w:p>
                    <w:p w14:paraId="6E749F29" w14:textId="77777777">
                      <w:pPr>
                        <w:framePr w:hSpace="180" w:wrap="auto" w:vAnchor="text" w:hAnchor="text" w:y="1"/>
                        <w:tabs>
                          <w:tab w:val="left" w:pos="426"/>
                          <w:tab w:val="left" w:pos="709"/>
                        </w:tabs>
                        <w:ind w:left="720" w:hanging="720"/>
                        <w:suppressOverlap/>
                        <w:jc w:val="center"/>
                        <w:rPr>
                          <w:szCs w:val="24"/>
                        </w:rPr>
                      </w:pPr>
                    </w:p>
                    <w:p w14:paraId="3DEA290A" w14:textId="4B2BE81E">
                      <w:pPr>
                        <w:framePr w:hSpace="180" w:wrap="auto" w:vAnchor="text" w:hAnchor="text" w:y="1"/>
                        <w:tabs>
                          <w:tab w:val="left" w:pos="426"/>
                          <w:tab w:val="left" w:pos="709"/>
                        </w:tabs>
                        <w:ind w:left="720" w:hanging="720"/>
                        <w:suppressOverlap/>
                        <w:jc w:val="center"/>
                        <w:rPr>
                          <w:szCs w:val="24"/>
                        </w:rPr>
                      </w:pPr>
                      <w:r>
                        <w:rPr>
                          <w:szCs w:val="24"/>
                        </w:rPr>
                        <w:t>FN-01</w:t>
                      </w:r>
                    </w:p>
                  </w:tc>
                  <w:tc>
                    <w:tcPr>
                      <w:tcW w:w="2890" w:type="dxa"/>
                    </w:tcPr>
                    <w:p w14:paraId="3C4E9AA4" w14:textId="77777777">
                      <w:pPr>
                        <w:framePr w:hSpace="180" w:wrap="auto" w:vAnchor="text" w:hAnchor="text" w:y="1"/>
                        <w:tabs>
                          <w:tab w:val="left" w:pos="426"/>
                          <w:tab w:val="left" w:pos="709"/>
                        </w:tabs>
                        <w:ind w:left="720" w:hanging="720"/>
                        <w:suppressOverlap/>
                        <w:jc w:val="center"/>
                        <w:rPr>
                          <w:szCs w:val="24"/>
                        </w:rPr>
                      </w:pPr>
                    </w:p>
                    <w:p w14:paraId="4B6C5324" w14:textId="77777777">
                      <w:pPr>
                        <w:framePr w:hSpace="180" w:wrap="auto" w:vAnchor="text" w:hAnchor="text" w:y="1"/>
                        <w:tabs>
                          <w:tab w:val="left" w:pos="426"/>
                          <w:tab w:val="left" w:pos="709"/>
                        </w:tabs>
                        <w:ind w:left="720" w:hanging="720"/>
                        <w:suppressOverlap/>
                        <w:jc w:val="center"/>
                        <w:rPr>
                          <w:szCs w:val="24"/>
                        </w:rPr>
                      </w:pPr>
                    </w:p>
                    <w:p w14:paraId="5B3535C7" w14:textId="2E8F52E8">
                      <w:pPr>
                        <w:framePr w:hSpace="180" w:wrap="auto" w:vAnchor="text" w:hAnchor="text" w:y="1"/>
                        <w:tabs>
                          <w:tab w:val="left" w:pos="426"/>
                          <w:tab w:val="left" w:pos="709"/>
                        </w:tabs>
                        <w:ind w:left="720" w:hanging="720"/>
                        <w:suppressOverlap/>
                        <w:jc w:val="center"/>
                        <w:rPr>
                          <w:szCs w:val="24"/>
                        </w:rPr>
                      </w:pPr>
                      <w:r>
                        <w:rPr>
                          <w:szCs w:val="24"/>
                        </w:rPr>
                        <w:t>01</w:t>
                      </w:r>
                    </w:p>
                  </w:tc>
                  <w:tc>
                    <w:tcPr>
                      <w:tcW w:w="2890" w:type="dxa"/>
                    </w:tcPr>
                    <w:p w14:paraId="235D08A2" w14:textId="49DD3178">
                      <w:pPr>
                        <w:framePr w:hSpace="180" w:wrap="auto" w:vAnchor="text" w:hAnchor="text" w:y="1"/>
                        <w:suppressOverlap/>
                        <w:jc w:val="center"/>
                        <w:rPr>
                          <w:szCs w:val="24"/>
                        </w:rPr>
                      </w:pPr>
                      <w:r>
                        <w:rPr>
                          <w:szCs w:val="24"/>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4320F390" w14:textId="39CE4056">
                      <w:pPr>
                        <w:framePr w:hSpace="180" w:wrap="auto" w:vAnchor="text" w:hAnchor="text" w:y="1"/>
                        <w:suppressOverlap/>
                        <w:jc w:val="center"/>
                        <w:rPr>
                          <w:color w:val="0070C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14:paraId="33154872" w14:textId="77777777">
                  <w:tc>
                    <w:tcPr>
                      <w:tcW w:w="2889" w:type="dxa"/>
                    </w:tcPr>
                    <w:p w14:paraId="39AF3056" w14:textId="77777777">
                      <w:pPr>
                        <w:framePr w:hSpace="180" w:wrap="auto" w:vAnchor="text" w:hAnchor="text" w:y="1"/>
                        <w:suppressOverlap/>
                        <w:jc w:val="center"/>
                        <w:rPr>
                          <w:szCs w:val="24"/>
                        </w:rPr>
                      </w:pPr>
                    </w:p>
                    <w:p w14:paraId="3523FF6F" w14:textId="77777777">
                      <w:pPr>
                        <w:framePr w:hSpace="180" w:wrap="auto" w:vAnchor="text" w:hAnchor="text" w:y="1"/>
                        <w:suppressOverlap/>
                        <w:jc w:val="center"/>
                        <w:rPr>
                          <w:szCs w:val="24"/>
                        </w:rPr>
                      </w:pPr>
                    </w:p>
                    <w:p w14:paraId="4EE8D789" w14:textId="10DE2451">
                      <w:pPr>
                        <w:framePr w:hSpace="180" w:wrap="auto" w:vAnchor="text" w:hAnchor="text" w:y="1"/>
                        <w:suppressOverlap/>
                        <w:jc w:val="center"/>
                        <w:rPr>
                          <w:color w:val="000000"/>
                          <w:szCs w:val="24"/>
                        </w:rPr>
                      </w:pPr>
                      <w:r>
                        <w:rPr>
                          <w:szCs w:val="24"/>
                        </w:rPr>
                        <w:t>Privalomos projektų matomumo ir informavimo apie projektus priemonės ir išlaidos</w:t>
                      </w:r>
                    </w:p>
                  </w:tc>
                  <w:tc>
                    <w:tcPr>
                      <w:tcW w:w="2890" w:type="dxa"/>
                    </w:tcPr>
                    <w:p w14:paraId="602ADD49" w14:textId="77777777">
                      <w:pPr>
                        <w:framePr w:hSpace="180" w:wrap="auto" w:vAnchor="text" w:hAnchor="text" w:y="1"/>
                        <w:tabs>
                          <w:tab w:val="left" w:pos="426"/>
                          <w:tab w:val="left" w:pos="709"/>
                        </w:tabs>
                        <w:ind w:left="720" w:hanging="720"/>
                        <w:suppressOverlap/>
                        <w:jc w:val="center"/>
                        <w:rPr>
                          <w:szCs w:val="24"/>
                        </w:rPr>
                      </w:pPr>
                    </w:p>
                    <w:p w14:paraId="06B08965" w14:textId="77777777">
                      <w:pPr>
                        <w:framePr w:hSpace="180" w:wrap="auto" w:vAnchor="text" w:hAnchor="text" w:y="1"/>
                        <w:tabs>
                          <w:tab w:val="left" w:pos="426"/>
                          <w:tab w:val="left" w:pos="709"/>
                        </w:tabs>
                        <w:ind w:left="720" w:hanging="720"/>
                        <w:suppressOverlap/>
                        <w:jc w:val="center"/>
                        <w:rPr>
                          <w:szCs w:val="24"/>
                        </w:rPr>
                      </w:pPr>
                    </w:p>
                    <w:p w14:paraId="65695320" w14:textId="77777777">
                      <w:pPr>
                        <w:framePr w:hSpace="180" w:wrap="auto" w:vAnchor="text" w:hAnchor="text" w:y="1"/>
                        <w:tabs>
                          <w:tab w:val="left" w:pos="426"/>
                          <w:tab w:val="left" w:pos="709"/>
                        </w:tabs>
                        <w:ind w:left="720" w:hanging="720"/>
                        <w:suppressOverlap/>
                        <w:jc w:val="center"/>
                        <w:rPr>
                          <w:szCs w:val="24"/>
                        </w:rPr>
                      </w:pPr>
                    </w:p>
                    <w:p w14:paraId="55A185D3" w14:textId="3D93AD3A">
                      <w:pPr>
                        <w:framePr w:hSpace="180" w:wrap="auto" w:vAnchor="text" w:hAnchor="text" w:y="1"/>
                        <w:tabs>
                          <w:tab w:val="left" w:pos="426"/>
                          <w:tab w:val="left" w:pos="709"/>
                        </w:tabs>
                        <w:ind w:left="720" w:hanging="720"/>
                        <w:suppressOverlap/>
                        <w:jc w:val="center"/>
                        <w:rPr>
                          <w:color w:val="000000"/>
                          <w:szCs w:val="24"/>
                        </w:rPr>
                      </w:pPr>
                      <w:r>
                        <w:rPr>
                          <w:szCs w:val="24"/>
                        </w:rPr>
                        <w:t>FS-01-01</w:t>
                      </w:r>
                    </w:p>
                  </w:tc>
                  <w:tc>
                    <w:tcPr>
                      <w:tcW w:w="2890" w:type="dxa"/>
                    </w:tcPr>
                    <w:p w14:paraId="5E915C4E" w14:textId="77777777">
                      <w:pPr>
                        <w:framePr w:hSpace="180" w:wrap="auto" w:vAnchor="text" w:hAnchor="text" w:y="1"/>
                        <w:tabs>
                          <w:tab w:val="left" w:pos="426"/>
                          <w:tab w:val="left" w:pos="709"/>
                        </w:tabs>
                        <w:ind w:left="720" w:hanging="720"/>
                        <w:suppressOverlap/>
                        <w:jc w:val="center"/>
                        <w:rPr>
                          <w:szCs w:val="24"/>
                        </w:rPr>
                      </w:pPr>
                    </w:p>
                    <w:p w14:paraId="4F752C44" w14:textId="77777777">
                      <w:pPr>
                        <w:framePr w:hSpace="180" w:wrap="auto" w:vAnchor="text" w:hAnchor="text" w:y="1"/>
                        <w:tabs>
                          <w:tab w:val="left" w:pos="426"/>
                          <w:tab w:val="left" w:pos="709"/>
                        </w:tabs>
                        <w:ind w:left="720" w:hanging="720"/>
                        <w:suppressOverlap/>
                        <w:jc w:val="center"/>
                        <w:rPr>
                          <w:szCs w:val="24"/>
                        </w:rPr>
                      </w:pPr>
                    </w:p>
                    <w:p w14:paraId="162FF767" w14:textId="77777777">
                      <w:pPr>
                        <w:framePr w:hSpace="180" w:wrap="auto" w:vAnchor="text" w:hAnchor="text" w:y="1"/>
                        <w:tabs>
                          <w:tab w:val="left" w:pos="426"/>
                          <w:tab w:val="left" w:pos="709"/>
                        </w:tabs>
                        <w:ind w:left="720" w:hanging="720"/>
                        <w:suppressOverlap/>
                        <w:jc w:val="center"/>
                        <w:rPr>
                          <w:szCs w:val="24"/>
                        </w:rPr>
                      </w:pPr>
                    </w:p>
                    <w:p w14:paraId="3097CE70" w14:textId="5D3004AB">
                      <w:pPr>
                        <w:framePr w:hSpace="180" w:wrap="auto" w:vAnchor="text" w:hAnchor="text" w:y="1"/>
                        <w:tabs>
                          <w:tab w:val="left" w:pos="426"/>
                          <w:tab w:val="left" w:pos="709"/>
                        </w:tabs>
                        <w:ind w:left="720" w:hanging="720"/>
                        <w:suppressOverlap/>
                        <w:jc w:val="center"/>
                        <w:rPr>
                          <w:color w:val="000000"/>
                          <w:szCs w:val="24"/>
                          <w:lang w:val="en-US"/>
                        </w:rPr>
                      </w:pPr>
                      <w:r>
                        <w:rPr>
                          <w:szCs w:val="24"/>
                        </w:rPr>
                        <w:t>02</w:t>
                      </w:r>
                    </w:p>
                  </w:tc>
                  <w:tc>
                    <w:tcPr>
                      <w:tcW w:w="2890" w:type="dxa"/>
                    </w:tcPr>
                    <w:p w14:paraId="4AD76FE9" w14:textId="51B6BEAF">
                      <w:pPr>
                        <w:framePr w:hSpace="180" w:wrap="auto" w:vAnchor="text" w:hAnchor="text" w:y="1"/>
                        <w:suppressOverlap/>
                        <w:jc w:val="center"/>
                        <w:rPr>
                          <w:color w:val="000000"/>
                          <w:szCs w:val="24"/>
                        </w:rPr>
                      </w:pPr>
                      <w:r>
                        <w:rPr>
                          <w:szCs w:val="24"/>
                        </w:rP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14:paraId="45ED1396" w14:textId="53C3B2BA">
                      <w:pPr>
                        <w:framePr w:hSpace="180" w:wrap="auto" w:vAnchor="text" w:hAnchor="text" w:y="1"/>
                        <w:suppressOverlap/>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14:paraId="0F90069D" w14:textId="77777777">
                  <w:tc>
                    <w:tcPr>
                      <w:tcW w:w="2889" w:type="dxa"/>
                      <w:tcBorders>
                        <w:top w:val="single" w:sz="8" w:space="0" w:color="auto"/>
                        <w:left w:val="single" w:sz="8" w:space="0" w:color="auto"/>
                        <w:bottom w:val="single" w:sz="8" w:space="0" w:color="auto"/>
                        <w:right w:val="single" w:sz="8" w:space="0" w:color="auto"/>
                      </w:tcBorders>
                    </w:tcPr>
                    <w:p w14:paraId="162B0F41" w14:textId="77777777">
                      <w:pPr>
                        <w:framePr w:hSpace="180" w:wrap="auto" w:vAnchor="text" w:hAnchor="text" w:y="1"/>
                        <w:suppressOverlap/>
                        <w:jc w:val="center"/>
                        <w:rPr>
                          <w:szCs w:val="24"/>
                        </w:rPr>
                      </w:pPr>
                    </w:p>
                    <w:p w14:paraId="2CC1D6CB" w14:textId="77777777">
                      <w:pPr>
                        <w:framePr w:hSpace="180" w:wrap="auto" w:vAnchor="text" w:hAnchor="text" w:y="1"/>
                        <w:suppressOverlap/>
                        <w:jc w:val="center"/>
                        <w:rPr>
                          <w:szCs w:val="24"/>
                        </w:rPr>
                      </w:pPr>
                    </w:p>
                    <w:p w14:paraId="65AD67AD" w14:textId="0CF4F759">
                      <w:pPr>
                        <w:framePr w:hSpace="180" w:wrap="auto" w:vAnchor="text" w:hAnchor="text" w:y="1"/>
                        <w:suppressOverlap/>
                        <w:jc w:val="center"/>
                        <w:rPr>
                          <w:szCs w:val="24"/>
                        </w:rPr>
                      </w:pPr>
                      <w:r>
                        <w:rPr>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4BB92C29" w14:textId="77777777">
                      <w:pPr>
                        <w:framePr w:hSpace="180" w:wrap="auto" w:vAnchor="text" w:hAnchor="text" w:y="1"/>
                        <w:tabs>
                          <w:tab w:val="left" w:pos="426"/>
                          <w:tab w:val="left" w:pos="709"/>
                        </w:tabs>
                        <w:ind w:left="720" w:hanging="720"/>
                        <w:suppressOverlap/>
                        <w:jc w:val="center"/>
                        <w:rPr>
                          <w:szCs w:val="24"/>
                        </w:rPr>
                      </w:pPr>
                    </w:p>
                    <w:p w14:paraId="40DF2D41" w14:textId="77777777">
                      <w:pPr>
                        <w:framePr w:hSpace="180" w:wrap="auto" w:vAnchor="text" w:hAnchor="text" w:y="1"/>
                        <w:tabs>
                          <w:tab w:val="left" w:pos="426"/>
                          <w:tab w:val="left" w:pos="709"/>
                        </w:tabs>
                        <w:ind w:left="720" w:hanging="720"/>
                        <w:suppressOverlap/>
                        <w:jc w:val="center"/>
                        <w:rPr>
                          <w:szCs w:val="24"/>
                        </w:rPr>
                      </w:pPr>
                    </w:p>
                    <w:p w14:paraId="11A69589" w14:textId="77777777">
                      <w:pPr>
                        <w:framePr w:hSpace="180" w:wrap="auto" w:vAnchor="text" w:hAnchor="text" w:y="1"/>
                        <w:tabs>
                          <w:tab w:val="left" w:pos="426"/>
                          <w:tab w:val="left" w:pos="709"/>
                        </w:tabs>
                        <w:ind w:left="720" w:hanging="720"/>
                        <w:suppressOverlap/>
                        <w:jc w:val="center"/>
                        <w:rPr>
                          <w:szCs w:val="24"/>
                        </w:rPr>
                      </w:pPr>
                    </w:p>
                    <w:p w14:paraId="486F55E0" w14:textId="4CD7E630">
                      <w:pPr>
                        <w:framePr w:hSpace="180" w:wrap="auto" w:vAnchor="text" w:hAnchor="text" w:y="1"/>
                        <w:tabs>
                          <w:tab w:val="left" w:pos="426"/>
                          <w:tab w:val="left" w:pos="709"/>
                        </w:tabs>
                        <w:ind w:left="720" w:hanging="720"/>
                        <w:suppressOverlap/>
                        <w:jc w:val="center"/>
                        <w:rPr>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tcPr>
                    <w:p w14:paraId="6604A216" w14:textId="77777777">
                      <w:pPr>
                        <w:framePr w:hSpace="180" w:wrap="auto" w:vAnchor="text" w:hAnchor="text" w:y="1"/>
                        <w:tabs>
                          <w:tab w:val="left" w:pos="426"/>
                          <w:tab w:val="left" w:pos="709"/>
                        </w:tabs>
                        <w:ind w:left="720" w:hanging="720"/>
                        <w:suppressOverlap/>
                        <w:jc w:val="center"/>
                        <w:rPr>
                          <w:szCs w:val="24"/>
                        </w:rPr>
                      </w:pPr>
                    </w:p>
                    <w:p w14:paraId="39F8F237" w14:textId="77777777">
                      <w:pPr>
                        <w:framePr w:hSpace="180" w:wrap="auto" w:vAnchor="text" w:hAnchor="text" w:y="1"/>
                        <w:tabs>
                          <w:tab w:val="left" w:pos="426"/>
                          <w:tab w:val="left" w:pos="709"/>
                        </w:tabs>
                        <w:ind w:left="720" w:hanging="720"/>
                        <w:suppressOverlap/>
                        <w:jc w:val="center"/>
                        <w:rPr>
                          <w:szCs w:val="24"/>
                        </w:rPr>
                      </w:pPr>
                    </w:p>
                    <w:p w14:paraId="6D772874" w14:textId="77777777">
                      <w:pPr>
                        <w:framePr w:hSpace="180" w:wrap="auto" w:vAnchor="text" w:hAnchor="text" w:y="1"/>
                        <w:tabs>
                          <w:tab w:val="left" w:pos="426"/>
                          <w:tab w:val="left" w:pos="709"/>
                        </w:tabs>
                        <w:ind w:left="720" w:hanging="720"/>
                        <w:suppressOverlap/>
                        <w:jc w:val="center"/>
                        <w:rPr>
                          <w:szCs w:val="24"/>
                        </w:rPr>
                      </w:pPr>
                    </w:p>
                    <w:p w14:paraId="723E6024" w14:textId="1E70EE6A">
                      <w:pPr>
                        <w:framePr w:hSpace="180" w:wrap="auto" w:vAnchor="text" w:hAnchor="text" w:y="1"/>
                        <w:tabs>
                          <w:tab w:val="left" w:pos="426"/>
                          <w:tab w:val="left" w:pos="709"/>
                        </w:tabs>
                        <w:ind w:left="720" w:hanging="720"/>
                        <w:suppressOverlap/>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14:paraId="5DFB4940" w14:textId="617CAB65">
                      <w:pPr>
                        <w:framePr w:hSpace="180" w:wrap="auto" w:vAnchor="text" w:hAnchor="text" w:y="1"/>
                        <w:suppressOverlap/>
                        <w:jc w:val="center"/>
                        <w:rPr>
                          <w:szCs w:val="24"/>
                        </w:rPr>
                      </w:pPr>
                      <w:r>
                        <w:rPr>
                          <w:szCs w:val="24"/>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14:paraId="0C3605FA" w14:textId="0FE54C3F">
                      <w:pPr>
                        <w:framePr w:hSpace="180" w:wrap="auto" w:vAnchor="text" w:hAnchor="text" w:y="1"/>
                        <w:suppressOverlap/>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14:paraId="3A000493" w14:textId="77777777">
                  <w:tc>
                    <w:tcPr>
                      <w:tcW w:w="2889" w:type="dxa"/>
                      <w:tcBorders>
                        <w:top w:val="single" w:sz="8" w:space="0" w:color="auto"/>
                        <w:left w:val="single" w:sz="8" w:space="0" w:color="auto"/>
                        <w:bottom w:val="single" w:sz="8" w:space="0" w:color="auto"/>
                        <w:right w:val="single" w:sz="8" w:space="0" w:color="auto"/>
                      </w:tcBorders>
                      <w:vAlign w:val="center"/>
                    </w:tcPr>
                    <w:p w14:paraId="504B2EDC" w14:textId="0FAB0EEF">
                      <w:pPr>
                        <w:framePr w:hSpace="180" w:wrap="auto" w:vAnchor="text" w:hAnchor="text" w:y="1"/>
                        <w:suppressOverlap/>
                        <w:jc w:val="center"/>
                        <w:rPr>
                          <w:bCs/>
                          <w:szCs w:val="24"/>
                          <w:lang w:eastAsia="lt-LT"/>
                        </w:rPr>
                      </w:pPr>
                      <w:r>
                        <w:rPr>
                          <w:szCs w:val="24"/>
                        </w:rPr>
                        <w:t>Kasmetinių atostogų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14:paraId="6F519B64" w14:textId="39F3F6A0">
                      <w:pPr>
                        <w:framePr w:hSpace="180" w:wrap="auto" w:vAnchor="text" w:hAnchor="text" w:y="1"/>
                        <w:tabs>
                          <w:tab w:val="left" w:pos="426"/>
                          <w:tab w:val="left" w:pos="709"/>
                        </w:tabs>
                        <w:ind w:left="720" w:hanging="720"/>
                        <w:suppressOverlap/>
                        <w:jc w:val="center"/>
                        <w:rPr>
                          <w:szCs w:val="24"/>
                          <w:lang w:eastAsia="lt-LT"/>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14:paraId="1DA9A245" w14:textId="77777777">
                      <w:pPr>
                        <w:framePr w:hSpace="180" w:wrap="auto" w:vAnchor="text" w:hAnchor="text" w:y="1"/>
                        <w:tabs>
                          <w:tab w:val="left" w:pos="426"/>
                          <w:tab w:val="left" w:pos="709"/>
                        </w:tabs>
                        <w:ind w:left="720" w:hanging="720"/>
                        <w:suppressOverlap/>
                        <w:jc w:val="center"/>
                        <w:rPr>
                          <w:szCs w:val="24"/>
                        </w:rPr>
                      </w:pPr>
                    </w:p>
                    <w:p w14:paraId="4763E504" w14:textId="77777777">
                      <w:pPr>
                        <w:framePr w:hSpace="180" w:wrap="auto" w:vAnchor="text" w:hAnchor="text" w:y="1"/>
                        <w:tabs>
                          <w:tab w:val="left" w:pos="426"/>
                          <w:tab w:val="left" w:pos="709"/>
                        </w:tabs>
                        <w:ind w:left="720" w:hanging="720"/>
                        <w:suppressOverlap/>
                        <w:jc w:val="center"/>
                        <w:rPr>
                          <w:szCs w:val="24"/>
                        </w:rPr>
                      </w:pPr>
                    </w:p>
                    <w:p w14:paraId="159E0DA8" w14:textId="77777777">
                      <w:pPr>
                        <w:framePr w:hSpace="180" w:wrap="auto" w:vAnchor="text" w:hAnchor="text" w:y="1"/>
                        <w:tabs>
                          <w:tab w:val="left" w:pos="426"/>
                          <w:tab w:val="left" w:pos="709"/>
                        </w:tabs>
                        <w:ind w:left="720" w:hanging="720"/>
                        <w:suppressOverlap/>
                        <w:jc w:val="center"/>
                        <w:rPr>
                          <w:szCs w:val="24"/>
                        </w:rPr>
                      </w:pPr>
                    </w:p>
                    <w:p w14:paraId="2D9BE9DB" w14:textId="77777777">
                      <w:pPr>
                        <w:framePr w:hSpace="180" w:wrap="auto" w:vAnchor="text" w:hAnchor="text" w:y="1"/>
                        <w:tabs>
                          <w:tab w:val="left" w:pos="426"/>
                          <w:tab w:val="left" w:pos="709"/>
                        </w:tabs>
                        <w:ind w:left="720" w:hanging="720"/>
                        <w:suppressOverlap/>
                        <w:jc w:val="center"/>
                        <w:rPr>
                          <w:szCs w:val="24"/>
                        </w:rPr>
                      </w:pPr>
                    </w:p>
                    <w:p w14:paraId="28C333A1" w14:textId="573BD65F">
                      <w:pPr>
                        <w:framePr w:hSpace="180" w:wrap="auto" w:vAnchor="text" w:hAnchor="text" w:y="1"/>
                        <w:tabs>
                          <w:tab w:val="left" w:pos="426"/>
                          <w:tab w:val="left" w:pos="709"/>
                        </w:tabs>
                        <w:ind w:left="720" w:hanging="720"/>
                        <w:suppressOverlap/>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63A07B55" w14:textId="43F3DFA3">
                      <w:pPr>
                        <w:framePr w:hSpace="180" w:wrap="auto" w:vAnchor="text" w:hAnchor="text" w:y="1"/>
                        <w:suppressOverlap/>
                        <w:jc w:val="center"/>
                        <w:rPr>
                          <w:szCs w:val="24"/>
                          <w:lang w:eastAsia="lt-LT"/>
                        </w:rPr>
                      </w:pPr>
                      <w:r>
                        <w:rPr>
                          <w:szCs w:val="24"/>
                        </w:rPr>
                        <w:t>Fiksuotoji norma, taikoma, kai priklauso 20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1EA84F89" w14:textId="3714D428">
                      <w:pPr>
                        <w:framePr w:hSpace="180" w:wrap="auto" w:vAnchor="text" w:hAnchor="text" w:y="1"/>
                        <w:suppressOverlap/>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14:paraId="08472A6E" w14:textId="77777777">
                  <w:tc>
                    <w:tcPr>
                      <w:tcW w:w="2889" w:type="dxa"/>
                      <w:tcBorders>
                        <w:top w:val="single" w:sz="8" w:space="0" w:color="auto"/>
                        <w:left w:val="single" w:sz="8" w:space="0" w:color="auto"/>
                        <w:bottom w:val="single" w:sz="8" w:space="0" w:color="auto"/>
                        <w:right w:val="single" w:sz="8" w:space="0" w:color="auto"/>
                      </w:tcBorders>
                      <w:vAlign w:val="center"/>
                    </w:tcPr>
                    <w:p w14:paraId="2DBC5205" w14:textId="4688D509">
                      <w:pPr>
                        <w:framePr w:hSpace="180" w:wrap="auto" w:vAnchor="text" w:hAnchor="text" w:y="1"/>
                        <w:suppressOverlap/>
                        <w:jc w:val="center"/>
                        <w:rPr>
                          <w:bCs/>
                          <w:szCs w:val="24"/>
                          <w:lang w:eastAsia="lt-LT"/>
                        </w:rPr>
                      </w:pPr>
                      <w:r>
                        <w:rPr>
                          <w:szCs w:val="24"/>
                        </w:rPr>
                        <w:t>Kasmetinių atostogų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14:paraId="2CA362C2" w14:textId="5BB850A3">
                      <w:pPr>
                        <w:framePr w:hSpace="180" w:wrap="auto" w:vAnchor="text" w:hAnchor="text" w:y="1"/>
                        <w:tabs>
                          <w:tab w:val="left" w:pos="426"/>
                          <w:tab w:val="left" w:pos="709"/>
                        </w:tabs>
                        <w:ind w:left="720" w:hanging="720"/>
                        <w:suppressOverlap/>
                        <w:jc w:val="center"/>
                        <w:rPr>
                          <w:szCs w:val="24"/>
                          <w:lang w:eastAsia="lt-LT"/>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14:paraId="7247083C" w14:textId="77777777">
                      <w:pPr>
                        <w:framePr w:hSpace="180" w:wrap="auto" w:vAnchor="text" w:hAnchor="text" w:y="1"/>
                        <w:tabs>
                          <w:tab w:val="left" w:pos="426"/>
                          <w:tab w:val="left" w:pos="709"/>
                        </w:tabs>
                        <w:ind w:left="720" w:hanging="720"/>
                        <w:suppressOverlap/>
                        <w:jc w:val="center"/>
                        <w:rPr>
                          <w:szCs w:val="24"/>
                        </w:rPr>
                      </w:pPr>
                    </w:p>
                    <w:p w14:paraId="54215126" w14:textId="77777777">
                      <w:pPr>
                        <w:framePr w:hSpace="180" w:wrap="auto" w:vAnchor="text" w:hAnchor="text" w:y="1"/>
                        <w:tabs>
                          <w:tab w:val="left" w:pos="426"/>
                          <w:tab w:val="left" w:pos="709"/>
                        </w:tabs>
                        <w:ind w:left="720" w:hanging="720"/>
                        <w:suppressOverlap/>
                        <w:jc w:val="center"/>
                        <w:rPr>
                          <w:szCs w:val="24"/>
                        </w:rPr>
                      </w:pPr>
                    </w:p>
                    <w:p w14:paraId="48A77609" w14:textId="77777777">
                      <w:pPr>
                        <w:framePr w:hSpace="180" w:wrap="auto" w:vAnchor="text" w:hAnchor="text" w:y="1"/>
                        <w:tabs>
                          <w:tab w:val="left" w:pos="426"/>
                          <w:tab w:val="left" w:pos="709"/>
                        </w:tabs>
                        <w:ind w:left="720" w:hanging="720"/>
                        <w:suppressOverlap/>
                        <w:jc w:val="center"/>
                        <w:rPr>
                          <w:szCs w:val="24"/>
                        </w:rPr>
                      </w:pPr>
                    </w:p>
                    <w:p w14:paraId="13107742" w14:textId="1D330083">
                      <w:pPr>
                        <w:framePr w:hSpace="180" w:wrap="auto" w:vAnchor="text" w:hAnchor="text" w:y="1"/>
                        <w:tabs>
                          <w:tab w:val="left" w:pos="426"/>
                          <w:tab w:val="left" w:pos="709"/>
                        </w:tabs>
                        <w:ind w:left="720" w:hanging="720"/>
                        <w:suppressOverlap/>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14:paraId="79BBDD17" w14:textId="2E54DD4A">
                      <w:pPr>
                        <w:framePr w:hSpace="180" w:wrap="auto" w:vAnchor="text" w:hAnchor="text" w:y="1"/>
                        <w:suppressOverlap/>
                        <w:jc w:val="center"/>
                        <w:rPr>
                          <w:szCs w:val="24"/>
                          <w:lang w:eastAsia="lt-LT"/>
                        </w:rPr>
                      </w:pPr>
                      <w:r>
                        <w:rPr>
                          <w:szCs w:val="24"/>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71DAB73" w14:textId="490B0075">
                      <w:pPr>
                        <w:framePr w:hSpace="180" w:wrap="auto" w:vAnchor="text" w:hAnchor="text" w:y="1"/>
                        <w:suppressOverlap/>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14:paraId="309776AC" w14:textId="77777777">
                  <w:tc>
                    <w:tcPr>
                      <w:tcW w:w="2889" w:type="dxa"/>
                      <w:tcBorders>
                        <w:top w:val="single" w:sz="8" w:space="0" w:color="auto"/>
                        <w:left w:val="single" w:sz="8" w:space="0" w:color="auto"/>
                        <w:bottom w:val="single" w:sz="8" w:space="0" w:color="auto"/>
                        <w:right w:val="single" w:sz="8" w:space="0" w:color="auto"/>
                      </w:tcBorders>
                      <w:vAlign w:val="center"/>
                    </w:tcPr>
                    <w:p w14:paraId="2D3374A9" w14:textId="6A7C08EE">
                      <w:pPr>
                        <w:framePr w:hSpace="180" w:wrap="auto" w:vAnchor="text" w:hAnchor="text" w:y="1"/>
                        <w:suppressOverlap/>
                        <w:jc w:val="center"/>
                        <w:rPr>
                          <w:bCs/>
                          <w:szCs w:val="24"/>
                          <w:lang w:eastAsia="lt-LT"/>
                        </w:rPr>
                      </w:pPr>
                      <w:r>
                        <w:rPr>
                          <w:szCs w:val="24"/>
                        </w:rPr>
                        <w:t xml:space="preserve">Kasmetinių atostogų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14:paraId="2A0F41CD" w14:textId="5785F605">
                      <w:pPr>
                        <w:framePr w:hSpace="180" w:wrap="auto" w:vAnchor="text" w:hAnchor="text" w:y="1"/>
                        <w:tabs>
                          <w:tab w:val="left" w:pos="426"/>
                          <w:tab w:val="left" w:pos="709"/>
                        </w:tabs>
                        <w:ind w:left="720" w:hanging="720"/>
                        <w:suppressOverlap/>
                        <w:jc w:val="center"/>
                        <w:rPr>
                          <w:szCs w:val="24"/>
                          <w:lang w:eastAsia="lt-LT"/>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14:paraId="40B8E41D" w14:textId="77777777">
                      <w:pPr>
                        <w:framePr w:hSpace="180" w:wrap="auto" w:vAnchor="text" w:hAnchor="text" w:y="1"/>
                        <w:tabs>
                          <w:tab w:val="left" w:pos="426"/>
                          <w:tab w:val="left" w:pos="709"/>
                        </w:tabs>
                        <w:ind w:left="720" w:hanging="720"/>
                        <w:suppressOverlap/>
                        <w:jc w:val="center"/>
                        <w:rPr>
                          <w:szCs w:val="24"/>
                        </w:rPr>
                      </w:pPr>
                    </w:p>
                    <w:p w14:paraId="6B3CC2EF" w14:textId="77777777">
                      <w:pPr>
                        <w:framePr w:hSpace="180" w:wrap="auto" w:vAnchor="text" w:hAnchor="text" w:y="1"/>
                        <w:tabs>
                          <w:tab w:val="left" w:pos="426"/>
                          <w:tab w:val="left" w:pos="709"/>
                        </w:tabs>
                        <w:ind w:left="720" w:hanging="720"/>
                        <w:suppressOverlap/>
                        <w:jc w:val="center"/>
                        <w:rPr>
                          <w:szCs w:val="24"/>
                        </w:rPr>
                      </w:pPr>
                    </w:p>
                    <w:p w14:paraId="02C76B05" w14:textId="77777777">
                      <w:pPr>
                        <w:framePr w:hSpace="180" w:wrap="auto" w:vAnchor="text" w:hAnchor="text" w:y="1"/>
                        <w:tabs>
                          <w:tab w:val="left" w:pos="426"/>
                          <w:tab w:val="left" w:pos="709"/>
                        </w:tabs>
                        <w:ind w:left="720" w:hanging="720"/>
                        <w:suppressOverlap/>
                        <w:jc w:val="center"/>
                        <w:rPr>
                          <w:szCs w:val="24"/>
                        </w:rPr>
                      </w:pPr>
                    </w:p>
                    <w:p w14:paraId="030B702A" w14:textId="77777777">
                      <w:pPr>
                        <w:framePr w:hSpace="180" w:wrap="auto" w:vAnchor="text" w:hAnchor="text" w:y="1"/>
                        <w:tabs>
                          <w:tab w:val="left" w:pos="426"/>
                          <w:tab w:val="left" w:pos="709"/>
                        </w:tabs>
                        <w:ind w:left="720" w:hanging="720"/>
                        <w:suppressOverlap/>
                        <w:jc w:val="center"/>
                        <w:rPr>
                          <w:szCs w:val="24"/>
                        </w:rPr>
                      </w:pPr>
                    </w:p>
                    <w:p w14:paraId="265C171D" w14:textId="51674D40">
                      <w:pPr>
                        <w:framePr w:hSpace="180" w:wrap="auto" w:vAnchor="text" w:hAnchor="text" w:y="1"/>
                        <w:tabs>
                          <w:tab w:val="left" w:pos="426"/>
                          <w:tab w:val="left" w:pos="709"/>
                        </w:tabs>
                        <w:ind w:left="720" w:hanging="720"/>
                        <w:suppressOverlap/>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bottom"/>
                    </w:tcPr>
                    <w:p w14:paraId="35EF6B82" w14:textId="003DB7F8">
                      <w:pPr>
                        <w:framePr w:hSpace="180" w:wrap="auto" w:vAnchor="text" w:hAnchor="text" w:y="1"/>
                        <w:suppressOverlap/>
                        <w:jc w:val="center"/>
                        <w:rPr>
                          <w:szCs w:val="24"/>
                          <w:lang w:eastAsia="lt-LT"/>
                        </w:rPr>
                      </w:pPr>
                      <w:r>
                        <w:rPr>
                          <w:szCs w:val="24"/>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CFC2801" w14:textId="23B4901D">
                      <w:pPr>
                        <w:framePr w:hSpace="180" w:wrap="auto" w:vAnchor="text" w:hAnchor="text" w:y="1"/>
                        <w:suppressOverlap/>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14:paraId="3B55F12E" w14:textId="77777777">
                  <w:tc>
                    <w:tcPr>
                      <w:tcW w:w="2889" w:type="dxa"/>
                      <w:tcBorders>
                        <w:top w:val="single" w:sz="8" w:space="0" w:color="auto"/>
                        <w:left w:val="single" w:sz="8" w:space="0" w:color="auto"/>
                        <w:bottom w:val="single" w:sz="8" w:space="0" w:color="auto"/>
                        <w:right w:val="single" w:sz="8" w:space="0" w:color="auto"/>
                      </w:tcBorders>
                      <w:vAlign w:val="center"/>
                    </w:tcPr>
                    <w:p w14:paraId="3DB062D3" w14:textId="2BEB72BB">
                      <w:pPr>
                        <w:framePr w:hSpace="180" w:wrap="auto" w:vAnchor="text" w:hAnchor="text" w:y="1"/>
                        <w:suppressOverlap/>
                        <w:jc w:val="center"/>
                        <w:rPr>
                          <w:bCs/>
                          <w:szCs w:val="24"/>
                          <w:lang w:eastAsia="lt-LT"/>
                        </w:rPr>
                      </w:pPr>
                      <w:r>
                        <w:rPr>
                          <w:szCs w:val="24"/>
                        </w:rPr>
                        <w:t>Kasmetinių atostogų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14:paraId="32CC174A" w14:textId="6746810C">
                      <w:pPr>
                        <w:framePr w:hSpace="180" w:wrap="auto" w:vAnchor="text" w:hAnchor="text" w:y="1"/>
                        <w:tabs>
                          <w:tab w:val="left" w:pos="426"/>
                          <w:tab w:val="left" w:pos="709"/>
                        </w:tabs>
                        <w:ind w:left="720" w:hanging="720"/>
                        <w:suppressOverlap/>
                        <w:jc w:val="center"/>
                        <w:rPr>
                          <w:szCs w:val="24"/>
                          <w:lang w:eastAsia="lt-LT"/>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14:paraId="2D2E66F2" w14:textId="77777777">
                      <w:pPr>
                        <w:framePr w:hSpace="180" w:wrap="auto" w:vAnchor="text" w:hAnchor="text" w:y="1"/>
                        <w:tabs>
                          <w:tab w:val="left" w:pos="426"/>
                          <w:tab w:val="left" w:pos="709"/>
                        </w:tabs>
                        <w:ind w:left="720" w:hanging="720"/>
                        <w:suppressOverlap/>
                        <w:jc w:val="center"/>
                        <w:rPr>
                          <w:szCs w:val="24"/>
                        </w:rPr>
                      </w:pPr>
                    </w:p>
                    <w:p w14:paraId="1911738D" w14:textId="77777777">
                      <w:pPr>
                        <w:framePr w:hSpace="180" w:wrap="auto" w:vAnchor="text" w:hAnchor="text" w:y="1"/>
                        <w:tabs>
                          <w:tab w:val="left" w:pos="426"/>
                          <w:tab w:val="left" w:pos="709"/>
                        </w:tabs>
                        <w:ind w:left="720" w:hanging="720"/>
                        <w:suppressOverlap/>
                        <w:jc w:val="center"/>
                        <w:rPr>
                          <w:szCs w:val="24"/>
                        </w:rPr>
                      </w:pPr>
                    </w:p>
                    <w:p w14:paraId="258E5515" w14:textId="77777777">
                      <w:pPr>
                        <w:framePr w:hSpace="180" w:wrap="auto" w:vAnchor="text" w:hAnchor="text" w:y="1"/>
                        <w:tabs>
                          <w:tab w:val="left" w:pos="426"/>
                          <w:tab w:val="left" w:pos="709"/>
                        </w:tabs>
                        <w:ind w:left="720" w:hanging="720"/>
                        <w:suppressOverlap/>
                        <w:jc w:val="center"/>
                        <w:rPr>
                          <w:szCs w:val="24"/>
                        </w:rPr>
                      </w:pPr>
                    </w:p>
                    <w:p w14:paraId="470BC9A9" w14:textId="77777777">
                      <w:pPr>
                        <w:framePr w:hSpace="180" w:wrap="auto" w:vAnchor="text" w:hAnchor="text" w:y="1"/>
                        <w:tabs>
                          <w:tab w:val="left" w:pos="426"/>
                          <w:tab w:val="left" w:pos="709"/>
                        </w:tabs>
                        <w:ind w:left="720" w:hanging="720"/>
                        <w:suppressOverlap/>
                        <w:jc w:val="center"/>
                        <w:rPr>
                          <w:szCs w:val="24"/>
                        </w:rPr>
                      </w:pPr>
                    </w:p>
                    <w:p w14:paraId="5AA6352B" w14:textId="6062BD7A">
                      <w:pPr>
                        <w:framePr w:hSpace="180" w:wrap="auto" w:vAnchor="text" w:hAnchor="text" w:y="1"/>
                        <w:tabs>
                          <w:tab w:val="left" w:pos="426"/>
                          <w:tab w:val="left" w:pos="709"/>
                        </w:tabs>
                        <w:ind w:left="720" w:hanging="720"/>
                        <w:suppressOverlap/>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bottom"/>
                    </w:tcPr>
                    <w:p w14:paraId="355290CF" w14:textId="58F6C89F">
                      <w:pPr>
                        <w:framePr w:hSpace="180" w:wrap="auto" w:vAnchor="text" w:hAnchor="text" w:y="1"/>
                        <w:suppressOverlap/>
                        <w:jc w:val="center"/>
                        <w:rPr>
                          <w:szCs w:val="24"/>
                          <w:lang w:eastAsia="lt-LT"/>
                        </w:rPr>
                      </w:pPr>
                      <w:r>
                        <w:rPr>
                          <w:szCs w:val="24"/>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B8A150A" w14:textId="54969C99">
                      <w:pPr>
                        <w:framePr w:hSpace="180" w:wrap="auto" w:vAnchor="text" w:hAnchor="text" w:y="1"/>
                        <w:suppressOverlap/>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14:paraId="44D70B1D" w14:textId="77777777">
                  <w:tc>
                    <w:tcPr>
                      <w:tcW w:w="2889" w:type="dxa"/>
                      <w:tcBorders>
                        <w:top w:val="single" w:sz="8" w:space="0" w:color="auto"/>
                        <w:left w:val="single" w:sz="8" w:space="0" w:color="auto"/>
                        <w:bottom w:val="single" w:sz="8" w:space="0" w:color="auto"/>
                        <w:right w:val="single" w:sz="8" w:space="0" w:color="auto"/>
                      </w:tcBorders>
                      <w:vAlign w:val="center"/>
                    </w:tcPr>
                    <w:p w14:paraId="6B1255AA" w14:textId="2EABD24B">
                      <w:pPr>
                        <w:framePr w:hSpace="180" w:wrap="auto" w:vAnchor="text" w:hAnchor="text" w:y="1"/>
                        <w:suppressOverlap/>
                        <w:jc w:val="center"/>
                        <w:rPr>
                          <w:bCs/>
                          <w:szCs w:val="24"/>
                          <w:lang w:eastAsia="lt-LT"/>
                        </w:rPr>
                      </w:pPr>
                      <w:r>
                        <w:rPr>
                          <w:szCs w:val="24"/>
                        </w:rPr>
                        <w:t>Kasmetinių atostogų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14:paraId="396D4070" w14:textId="31AB2BFF">
                      <w:pPr>
                        <w:framePr w:hSpace="180" w:wrap="auto" w:vAnchor="text" w:hAnchor="text" w:y="1"/>
                        <w:tabs>
                          <w:tab w:val="left" w:pos="426"/>
                          <w:tab w:val="left" w:pos="709"/>
                        </w:tabs>
                        <w:ind w:left="720" w:hanging="720"/>
                        <w:suppressOverlap/>
                        <w:jc w:val="center"/>
                        <w:rPr>
                          <w:szCs w:val="24"/>
                          <w:lang w:eastAsia="lt-LT"/>
                        </w:rPr>
                      </w:pPr>
                      <w:r>
                        <w:rPr>
                          <w:szCs w:val="24"/>
                        </w:rPr>
                        <w:t>FN-05-05</w:t>
                      </w:r>
                    </w:p>
                  </w:tc>
                  <w:tc>
                    <w:tcPr>
                      <w:tcW w:w="2890" w:type="dxa"/>
                      <w:tcBorders>
                        <w:top w:val="single" w:sz="8" w:space="0" w:color="auto"/>
                        <w:left w:val="single" w:sz="8" w:space="0" w:color="auto"/>
                        <w:bottom w:val="single" w:sz="8" w:space="0" w:color="auto"/>
                        <w:right w:val="single" w:sz="8" w:space="0" w:color="auto"/>
                      </w:tcBorders>
                    </w:tcPr>
                    <w:p w14:paraId="1570EA95" w14:textId="77777777">
                      <w:pPr>
                        <w:framePr w:hSpace="180" w:wrap="auto" w:vAnchor="text" w:hAnchor="text" w:y="1"/>
                        <w:tabs>
                          <w:tab w:val="left" w:pos="426"/>
                          <w:tab w:val="left" w:pos="709"/>
                        </w:tabs>
                        <w:ind w:left="720" w:hanging="720"/>
                        <w:suppressOverlap/>
                        <w:jc w:val="center"/>
                        <w:rPr>
                          <w:szCs w:val="24"/>
                        </w:rPr>
                      </w:pPr>
                    </w:p>
                    <w:p w14:paraId="76172586" w14:textId="77777777">
                      <w:pPr>
                        <w:framePr w:hSpace="180" w:wrap="auto" w:vAnchor="text" w:hAnchor="text" w:y="1"/>
                        <w:tabs>
                          <w:tab w:val="left" w:pos="426"/>
                          <w:tab w:val="left" w:pos="709"/>
                        </w:tabs>
                        <w:ind w:left="720" w:hanging="720"/>
                        <w:suppressOverlap/>
                        <w:jc w:val="center"/>
                        <w:rPr>
                          <w:szCs w:val="24"/>
                        </w:rPr>
                      </w:pPr>
                    </w:p>
                    <w:p w14:paraId="480CC7D5" w14:textId="77777777">
                      <w:pPr>
                        <w:framePr w:hSpace="180" w:wrap="auto" w:vAnchor="text" w:hAnchor="text" w:y="1"/>
                        <w:tabs>
                          <w:tab w:val="left" w:pos="426"/>
                          <w:tab w:val="left" w:pos="709"/>
                        </w:tabs>
                        <w:ind w:left="720" w:hanging="720"/>
                        <w:suppressOverlap/>
                        <w:jc w:val="center"/>
                        <w:rPr>
                          <w:szCs w:val="24"/>
                        </w:rPr>
                      </w:pPr>
                    </w:p>
                    <w:p w14:paraId="1961C7D4" w14:textId="77777777">
                      <w:pPr>
                        <w:framePr w:hSpace="180" w:wrap="auto" w:vAnchor="text" w:hAnchor="text" w:y="1"/>
                        <w:tabs>
                          <w:tab w:val="left" w:pos="426"/>
                          <w:tab w:val="left" w:pos="709"/>
                        </w:tabs>
                        <w:ind w:left="720" w:hanging="720"/>
                        <w:suppressOverlap/>
                        <w:jc w:val="center"/>
                        <w:rPr>
                          <w:szCs w:val="24"/>
                        </w:rPr>
                      </w:pPr>
                    </w:p>
                    <w:p w14:paraId="2F4DCEE6" w14:textId="2D5B0F2C">
                      <w:pPr>
                        <w:framePr w:hSpace="180" w:wrap="auto" w:vAnchor="text" w:hAnchor="text" w:y="1"/>
                        <w:tabs>
                          <w:tab w:val="left" w:pos="426"/>
                          <w:tab w:val="left" w:pos="709"/>
                        </w:tabs>
                        <w:ind w:left="720" w:hanging="720"/>
                        <w:suppressOverlap/>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bottom"/>
                    </w:tcPr>
                    <w:p w14:paraId="57070899" w14:textId="4871F8E9">
                      <w:pPr>
                        <w:framePr w:hSpace="180" w:wrap="auto" w:vAnchor="text" w:hAnchor="text" w:y="1"/>
                        <w:suppressOverlap/>
                        <w:jc w:val="center"/>
                        <w:rPr>
                          <w:szCs w:val="24"/>
                          <w:lang w:eastAsia="lt-LT"/>
                        </w:rPr>
                      </w:pPr>
                      <w:r>
                        <w:rPr>
                          <w:szCs w:val="24"/>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43E1B484" w14:textId="1E27ADEC">
                      <w:pPr>
                        <w:framePr w:hSpace="180" w:wrap="auto" w:vAnchor="text" w:hAnchor="text" w:y="1"/>
                        <w:suppressOverlap/>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14:paraId="0D0D3940" w14:textId="77777777">
                  <w:tc>
                    <w:tcPr>
                      <w:tcW w:w="2889" w:type="dxa"/>
                      <w:tcBorders>
                        <w:top w:val="single" w:sz="8" w:space="0" w:color="auto"/>
                        <w:left w:val="single" w:sz="8" w:space="0" w:color="auto"/>
                        <w:bottom w:val="single" w:sz="8" w:space="0" w:color="auto"/>
                        <w:right w:val="single" w:sz="8" w:space="0" w:color="auto"/>
                      </w:tcBorders>
                      <w:vAlign w:val="center"/>
                    </w:tcPr>
                    <w:p w14:paraId="0CEA96D8" w14:textId="4F5A0199">
                      <w:pPr>
                        <w:framePr w:hSpace="180" w:wrap="auto" w:vAnchor="text" w:hAnchor="text" w:y="1"/>
                        <w:suppressOverlap/>
                        <w:jc w:val="center"/>
                        <w:rPr>
                          <w:szCs w:val="24"/>
                        </w:rPr>
                      </w:pPr>
                      <w:r>
                        <w:rPr>
                          <w:szCs w:val="24"/>
                        </w:rPr>
                        <w:t>Kasmetinių atostogų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14:paraId="1EA98D19" w14:textId="4AFC3102">
                      <w:pPr>
                        <w:framePr w:hSpace="180" w:wrap="auto" w:vAnchor="text" w:hAnchor="text" w:y="1"/>
                        <w:tabs>
                          <w:tab w:val="left" w:pos="426"/>
                          <w:tab w:val="left" w:pos="709"/>
                        </w:tabs>
                        <w:ind w:left="720" w:hanging="720"/>
                        <w:suppressOverlap/>
                        <w:jc w:val="center"/>
                        <w:rPr>
                          <w:szCs w:val="24"/>
                        </w:rPr>
                      </w:pPr>
                      <w:r>
                        <w:rPr>
                          <w:szCs w:val="24"/>
                        </w:rPr>
                        <w:t>FN-05-06</w:t>
                      </w:r>
                    </w:p>
                  </w:tc>
                  <w:tc>
                    <w:tcPr>
                      <w:tcW w:w="2890" w:type="dxa"/>
                      <w:tcBorders>
                        <w:top w:val="single" w:sz="8" w:space="0" w:color="auto"/>
                        <w:left w:val="single" w:sz="8" w:space="0" w:color="auto"/>
                        <w:bottom w:val="single" w:sz="8" w:space="0" w:color="auto"/>
                        <w:right w:val="single" w:sz="8" w:space="0" w:color="auto"/>
                      </w:tcBorders>
                    </w:tcPr>
                    <w:p w14:paraId="4E8929D3" w14:textId="77777777">
                      <w:pPr>
                        <w:framePr w:hSpace="180" w:wrap="auto" w:vAnchor="text" w:hAnchor="text" w:y="1"/>
                        <w:tabs>
                          <w:tab w:val="left" w:pos="426"/>
                          <w:tab w:val="left" w:pos="709"/>
                        </w:tabs>
                        <w:ind w:left="720" w:hanging="720"/>
                        <w:suppressOverlap/>
                        <w:jc w:val="center"/>
                        <w:rPr>
                          <w:szCs w:val="24"/>
                        </w:rPr>
                      </w:pPr>
                    </w:p>
                    <w:p w14:paraId="19D3A804" w14:textId="77777777">
                      <w:pPr>
                        <w:framePr w:hSpace="180" w:wrap="auto" w:vAnchor="text" w:hAnchor="text" w:y="1"/>
                        <w:tabs>
                          <w:tab w:val="left" w:pos="426"/>
                          <w:tab w:val="left" w:pos="709"/>
                        </w:tabs>
                        <w:ind w:left="720" w:hanging="720"/>
                        <w:suppressOverlap/>
                        <w:jc w:val="center"/>
                        <w:rPr>
                          <w:szCs w:val="24"/>
                        </w:rPr>
                      </w:pPr>
                    </w:p>
                    <w:p w14:paraId="6996CD80" w14:textId="7F166954">
                      <w:pPr>
                        <w:framePr w:hSpace="180" w:wrap="auto" w:vAnchor="text" w:hAnchor="text" w:y="1"/>
                        <w:tabs>
                          <w:tab w:val="left" w:pos="426"/>
                          <w:tab w:val="left" w:pos="709"/>
                        </w:tabs>
                        <w:ind w:left="720" w:hanging="720"/>
                        <w:suppressOverlap/>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bottom"/>
                    </w:tcPr>
                    <w:p w14:paraId="59568409" w14:textId="037A5F4E">
                      <w:pPr>
                        <w:framePr w:hSpace="180" w:wrap="auto" w:vAnchor="text" w:hAnchor="text" w:y="1"/>
                        <w:suppressOverlap/>
                        <w:jc w:val="center"/>
                        <w:rPr>
                          <w:szCs w:val="24"/>
                        </w:rPr>
                      </w:pPr>
                      <w:r>
                        <w:rPr>
                          <w:szCs w:val="24"/>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6714339F" w14:textId="1D830D6D">
                      <w:pPr>
                        <w:framePr w:hSpace="180" w:wrap="auto" w:vAnchor="text" w:hAnchor="text" w:y="1"/>
                        <w:suppressOverlap/>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14:paraId="7DA90D1A" w14:textId="77777777">
                  <w:tc>
                    <w:tcPr>
                      <w:tcW w:w="2889" w:type="dxa"/>
                      <w:tcBorders>
                        <w:top w:val="single" w:sz="8" w:space="0" w:color="auto"/>
                        <w:left w:val="single" w:sz="8" w:space="0" w:color="auto"/>
                        <w:bottom w:val="single" w:sz="8" w:space="0" w:color="auto"/>
                        <w:right w:val="single" w:sz="8" w:space="0" w:color="auto"/>
                      </w:tcBorders>
                      <w:vAlign w:val="center"/>
                    </w:tcPr>
                    <w:p w14:paraId="0FDB9A62" w14:textId="59689BCD">
                      <w:pPr>
                        <w:framePr w:hSpace="180" w:wrap="auto" w:vAnchor="text" w:hAnchor="text" w:y="1"/>
                        <w:suppressOverlap/>
                        <w:jc w:val="center"/>
                        <w:rPr>
                          <w:szCs w:val="24"/>
                        </w:rPr>
                      </w:pPr>
                      <w:r>
                        <w:rPr>
                          <w:szCs w:val="24"/>
                        </w:rPr>
                        <w:t>Kasmetinių atostogų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14:paraId="76BE6D47" w14:textId="1D2DDCF8">
                      <w:pPr>
                        <w:framePr w:hSpace="180" w:wrap="auto" w:vAnchor="text" w:hAnchor="text" w:y="1"/>
                        <w:tabs>
                          <w:tab w:val="left" w:pos="426"/>
                          <w:tab w:val="left" w:pos="709"/>
                        </w:tabs>
                        <w:ind w:left="720" w:hanging="720"/>
                        <w:suppressOverlap/>
                        <w:jc w:val="center"/>
                        <w:rPr>
                          <w:szCs w:val="24"/>
                        </w:rPr>
                      </w:pPr>
                      <w:r>
                        <w:rPr>
                          <w:szCs w:val="24"/>
                        </w:rPr>
                        <w:t>FN-05-07</w:t>
                      </w:r>
                    </w:p>
                  </w:tc>
                  <w:tc>
                    <w:tcPr>
                      <w:tcW w:w="2890" w:type="dxa"/>
                      <w:tcBorders>
                        <w:top w:val="single" w:sz="8" w:space="0" w:color="auto"/>
                        <w:left w:val="single" w:sz="8" w:space="0" w:color="auto"/>
                        <w:bottom w:val="single" w:sz="8" w:space="0" w:color="auto"/>
                        <w:right w:val="single" w:sz="8" w:space="0" w:color="auto"/>
                      </w:tcBorders>
                    </w:tcPr>
                    <w:p w14:paraId="4A9AFF19" w14:textId="77777777">
                      <w:pPr>
                        <w:framePr w:hSpace="180" w:wrap="auto" w:vAnchor="text" w:hAnchor="text" w:y="1"/>
                        <w:tabs>
                          <w:tab w:val="left" w:pos="426"/>
                          <w:tab w:val="left" w:pos="709"/>
                        </w:tabs>
                        <w:ind w:left="720" w:hanging="720"/>
                        <w:suppressOverlap/>
                        <w:jc w:val="center"/>
                        <w:rPr>
                          <w:szCs w:val="24"/>
                        </w:rPr>
                      </w:pPr>
                    </w:p>
                    <w:p w14:paraId="2A7A55DF" w14:textId="77777777">
                      <w:pPr>
                        <w:framePr w:hSpace="180" w:wrap="auto" w:vAnchor="text" w:hAnchor="text" w:y="1"/>
                        <w:tabs>
                          <w:tab w:val="left" w:pos="426"/>
                          <w:tab w:val="left" w:pos="709"/>
                        </w:tabs>
                        <w:ind w:left="720" w:hanging="720"/>
                        <w:suppressOverlap/>
                        <w:jc w:val="center"/>
                        <w:rPr>
                          <w:szCs w:val="24"/>
                        </w:rPr>
                      </w:pPr>
                    </w:p>
                    <w:p w14:paraId="6E4C7497" w14:textId="77777777">
                      <w:pPr>
                        <w:framePr w:hSpace="180" w:wrap="auto" w:vAnchor="text" w:hAnchor="text" w:y="1"/>
                        <w:tabs>
                          <w:tab w:val="left" w:pos="426"/>
                          <w:tab w:val="left" w:pos="709"/>
                        </w:tabs>
                        <w:ind w:left="720" w:hanging="720"/>
                        <w:suppressOverlap/>
                        <w:jc w:val="center"/>
                        <w:rPr>
                          <w:szCs w:val="24"/>
                        </w:rPr>
                      </w:pPr>
                    </w:p>
                    <w:p w14:paraId="561EFE63" w14:textId="77777777">
                      <w:pPr>
                        <w:framePr w:hSpace="180" w:wrap="auto" w:vAnchor="text" w:hAnchor="text" w:y="1"/>
                        <w:tabs>
                          <w:tab w:val="left" w:pos="426"/>
                          <w:tab w:val="left" w:pos="709"/>
                        </w:tabs>
                        <w:ind w:left="720" w:hanging="720"/>
                        <w:suppressOverlap/>
                        <w:jc w:val="center"/>
                        <w:rPr>
                          <w:szCs w:val="24"/>
                        </w:rPr>
                      </w:pPr>
                    </w:p>
                    <w:p w14:paraId="0273282B" w14:textId="0621B4BA">
                      <w:pPr>
                        <w:framePr w:hSpace="180" w:wrap="auto" w:vAnchor="text" w:hAnchor="text" w:y="1"/>
                        <w:tabs>
                          <w:tab w:val="left" w:pos="426"/>
                          <w:tab w:val="left" w:pos="709"/>
                        </w:tabs>
                        <w:ind w:left="720" w:hanging="720"/>
                        <w:suppressOverlap/>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bottom"/>
                    </w:tcPr>
                    <w:p w14:paraId="16D8B857" w14:textId="4CEE8707">
                      <w:pPr>
                        <w:framePr w:hSpace="180" w:wrap="auto" w:vAnchor="text" w:hAnchor="text" w:y="1"/>
                        <w:suppressOverlap/>
                        <w:jc w:val="center"/>
                        <w:rPr>
                          <w:szCs w:val="24"/>
                        </w:rPr>
                      </w:pPr>
                      <w:r>
                        <w:rPr>
                          <w:szCs w:val="24"/>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1324965C" w14:textId="4648079D">
                      <w:pPr>
                        <w:framePr w:hSpace="180" w:wrap="auto" w:vAnchor="text" w:hAnchor="text" w:y="1"/>
                        <w:suppressOverlap/>
                        <w:jc w:val="cente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14:paraId="065AD904" w14:textId="77777777">
                <w:pPr>
                  <w:jc w:val="both"/>
                  <w:rPr>
                    <w:i/>
                    <w:iCs/>
                    <w:sz w:val="22"/>
                    <w:szCs w:val="22"/>
                  </w:rPr>
                </w:pPr>
              </w:p>
            </w:tc>
          </w:tr>
        </w:tbl>
        <w:p w14:paraId="5C63D553" w14:textId="511D3BB1">
          <w:pPr>
            <w:spacing w:line="276" w:lineRule="auto"/>
            <w:jc w:val="center"/>
            <w:rPr>
              <w:rFonts w:eastAsia="Calibri"/>
              <w:sz w:val="22"/>
              <w:szCs w:val="22"/>
            </w:rPr>
          </w:pPr>
        </w:p>
        <w:p w14:paraId="03AF941D" w14:textId="77777777">
          <w:pPr>
            <w:spacing w:line="276" w:lineRule="auto"/>
            <w:rPr>
              <w:rFonts w:eastAsia="Calibri"/>
              <w:szCs w:val="24"/>
            </w:rPr>
          </w:pPr>
        </w:p>
        <w:p w14:paraId="7F7CDEAF" w14:textId="77777777">
          <w:pPr>
            <w:spacing w:line="276" w:lineRule="auto"/>
            <w:jc w:val="center"/>
            <w:rPr>
              <w:rFonts w:eastAsia="Calibri"/>
              <w:sz w:val="20"/>
            </w:rPr>
          </w:pPr>
          <w:r>
            <w:rPr>
              <w:rFonts w:eastAsia="Calibri"/>
              <w:sz w:val="20"/>
            </w:rPr>
            <w:t>–––––––––––––––––––––––––––––––––</w:t>
          </w:r>
        </w:p>
        <w:p w14:paraId="0686F15F" w14:textId="77777777">
          <w:pPr>
            <w:rPr>
              <w:szCs w:val="24"/>
            </w:rPr>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1135" w:right="567" w:bottom="993" w:left="1701" w:header="567" w:footer="567" w:gutter="0"/>
              <w:cols w:space="1296"/>
              <w:titlePg/>
              <w:docGrid w:linePitch="360"/>
            </w:sectPr>
          </w:pPr>
        </w:p>
        <w:p w14:paraId="1C987116" w14:textId="77777777">
          <w:pPr>
            <w:tabs>
              <w:tab w:val="center" w:pos="4819"/>
              <w:tab w:val="right" w:pos="9638"/>
            </w:tabs>
            <w:rPr>
              <w:sz w:val="22"/>
              <w:szCs w:val="22"/>
            </w:rPr>
          </w:pPr>
        </w:p>
      </w:sdtContent>
    </w:sdt>
    <w:sdt>
      <w:sdtPr>
        <w:alias w:val="pr."/>
        <w:tag w:val="part_1ff910bb14854783a90d0aa4531c91a2"/>
        <w:lock w:val="sdtLocked"/>
        <w:richText/>
      </w:sdtPr>
      <w:sdtContent>
        <w:p w14:paraId="022522BC" w14:textId="4E8F0AAA">
          <w:pPr>
            <w:ind w:left="9923"/>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17</w:t>
          </w:r>
        </w:p>
        <w:p w14:paraId="65B23460" w14:textId="77777777">
          <w:pPr>
            <w:ind w:left="9923"/>
            <w:jc w:val="both"/>
            <w:rPr>
              <w:szCs w:val="24"/>
            </w:rPr>
          </w:pPr>
          <w:r>
            <w:rPr>
              <w:szCs w:val="24"/>
            </w:rPr>
            <w:t>priedas</w:t>
          </w:r>
        </w:p>
        <w:p w14:paraId="00903BEB" w14:textId="77777777">
          <w:pPr>
            <w:ind w:left="9923"/>
            <w:rPr>
              <w:szCs w:val="24"/>
            </w:rPr>
          </w:pPr>
        </w:p>
        <w:p w14:paraId="38576636" w14:textId="77777777">
          <w:pPr>
            <w:jc w:val="center"/>
            <w:rPr>
              <w:rFonts w:eastAsia="Calibri"/>
              <w:b/>
              <w:bCs/>
              <w:szCs w:val="24"/>
            </w:rPr>
          </w:pPr>
        </w:p>
        <w:p w14:paraId="0BF8F62B" w14:textId="77777777">
          <w:pPr>
            <w:jc w:val="center"/>
            <w:rPr>
              <w:rFonts w:eastAsia="Calibri"/>
              <w:b/>
              <w:bCs/>
              <w:szCs w:val="24"/>
            </w:rPr>
          </w:pPr>
          <w:sdt>
            <w:sdtPr>
              <w:alias w:val="Pavadinimas"/>
              <w:tag w:val="title_1ff910bb14854783a90d0aa4531c91a2"/>
              <w:lock w:val="sdtLocked"/>
              <w:richText/>
            </w:sdtPr>
            <w:sdtContent>
              <w:r>
                <w:rPr>
                  <w:rFonts w:eastAsia="Calibri"/>
                  <w:b/>
                  <w:bCs/>
                  <w:szCs w:val="24"/>
                </w:rPr>
                <w:t>PROJEKTO ATITIKTIES REIKŠMINGOS ŽALOS NEDARYMO HORIZONTALIAJAM PRINCIPUI VERTINIMO REIKALAVIMŲ APRAŠAS</w:t>
              </w:r>
            </w:sdtContent>
          </w:sdt>
        </w:p>
        <w:p w14:paraId="690898AD" w14:textId="77777777">
          <w:pPr>
            <w:jc w:val="center"/>
            <w:rPr>
              <w:rFonts w:eastAsia="Calibri"/>
              <w:b/>
              <w:bCs/>
              <w:szCs w:val="24"/>
            </w:rPr>
          </w:pPr>
        </w:p>
        <w:p w14:paraId="09D60283"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722B1103" w14:textId="77777777">
          <w:pPr>
            <w:spacing w:line="276" w:lineRule="auto"/>
            <w:jc w:val="both"/>
            <w:rPr>
              <w:rFonts w:eastAsia="Calibri"/>
              <w:bCs/>
              <w:szCs w:val="24"/>
            </w:rPr>
          </w:pPr>
          <w:r>
            <w:rPr>
              <w:szCs w:val="24"/>
            </w:rPr>
            <w:t xml:space="preserve">X  </w:t>
          </w:r>
          <w:r>
            <w:rPr>
              <w:rFonts w:eastAsia="Calibri"/>
              <w:bCs/>
              <w:szCs w:val="24"/>
            </w:rPr>
            <w:t>Ekonomikos gaivinimo ir atsparumo didinimo priemonė (toliau – EGADP)</w:t>
          </w:r>
        </w:p>
        <w:p w14:paraId="79388D7B" w14:textId="77777777">
          <w:pPr>
            <w:spacing w:line="276" w:lineRule="auto"/>
            <w:jc w:val="both"/>
            <w:rPr>
              <w:rFonts w:eastAsia="Calibri"/>
              <w:bCs/>
              <w:szCs w:val="24"/>
            </w:rPr>
          </w:pPr>
          <w:r>
            <w:rPr>
              <w:szCs w:val="24"/>
            </w:rPr>
            <w:sym w:font="Wingdings 2" w:char="00A3"/>
            <w:t xml:space="preserve"> Europos Sąjungos fondų i</w:t>
          </w:r>
          <w:r>
            <w:rPr>
              <w:rFonts w:eastAsia="Calibri"/>
              <w:bCs/>
              <w:szCs w:val="24"/>
            </w:rPr>
            <w:t>nvesticijų programa (toliau – ESIP)</w:t>
          </w:r>
        </w:p>
        <w:p w14:paraId="0998AF62"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14:paraId="31822520" w14:textId="77777777">
            <w:tc>
              <w:tcPr>
                <w:tcW w:w="4885" w:type="dxa"/>
              </w:tcPr>
              <w:p w14:paraId="418CF447" w14:textId="77777777">
                <w:pPr>
                  <w:jc w:val="center"/>
                  <w:rPr>
                    <w:rFonts w:eastAsia="Calibri"/>
                    <w:b/>
                    <w:szCs w:val="24"/>
                  </w:rPr>
                </w:pPr>
                <w:r>
                  <w:rPr>
                    <w:rFonts w:eastAsia="Calibri"/>
                    <w:b/>
                    <w:szCs w:val="24"/>
                  </w:rPr>
                  <w:t>Aplinkos tikslai</w:t>
                </w:r>
              </w:p>
            </w:tc>
            <w:tc>
              <w:tcPr>
                <w:tcW w:w="4633" w:type="dxa"/>
              </w:tcPr>
              <w:p w14:paraId="5784320A" w14:textId="77777777">
                <w:pPr>
                  <w:jc w:val="center"/>
                  <w:rPr>
                    <w:rFonts w:eastAsia="Calibri"/>
                    <w:b/>
                    <w:szCs w:val="24"/>
                  </w:rPr>
                </w:pPr>
                <w:r>
                  <w:rPr>
                    <w:rFonts w:eastAsia="Calibri"/>
                    <w:b/>
                    <w:szCs w:val="24"/>
                  </w:rPr>
                  <w:t>Pagrindimas</w:t>
                </w:r>
              </w:p>
            </w:tc>
            <w:tc>
              <w:tcPr>
                <w:tcW w:w="5331" w:type="dxa"/>
              </w:tcPr>
              <w:p w14:paraId="05809934" w14:textId="77777777">
                <w:pPr>
                  <w:jc w:val="center"/>
                  <w:rPr>
                    <w:rFonts w:eastAsia="Calibri"/>
                    <w:i/>
                    <w:szCs w:val="24"/>
                  </w:rPr>
                </w:pPr>
                <w:r>
                  <w:rPr>
                    <w:rFonts w:eastAsia="Calibri"/>
                    <w:b/>
                    <w:szCs w:val="24"/>
                  </w:rPr>
                  <w:t>Pagrindimo dokumentai</w:t>
                </w:r>
              </w:p>
            </w:tc>
          </w:tr>
          <w:tr w14:paraId="15743674" w14:textId="77777777">
            <w:tc>
              <w:tcPr>
                <w:tcW w:w="4885" w:type="dxa"/>
              </w:tcPr>
              <w:p w14:paraId="68D7102B" w14:textId="77777777">
                <w:pPr>
                  <w:tabs>
                    <w:tab w:val="left" w:pos="289"/>
                  </w:tabs>
                  <w:ind w:firstLine="5"/>
                  <w:jc w:val="both"/>
                  <w:rPr>
                    <w:rFonts w:eastAsia="Calibri"/>
                    <w:szCs w:val="24"/>
                  </w:rPr>
                </w:pPr>
                <w:r>
                  <w:rPr>
                    <w:rFonts w:eastAsia="Calibri"/>
                    <w:szCs w:val="24"/>
                  </w:rPr>
                  <w:t>1.</w:t>
                  <w:tab/>
                  <w:t>Klimato kaitos švelninimas</w:t>
                </w:r>
              </w:p>
            </w:tc>
            <w:tc>
              <w:tcPr>
                <w:tcW w:w="4633" w:type="dxa"/>
              </w:tcPr>
              <w:p w14:paraId="1D942FC5" w14:textId="0DA0A911">
                <w:pPr>
                  <w:jc w:val="both"/>
                  <w:rPr>
                    <w:rFonts w:eastAsia="Calibri"/>
                    <w:bCs/>
                    <w:i/>
                    <w:szCs w:val="24"/>
                  </w:rPr>
                </w:pPr>
                <w:r>
                  <w:rPr>
                    <w:rFonts w:eastAsia="Calibri"/>
                    <w:bCs/>
                    <w:iCs/>
                    <w:szCs w:val="24"/>
                  </w:rPr>
                  <w:t xml:space="preserve">Vertinama, kad planuojama įgyvendinti  priemonė neturi jokio poveikio šiam aplinkos tikslui arba numatomas jos poveikis yra nereikšmingas, t. y. neplanuojama, kad įgyvendinama priemonė prisidės prie išmetamųjų šiltnamio efektą sukeliančių dujų išsiskyrimo. Planuojamos priemonės veiklos (pagal savo pobūdį) neturi jokio tiesioginio ar netiesioginio neigiamo poveikio šiam aplinkos tikslui.</w:t>
                </w:r>
              </w:p>
            </w:tc>
            <w:tc>
              <w:tcPr>
                <w:tcW w:w="5331" w:type="dxa"/>
              </w:tcPr>
              <w:p w14:paraId="58F94C7E"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6EF852E4" w14:textId="77777777">
                <w:pPr>
                  <w:jc w:val="both"/>
                  <w:rPr>
                    <w:rFonts w:eastAsia="Calibri"/>
                    <w:bCs/>
                    <w:iCs/>
                    <w:szCs w:val="24"/>
                  </w:rPr>
                </w:pPr>
              </w:p>
              <w:p w14:paraId="4790DBDB" w14:textId="77777777">
                <w:pPr>
                  <w:tabs>
                    <w:tab w:val="left" w:pos="589"/>
                  </w:tabs>
                  <w:jc w:val="both"/>
                  <w:rPr>
                    <w:rFonts w:eastAsia="Calibri"/>
                    <w:bCs/>
                    <w:iCs/>
                    <w:szCs w:val="24"/>
                  </w:rPr>
                </w:pPr>
              </w:p>
              <w:p w14:paraId="1B4F311C" w14:textId="77777777">
                <w:pPr>
                  <w:tabs>
                    <w:tab w:val="left" w:pos="589"/>
                  </w:tabs>
                  <w:jc w:val="both"/>
                  <w:rPr>
                    <w:rFonts w:eastAsia="Calibri"/>
                    <w:iCs/>
                    <w:szCs w:val="24"/>
                  </w:rPr>
                </w:pPr>
              </w:p>
              <w:p w14:paraId="481BBCC3" w14:textId="77777777">
                <w:pPr>
                  <w:tabs>
                    <w:tab w:val="left" w:pos="589"/>
                  </w:tabs>
                  <w:jc w:val="both"/>
                  <w:rPr>
                    <w:rFonts w:eastAsia="Calibri"/>
                    <w:iCs/>
                    <w:szCs w:val="24"/>
                  </w:rPr>
                </w:pPr>
              </w:p>
              <w:p w14:paraId="6B256A84" w14:textId="77777777">
                <w:pPr>
                  <w:tabs>
                    <w:tab w:val="left" w:pos="589"/>
                  </w:tabs>
                  <w:jc w:val="both"/>
                  <w:rPr>
                    <w:rFonts w:eastAsia="Calibri"/>
                    <w:i/>
                    <w:szCs w:val="24"/>
                  </w:rPr>
                </w:pPr>
              </w:p>
            </w:tc>
          </w:tr>
          <w:tr w14:paraId="4E9B3FA4" w14:textId="77777777">
            <w:tc>
              <w:tcPr>
                <w:tcW w:w="4885" w:type="dxa"/>
              </w:tcPr>
              <w:p w14:paraId="2659B438" w14:textId="77777777">
                <w:pPr>
                  <w:tabs>
                    <w:tab w:val="left" w:pos="289"/>
                  </w:tabs>
                  <w:ind w:firstLine="5"/>
                  <w:jc w:val="both"/>
                  <w:rPr>
                    <w:rFonts w:eastAsia="Calibri"/>
                    <w:szCs w:val="24"/>
                  </w:rPr>
                </w:pPr>
                <w:r>
                  <w:rPr>
                    <w:rFonts w:eastAsia="Calibri"/>
                    <w:szCs w:val="24"/>
                  </w:rPr>
                  <w:t>2.</w:t>
                  <w:tab/>
                  <w:t>Prisitaikymas prie klimato kaitos</w:t>
                </w:r>
              </w:p>
            </w:tc>
            <w:tc>
              <w:tcPr>
                <w:tcW w:w="4633" w:type="dxa"/>
              </w:tcPr>
              <w:p w14:paraId="5A638509" w14:textId="77777777">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331" w:type="dxa"/>
              </w:tcPr>
              <w:p w14:paraId="36F3890E"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37DDAF4F" w14:textId="77777777">
                <w:pPr>
                  <w:jc w:val="both"/>
                  <w:rPr>
                    <w:rFonts w:eastAsia="Calibri"/>
                    <w:b/>
                    <w:szCs w:val="24"/>
                  </w:rPr>
                </w:pPr>
              </w:p>
            </w:tc>
          </w:tr>
          <w:tr w14:paraId="65B93CA0" w14:textId="77777777">
            <w:tc>
              <w:tcPr>
                <w:tcW w:w="4885" w:type="dxa"/>
                <w:shd w:val="clear" w:color="auto" w:fill="auto"/>
              </w:tcPr>
              <w:p w14:paraId="34E55D88"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4633" w:type="dxa"/>
                <w:shd w:val="clear" w:color="auto" w:fill="auto"/>
              </w:tcPr>
              <w:p w14:paraId="5E41F3E9" w14:textId="77777777">
                <w:pPr>
                  <w:jc w:val="both"/>
                  <w:rPr>
                    <w:rFonts w:eastAsia="Calibri"/>
                    <w:b/>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5331" w:type="dxa"/>
              </w:tcPr>
              <w:p w14:paraId="233712C1"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12D7392D" w14:textId="77777777">
                <w:pPr>
                  <w:jc w:val="both"/>
                  <w:rPr>
                    <w:rFonts w:eastAsia="Calibri"/>
                    <w:bCs/>
                    <w:szCs w:val="24"/>
                  </w:rPr>
                </w:pPr>
              </w:p>
            </w:tc>
          </w:tr>
          <w:tr w14:paraId="5C6D0A56" w14:textId="77777777">
            <w:tc>
              <w:tcPr>
                <w:tcW w:w="4885" w:type="dxa"/>
              </w:tcPr>
              <w:p w14:paraId="0E57B8B2"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3" w:type="dxa"/>
              </w:tcPr>
              <w:p w14:paraId="56552DB9" w14:textId="77777777">
                <w:pPr>
                  <w:jc w:val="both"/>
                  <w:rPr>
                    <w:rFonts w:eastAsia="Calibri"/>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331" w:type="dxa"/>
              </w:tcPr>
              <w:p w14:paraId="1CC800BB"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3FD0B656" w14:textId="77777777">
                <w:pPr>
                  <w:jc w:val="both"/>
                  <w:rPr>
                    <w:bCs/>
                    <w:szCs w:val="24"/>
                  </w:rPr>
                </w:pPr>
              </w:p>
              <w:p w14:paraId="44EFE81E" w14:textId="77777777">
                <w:pPr>
                  <w:jc w:val="both"/>
                  <w:rPr>
                    <w:bCs/>
                    <w:szCs w:val="24"/>
                  </w:rPr>
                </w:pPr>
              </w:p>
              <w:p w14:paraId="42A8AFCC" w14:textId="77777777">
                <w:pPr>
                  <w:jc w:val="both"/>
                  <w:rPr>
                    <w:rFonts w:eastAsia="Calibri"/>
                    <w:szCs w:val="24"/>
                  </w:rPr>
                </w:pPr>
              </w:p>
            </w:tc>
          </w:tr>
          <w:tr w14:paraId="726029BF" w14:textId="77777777">
            <w:tc>
              <w:tcPr>
                <w:tcW w:w="4885" w:type="dxa"/>
              </w:tcPr>
              <w:p w14:paraId="5E326E4A"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3" w:type="dxa"/>
              </w:tcPr>
              <w:p w14:paraId="4FBE000C" w14:textId="0863420E">
                <w:pPr>
                  <w:jc w:val="both"/>
                  <w:rPr>
                    <w:rFonts w:eastAsia="Calibri"/>
                    <w:b/>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31" w:type="dxa"/>
              </w:tcPr>
              <w:p w14:paraId="4714AD2B"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7F44182B" w14:textId="77777777">
                <w:pPr>
                  <w:jc w:val="both"/>
                  <w:rPr>
                    <w:rFonts w:eastAsia="Calibri"/>
                    <w:szCs w:val="24"/>
                  </w:rPr>
                </w:pPr>
              </w:p>
            </w:tc>
          </w:tr>
          <w:tr w14:paraId="15F1C746" w14:textId="77777777">
            <w:tc>
              <w:tcPr>
                <w:tcW w:w="4885" w:type="dxa"/>
              </w:tcPr>
              <w:p w14:paraId="6E2E759A"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3" w:type="dxa"/>
              </w:tcPr>
              <w:p w14:paraId="07628079" w14:textId="4AF067C5">
                <w:pPr>
                  <w:jc w:val="both"/>
                  <w:rPr>
                    <w:rFonts w:eastAsia="Calibri"/>
                    <w:b/>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1" w:type="dxa"/>
              </w:tcPr>
              <w:p w14:paraId="68E7483E"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0BCB6BC3" w14:textId="77777777">
                <w:pPr>
                  <w:jc w:val="both"/>
                  <w:rPr>
                    <w:rFonts w:eastAsia="Calibri"/>
                    <w:szCs w:val="24"/>
                  </w:rPr>
                </w:pPr>
              </w:p>
            </w:tc>
          </w:tr>
        </w:tbl>
        <w:p w14:paraId="77767B14" w14:textId="77777777">
          <w:pPr>
            <w:rPr>
              <w:szCs w:val="24"/>
            </w:rPr>
          </w:pPr>
        </w:p>
        <w:sdt>
          <w:sdtPr>
            <w:alias w:val="pabaiga"/>
            <w:tag w:val="part_61ec537bc7cf4fa284738a9ad3b2d37e"/>
            <w:lock w:val="sdtLocked"/>
            <w:richText/>
          </w:sdtPr>
          <w:sdtContent>
            <w:p w14:paraId="175CA661" w14:textId="77777777">
              <w:pPr>
                <w:spacing w:line="276" w:lineRule="auto"/>
                <w:jc w:val="center"/>
                <w:rPr>
                  <w:szCs w:val="24"/>
                  <w:u w:val="single"/>
                </w:rPr>
              </w:pPr>
              <w:r>
                <w:rPr>
                  <w:rFonts w:eastAsia="Calibri"/>
                  <w:szCs w:val="24"/>
                  <w:u w:val="single"/>
                </w:rPr>
                <w:t>________________</w:t>
              </w:r>
            </w:p>
            <w:p w14:paraId="5867914E" w14:textId="77777777">
              <w:pPr>
                <w:spacing w:line="276" w:lineRule="auto"/>
                <w:rPr>
                  <w:sz w:val="22"/>
                  <w:szCs w:val="22"/>
                </w:rPr>
              </w:pPr>
            </w:p>
            <w:p w14:paraId="6031890B" w14:textId="01D1C740">
              <w:pPr>
                <w:spacing w:line="276" w:lineRule="auto"/>
                <w:jc w:val="both"/>
                <w:rPr>
                  <w:szCs w:val="24"/>
                </w:rPr>
              </w:pPr>
            </w:p>
          </w:sdtContent>
        </w:sdt>
      </w:sdtContent>
    </w:sdt>
    <w:sectPr>
      <w:headerReference w:type="even" r:id="rId17"/>
      <w:footerReference w:type="even" r:id="rId18"/>
      <w:footerReference w:type="default" r:id="rId19"/>
      <w:headerReference w:type="first" r:id="rId20"/>
      <w:footerReference w:type="first" r:id="rId21"/>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012F72" w14:textId="77777777">
      <w:pPr>
        <w:rPr>
          <w:sz w:val="22"/>
          <w:szCs w:val="22"/>
        </w:rPr>
      </w:pPr>
      <w:r>
        <w:rPr>
          <w:sz w:val="22"/>
          <w:szCs w:val="22"/>
        </w:rPr>
        <w:separator/>
      </w:r>
    </w:p>
  </w:endnote>
  <w:endnote w:type="continuationSeparator" w:id="0">
    <w:p w14:paraId="732D59F3" w14:textId="77777777">
      <w:pPr>
        <w:rPr>
          <w:sz w:val="22"/>
          <w:szCs w:val="22"/>
        </w:rPr>
      </w:pPr>
      <w:r>
        <w:rPr>
          <w:sz w:val="22"/>
          <w:szCs w:val="22"/>
        </w:rPr>
        <w:continuationSeparator/>
      </w:r>
    </w:p>
  </w:endnote>
  <w:endnote w:type="continuationNotice" w:id="1">
    <w:p w14:paraId="203BB929"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DC3195"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0DB7ED" w14:textId="77777777">
    <w:pPr>
      <w:tabs>
        <w:tab w:val="center" w:pos="4819"/>
        <w:tab w:val="right" w:pos="9638"/>
      </w:tabs>
    </w:pPr>
  </w:p>
  <w:p w14:paraId="6B55D93C"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C32BE4" w14:textId="77777777">
    <w:pPr>
      <w:tabs>
        <w:tab w:val="center" w:pos="4819"/>
        <w:tab w:val="right" w:pos="9638"/>
      </w:tabs>
      <w:rPr>
        <w:sz w:val="22"/>
        <w:szCs w:val="22"/>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93788A" w14:textId="77777777">
    <w:pPr>
      <w:tabs>
        <w:tab w:val="center" w:pos="4819"/>
        <w:tab w:val="right" w:pos="9638"/>
      </w:tabs>
      <w:rPr>
        <w:sz w:val="22"/>
        <w:szCs w:val="22"/>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073FF4" w14:textId="77777777">
    <w:pPr>
      <w:tabs>
        <w:tab w:val="center" w:pos="4819"/>
        <w:tab w:val="right" w:pos="9638"/>
      </w:tabs>
      <w:rPr>
        <w:sz w:val="22"/>
        <w:szCs w:val="22"/>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F5ABB"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EB7CCC" w14:textId="77777777">
      <w:pPr>
        <w:rPr>
          <w:sz w:val="22"/>
          <w:szCs w:val="22"/>
        </w:rPr>
      </w:pPr>
      <w:r>
        <w:rPr>
          <w:sz w:val="22"/>
          <w:szCs w:val="22"/>
        </w:rPr>
        <w:separator/>
      </w:r>
    </w:p>
  </w:footnote>
  <w:footnote w:type="continuationSeparator" w:id="0">
    <w:p w14:paraId="1C078570" w14:textId="77777777">
      <w:pPr>
        <w:rPr>
          <w:sz w:val="22"/>
          <w:szCs w:val="22"/>
        </w:rPr>
      </w:pPr>
      <w:r>
        <w:rPr>
          <w:sz w:val="22"/>
          <w:szCs w:val="22"/>
        </w:rPr>
        <w:continuationSeparator/>
      </w:r>
    </w:p>
  </w:footnote>
  <w:footnote w:type="continuationNotice" w:id="1">
    <w:p w14:paraId="1F6654A4"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3E54C6"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A27B04" w14:textId="7D848790">
    <w:pPr>
      <w:tabs>
        <w:tab w:val="center" w:pos="4819"/>
        <w:tab w:val="right" w:pos="9638"/>
      </w:tabs>
      <w:jc w:val="center"/>
      <w:rPr>
        <w:sz w:val="22"/>
        <w:szCs w:val="22"/>
        <w:lang w:val="en-US"/>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14:paraId="17563793"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8EB906" w14:textId="77777777">
    <w:pPr>
      <w:tabs>
        <w:tab w:val="center" w:pos="4680"/>
        <w:tab w:val="right" w:pos="9360"/>
      </w:tabs>
      <w:rPr>
        <w:sz w:val="22"/>
        <w:szCs w:val="22"/>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D9DEE5" w14:textId="77777777">
    <w:pPr>
      <w:tabs>
        <w:tab w:val="center" w:pos="4819"/>
        <w:tab w:val="right" w:pos="9638"/>
      </w:tabs>
      <w:rPr>
        <w:sz w:val="22"/>
        <w:szCs w:val="22"/>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1807E7"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DD386E"/>
  <w15:docId w15:val="{C795019F-7A42-4049-B2D8-D9ABC3073E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93674438">
      <w:bodyDiv w:val="1"/>
      <w:marLeft w:val="0"/>
      <w:marRight w:val="0"/>
      <w:marTop w:val="0"/>
      <w:marBottom w:val="0"/>
      <w:divBdr>
        <w:top w:val="none" w:sz="0" w:space="0" w:color="auto"/>
        <w:left w:val="none" w:sz="0" w:space="0" w:color="auto"/>
        <w:bottom w:val="none" w:sz="0" w:space="0" w:color="auto"/>
        <w:right w:val="none" w:sz="0" w:space="0" w:color="auto"/>
      </w:divBdr>
    </w:div>
    <w:div w:id="438569244">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13873840">
      <w:bodyDiv w:val="1"/>
      <w:marLeft w:val="0"/>
      <w:marRight w:val="0"/>
      <w:marTop w:val="0"/>
      <w:marBottom w:val="0"/>
      <w:divBdr>
        <w:top w:val="none" w:sz="0" w:space="0" w:color="auto"/>
        <w:left w:val="none" w:sz="0" w:space="0" w:color="auto"/>
        <w:bottom w:val="none" w:sz="0" w:space="0" w:color="auto"/>
        <w:right w:val="none" w:sz="0" w:space="0" w:color="auto"/>
      </w:divBdr>
    </w:div>
    <w:div w:id="1216962997">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footer" Target="footer4.xml"/>
  <Relationship Id="rId19" Type="http://schemas.openxmlformats.org/officeDocument/2006/relationships/footer" Target="footer5.xml"/>
  <Relationship Id="rId2" Type="http://schemas.openxmlformats.org/officeDocument/2006/relationships/customXml" Target="../customXml/item2.xml"/>
  <Relationship Id="rId20" Type="http://schemas.openxmlformats.org/officeDocument/2006/relationships/header" Target="header5.xml"/>
  <Relationship Id="rId21" Type="http://schemas.openxmlformats.org/officeDocument/2006/relationships/footer" Target="footer6.xml"/>
  <Relationship Id="rId22" Type="http://schemas.openxmlformats.org/officeDocument/2006/relationships/fontTable" Target="fontTable.xml"/>
  <Relationship Id="rId23" Type="http://schemas.openxmlformats.org/officeDocument/2006/relationships/theme" Target="theme/theme1.xml"/>
  <Relationship Id="rId24"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17" Abbr="17 pr." Title="2022–2030 METŲ SVEIKATOS PRIEŽIŪROS KOKYBĖS IR EFEKTYVUMO DIDINIMO PLĖTROS PROGRAMOS PAŽANGOS PRIEMONĖS NR. 11-002-02-11-01 „GERINTI SVEIKATOS PRIEŽIŪROS PASLAUGŲ KOKYBĘ IR PRIEINAMUMĄ“ PROJEKTŲ FINANSAVIMO SĄLYGŲ APRAŠAS NR. 17" DocPartId="3c24bfdaaaf34458a60ab913960293d1" PartId="d8869617fe534beeb33adc60cb8181a0"/>
  <Part Type="priedas" Abbr="pr." Title="PROJEKTO ATITIKTIES REIKŠMINGOS ŽALOS NEDARYMO HORIZONTALIAJAM PRINCIPUI VERTINIMO REIKALAVIMŲ APRAŠAS" DocPartId="7bdb1190ccfa468c9fcd7ca2fdb9fda4" PartId="1ff910bb14854783a90d0aa4531c91a2">
    <Part Type="pabaiga" DocPartId="25b59889dcb547b1aa4144357c5bbed1" PartId="61ec537bc7cf4fa284738a9ad3b2d37e"/>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9716DE60-5124-49A6-8AE5-43A09E4B9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426245-659D-404D-BCAC-3D47C1A39AE5}">
  <ds:schemaRefs>
    <ds:schemaRef ds:uri="http://schemas.openxmlformats.org/officeDocument/2006/bibliography"/>
  </ds:schemaRefs>
</ds:datastoreItem>
</file>

<file path=customXml/itemProps5.xml><?xml version="1.0" encoding="utf-8"?>
<ds:datastoreItem xmlns:ds="http://schemas.openxmlformats.org/officeDocument/2006/customXml" ds:itemID="{D169CBD8-8E1E-4B69-B58F-F958B3565B67}">
  <ds:schemaRefs>
    <ds:schemaRef ds:uri="http://schemas.openxmlformats.org/officeDocument/2006/bibliography"/>
  </ds:schemaRefs>
</ds:datastoreItem>
</file>

<file path=customXml/itemProps6.xml><?xml version="1.0" encoding="utf-8"?>
<ds:datastoreItem xmlns:ds="http://schemas.openxmlformats.org/officeDocument/2006/customXml" ds:itemID="{F8D66CA4-72D6-46CE-BC6E-3F8DD921CBF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3544</Words>
  <Characters>26442</Characters>
  <Application>Microsoft Office Word</Application>
  <DocSecurity>4</DocSecurity>
  <Lines>734</Lines>
  <Paragraphs>247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2022-09-09 IT patobulinimas</vt:lpstr>
      <vt:lpstr>PFSA 2022-09-09 IT patobulinimas</vt:lpstr>
    </vt:vector>
  </TitlesOfParts>
  <Company>HP Inc.</Company>
  <LinksUpToDate>false</LinksUpToDate>
  <CharactersWithSpaces>29739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2023-09-15T08:16:00Z</dcterms:created>
  <dc:creator>Virginija Levinskienė</dc:creator>
  <lastModifiedBy>adlibuser</lastModifiedBy>
  <lastPrinted>2022-08-08T10:12:00Z</lastPrinted>
  <dcterms:modified xsi:type="dcterms:W3CDTF">2023-09-15T08:16:00Z</dcterms:modified>
  <revision>2</revision>
  <dc:title>PFSA 2022-09-09 IT patobulinimas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1160;#Sonata Matakaitė-Čečotė;#90;#Laura Neliupšytė;#758;#Toma Šukienė;#1227;#Sonata Macijauskienė;#24;#Ineta Valantinavičiūtė;#166;#Margarita Kairienė</vt:lpwstr>
  </property>
  <property fmtid="{D5CDD505-2E9C-101B-9397-08002B2CF9AE}" pid="6" name="TaxCatchAll">
    <vt:lpwstr/>
  </property>
  <property fmtid="{D5CDD505-2E9C-101B-9397-08002B2CF9AE}" pid="7" name="DmsPermissionsConfid">
    <vt:bool>false</vt:bool>
  </property>
</Properties>
</file>