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1b56729c301b4225bd49133f4664aa70"/>
        <w:lock w:val="sdtLocked"/>
        <w:richText/>
      </w:sdtPr>
      <w:sdtContent>
        <w:p>
          <w:pPr>
            <w:tabs>
              <w:tab w:val="center" w:pos="4320"/>
              <w:tab w:val="right" w:pos="8640"/>
            </w:tabs>
            <w:rPr>
              <w:rFonts w:ascii="Calibri" w:hAnsi="Calibri"/>
              <w:color w:val="000000"/>
              <w:sz w:val="22"/>
              <w:lang w:val="en-US"/>
            </w:rPr>
          </w:pPr>
        </w:p>
        <w:p>
          <w:pPr>
            <w:ind w:left="5387"/>
            <w:rPr>
              <w:color w:val="000000"/>
              <w:szCs w:val="24"/>
            </w:rPr>
          </w:pPr>
          <w:r>
            <w:rPr>
              <w:color w:val="000000"/>
              <w:szCs w:val="24"/>
            </w:rPr>
            <w:t xml:space="preserve">Specializuoto ugdymo krypties programų </w:t>
          </w:r>
        </w:p>
        <w:p>
          <w:pPr>
            <w:ind w:left="5387"/>
            <w:rPr>
              <w:color w:val="000000"/>
              <w:szCs w:val="24"/>
            </w:rPr>
          </w:pPr>
          <w:r>
            <w:rPr>
              <w:color w:val="000000"/>
              <w:szCs w:val="24"/>
            </w:rPr>
            <w:t xml:space="preserve">(pradinio, pagrindinio ir vidurinio ugdymo </w:t>
          </w:r>
        </w:p>
        <w:p>
          <w:pPr>
            <w:ind w:left="5387"/>
            <w:rPr>
              <w:color w:val="000000"/>
              <w:szCs w:val="24"/>
            </w:rPr>
          </w:pPr>
          <w:r>
            <w:rPr>
              <w:color w:val="000000"/>
              <w:szCs w:val="24"/>
            </w:rPr>
            <w:t xml:space="preserve">kartu su inžineriniu ugdymu programų) </w:t>
          </w:r>
        </w:p>
        <w:p>
          <w:pPr>
            <w:ind w:left="5387"/>
            <w:rPr>
              <w:caps/>
              <w:color w:val="000000"/>
              <w:szCs w:val="24"/>
            </w:rPr>
          </w:pPr>
          <w:r>
            <w:rPr>
              <w:color w:val="000000"/>
              <w:szCs w:val="24"/>
            </w:rPr>
            <w:t>inžinerinio ugdymo dalies</w:t>
          </w:r>
        </w:p>
        <w:p>
          <w:pPr>
            <w:ind w:left="5387"/>
            <w:rPr>
              <w:caps/>
              <w:color w:val="000000"/>
              <w:szCs w:val="24"/>
            </w:rPr>
          </w:pPr>
          <w:sdt>
            <w:sdtPr>
              <w:alias w:val="Numeris"/>
              <w:tag w:val="nr_1b56729c301b4225bd49133f4664aa70"/>
              <w:lock w:val="sdtLocked"/>
              <w:richText/>
            </w:sdtPr>
            <w:sdtContent>
              <w:r>
                <w:rPr>
                  <w:color w:val="000000"/>
                  <w:szCs w:val="24"/>
                </w:rPr>
                <w:t>2</w:t>
              </w:r>
            </w:sdtContent>
          </w:sdt>
          <w:r>
            <w:rPr>
              <w:color w:val="000000"/>
              <w:szCs w:val="24"/>
            </w:rPr>
            <w:t xml:space="preserve"> priedas</w:t>
          </w:r>
        </w:p>
        <w:p>
          <w:pPr>
            <w:jc w:val="center"/>
            <w:rPr>
              <w:b/>
              <w:bCs/>
              <w:szCs w:val="24"/>
            </w:rPr>
          </w:pPr>
        </w:p>
        <w:p>
          <w:pPr>
            <w:jc w:val="center"/>
            <w:rPr>
              <w:b/>
              <w:color w:val="000000"/>
              <w:szCs w:val="24"/>
            </w:rPr>
          </w:pPr>
          <w:sdt>
            <w:sdtPr>
              <w:alias w:val="Pavadinimas"/>
              <w:tag w:val="title_1b56729c301b4225bd49133f4664aa70"/>
              <w:lock w:val="sdtLocked"/>
              <w:richText/>
            </w:sdtPr>
            <w:sdtContent>
              <w:r>
                <w:rPr>
                  <w:b/>
                  <w:color w:val="000000"/>
                  <w:szCs w:val="24"/>
                </w:rPr>
                <w:t>SPECIALIZUOTO UGDYMO KRYPTIES PROGRAMŲ (PAGRINDINIO UGDYMO KARTU SU INŽINERINIU UGDYMU PROGRAMOS ANTROSIOS DALIES IR VIDURINIO UGDYMO KARTU SU INŽINERINIU UGDYMU PROGRAMOS) INŽINERINIO UGDYMO DALIES PROJEKTAVIMO BENDROJI PROGRAMA</w:t>
              </w:r>
            </w:sdtContent>
          </w:sdt>
        </w:p>
        <w:p>
          <w:pPr>
            <w:jc w:val="center"/>
            <w:rPr>
              <w:b/>
              <w:color w:val="000000"/>
              <w:szCs w:val="24"/>
            </w:rPr>
          </w:pPr>
        </w:p>
        <w:sdt>
          <w:sdtPr>
            <w:alias w:val="skyrius"/>
            <w:tag w:val="part_4ec255a663ce42d08593b845caf62b19"/>
            <w:lock w:val="sdtLocked"/>
            <w:richText/>
          </w:sdtPr>
          <w:sdtContent>
            <w:p>
              <w:pPr>
                <w:ind w:left="1080" w:hanging="720"/>
                <w:jc w:val="center"/>
                <w:rPr>
                  <w:b/>
                  <w:color w:val="000000"/>
                  <w:szCs w:val="24"/>
                </w:rPr>
              </w:pPr>
              <w:sdt>
                <w:sdtPr>
                  <w:alias w:val="Numeris"/>
                  <w:tag w:val="nr_4ec255a663ce42d08593b845caf62b19"/>
                  <w:lock w:val="sdtLocked"/>
                  <w:richText/>
                </w:sdtPr>
                <w:sdtContent>
                  <w:r>
                    <w:rPr>
                      <w:b/>
                      <w:color w:val="000000"/>
                      <w:szCs w:val="24"/>
                    </w:rPr>
                    <w:t>I</w:t>
                  </w:r>
                </w:sdtContent>
              </w:sdt>
              <w:r>
                <w:rPr>
                  <w:b/>
                  <w:color w:val="000000"/>
                  <w:szCs w:val="24"/>
                </w:rPr>
                <w:t>.</w:t>
                <w:tab/>
              </w:r>
              <w:sdt>
                <w:sdtPr>
                  <w:alias w:val="Pavadinimas"/>
                  <w:tag w:val="title_4ec255a663ce42d08593b845caf62b19"/>
                  <w:lock w:val="sdtLocked"/>
                  <w:richText/>
                </w:sdtPr>
                <w:sdtContent>
                  <w:r>
                    <w:rPr>
                      <w:b/>
                      <w:color w:val="000000"/>
                      <w:szCs w:val="24"/>
                    </w:rPr>
                    <w:t xml:space="preserve">BENDROSIOS NUOSTATOS </w:t>
                  </w:r>
                </w:sdtContent>
              </w:sdt>
            </w:p>
            <w:p>
              <w:pPr>
                <w:ind w:firstLine="595"/>
                <w:jc w:val="both"/>
                <w:rPr>
                  <w:szCs w:val="24"/>
                </w:rPr>
              </w:pPr>
            </w:p>
            <w:sdt>
              <w:sdtPr>
                <w:alias w:val="2 pr. 1 p."/>
                <w:tag w:val="part_93a4b8da34ba44b6bbf523e6196db7e8"/>
                <w:lock w:val="sdtLocked"/>
                <w:richText/>
              </w:sdtPr>
              <w:sdtContent>
                <w:p>
                  <w:pPr>
                    <w:tabs>
                      <w:tab w:val="left" w:pos="798"/>
                      <w:tab w:val="left" w:pos="1134"/>
                    </w:tabs>
                    <w:ind w:firstLine="595"/>
                    <w:jc w:val="both"/>
                    <w:rPr>
                      <w:rFonts w:eastAsia="Arial Unicode MS"/>
                      <w:szCs w:val="24"/>
                    </w:rPr>
                  </w:pPr>
                  <w:sdt>
                    <w:sdtPr>
                      <w:alias w:val="Numeris"/>
                      <w:tag w:val="nr_93a4b8da34ba44b6bbf523e6196db7e8"/>
                      <w:lock w:val="sdtLocked"/>
                      <w:richText/>
                    </w:sdtPr>
                    <w:sdtContent>
                      <w:r>
                        <w:rPr>
                          <w:rFonts w:eastAsia="Arial Unicode MS"/>
                          <w:color w:val="000000"/>
                          <w:szCs w:val="24"/>
                        </w:rPr>
                        <w:t>1</w:t>
                      </w:r>
                    </w:sdtContent>
                  </w:sdt>
                  <w:r>
                    <w:rPr>
                      <w:rFonts w:eastAsia="Arial Unicode MS"/>
                      <w:color w:val="000000"/>
                      <w:szCs w:val="24"/>
                    </w:rPr>
                    <w:t xml:space="preserve">. </w:t>
                  </w:r>
                  <w:r>
                    <w:rPr>
                      <w:rFonts w:eastAsia="Arial Unicode MS"/>
                      <w:szCs w:val="24"/>
                    </w:rPr>
                    <w:t>Projektavimas – specializuoto ugdymo krypties programų (pagrindinio ugdymo kartu su inžineriniu ugdymu programos antrosios dalies ir vidurinio ugdymo kartu su inžineriniu ugdymu programos) inžinerinio ugdymo dalies papildantis privalomasis dalykas.</w:t>
                  </w:r>
                </w:p>
              </w:sdtContent>
            </w:sdt>
            <w:sdt>
              <w:sdtPr>
                <w:alias w:val="2 pr. 2 p."/>
                <w:tag w:val="part_6c4fd2b0b5ad4f608f69740e7f6cc1b5"/>
                <w:lock w:val="sdtLocked"/>
                <w:richText/>
              </w:sdtPr>
              <w:sdtContent>
                <w:p>
                  <w:pPr>
                    <w:tabs>
                      <w:tab w:val="left" w:pos="798"/>
                      <w:tab w:val="left" w:pos="1134"/>
                    </w:tabs>
                    <w:ind w:firstLine="595"/>
                    <w:jc w:val="both"/>
                    <w:rPr>
                      <w:rFonts w:eastAsia="Arial Unicode MS"/>
                      <w:szCs w:val="24"/>
                    </w:rPr>
                  </w:pPr>
                  <w:sdt>
                    <w:sdtPr>
                      <w:alias w:val="Numeris"/>
                      <w:tag w:val="nr_6c4fd2b0b5ad4f608f69740e7f6cc1b5"/>
                      <w:lock w:val="sdtLocked"/>
                      <w:richText/>
                    </w:sdtPr>
                    <w:sdtContent>
                      <w:r>
                        <w:rPr>
                          <w:rFonts w:eastAsia="Arial Unicode MS"/>
                          <w:color w:val="000000"/>
                          <w:szCs w:val="24"/>
                        </w:rPr>
                        <w:t>2</w:t>
                      </w:r>
                    </w:sdtContent>
                  </w:sdt>
                  <w:r>
                    <w:rPr>
                      <w:rFonts w:eastAsia="Arial Unicode MS"/>
                      <w:color w:val="000000"/>
                      <w:szCs w:val="24"/>
                    </w:rPr>
                    <w:t xml:space="preserve">. </w:t>
                  </w:r>
                  <w:r>
                    <w:rPr>
                      <w:rFonts w:eastAsia="Arial Unicode MS"/>
                      <w:szCs w:val="24"/>
                    </w:rPr>
                    <w:t xml:space="preserve">Projektavimo </w:t>
                  </w:r>
                  <w:r>
                    <w:rPr>
                      <w:rFonts w:eastAsia="Arial Unicode MS" w:cs="Arial Unicode MS"/>
                      <w:szCs w:val="24"/>
                    </w:rPr>
                    <w:t>paskirtis: sudaryti mokiniams sąlygas ugdyti(s) kūrybinį mąstymą, esminius projektavimo gebėjimus, įgyti vizualizavimo, erdvinės raiškos gebėjimus, perprasti šiuolaikinius projektavimo metodus, išmokti kompiuterinio projektavimo; gautus įgūdžius naudoti, projektuojant konkrečius objektus, sistemas ir (ar) planuojant procesus, kuriant prezentacijas.</w:t>
                  </w:r>
                </w:p>
              </w:sdtContent>
            </w:sdt>
            <w:sdt>
              <w:sdtPr>
                <w:alias w:val="2 pr. 3 p."/>
                <w:tag w:val="part_da870e32d95947ce992c0ffece1a0ed2"/>
                <w:lock w:val="sdtLocked"/>
                <w:richText/>
              </w:sdtPr>
              <w:sdtContent>
                <w:p>
                  <w:pPr>
                    <w:tabs>
                      <w:tab w:val="left" w:pos="798"/>
                      <w:tab w:val="left" w:pos="1134"/>
                    </w:tabs>
                    <w:ind w:firstLine="595"/>
                    <w:jc w:val="both"/>
                    <w:rPr>
                      <w:rFonts w:eastAsia="Arial Unicode MS"/>
                      <w:szCs w:val="24"/>
                    </w:rPr>
                  </w:pPr>
                  <w:sdt>
                    <w:sdtPr>
                      <w:alias w:val="Numeris"/>
                      <w:tag w:val="nr_da870e32d95947ce992c0ffece1a0ed2"/>
                      <w:lock w:val="sdtLocked"/>
                      <w:richText/>
                    </w:sdtPr>
                    <w:sdtContent>
                      <w:r>
                        <w:rPr>
                          <w:rFonts w:eastAsia="Arial Unicode MS"/>
                          <w:color w:val="000000"/>
                          <w:szCs w:val="24"/>
                        </w:rPr>
                        <w:t>3</w:t>
                      </w:r>
                    </w:sdtContent>
                  </w:sdt>
                  <w:r>
                    <w:rPr>
                      <w:rFonts w:eastAsia="Arial Unicode MS"/>
                      <w:color w:val="000000"/>
                      <w:szCs w:val="24"/>
                    </w:rPr>
                    <w:t xml:space="preserve">. </w:t>
                  </w:r>
                  <w:r>
                    <w:rPr>
                      <w:rFonts w:eastAsia="Arial Unicode MS"/>
                      <w:szCs w:val="24"/>
                    </w:rPr>
                    <w:t xml:space="preserve">Projektavimo </w:t>
                  </w:r>
                  <w:r>
                    <w:rPr>
                      <w:rFonts w:eastAsia="Arial Unicode MS" w:cs="Arial Unicode MS"/>
                      <w:szCs w:val="24"/>
                    </w:rPr>
                    <w:t xml:space="preserve">tikslas – </w:t>
                  </w:r>
                  <w:r>
                    <w:rPr>
                      <w:rFonts w:eastAsia="Arial Unicode MS" w:cs="Arial Unicode MS"/>
                      <w:szCs w:val="22"/>
                    </w:rPr>
                    <w:t>sudaryti sąlygas ir padėti mokiniams išmokti projektinės raiškos, tobulinti inžinerinio projektavimo gebėjimus, projektuoti įvairiomis techninėmis ir programinėmis priemonėmis, atskleisti projektavimo dalyko integralumą, kontekstualumą, išmokti taikyti inžinerinio projektavimo principus realiose gyvenimo situacijose.</w:t>
                  </w:r>
                </w:p>
              </w:sdtContent>
            </w:sdt>
            <w:sdt>
              <w:sdtPr>
                <w:alias w:val="2 pr. 4 p."/>
                <w:tag w:val="part_ac536392095e45898faacf82f51f36ee"/>
                <w:lock w:val="sdtLocked"/>
                <w:richText/>
              </w:sdtPr>
              <w:sdtContent>
                <w:p>
                  <w:pPr>
                    <w:tabs>
                      <w:tab w:val="left" w:pos="798"/>
                      <w:tab w:val="left" w:pos="1134"/>
                    </w:tabs>
                    <w:ind w:firstLine="595"/>
                    <w:jc w:val="both"/>
                    <w:rPr>
                      <w:rFonts w:eastAsia="Arial Unicode MS"/>
                      <w:szCs w:val="24"/>
                    </w:rPr>
                  </w:pPr>
                  <w:sdt>
                    <w:sdtPr>
                      <w:alias w:val="Numeris"/>
                      <w:tag w:val="nr_ac536392095e45898faacf82f51f36ee"/>
                      <w:lock w:val="sdtLocked"/>
                      <w:richText/>
                    </w:sdtPr>
                    <w:sdtContent>
                      <w:r>
                        <w:rPr>
                          <w:rFonts w:eastAsia="Arial Unicode MS"/>
                          <w:color w:val="000000"/>
                          <w:szCs w:val="24"/>
                        </w:rPr>
                        <w:t>4</w:t>
                      </w:r>
                    </w:sdtContent>
                  </w:sdt>
                  <w:r>
                    <w:rPr>
                      <w:rFonts w:eastAsia="Arial Unicode MS"/>
                      <w:color w:val="000000"/>
                      <w:szCs w:val="24"/>
                    </w:rPr>
                    <w:t xml:space="preserve">. </w:t>
                  </w:r>
                  <w:r>
                    <w:rPr>
                      <w:rFonts w:eastAsia="Arial Unicode MS"/>
                      <w:szCs w:val="24"/>
                    </w:rPr>
                    <w:t xml:space="preserve">Projektavimo </w:t>
                  </w:r>
                  <w:r>
                    <w:rPr>
                      <w:rFonts w:eastAsia="Arial Unicode MS" w:cs="Arial Unicode MS"/>
                      <w:szCs w:val="24"/>
                    </w:rPr>
                    <w:t>uždaviniai.</w:t>
                  </w:r>
                  <w:r>
                    <w:rPr>
                      <w:rFonts w:eastAsia="Arial Unicode MS" w:cs="Arial Unicode MS"/>
                      <w:b/>
                      <w:szCs w:val="24"/>
                    </w:rPr>
                    <w:t xml:space="preserve"> </w:t>
                  </w:r>
                  <w:r>
                    <w:rPr>
                      <w:rFonts w:eastAsia="Arial Unicode MS" w:cs="Arial Unicode MS"/>
                      <w:szCs w:val="24"/>
                    </w:rPr>
                    <w:t>Siekiama, kad mokiniai:</w:t>
                  </w:r>
                </w:p>
                <w:sdt>
                  <w:sdtPr>
                    <w:alias w:val="2 pr. 4.1 pp."/>
                    <w:tag w:val="part_b99bcdc4139f4754bfd73cc17d3023c2"/>
                    <w:lock w:val="sdtLocked"/>
                    <w:richText/>
                  </w:sdtPr>
                  <w:sdtContent>
                    <w:p>
                      <w:pPr>
                        <w:tabs>
                          <w:tab w:val="left" w:pos="567"/>
                          <w:tab w:val="left" w:pos="1134"/>
                        </w:tabs>
                        <w:ind w:firstLine="595"/>
                        <w:jc w:val="both"/>
                        <w:rPr>
                          <w:rFonts w:eastAsia="Arial Unicode MS"/>
                          <w:szCs w:val="24"/>
                        </w:rPr>
                      </w:pPr>
                      <w:sdt>
                        <w:sdtPr>
                          <w:alias w:val="Numeris"/>
                          <w:tag w:val="nr_b99bcdc4139f4754bfd73cc17d3023c2"/>
                          <w:lock w:val="sdtLocked"/>
                          <w:richText/>
                        </w:sdtPr>
                        <w:sdtContent>
                          <w:r>
                            <w:rPr>
                              <w:rFonts w:eastAsia="Arial Unicode MS"/>
                              <w:color w:val="000000"/>
                              <w:szCs w:val="24"/>
                            </w:rPr>
                            <w:t>4.1</w:t>
                          </w:r>
                        </w:sdtContent>
                      </w:sdt>
                      <w:r>
                        <w:rPr>
                          <w:rFonts w:eastAsia="Arial Unicode MS"/>
                          <w:color w:val="000000"/>
                          <w:szCs w:val="24"/>
                        </w:rPr>
                        <w:t xml:space="preserve">. </w:t>
                      </w:r>
                      <w:r>
                        <w:rPr>
                          <w:rFonts w:eastAsia="Arial Unicode MS" w:cs="Arial Unicode MS"/>
                          <w:szCs w:val="24"/>
                        </w:rPr>
                        <w:t>ugdytųsi vaizdų, brėžinių, vizualizacijų skaitymo, vizualizavimo gebėjimus ir įvaldytų grafinės, techninės grafikos raiškos principus;</w:t>
                      </w:r>
                    </w:p>
                  </w:sdtContent>
                </w:sdt>
                <w:sdt>
                  <w:sdtPr>
                    <w:alias w:val="2 pr. 4.2 pp."/>
                    <w:tag w:val="part_c659b71ae60649cc8427387fc0349ce4"/>
                    <w:lock w:val="sdtLocked"/>
                    <w:richText/>
                  </w:sdtPr>
                  <w:sdtContent>
                    <w:p>
                      <w:pPr>
                        <w:tabs>
                          <w:tab w:val="left" w:pos="567"/>
                          <w:tab w:val="left" w:pos="1134"/>
                        </w:tabs>
                        <w:ind w:firstLine="595"/>
                        <w:jc w:val="both"/>
                        <w:rPr>
                          <w:rFonts w:eastAsia="Arial Unicode MS"/>
                          <w:szCs w:val="24"/>
                        </w:rPr>
                      </w:pPr>
                      <w:sdt>
                        <w:sdtPr>
                          <w:alias w:val="Numeris"/>
                          <w:tag w:val="nr_c659b71ae60649cc8427387fc0349ce4"/>
                          <w:lock w:val="sdtLocked"/>
                          <w:richText/>
                        </w:sdtPr>
                        <w:sdtContent>
                          <w:r>
                            <w:rPr>
                              <w:rFonts w:eastAsia="Arial Unicode MS"/>
                              <w:color w:val="000000"/>
                              <w:szCs w:val="24"/>
                            </w:rPr>
                            <w:t>4.2</w:t>
                          </w:r>
                        </w:sdtContent>
                      </w:sdt>
                      <w:r>
                        <w:rPr>
                          <w:rFonts w:eastAsia="Arial Unicode MS"/>
                          <w:color w:val="000000"/>
                          <w:szCs w:val="24"/>
                        </w:rPr>
                        <w:t xml:space="preserve">. </w:t>
                      </w:r>
                      <w:r>
                        <w:rPr>
                          <w:rFonts w:eastAsia="Arial Unicode MS" w:cs="Arial Unicode MS"/>
                          <w:szCs w:val="24"/>
                        </w:rPr>
                        <w:t>mokytųsi vaizdus perteikti projekcijomis, įvaldytų erdvinės formos interpretavimo, transformavimo, perteikimo gebėjimus;</w:t>
                      </w:r>
                    </w:p>
                  </w:sdtContent>
                </w:sdt>
                <w:sdt>
                  <w:sdtPr>
                    <w:alias w:val="2 pr. 4.3 pp."/>
                    <w:tag w:val="part_b8ecc637fff34986936cb677db6ba786"/>
                    <w:lock w:val="sdtLocked"/>
                    <w:richText/>
                  </w:sdtPr>
                  <w:sdtContent>
                    <w:p>
                      <w:pPr>
                        <w:tabs>
                          <w:tab w:val="left" w:pos="567"/>
                          <w:tab w:val="left" w:pos="1134"/>
                        </w:tabs>
                        <w:ind w:firstLine="595"/>
                        <w:jc w:val="both"/>
                        <w:rPr>
                          <w:rFonts w:eastAsia="Arial Unicode MS"/>
                          <w:szCs w:val="24"/>
                        </w:rPr>
                      </w:pPr>
                      <w:sdt>
                        <w:sdtPr>
                          <w:alias w:val="Numeris"/>
                          <w:tag w:val="nr_b8ecc637fff34986936cb677db6ba786"/>
                          <w:lock w:val="sdtLocked"/>
                          <w:richText/>
                        </w:sdtPr>
                        <w:sdtContent>
                          <w:r>
                            <w:rPr>
                              <w:rFonts w:eastAsia="Arial Unicode MS"/>
                              <w:color w:val="000000"/>
                              <w:szCs w:val="24"/>
                            </w:rPr>
                            <w:t>4.3</w:t>
                          </w:r>
                        </w:sdtContent>
                      </w:sdt>
                      <w:r>
                        <w:rPr>
                          <w:rFonts w:eastAsia="Arial Unicode MS"/>
                          <w:color w:val="000000"/>
                          <w:szCs w:val="24"/>
                        </w:rPr>
                        <w:t xml:space="preserve">. </w:t>
                      </w:r>
                      <w:r>
                        <w:rPr>
                          <w:rFonts w:eastAsia="Arial Unicode MS" w:cs="Arial Unicode MS"/>
                          <w:szCs w:val="24"/>
                        </w:rPr>
                        <w:t>ugdytųsi gebėjimą kūrybingai taikyti teorines ir praktines konstravimo, maketavimo, fotografavimo, filmavimo, vaizdų manipuliavimo, vizualizavimo žinias integraliuose projektuose ir pristatymuose;</w:t>
                      </w:r>
                    </w:p>
                  </w:sdtContent>
                </w:sdt>
                <w:sdt>
                  <w:sdtPr>
                    <w:alias w:val="2 pr. 4.4 pp."/>
                    <w:tag w:val="part_9e622d06e7c84b2aad9a222aa0acac40"/>
                    <w:lock w:val="sdtLocked"/>
                    <w:richText/>
                  </w:sdtPr>
                  <w:sdtContent>
                    <w:p>
                      <w:pPr>
                        <w:tabs>
                          <w:tab w:val="left" w:pos="567"/>
                          <w:tab w:val="left" w:pos="1134"/>
                        </w:tabs>
                        <w:ind w:firstLine="595"/>
                        <w:jc w:val="both"/>
                        <w:rPr>
                          <w:rFonts w:eastAsia="Arial Unicode MS"/>
                          <w:szCs w:val="24"/>
                        </w:rPr>
                      </w:pPr>
                      <w:sdt>
                        <w:sdtPr>
                          <w:alias w:val="Numeris"/>
                          <w:tag w:val="nr_9e622d06e7c84b2aad9a222aa0acac40"/>
                          <w:lock w:val="sdtLocked"/>
                          <w:richText/>
                        </w:sdtPr>
                        <w:sdtContent>
                          <w:r>
                            <w:rPr>
                              <w:rFonts w:eastAsia="Arial Unicode MS"/>
                              <w:color w:val="000000"/>
                              <w:szCs w:val="24"/>
                            </w:rPr>
                            <w:t>4.4</w:t>
                          </w:r>
                        </w:sdtContent>
                      </w:sdt>
                      <w:r>
                        <w:rPr>
                          <w:rFonts w:eastAsia="Arial Unicode MS"/>
                          <w:color w:val="000000"/>
                          <w:szCs w:val="24"/>
                        </w:rPr>
                        <w:t xml:space="preserve">. </w:t>
                      </w:r>
                      <w:r>
                        <w:rPr>
                          <w:rFonts w:eastAsia="Arial Unicode MS" w:cs="Arial Unicode MS"/>
                          <w:szCs w:val="24"/>
                        </w:rPr>
                        <w:t>įvaldytų vektorinės, taškinės, trijų dimensijų, foto-, videografijos kūrimo bei transformavimo programinę įrangą įvairiems projektavimo bei vizualizavimo uždaviniams atlikti;</w:t>
                      </w:r>
                    </w:p>
                  </w:sdtContent>
                </w:sdt>
                <w:sdt>
                  <w:sdtPr>
                    <w:alias w:val="2 pr. 4.5 pp."/>
                    <w:tag w:val="part_dce3b4ccfe95466fbaee071e2bada3c0"/>
                    <w:lock w:val="sdtLocked"/>
                    <w:richText/>
                  </w:sdtPr>
                  <w:sdtContent>
                    <w:p>
                      <w:pPr>
                        <w:tabs>
                          <w:tab w:val="left" w:pos="567"/>
                          <w:tab w:val="left" w:pos="1134"/>
                        </w:tabs>
                        <w:ind w:firstLine="595"/>
                        <w:jc w:val="both"/>
                        <w:rPr>
                          <w:rFonts w:eastAsia="Arial Unicode MS"/>
                          <w:szCs w:val="24"/>
                        </w:rPr>
                      </w:pPr>
                      <w:sdt>
                        <w:sdtPr>
                          <w:alias w:val="Numeris"/>
                          <w:tag w:val="nr_dce3b4ccfe95466fbaee071e2bada3c0"/>
                          <w:lock w:val="sdtLocked"/>
                          <w:richText/>
                        </w:sdtPr>
                        <w:sdtContent>
                          <w:r>
                            <w:rPr>
                              <w:rFonts w:eastAsia="Arial Unicode MS"/>
                              <w:color w:val="000000"/>
                              <w:szCs w:val="24"/>
                            </w:rPr>
                            <w:t>4.5</w:t>
                          </w:r>
                        </w:sdtContent>
                      </w:sdt>
                      <w:r>
                        <w:rPr>
                          <w:rFonts w:eastAsia="Arial Unicode MS"/>
                          <w:color w:val="000000"/>
                          <w:szCs w:val="24"/>
                        </w:rPr>
                        <w:t xml:space="preserve">. </w:t>
                      </w:r>
                      <w:r>
                        <w:rPr>
                          <w:rFonts w:eastAsia="Arial Unicode MS" w:cs="Arial Unicode MS"/>
                          <w:szCs w:val="24"/>
                        </w:rPr>
                        <w:t>ugdytųsi gebėjimą perteikti inžinerinių objektų, sistemų, procesų struktūrą, vaizdą, medžiagiškumą, mokytųsi teisingai perteikti proporcijas ir mastelį.</w:t>
                      </w:r>
                    </w:p>
                  </w:sdtContent>
                </w:sdt>
              </w:sdtContent>
            </w:sdt>
            <w:sdt>
              <w:sdtPr>
                <w:alias w:val="2 pr. 5 p."/>
                <w:tag w:val="part_ac0c2806403a454e8c09b7ab5fe59982"/>
                <w:lock w:val="sdtLocked"/>
                <w:richText/>
              </w:sdtPr>
              <w:sdtContent>
                <w:p>
                  <w:pPr>
                    <w:tabs>
                      <w:tab w:val="left" w:pos="1134"/>
                    </w:tabs>
                    <w:ind w:firstLine="595"/>
                    <w:jc w:val="both"/>
                    <w:rPr>
                      <w:rFonts w:eastAsia="Arial Unicode MS"/>
                      <w:szCs w:val="24"/>
                    </w:rPr>
                  </w:pPr>
                  <w:sdt>
                    <w:sdtPr>
                      <w:alias w:val="Numeris"/>
                      <w:tag w:val="nr_ac0c2806403a454e8c09b7ab5fe59982"/>
                      <w:lock w:val="sdtLocked"/>
                      <w:richText/>
                    </w:sdtPr>
                    <w:sdtContent>
                      <w:r>
                        <w:rPr>
                          <w:rFonts w:eastAsia="Arial Unicode MS"/>
                          <w:color w:val="000000"/>
                          <w:szCs w:val="24"/>
                        </w:rPr>
                        <w:t>5</w:t>
                      </w:r>
                    </w:sdtContent>
                  </w:sdt>
                  <w:r>
                    <w:rPr>
                      <w:rFonts w:eastAsia="Arial Unicode MS"/>
                      <w:color w:val="000000"/>
                      <w:szCs w:val="24"/>
                    </w:rPr>
                    <w:t xml:space="preserve">. </w:t>
                  </w:r>
                  <w:r>
                    <w:rPr>
                      <w:rFonts w:eastAsia="Arial Unicode MS" w:cs="Arial Unicode MS"/>
                      <w:szCs w:val="24"/>
                    </w:rPr>
                    <w:t>Didaktinės nuostatos:</w:t>
                  </w:r>
                </w:p>
                <w:sdt>
                  <w:sdtPr>
                    <w:alias w:val="2 pr. 5.1 pp."/>
                    <w:tag w:val="part_78c7ddc2711d4581adb6d0e99b76a87d"/>
                    <w:lock w:val="sdtLocked"/>
                    <w:richText/>
                  </w:sdtPr>
                  <w:sdtContent>
                    <w:p>
                      <w:pPr>
                        <w:tabs>
                          <w:tab w:val="left" w:pos="1134"/>
                        </w:tabs>
                        <w:ind w:firstLine="595"/>
                        <w:jc w:val="both"/>
                        <w:rPr>
                          <w:rFonts w:eastAsia="Arial Unicode MS"/>
                          <w:szCs w:val="24"/>
                        </w:rPr>
                      </w:pPr>
                      <w:sdt>
                        <w:sdtPr>
                          <w:alias w:val="Numeris"/>
                          <w:tag w:val="nr_78c7ddc2711d4581adb6d0e99b76a87d"/>
                          <w:lock w:val="sdtLocked"/>
                          <w:richText/>
                        </w:sdtPr>
                        <w:sdtContent>
                          <w:r>
                            <w:rPr>
                              <w:rFonts w:eastAsia="Arial Unicode MS"/>
                              <w:color w:val="000000"/>
                              <w:szCs w:val="24"/>
                            </w:rPr>
                            <w:t>5.1</w:t>
                          </w:r>
                        </w:sdtContent>
                      </w:sdt>
                      <w:r>
                        <w:rPr>
                          <w:rFonts w:eastAsia="Arial Unicode MS"/>
                          <w:color w:val="000000"/>
                          <w:szCs w:val="24"/>
                        </w:rPr>
                        <w:t xml:space="preserve">. </w:t>
                      </w:r>
                      <w:r>
                        <w:rPr>
                          <w:rFonts w:eastAsia="Arial Unicode MS" w:cs="Arial Unicode MS"/>
                          <w:szCs w:val="24"/>
                        </w:rPr>
                        <w:t>projektavimo pagrindai, svarbiausios vaizdų skaitymo, interpretavimo, kūrimo žinios ir gebėjimai suteikiami ir integruojami į inžinerijos dalyką ir kitus mokomuosius dalykus 1–8 klasėje;</w:t>
                      </w:r>
                    </w:p>
                  </w:sdtContent>
                </w:sdt>
                <w:sdt>
                  <w:sdtPr>
                    <w:alias w:val="2 pr. 5.2 pp."/>
                    <w:tag w:val="part_61e751363ead4858a76f2ebb9093992a"/>
                    <w:lock w:val="sdtLocked"/>
                    <w:richText/>
                  </w:sdtPr>
                  <w:sdtContent>
                    <w:p>
                      <w:pPr>
                        <w:tabs>
                          <w:tab w:val="left" w:pos="1134"/>
                        </w:tabs>
                        <w:ind w:firstLine="595"/>
                        <w:jc w:val="both"/>
                        <w:rPr>
                          <w:rFonts w:eastAsia="Arial Unicode MS"/>
                          <w:szCs w:val="24"/>
                        </w:rPr>
                      </w:pPr>
                      <w:sdt>
                        <w:sdtPr>
                          <w:alias w:val="Numeris"/>
                          <w:tag w:val="nr_61e751363ead4858a76f2ebb9093992a"/>
                          <w:lock w:val="sdtLocked"/>
                          <w:richText/>
                        </w:sdtPr>
                        <w:sdtContent>
                          <w:r>
                            <w:rPr>
                              <w:rFonts w:eastAsia="Arial Unicode MS"/>
                              <w:color w:val="000000"/>
                              <w:szCs w:val="24"/>
                            </w:rPr>
                            <w:t>5.2</w:t>
                          </w:r>
                        </w:sdtContent>
                      </w:sdt>
                      <w:r>
                        <w:rPr>
                          <w:rFonts w:eastAsia="Arial Unicode MS"/>
                          <w:color w:val="000000"/>
                          <w:szCs w:val="24"/>
                        </w:rPr>
                        <w:t xml:space="preserve">. </w:t>
                      </w:r>
                      <w:r>
                        <w:rPr>
                          <w:rFonts w:eastAsia="Arial Unicode MS" w:cs="Arial Unicode MS"/>
                          <w:szCs w:val="24"/>
                        </w:rPr>
                        <w:t>mokymosi veikla organizuojama, atsižvelgiant į mokinio gabumus, diferencijuojant ir individualizuojant užduotis, taikant aktyvius mokymo metodus, naudojant informacines ir komunikacines technologijas;</w:t>
                      </w:r>
                    </w:p>
                  </w:sdtContent>
                </w:sdt>
                <w:sdt>
                  <w:sdtPr>
                    <w:alias w:val="2 pr. 5.3 pp."/>
                    <w:tag w:val="part_73103fe7146b44de905b90b2306024ae"/>
                    <w:lock w:val="sdtLocked"/>
                    <w:richText/>
                  </w:sdtPr>
                  <w:sdtContent>
                    <w:p>
                      <w:pPr>
                        <w:tabs>
                          <w:tab w:val="left" w:pos="1134"/>
                        </w:tabs>
                        <w:ind w:firstLine="595"/>
                        <w:jc w:val="both"/>
                        <w:rPr>
                          <w:rFonts w:eastAsia="Arial Unicode MS"/>
                          <w:szCs w:val="24"/>
                        </w:rPr>
                      </w:pPr>
                      <w:sdt>
                        <w:sdtPr>
                          <w:alias w:val="Numeris"/>
                          <w:tag w:val="nr_73103fe7146b44de905b90b2306024ae"/>
                          <w:lock w:val="sdtLocked"/>
                          <w:richText/>
                        </w:sdtPr>
                        <w:sdtContent>
                          <w:r>
                            <w:rPr>
                              <w:rFonts w:eastAsia="Arial Unicode MS"/>
                              <w:color w:val="000000"/>
                              <w:szCs w:val="24"/>
                            </w:rPr>
                            <w:t>5.3</w:t>
                          </w:r>
                        </w:sdtContent>
                      </w:sdt>
                      <w:r>
                        <w:rPr>
                          <w:rFonts w:eastAsia="Arial Unicode MS"/>
                          <w:color w:val="000000"/>
                          <w:szCs w:val="24"/>
                        </w:rPr>
                        <w:t xml:space="preserve">. </w:t>
                      </w:r>
                      <w:r>
                        <w:rPr>
                          <w:rFonts w:eastAsia="Arial Unicode MS" w:cs="Arial Unicode MS"/>
                          <w:szCs w:val="24"/>
                        </w:rPr>
                        <w:t>ugdymas įgyvendinamas, integruojant įgytas mokomųjų dalykų ir inžinerijos žinias, atskleidžiant inžinerijos ir projektavimo sinerginius ryšius;</w:t>
                      </w:r>
                    </w:p>
                  </w:sdtContent>
                </w:sdt>
                <w:sdt>
                  <w:sdtPr>
                    <w:alias w:val="2 pr. 5.4 pp."/>
                    <w:tag w:val="part_c8b2c5500aec467bb46cbf8655757196"/>
                    <w:lock w:val="sdtLocked"/>
                    <w:richText/>
                  </w:sdtPr>
                  <w:sdtContent>
                    <w:p>
                      <w:pPr>
                        <w:tabs>
                          <w:tab w:val="left" w:pos="1134"/>
                        </w:tabs>
                        <w:ind w:firstLine="595"/>
                        <w:jc w:val="both"/>
                        <w:rPr>
                          <w:rFonts w:eastAsia="Arial Unicode MS"/>
                          <w:szCs w:val="24"/>
                        </w:rPr>
                      </w:pPr>
                      <w:sdt>
                        <w:sdtPr>
                          <w:alias w:val="Numeris"/>
                          <w:tag w:val="nr_c8b2c5500aec467bb46cbf8655757196"/>
                          <w:lock w:val="sdtLocked"/>
                          <w:richText/>
                        </w:sdtPr>
                        <w:sdtContent>
                          <w:r>
                            <w:rPr>
                              <w:rFonts w:eastAsia="Arial Unicode MS"/>
                              <w:color w:val="000000"/>
                              <w:szCs w:val="24"/>
                            </w:rPr>
                            <w:t>5.4</w:t>
                          </w:r>
                        </w:sdtContent>
                      </w:sdt>
                      <w:r>
                        <w:rPr>
                          <w:rFonts w:eastAsia="Arial Unicode MS"/>
                          <w:color w:val="000000"/>
                          <w:szCs w:val="24"/>
                        </w:rPr>
                        <w:t xml:space="preserve">. </w:t>
                      </w:r>
                      <w:r>
                        <w:rPr>
                          <w:rFonts w:eastAsia="Arial Unicode MS" w:cs="Arial Unicode MS"/>
                          <w:szCs w:val="24"/>
                        </w:rPr>
                        <w:t>9–10 klasėje pagrindinis dėmesys yra skiriamas grafinės raiškos stebėjimui, pažinimui ir įvaldymui. Naudojami įprasti ir kompiuteriniai braižymo įrankiai, ugdomi dviejų dimensijų brėžinių kūrimo gebėjimai;</w:t>
                      </w:r>
                    </w:p>
                  </w:sdtContent>
                </w:sdt>
                <w:sdt>
                  <w:sdtPr>
                    <w:alias w:val="2 pr. 5.5 pp."/>
                    <w:tag w:val="part_08148fa8972c40eea4ddb2267d2ad4ca"/>
                    <w:lock w:val="sdtLocked"/>
                    <w:richText/>
                  </w:sdtPr>
                  <w:sdtContent>
                    <w:p>
                      <w:pPr>
                        <w:tabs>
                          <w:tab w:val="left" w:pos="1134"/>
                        </w:tabs>
                        <w:ind w:firstLine="595"/>
                        <w:jc w:val="both"/>
                        <w:rPr>
                          <w:rFonts w:eastAsia="Arial Unicode MS"/>
                          <w:szCs w:val="24"/>
                        </w:rPr>
                      </w:pPr>
                      <w:sdt>
                        <w:sdtPr>
                          <w:alias w:val="Numeris"/>
                          <w:tag w:val="nr_08148fa8972c40eea4ddb2267d2ad4ca"/>
                          <w:lock w:val="sdtLocked"/>
                          <w:richText/>
                        </w:sdtPr>
                        <w:sdtContent>
                          <w:r>
                            <w:rPr>
                              <w:rFonts w:eastAsia="Arial Unicode MS"/>
                              <w:color w:val="000000"/>
                              <w:szCs w:val="24"/>
                            </w:rPr>
                            <w:t>5.5</w:t>
                          </w:r>
                        </w:sdtContent>
                      </w:sdt>
                      <w:r>
                        <w:rPr>
                          <w:rFonts w:eastAsia="Arial Unicode MS"/>
                          <w:color w:val="000000"/>
                          <w:szCs w:val="24"/>
                        </w:rPr>
                        <w:t xml:space="preserve">. </w:t>
                      </w:r>
                      <w:r>
                        <w:rPr>
                          <w:rFonts w:eastAsia="Arial Unicode MS" w:cs="Arial Unicode MS"/>
                          <w:szCs w:val="24"/>
                        </w:rPr>
                        <w:t>11–12 klasėje daugiausia dėmesio skiriama perspektyvinių, trijų dimensijų, foto-, videografijos vizualizacijų, prezentacijų kūrimui, sudėtingos projektavimo, modeliavimo techninės ir programinės įrangos įvaldymui.</w:t>
                      </w:r>
                    </w:p>
                  </w:sdtContent>
                </w:sdt>
              </w:sdtContent>
            </w:sdt>
            <w:sdt>
              <w:sdtPr>
                <w:alias w:val="2 pr. 6 p."/>
                <w:tag w:val="part_c00f59ecc2214a96b9f89eeea2ecc10f"/>
                <w:lock w:val="sdtLocked"/>
                <w:richText/>
              </w:sdtPr>
              <w:sdtContent>
                <w:p>
                  <w:pPr>
                    <w:tabs>
                      <w:tab w:val="left" w:pos="1134"/>
                    </w:tabs>
                    <w:ind w:firstLine="595"/>
                    <w:jc w:val="both"/>
                    <w:rPr>
                      <w:rFonts w:eastAsia="Arial Unicode MS"/>
                      <w:szCs w:val="24"/>
                    </w:rPr>
                  </w:pPr>
                  <w:sdt>
                    <w:sdtPr>
                      <w:alias w:val="Numeris"/>
                      <w:tag w:val="nr_c00f59ecc2214a96b9f89eeea2ecc10f"/>
                      <w:lock w:val="sdtLocked"/>
                      <w:richText/>
                    </w:sdtPr>
                    <w:sdtContent>
                      <w:r>
                        <w:rPr>
                          <w:rFonts w:eastAsia="Arial Unicode MS"/>
                          <w:color w:val="000000"/>
                          <w:szCs w:val="24"/>
                        </w:rPr>
                        <w:t>6</w:t>
                      </w:r>
                    </w:sdtContent>
                  </w:sdt>
                  <w:r>
                    <w:rPr>
                      <w:rFonts w:eastAsia="Arial Unicode MS"/>
                      <w:color w:val="000000"/>
                      <w:szCs w:val="24"/>
                    </w:rPr>
                    <w:t xml:space="preserve">. </w:t>
                  </w:r>
                  <w:r>
                    <w:rPr>
                      <w:rFonts w:eastAsia="Arial Unicode MS" w:cs="Arial Unicode MS"/>
                      <w:szCs w:val="24"/>
                    </w:rPr>
                    <w:t>Projektavimo ugdymo turinys įgyvendinamas per šias mokinių veiklos sritis:</w:t>
                  </w:r>
                </w:p>
                <w:sdt>
                  <w:sdtPr>
                    <w:alias w:val="2 pr. 6.1 pp."/>
                    <w:tag w:val="part_b015134ae1494b769bf422761423ddd7"/>
                    <w:lock w:val="sdtLocked"/>
                    <w:richText/>
                  </w:sdtPr>
                  <w:sdtContent>
                    <w:p>
                      <w:pPr>
                        <w:tabs>
                          <w:tab w:val="left" w:pos="1134"/>
                        </w:tabs>
                        <w:ind w:firstLine="595"/>
                        <w:jc w:val="both"/>
                        <w:rPr>
                          <w:rFonts w:eastAsia="Arial Unicode MS"/>
                          <w:szCs w:val="24"/>
                        </w:rPr>
                      </w:pPr>
                      <w:sdt>
                        <w:sdtPr>
                          <w:alias w:val="Numeris"/>
                          <w:tag w:val="nr_b015134ae1494b769bf422761423ddd7"/>
                          <w:lock w:val="sdtLocked"/>
                          <w:richText/>
                        </w:sdtPr>
                        <w:sdtContent>
                          <w:r>
                            <w:rPr>
                              <w:rFonts w:eastAsia="Arial Unicode MS"/>
                              <w:color w:val="000000"/>
                              <w:szCs w:val="24"/>
                            </w:rPr>
                            <w:t>6.1</w:t>
                          </w:r>
                        </w:sdtContent>
                      </w:sdt>
                      <w:r>
                        <w:rPr>
                          <w:rFonts w:eastAsia="Arial Unicode MS"/>
                          <w:color w:val="000000"/>
                          <w:szCs w:val="24"/>
                        </w:rPr>
                        <w:t xml:space="preserve">. </w:t>
                      </w:r>
                      <w:r>
                        <w:rPr>
                          <w:rFonts w:eastAsia="Arial Unicode MS" w:cs="Arial Unicode MS"/>
                          <w:szCs w:val="24"/>
                        </w:rPr>
                        <w:t>grafinės raiškos, projektavimo, techninės grafikos, vizualizavimo raiškos priemonių pažinimas, įvaldymas ir taikymas;</w:t>
                      </w:r>
                    </w:p>
                  </w:sdtContent>
                </w:sdt>
                <w:sdt>
                  <w:sdtPr>
                    <w:alias w:val="2 pr. 6.2 pp."/>
                    <w:tag w:val="part_63ff864f81d8461b876ed45e65af5a10"/>
                    <w:lock w:val="sdtLocked"/>
                    <w:richText/>
                  </w:sdtPr>
                  <w:sdtContent>
                    <w:p>
                      <w:pPr>
                        <w:tabs>
                          <w:tab w:val="left" w:pos="1134"/>
                        </w:tabs>
                        <w:ind w:firstLine="595"/>
                        <w:jc w:val="both"/>
                        <w:rPr>
                          <w:rFonts w:eastAsia="Arial Unicode MS"/>
                          <w:szCs w:val="24"/>
                        </w:rPr>
                      </w:pPr>
                      <w:sdt>
                        <w:sdtPr>
                          <w:alias w:val="Numeris"/>
                          <w:tag w:val="nr_63ff864f81d8461b876ed45e65af5a10"/>
                          <w:lock w:val="sdtLocked"/>
                          <w:richText/>
                        </w:sdtPr>
                        <w:sdtContent>
                          <w:r>
                            <w:rPr>
                              <w:rFonts w:eastAsia="Arial Unicode MS"/>
                              <w:color w:val="000000"/>
                              <w:szCs w:val="24"/>
                            </w:rPr>
                            <w:t>6.2</w:t>
                          </w:r>
                        </w:sdtContent>
                      </w:sdt>
                      <w:r>
                        <w:rPr>
                          <w:rFonts w:eastAsia="Arial Unicode MS"/>
                          <w:color w:val="000000"/>
                          <w:szCs w:val="24"/>
                        </w:rPr>
                        <w:t xml:space="preserve">. </w:t>
                      </w:r>
                      <w:r>
                        <w:rPr>
                          <w:rFonts w:eastAsia="Arial Unicode MS" w:cs="Arial Unicode MS"/>
                          <w:szCs w:val="24"/>
                        </w:rPr>
                        <w:t>techninių, programinių projektavimo priemonių įvaldymas ir taikymas;</w:t>
                      </w:r>
                    </w:p>
                  </w:sdtContent>
                </w:sdt>
                <w:sdt>
                  <w:sdtPr>
                    <w:alias w:val="2 pr. 6.3 pp."/>
                    <w:tag w:val="part_0c27132ad1e746f6b65531a3671df03f"/>
                    <w:lock w:val="sdtLocked"/>
                    <w:richText/>
                  </w:sdtPr>
                  <w:sdtContent>
                    <w:p>
                      <w:pPr>
                        <w:tabs>
                          <w:tab w:val="left" w:pos="1134"/>
                        </w:tabs>
                        <w:ind w:firstLine="595"/>
                        <w:jc w:val="both"/>
                        <w:rPr>
                          <w:rFonts w:eastAsia="Arial Unicode MS"/>
                          <w:szCs w:val="24"/>
                        </w:rPr>
                      </w:pPr>
                      <w:sdt>
                        <w:sdtPr>
                          <w:alias w:val="Numeris"/>
                          <w:tag w:val="nr_0c27132ad1e746f6b65531a3671df03f"/>
                          <w:lock w:val="sdtLocked"/>
                          <w:richText/>
                        </w:sdtPr>
                        <w:sdtContent>
                          <w:r>
                            <w:rPr>
                              <w:rFonts w:eastAsia="Arial Unicode MS"/>
                              <w:color w:val="000000"/>
                              <w:szCs w:val="24"/>
                            </w:rPr>
                            <w:t>6.3</w:t>
                          </w:r>
                        </w:sdtContent>
                      </w:sdt>
                      <w:r>
                        <w:rPr>
                          <w:rFonts w:eastAsia="Arial Unicode MS"/>
                          <w:color w:val="000000"/>
                          <w:szCs w:val="24"/>
                        </w:rPr>
                        <w:t xml:space="preserve">. </w:t>
                      </w:r>
                      <w:r>
                        <w:rPr>
                          <w:rFonts w:eastAsia="Arial Unicode MS" w:cs="Arial Unicode MS"/>
                          <w:szCs w:val="24"/>
                        </w:rPr>
                        <w:t>suprojektuotų objektų, reiškinių, sistemų, procesų iliustravimas, vizualizavimas, prezentavimas ir reprezentavimas;</w:t>
                      </w:r>
                    </w:p>
                  </w:sdtContent>
                </w:sdt>
                <w:sdt>
                  <w:sdtPr>
                    <w:alias w:val="2 pr. 6.4 pp."/>
                    <w:tag w:val="part_06b38ae75450403eaa4db013ce366be8"/>
                    <w:lock w:val="sdtLocked"/>
                    <w:richText/>
                  </w:sdtPr>
                  <w:sdtContent>
                    <w:p>
                      <w:pPr>
                        <w:tabs>
                          <w:tab w:val="left" w:pos="1134"/>
                        </w:tabs>
                        <w:ind w:firstLine="595"/>
                        <w:jc w:val="both"/>
                        <w:rPr>
                          <w:rFonts w:eastAsia="Arial Unicode MS"/>
                          <w:szCs w:val="24"/>
                        </w:rPr>
                      </w:pPr>
                      <w:sdt>
                        <w:sdtPr>
                          <w:alias w:val="Numeris"/>
                          <w:tag w:val="nr_06b38ae75450403eaa4db013ce366be8"/>
                          <w:lock w:val="sdtLocked"/>
                          <w:richText/>
                        </w:sdtPr>
                        <w:sdtContent>
                          <w:r>
                            <w:rPr>
                              <w:rFonts w:eastAsia="Arial Unicode MS"/>
                              <w:color w:val="000000"/>
                              <w:szCs w:val="24"/>
                            </w:rPr>
                            <w:t>6.4</w:t>
                          </w:r>
                        </w:sdtContent>
                      </w:sdt>
                      <w:r>
                        <w:rPr>
                          <w:rFonts w:eastAsia="Arial Unicode MS"/>
                          <w:color w:val="000000"/>
                          <w:szCs w:val="24"/>
                        </w:rPr>
                        <w:t xml:space="preserve">. </w:t>
                      </w:r>
                      <w:r>
                        <w:rPr>
                          <w:rFonts w:eastAsia="Arial Unicode MS" w:cs="Arial Unicode MS"/>
                          <w:szCs w:val="24"/>
                        </w:rPr>
                        <w:t>inžinerinio projektavimo, vizualizavimo stebėjimas, interpretavimas ir kritinis vertinimas socialinėje kultūrinėje aplinkoje.</w:t>
                      </w:r>
                    </w:p>
                    <w:p>
                      <w:pPr>
                        <w:tabs>
                          <w:tab w:val="left" w:pos="798"/>
                          <w:tab w:val="right" w:leader="dot" w:pos="13892"/>
                        </w:tabs>
                        <w:rPr>
                          <w:b/>
                          <w:szCs w:val="24"/>
                        </w:rPr>
                      </w:pPr>
                    </w:p>
                  </w:sdtContent>
                </w:sdt>
              </w:sdtContent>
            </w:sdt>
          </w:sdtContent>
        </w:sdt>
        <w:sdt>
          <w:sdtPr>
            <w:alias w:val="skyrius"/>
            <w:tag w:val="part_8cc30181c77e4a3bb506dd32c8b8d78e"/>
            <w:lock w:val="sdtLocked"/>
            <w:richText/>
          </w:sdtPr>
          <w:sdtContent>
            <w:p>
              <w:pPr>
                <w:ind w:left="1080" w:hanging="720"/>
                <w:jc w:val="center"/>
                <w:rPr>
                  <w:b/>
                  <w:szCs w:val="24"/>
                </w:rPr>
              </w:pPr>
              <w:sdt>
                <w:sdtPr>
                  <w:alias w:val="Numeris"/>
                  <w:tag w:val="nr_8cc30181c77e4a3bb506dd32c8b8d78e"/>
                  <w:lock w:val="sdtLocked"/>
                  <w:richText/>
                </w:sdtPr>
                <w:sdtContent>
                  <w:r>
                    <w:rPr>
                      <w:b/>
                      <w:szCs w:val="24"/>
                    </w:rPr>
                    <w:t>II</w:t>
                  </w:r>
                </w:sdtContent>
              </w:sdt>
              <w:r>
                <w:rPr>
                  <w:b/>
                  <w:szCs w:val="24"/>
                </w:rPr>
                <w:t>.</w:t>
                <w:tab/>
              </w:r>
              <w:sdt>
                <w:sdtPr>
                  <w:alias w:val="Pavadinimas"/>
                  <w:tag w:val="title_8cc30181c77e4a3bb506dd32c8b8d78e"/>
                  <w:lock w:val="sdtLocked"/>
                  <w:richText/>
                </w:sdtPr>
                <w:sdtContent>
                  <w:r>
                    <w:rPr>
                      <w:b/>
                      <w:szCs w:val="24"/>
                    </w:rPr>
                    <w:t>PROJEKTAVIMO TURINIO APIMTYS, MOKINIŲ PASIEKIMAI IR VERTINIMAS</w:t>
                  </w:r>
                </w:sdtContent>
              </w:sdt>
            </w:p>
            <w:p>
              <w:pPr>
                <w:tabs>
                  <w:tab w:val="left" w:pos="798"/>
                  <w:tab w:val="right" w:leader="dot" w:pos="13892"/>
                </w:tabs>
                <w:ind w:left="540"/>
                <w:rPr>
                  <w:b/>
                  <w:szCs w:val="24"/>
                </w:rPr>
              </w:pPr>
            </w:p>
            <w:sdt>
              <w:sdtPr>
                <w:alias w:val="2 pr. 7 p."/>
                <w:tag w:val="part_3472453e339a4c3fb2699b6d14ffd65e"/>
                <w:lock w:val="sdtLocked"/>
                <w:richText/>
              </w:sdtPr>
              <w:sdtContent>
                <w:p>
                  <w:pPr>
                    <w:tabs>
                      <w:tab w:val="left" w:pos="798"/>
                      <w:tab w:val="right" w:leader="dot" w:pos="13892"/>
                    </w:tabs>
                    <w:ind w:firstLine="595"/>
                    <w:jc w:val="both"/>
                    <w:rPr>
                      <w:bCs/>
                      <w:szCs w:val="24"/>
                    </w:rPr>
                  </w:pPr>
                  <w:sdt>
                    <w:sdtPr>
                      <w:alias w:val="Numeris"/>
                      <w:tag w:val="nr_3472453e339a4c3fb2699b6d14ffd65e"/>
                      <w:lock w:val="sdtLocked"/>
                      <w:richText/>
                    </w:sdtPr>
                    <w:sdtContent>
                      <w:r>
                        <w:rPr>
                          <w:bCs/>
                          <w:color w:val="000000"/>
                          <w:szCs w:val="24"/>
                        </w:rPr>
                        <w:t>7</w:t>
                      </w:r>
                    </w:sdtContent>
                  </w:sdt>
                  <w:r>
                    <w:rPr>
                      <w:bCs/>
                      <w:color w:val="000000"/>
                      <w:szCs w:val="24"/>
                    </w:rPr>
                    <w:t xml:space="preserve">. </w:t>
                  </w:r>
                  <w:r>
                    <w:rPr>
                      <w:bCs/>
                      <w:szCs w:val="24"/>
                    </w:rPr>
                    <w:t>Projektavimo dalyko turinio apimtys, mokinių pasiekimai ir vertinimas 9–10 klasėje:</w:t>
                  </w:r>
                </w:p>
                <w:p>
                  <w:pPr>
                    <w:tabs>
                      <w:tab w:val="left" w:pos="798"/>
                      <w:tab w:val="right" w:leader="dot" w:pos="13892"/>
                    </w:tabs>
                    <w:ind w:left="595"/>
                    <w:jc w:val="both"/>
                    <w:rPr>
                      <w:bCs/>
                      <w:szCs w:val="24"/>
                    </w:rPr>
                  </w:pPr>
                </w:p>
                <w:sdt>
                  <w:sdtPr>
                    <w:alias w:val="2 pr. 7.1 pp."/>
                    <w:tag w:val="part_a94cd76040084094bbf4ea69334be179"/>
                    <w:lock w:val="sdtLocked"/>
                    <w:richText/>
                  </w:sdtPr>
                  <w:sdtContent>
                    <w:p>
                      <w:pPr>
                        <w:tabs>
                          <w:tab w:val="left" w:pos="798"/>
                          <w:tab w:val="right" w:leader="dot" w:pos="13892"/>
                        </w:tabs>
                        <w:ind w:firstLine="595"/>
                        <w:jc w:val="both"/>
                        <w:rPr>
                          <w:b/>
                          <w:szCs w:val="24"/>
                        </w:rPr>
                      </w:pPr>
                      <w:sdt>
                        <w:sdtPr>
                          <w:alias w:val="Numeris"/>
                          <w:tag w:val="nr_a94cd76040084094bbf4ea69334be179"/>
                          <w:lock w:val="sdtLocked"/>
                          <w:richText/>
                        </w:sdtPr>
                        <w:sdtContent>
                          <w:r>
                            <w:rPr>
                              <w:color w:val="000000"/>
                              <w:szCs w:val="24"/>
                            </w:rPr>
                            <w:t>7.1</w:t>
                          </w:r>
                        </w:sdtContent>
                      </w:sdt>
                      <w:r>
                        <w:rPr>
                          <w:color w:val="000000"/>
                          <w:szCs w:val="24"/>
                        </w:rPr>
                        <w:t xml:space="preserve">. </w:t>
                      </w:r>
                      <w:r>
                        <w:rPr>
                          <w:szCs w:val="24"/>
                        </w:rPr>
                        <w:t>Mokinių pasiekimai ir turinio apimtys:</w:t>
                      </w:r>
                    </w:p>
                    <w:p>
                      <w:pPr>
                        <w:tabs>
                          <w:tab w:val="left" w:pos="798"/>
                          <w:tab w:val="right" w:leader="dot" w:pos="13892"/>
                        </w:tabs>
                        <w:ind w:left="595"/>
                        <w:jc w:val="both"/>
                        <w:rPr>
                          <w:b/>
                          <w:szCs w:val="24"/>
                        </w:rPr>
                      </w:pPr>
                    </w:p>
                    <w:tbl>
                      <w:tblPr>
                        <w:tblW w:w="9639" w:type="dxa"/>
                        <w:tblInd w:w="8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3260"/>
                        <w:gridCol w:w="3261"/>
                        <w:gridCol w:w="3118"/>
                      </w:tblGrid>
                      <w:tr>
                        <w:trPr>
                          <w:trHeight w:val="2472"/>
                        </w:trPr>
                        <w:tc>
                          <w:tcPr>
                            <w:tcW w:w="9639" w:type="dxa"/>
                            <w:gridSpan w:val="3"/>
                            <w:shd w:val="clear" w:color="auto" w:fill="FFFFFF"/>
                            <w:tcMar>
                              <w:top w:w="80" w:type="dxa"/>
                              <w:left w:w="80" w:type="dxa"/>
                              <w:bottom w:w="80" w:type="dxa"/>
                              <w:right w:w="80" w:type="dxa"/>
                            </w:tcMar>
                          </w:tcPr>
                          <w:p>
                            <w:pPr>
                              <w:jc w:val="both"/>
                              <w:rPr>
                                <w:rFonts w:eastAsia="Arial Unicode MS"/>
                                <w:szCs w:val="24"/>
                              </w:rPr>
                            </w:pPr>
                            <w:r>
                              <w:rPr>
                                <w:rFonts w:eastAsia="Arial Unicode MS"/>
                                <w:szCs w:val="24"/>
                              </w:rPr>
                              <w:t>Nuostatos. Domėtis projektavimo grafinės raiškos priemonių galimybėmis inžinerinei kūrybai. Siekti realizuoti savo gebėjimus projektavimo srityje, domėtis grafine braižybos kalba, jos raiškos būdais. Pasitikint savo jėgomis, siekti atskleisti projektavimo įgūdžius ir kūrybinius inžinerinių problemų sprendimo gebėjimus. Siekti sėkmingai taikyti praktines projektinės kalbos galimybes, kuriant inžinerinius procesus / produktus / objektus. Domėtis naujovėmis, siekti kritiškai į(si)vertinti naują patirtį.</w:t>
                            </w:r>
                          </w:p>
                          <w:p>
                            <w:pPr>
                              <w:jc w:val="both"/>
                              <w:rPr>
                                <w:rFonts w:eastAsia="Arial Unicode MS"/>
                                <w:szCs w:val="24"/>
                              </w:rPr>
                            </w:pPr>
                            <w:r>
                              <w:rPr>
                                <w:szCs w:val="24"/>
                              </w:rPr>
                              <w:t>Esminis gebėjimas. Suvokti projektavimo teorinių žinių svarbą, gebėti taikyti žinias, sprendžiant projektavimo uždavinius / problemas, atliekant praktinio modeliavimo uždavinius ir argumentuojant pasirinktus sprendimus.</w:t>
                            </w:r>
                          </w:p>
                        </w:tc>
                      </w:tr>
                      <w:tr>
                        <w:trPr>
                          <w:trHeight w:val="348"/>
                        </w:trPr>
                        <w:tc>
                          <w:tcPr>
                            <w:tcW w:w="6521" w:type="dxa"/>
                            <w:gridSpan w:val="2"/>
                            <w:shd w:val="clear" w:color="auto" w:fill="FFFFFF"/>
                            <w:tcMar>
                              <w:top w:w="80" w:type="dxa"/>
                              <w:left w:w="80" w:type="dxa"/>
                              <w:bottom w:w="80" w:type="dxa"/>
                              <w:right w:w="80" w:type="dxa"/>
                            </w:tcMar>
                            <w:vAlign w:val="center"/>
                          </w:tcPr>
                          <w:p>
                            <w:pPr>
                              <w:spacing w:line="228" w:lineRule="auto"/>
                              <w:jc w:val="center"/>
                              <w:rPr>
                                <w:szCs w:val="24"/>
                              </w:rPr>
                            </w:pPr>
                            <w:r>
                              <w:rPr>
                                <w:rFonts w:eastAsia="Arial Unicode MS"/>
                                <w:szCs w:val="22"/>
                              </w:rPr>
                              <w:t>Mokinių pasiekimai pagal veiklos sritis</w:t>
                            </w:r>
                          </w:p>
                        </w:tc>
                        <w:tc>
                          <w:tcPr>
                            <w:tcW w:w="3118" w:type="dxa"/>
                            <w:shd w:val="clear" w:color="auto" w:fill="FFFFFF"/>
                            <w:tcMar>
                              <w:top w:w="80" w:type="dxa"/>
                              <w:left w:w="80" w:type="dxa"/>
                              <w:bottom w:w="80" w:type="dxa"/>
                              <w:right w:w="80" w:type="dxa"/>
                            </w:tcMar>
                            <w:vAlign w:val="center"/>
                          </w:tcPr>
                          <w:p>
                            <w:pPr>
                              <w:spacing w:line="228" w:lineRule="auto"/>
                              <w:jc w:val="center"/>
                              <w:rPr>
                                <w:szCs w:val="24"/>
                              </w:rPr>
                            </w:pPr>
                            <w:r>
                              <w:rPr>
                                <w:rFonts w:eastAsia="Arial Unicode MS"/>
                                <w:szCs w:val="22"/>
                              </w:rPr>
                              <w:t>Dalyko turinio apimtys</w:t>
                            </w:r>
                          </w:p>
                        </w:tc>
                      </w:tr>
                      <w:tr>
                        <w:trPr>
                          <w:cantSplit/>
                          <w:trHeight w:val="206"/>
                        </w:trPr>
                        <w:tc>
                          <w:tcPr>
                            <w:tcW w:w="3260" w:type="dxa"/>
                            <w:shd w:val="clear" w:color="auto" w:fill="FFFFFF"/>
                            <w:tcMar>
                              <w:top w:w="80" w:type="dxa"/>
                              <w:left w:w="80" w:type="dxa"/>
                              <w:bottom w:w="80" w:type="dxa"/>
                              <w:right w:w="80" w:type="dxa"/>
                            </w:tcMar>
                          </w:tcPr>
                          <w:p>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szCs w:val="22"/>
                              </w:rPr>
                            </w:pPr>
                            <w:r>
                              <w:rPr>
                                <w:szCs w:val="22"/>
                              </w:rPr>
                              <w:t>Gebėjimai</w:t>
                            </w:r>
                          </w:p>
                        </w:tc>
                        <w:tc>
                          <w:tcPr>
                            <w:tcW w:w="3261" w:type="dxa"/>
                            <w:shd w:val="clear" w:color="auto" w:fill="FFFFFF"/>
                            <w:tcMar>
                              <w:top w:w="80" w:type="dxa"/>
                              <w:left w:w="80" w:type="dxa"/>
                              <w:bottom w:w="80" w:type="dxa"/>
                              <w:right w:w="80" w:type="dxa"/>
                            </w:tcMar>
                          </w:tcPr>
                          <w:p>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szCs w:val="22"/>
                              </w:rPr>
                            </w:pPr>
                            <w:r>
                              <w:rPr>
                                <w:szCs w:val="22"/>
                              </w:rPr>
                              <w:t>Žinios ir supratimas</w:t>
                            </w:r>
                          </w:p>
                        </w:tc>
                        <w:tc>
                          <w:tcPr>
                            <w:tcW w:w="3118" w:type="dxa"/>
                            <w:vMerge w:val="restart"/>
                            <w:shd w:val="clear" w:color="auto" w:fill="FFFFFF"/>
                            <w:tcMar>
                              <w:top w:w="80" w:type="dxa"/>
                              <w:left w:w="80" w:type="dxa"/>
                              <w:bottom w:w="80" w:type="dxa"/>
                              <w:right w:w="80" w:type="dxa"/>
                            </w:tcMar>
                          </w:tcPr>
                          <w:p>
                            <w:pPr>
                              <w:rPr>
                                <w:rFonts w:eastAsia="Arial Unicode MS"/>
                                <w:szCs w:val="24"/>
                              </w:rPr>
                            </w:pPr>
                            <w:r>
                              <w:rPr>
                                <w:rFonts w:eastAsia="Arial Unicode MS"/>
                                <w:szCs w:val="24"/>
                              </w:rPr>
                              <w:t>Grafinės raiškos priemonių, projektavimo būdų, metodų, techninės grafikos, inžinerinio projektavimo, vizualizavimo priemonių pažinimas, įvaldymas ir taikymas. Eskizas ir brėžinys. Brėžinio komponavimas, dviejų dimensijų vaizdų kūrimas, projekcijų išdėstymo principai ir būdai. Detalės ir visumos santykis, proporcijų perteikimas. Objekto struktūros ir tūrių perteikimas pagal mastelį. Objekto dydžio prezentavimas pasitelkiant matmenis.</w:t>
                            </w:r>
                          </w:p>
                          <w:p>
                            <w:pPr>
                              <w:rPr>
                                <w:rFonts w:eastAsia="Arial Unicode MS"/>
                                <w:szCs w:val="24"/>
                              </w:rPr>
                            </w:pPr>
                            <w:r>
                              <w:rPr>
                                <w:rFonts w:eastAsia="Arial Unicode MS"/>
                                <w:szCs w:val="24"/>
                              </w:rPr>
                              <w:t>Braižymo įrankių naudojimas nesudėtingiems brėžiniams kurti.</w:t>
                            </w:r>
                          </w:p>
                          <w:p>
                            <w:pPr>
                              <w:jc w:val="both"/>
                              <w:rPr>
                                <w:iCs/>
                                <w:szCs w:val="24"/>
                              </w:rPr>
                            </w:pPr>
                          </w:p>
                        </w:tc>
                      </w:tr>
                      <w:tr>
                        <w:trPr>
                          <w:cantSplit/>
                          <w:trHeight w:val="500"/>
                        </w:trPr>
                        <w:tc>
                          <w:tcPr>
                            <w:tcW w:w="6521" w:type="dxa"/>
                            <w:gridSpan w:val="2"/>
                            <w:shd w:val="clear" w:color="auto" w:fill="FFFFFF"/>
                            <w:tcMar>
                              <w:top w:w="80" w:type="dxa"/>
                              <w:left w:w="80" w:type="dxa"/>
                              <w:bottom w:w="80" w:type="dxa"/>
                              <w:right w:w="80" w:type="dxa"/>
                            </w:tcMar>
                          </w:tcPr>
                          <w:p>
                            <w:pPr>
                              <w:tabs>
                                <w:tab w:val="left" w:pos="237"/>
                              </w:tabs>
                              <w:ind w:left="62" w:hanging="28"/>
                              <w:jc w:val="center"/>
                              <w:rPr>
                                <w:rFonts w:eastAsia="Arial Unicode MS"/>
                                <w:szCs w:val="24"/>
                              </w:rPr>
                            </w:pPr>
                            <w:r>
                              <w:rPr>
                                <w:rFonts w:eastAsia="Arial Unicode MS"/>
                                <w:szCs w:val="24"/>
                              </w:rPr>
                              <w:t>1.</w:t>
                              <w:tab/>
                              <w:t>Grafinės raiškos, projektavimo, techninės grafikos, vizualizavimo raiškos priemonių pažinimas, įvaldymas ir taikymas</w:t>
                            </w:r>
                          </w:p>
                        </w:tc>
                        <w:tc>
                          <w:tcPr>
                            <w:tcW w:w="3118" w:type="dxa"/>
                            <w:vMerge/>
                            <w:shd w:val="clear" w:color="auto" w:fill="FFFFFF"/>
                            <w:tcMar>
                              <w:top w:w="80" w:type="dxa"/>
                              <w:left w:w="80" w:type="dxa"/>
                              <w:bottom w:w="80" w:type="dxa"/>
                              <w:right w:w="80" w:type="dxa"/>
                            </w:tcMar>
                          </w:tcPr>
                          <w:p>
                            <w:pPr>
                              <w:jc w:val="both"/>
                              <w:rPr>
                                <w:rFonts w:eastAsia="Arial Unicode MS"/>
                                <w:szCs w:val="24"/>
                              </w:rPr>
                            </w:pPr>
                          </w:p>
                        </w:tc>
                      </w:tr>
                      <w:tr>
                        <w:trPr>
                          <w:cantSplit/>
                          <w:trHeight w:val="258"/>
                        </w:trPr>
                        <w:tc>
                          <w:tcPr>
                            <w:tcW w:w="3260" w:type="dxa"/>
                            <w:tcBorders>
                              <w:top w:val="single" w:sz="4" w:space="0" w:color="auto"/>
                              <w:bottom w:val="single" w:sz="4" w:space="0" w:color="auto"/>
                            </w:tcBorders>
                            <w:shd w:val="clear" w:color="auto" w:fill="FFFFFF"/>
                            <w:tcMar>
                              <w:top w:w="80" w:type="dxa"/>
                              <w:left w:w="80" w:type="dxa"/>
                              <w:bottom w:w="80" w:type="dxa"/>
                              <w:right w:w="80" w:type="dxa"/>
                            </w:tcMar>
                          </w:tcPr>
                          <w:p>
                            <w:pPr>
                              <w:ind w:left="-51"/>
                              <w:rPr>
                                <w:rFonts w:eastAsia="Arial Unicode MS"/>
                                <w:szCs w:val="24"/>
                              </w:rPr>
                            </w:pPr>
                            <w:r>
                              <w:rPr>
                                <w:rFonts w:eastAsia="Arial Unicode MS"/>
                                <w:szCs w:val="24"/>
                              </w:rPr>
                              <w:t>1.1. Naudoti vaizdų prezentavimo ir brėžinių skaitymo principus.</w:t>
                            </w:r>
                          </w:p>
                          <w:p>
                            <w:pPr>
                              <w:rPr>
                                <w:rFonts w:eastAsia="Arial Unicode MS"/>
                                <w:szCs w:val="24"/>
                                <w:u w:color="262626"/>
                              </w:rPr>
                            </w:pPr>
                          </w:p>
                        </w:tc>
                        <w:tc>
                          <w:tcPr>
                            <w:tcW w:w="3261" w:type="dxa"/>
                            <w:tcBorders>
                              <w:top w:val="single" w:sz="4" w:space="0" w:color="auto"/>
                              <w:bottom w:val="single" w:sz="4" w:space="0" w:color="auto"/>
                            </w:tcBorders>
                            <w:shd w:val="clear" w:color="auto" w:fill="FFFFFF"/>
                            <w:tcMar>
                              <w:top w:w="80" w:type="dxa"/>
                              <w:left w:w="80" w:type="dxa"/>
                              <w:bottom w:w="80" w:type="dxa"/>
                              <w:right w:w="80" w:type="dxa"/>
                            </w:tcMar>
                          </w:tcPr>
                          <w:p>
                            <w:pPr>
                              <w:rPr>
                                <w:iCs/>
                                <w:szCs w:val="24"/>
                                <w:u w:color="262626"/>
                              </w:rPr>
                            </w:pPr>
                            <w:r>
                              <w:rPr>
                                <w:iCs/>
                                <w:szCs w:val="24"/>
                                <w:u w:color="262626"/>
                              </w:rPr>
                              <w:t>1.1.1. Atpažinti, atskleisti ir paaiškinti grafinės raiškos priemones, projektavimo būdus, metodus, techninės grafikos, inžinerinio projektavimo, vizualizavimo priemones</w:t>
                            </w:r>
                          </w:p>
                        </w:tc>
                        <w:tc>
                          <w:tcPr>
                            <w:tcW w:w="3118" w:type="dxa"/>
                            <w:vMerge/>
                            <w:shd w:val="clear" w:color="auto" w:fill="FFFFFF"/>
                          </w:tcPr>
                          <w:p>
                            <w:pPr>
                              <w:jc w:val="both"/>
                              <w:rPr>
                                <w:rFonts w:eastAsia="Arial Unicode MS"/>
                                <w:iCs/>
                                <w:szCs w:val="24"/>
                                <w:u w:color="262626"/>
                              </w:rPr>
                            </w:pPr>
                          </w:p>
                        </w:tc>
                      </w:tr>
                      <w:tr>
                        <w:trPr>
                          <w:cantSplit/>
                          <w:trHeight w:val="1475"/>
                        </w:trPr>
                        <w:tc>
                          <w:tcPr>
                            <w:tcW w:w="3260" w:type="dxa"/>
                            <w:tcBorders>
                              <w:top w:val="single" w:sz="4" w:space="0" w:color="auto"/>
                              <w:bottom w:val="single" w:sz="4" w:space="0" w:color="auto"/>
                            </w:tcBorders>
                            <w:shd w:val="clear" w:color="auto" w:fill="FFFFFF"/>
                            <w:tcMar>
                              <w:top w:w="80" w:type="dxa"/>
                              <w:left w:w="80" w:type="dxa"/>
                              <w:bottom w:w="80" w:type="dxa"/>
                              <w:right w:w="80" w:type="dxa"/>
                            </w:tcMar>
                          </w:tcPr>
                          <w:p>
                            <w:pPr>
                              <w:rPr>
                                <w:rFonts w:eastAsia="Arial Unicode MS"/>
                                <w:szCs w:val="24"/>
                                <w:u w:color="262626"/>
                              </w:rPr>
                            </w:pPr>
                            <w:r>
                              <w:rPr>
                                <w:rFonts w:eastAsia="Arial Unicode MS"/>
                                <w:szCs w:val="24"/>
                                <w:u w:color="262626"/>
                              </w:rPr>
                              <w:t>1.2. Tinkamai pasirinkti ir tikslingai taikyti grafinės raiškos, techninės grafikos raiškos ir vizualizavimo priemones.</w:t>
                            </w:r>
                          </w:p>
                        </w:tc>
                        <w:tc>
                          <w:tcPr>
                            <w:tcW w:w="3261" w:type="dxa"/>
                            <w:tcBorders>
                              <w:top w:val="single" w:sz="4" w:space="0" w:color="auto"/>
                              <w:bottom w:val="single" w:sz="4" w:space="0" w:color="auto"/>
                            </w:tcBorders>
                            <w:shd w:val="clear" w:color="auto" w:fill="FFFFFF"/>
                            <w:tcMar>
                              <w:top w:w="80" w:type="dxa"/>
                              <w:left w:w="80" w:type="dxa"/>
                              <w:bottom w:w="80" w:type="dxa"/>
                              <w:right w:w="80" w:type="dxa"/>
                            </w:tcMar>
                          </w:tcPr>
                          <w:p>
                            <w:pPr>
                              <w:rPr>
                                <w:rFonts w:eastAsia="Arial Unicode MS"/>
                                <w:szCs w:val="24"/>
                                <w:u w:color="262626"/>
                              </w:rPr>
                            </w:pPr>
                            <w:r>
                              <w:rPr>
                                <w:rFonts w:eastAsia="Arial Unicode MS"/>
                                <w:szCs w:val="24"/>
                                <w:u w:color="262626"/>
                              </w:rPr>
                              <w:t>1.2.1. Nurodyti / nusakyti, kuo skiriasi eskizas, brėžinys, iliustracija ir vizualizacija</w:t>
                            </w:r>
                          </w:p>
                        </w:tc>
                        <w:tc>
                          <w:tcPr>
                            <w:tcW w:w="3118" w:type="dxa"/>
                            <w:vMerge/>
                            <w:shd w:val="clear" w:color="auto" w:fill="FFFFFF"/>
                          </w:tcPr>
                          <w:p>
                            <w:pPr>
                              <w:jc w:val="both"/>
                              <w:rPr>
                                <w:rFonts w:eastAsia="Arial Unicode MS"/>
                                <w:iCs/>
                                <w:szCs w:val="24"/>
                                <w:u w:color="262626"/>
                              </w:rPr>
                            </w:pPr>
                          </w:p>
                        </w:tc>
                      </w:tr>
                      <w:tr>
                        <w:trPr>
                          <w:cantSplit/>
                          <w:trHeight w:val="1527"/>
                        </w:trPr>
                        <w:tc>
                          <w:tcPr>
                            <w:tcW w:w="3260" w:type="dxa"/>
                            <w:tcBorders>
                              <w:top w:val="single" w:sz="4" w:space="0" w:color="auto"/>
                              <w:bottom w:val="single" w:sz="4" w:space="0" w:color="auto"/>
                            </w:tcBorders>
                            <w:shd w:val="clear" w:color="auto" w:fill="FFFFFF"/>
                            <w:tcMar>
                              <w:top w:w="80" w:type="dxa"/>
                              <w:left w:w="80" w:type="dxa"/>
                              <w:bottom w:w="80" w:type="dxa"/>
                              <w:right w:w="80" w:type="dxa"/>
                            </w:tcMar>
                          </w:tcPr>
                          <w:p>
                            <w:pPr>
                              <w:rPr>
                                <w:rFonts w:eastAsia="Arial Unicode MS"/>
                                <w:szCs w:val="24"/>
                                <w:u w:color="262626"/>
                              </w:rPr>
                            </w:pPr>
                            <w:r>
                              <w:rPr>
                                <w:rFonts w:eastAsia="Arial Unicode MS"/>
                                <w:szCs w:val="24"/>
                                <w:u w:color="262626"/>
                              </w:rPr>
                              <w:t xml:space="preserve">1.3. Tinkamai komponuoti </w:t>
                            </w:r>
                            <w:r>
                              <w:rPr>
                                <w:rFonts w:eastAsia="Arial Unicode MS"/>
                                <w:bCs/>
                                <w:iCs/>
                                <w:szCs w:val="24"/>
                                <w:u w:color="262626"/>
                              </w:rPr>
                              <w:t>brėžinius, vaizdus, derinant pagrindinius ir papildomus vaizdus, tinkamai, pagal mastelį perteikti proporcijas.</w:t>
                            </w:r>
                          </w:p>
                        </w:tc>
                        <w:tc>
                          <w:tcPr>
                            <w:tcW w:w="3261" w:type="dxa"/>
                            <w:tcBorders>
                              <w:top w:val="single" w:sz="4" w:space="0" w:color="auto"/>
                              <w:bottom w:val="single" w:sz="4" w:space="0" w:color="auto"/>
                            </w:tcBorders>
                            <w:shd w:val="clear" w:color="auto" w:fill="FFFFFF"/>
                            <w:tcMar>
                              <w:top w:w="80" w:type="dxa"/>
                              <w:left w:w="80" w:type="dxa"/>
                              <w:bottom w:w="80" w:type="dxa"/>
                              <w:right w:w="80" w:type="dxa"/>
                            </w:tcMar>
                          </w:tcPr>
                          <w:p>
                            <w:pPr>
                              <w:rPr>
                                <w:rFonts w:eastAsia="Arial Unicode MS"/>
                                <w:szCs w:val="24"/>
                                <w:u w:color="262626"/>
                              </w:rPr>
                            </w:pPr>
                            <w:r>
                              <w:rPr>
                                <w:rFonts w:eastAsia="Arial Unicode MS"/>
                                <w:szCs w:val="24"/>
                                <w:u w:color="262626"/>
                              </w:rPr>
                              <w:t xml:space="preserve">1.3.1. Suprasti ir paaiškinti </w:t>
                            </w:r>
                            <w:r>
                              <w:rPr>
                                <w:rFonts w:eastAsia="Arial Unicode MS"/>
                                <w:iCs/>
                                <w:szCs w:val="24"/>
                                <w:u w:color="262626"/>
                              </w:rPr>
                              <w:t xml:space="preserve">brėžinio struktūrą, pagrindinius ir papildomus vaizdus, detalės ir visumos santykį, tiksliai </w:t>
                            </w:r>
                            <w:r>
                              <w:rPr>
                                <w:rFonts w:eastAsia="Arial Unicode MS"/>
                                <w:bCs/>
                                <w:iCs/>
                                <w:szCs w:val="24"/>
                                <w:u w:color="262626"/>
                              </w:rPr>
                              <w:t>perteikti proporcijas</w:t>
                            </w:r>
                          </w:p>
                        </w:tc>
                        <w:tc>
                          <w:tcPr>
                            <w:tcW w:w="3118" w:type="dxa"/>
                            <w:vMerge/>
                            <w:shd w:val="clear" w:color="auto" w:fill="FFFFFF"/>
                          </w:tcPr>
                          <w:p>
                            <w:pPr>
                              <w:jc w:val="both"/>
                              <w:rPr>
                                <w:rFonts w:eastAsia="Arial Unicode MS"/>
                                <w:iCs/>
                                <w:szCs w:val="24"/>
                                <w:u w:color="262626"/>
                              </w:rPr>
                            </w:pPr>
                          </w:p>
                        </w:tc>
                      </w:tr>
                    </w:tbl>
                    <w:p>
                      <w:pPr>
                        <w:tabs>
                          <w:tab w:val="right" w:leader="dot" w:pos="13892"/>
                        </w:tabs>
                        <w:jc w:val="both"/>
                        <w:rPr>
                          <w:sz w:val="4"/>
                          <w:szCs w:val="4"/>
                        </w:rPr>
                      </w:pPr>
                      <w:r>
                        <w:rPr>
                          <w:szCs w:val="24"/>
                        </w:rPr>
                        <w:br w:type="page"/>
                      </w:r>
                    </w:p>
                    <w:tbl>
                      <w:tblPr>
                        <w:tblW w:w="9639" w:type="dxa"/>
                        <w:tblInd w:w="8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3260"/>
                        <w:gridCol w:w="3261"/>
                        <w:gridCol w:w="3118"/>
                      </w:tblGrid>
                      <w:tr>
                        <w:trPr>
                          <w:cantSplit/>
                          <w:trHeight w:val="1602"/>
                        </w:trPr>
                        <w:tc>
                          <w:tcPr>
                            <w:tcW w:w="3260" w:type="dxa"/>
                            <w:tcBorders>
                              <w:top w:val="single" w:sz="4" w:space="0" w:color="auto"/>
                              <w:bottom w:val="single" w:sz="4" w:space="0" w:color="auto"/>
                            </w:tcBorders>
                            <w:shd w:val="clear" w:color="auto" w:fill="FFFFFF"/>
                            <w:tcMar>
                              <w:top w:w="80" w:type="dxa"/>
                              <w:left w:w="80" w:type="dxa"/>
                              <w:bottom w:w="80" w:type="dxa"/>
                              <w:right w:w="80" w:type="dxa"/>
                            </w:tcMar>
                          </w:tcPr>
                          <w:p>
                            <w:pPr>
                              <w:ind w:left="-57" w:right="-57"/>
                              <w:rPr>
                                <w:rFonts w:eastAsia="Arial Unicode MS"/>
                                <w:szCs w:val="24"/>
                                <w:u w:color="262626"/>
                              </w:rPr>
                            </w:pPr>
                            <w:r>
                              <w:rPr>
                                <w:rFonts w:eastAsia="Arial Unicode MS"/>
                                <w:szCs w:val="24"/>
                                <w:u w:color="262626"/>
                              </w:rPr>
                              <w:t>1.4. Kurti brėžinius, naudojant vektorinės grafikos programas, kurti vizualizacijas vektorinės, taškinės grafikos programomis, kurti prezentacijas įvairiais programiniais įrankiais.</w:t>
                            </w:r>
                          </w:p>
                        </w:tc>
                        <w:tc>
                          <w:tcPr>
                            <w:tcW w:w="3261" w:type="dxa"/>
                            <w:tcBorders>
                              <w:top w:val="single" w:sz="4" w:space="0" w:color="auto"/>
                              <w:bottom w:val="single" w:sz="4" w:space="0" w:color="auto"/>
                            </w:tcBorders>
                            <w:shd w:val="clear" w:color="auto" w:fill="FFFFFF"/>
                            <w:tcMar>
                              <w:top w:w="80" w:type="dxa"/>
                              <w:left w:w="80" w:type="dxa"/>
                              <w:bottom w:w="80" w:type="dxa"/>
                              <w:right w:w="80" w:type="dxa"/>
                            </w:tcMar>
                          </w:tcPr>
                          <w:p>
                            <w:pPr>
                              <w:ind w:left="-57" w:right="-57"/>
                              <w:rPr>
                                <w:rFonts w:eastAsia="Arial Unicode MS"/>
                                <w:szCs w:val="24"/>
                                <w:u w:color="262626"/>
                              </w:rPr>
                            </w:pPr>
                            <w:r>
                              <w:rPr>
                                <w:rFonts w:eastAsia="Arial Unicode MS"/>
                                <w:szCs w:val="24"/>
                                <w:u w:color="262626"/>
                              </w:rPr>
                              <w:t>1.4.1. Paaiškinti, kaip perteikti objekto struktūrą ir tūrį pagal pasirinktą / pateiktą mastelį</w:t>
                            </w:r>
                          </w:p>
                        </w:tc>
                        <w:tc>
                          <w:tcPr>
                            <w:tcW w:w="3118" w:type="dxa"/>
                            <w:vMerge w:val="restart"/>
                            <w:shd w:val="clear" w:color="auto" w:fill="FFFFFF"/>
                          </w:tcPr>
                          <w:p>
                            <w:pPr>
                              <w:ind w:left="-57" w:right="-57"/>
                              <w:rPr>
                                <w:rFonts w:eastAsia="Arial Unicode MS"/>
                                <w:iCs/>
                                <w:szCs w:val="24"/>
                                <w:u w:color="262626"/>
                              </w:rPr>
                            </w:pPr>
                            <w:r>
                              <w:rPr>
                                <w:iCs/>
                                <w:szCs w:val="24"/>
                                <w:u w:color="262626"/>
                              </w:rPr>
                              <w:t xml:space="preserve">Pjūviai, kirtiniai, išklotinės, papildomi vaizdai. Vektorinės ir taškinės grafikos techninių, programinių įrankių įvaldymas, taikymas techniniams ir kūrybiniams projektavimo uždaviniams atlikti. </w:t>
                            </w:r>
                            <w:r>
                              <w:rPr>
                                <w:iCs/>
                                <w:szCs w:val="24"/>
                                <w:u w:color="262626"/>
                                <w:lang w:val="en-US"/>
                              </w:rPr>
                              <w:t xml:space="preserve">Vizualizacijų kūrimo principai. </w:t>
                            </w:r>
                            <w:r>
                              <w:rPr>
                                <w:szCs w:val="24"/>
                                <w:u w:color="262626"/>
                                <w:lang w:val="en-US"/>
                              </w:rPr>
                              <w:t>Prezentacijų kūrimas.</w:t>
                            </w:r>
                          </w:p>
                        </w:tc>
                      </w:tr>
                      <w:tr>
                        <w:trPr>
                          <w:cantSplit/>
                          <w:trHeight w:val="492"/>
                        </w:trPr>
                        <w:tc>
                          <w:tcPr>
                            <w:tcW w:w="6521" w:type="dxa"/>
                            <w:gridSpan w:val="2"/>
                            <w:tcBorders>
                              <w:top w:val="single" w:sz="4" w:space="0" w:color="auto"/>
                              <w:bottom w:val="single" w:sz="4" w:space="0" w:color="auto"/>
                            </w:tcBorders>
                            <w:shd w:val="clear" w:color="auto" w:fill="FFFFFF"/>
                            <w:tcMar>
                              <w:top w:w="80" w:type="dxa"/>
                              <w:left w:w="80" w:type="dxa"/>
                              <w:bottom w:w="80" w:type="dxa"/>
                              <w:right w:w="80" w:type="dxa"/>
                            </w:tcMar>
                          </w:tcPr>
                          <w:p>
                            <w:pPr>
                              <w:ind w:left="-57" w:right="-57"/>
                              <w:jc w:val="center"/>
                              <w:rPr>
                                <w:rFonts w:eastAsia="Arial Unicode MS"/>
                                <w:szCs w:val="24"/>
                                <w:u w:color="262626"/>
                              </w:rPr>
                            </w:pPr>
                            <w:r>
                              <w:rPr>
                                <w:rFonts w:eastAsia="Arial Unicode MS"/>
                                <w:szCs w:val="24"/>
                                <w:u w:color="262626"/>
                              </w:rPr>
                              <w:t>2. Techninių, programinių projektavimo priemonių įvaldymas ir taikymas</w:t>
                            </w:r>
                          </w:p>
                        </w:tc>
                        <w:tc>
                          <w:tcPr>
                            <w:tcW w:w="3118" w:type="dxa"/>
                            <w:vMerge/>
                            <w:shd w:val="clear" w:color="auto" w:fill="FFFFFF"/>
                          </w:tcPr>
                          <w:p>
                            <w:pPr>
                              <w:ind w:left="-57" w:right="-57"/>
                              <w:jc w:val="both"/>
                              <w:rPr>
                                <w:iCs/>
                                <w:szCs w:val="24"/>
                                <w:u w:color="262626"/>
                                <w:lang w:val="pt-BR"/>
                              </w:rPr>
                            </w:pPr>
                          </w:p>
                        </w:tc>
                      </w:tr>
                      <w:tr>
                        <w:trPr>
                          <w:cantSplit/>
                          <w:trHeight w:val="900"/>
                        </w:trPr>
                        <w:tc>
                          <w:tcPr>
                            <w:tcW w:w="3260" w:type="dxa"/>
                            <w:tcBorders>
                              <w:top w:val="single" w:sz="4" w:space="0" w:color="auto"/>
                              <w:bottom w:val="single" w:sz="4" w:space="0" w:color="auto"/>
                            </w:tcBorders>
                            <w:shd w:val="clear" w:color="auto" w:fill="FFFFFF"/>
                            <w:tcMar>
                              <w:top w:w="80" w:type="dxa"/>
                              <w:left w:w="80" w:type="dxa"/>
                              <w:bottom w:w="80" w:type="dxa"/>
                              <w:right w:w="80" w:type="dxa"/>
                            </w:tcMar>
                          </w:tcPr>
                          <w:p>
                            <w:pPr>
                              <w:ind w:left="-57" w:right="-57"/>
                              <w:rPr>
                                <w:rFonts w:eastAsia="Arial Unicode MS"/>
                                <w:szCs w:val="24"/>
                                <w:u w:color="262626"/>
                              </w:rPr>
                            </w:pPr>
                            <w:r>
                              <w:rPr>
                                <w:rFonts w:eastAsia="Arial Unicode MS"/>
                                <w:szCs w:val="24"/>
                                <w:u w:color="262626"/>
                              </w:rPr>
                              <w:t>2.1. Tinkamai pasirinkti darbo įrankius, kurti brėžinius techni-niais, programiniais įrankiais.</w:t>
                            </w:r>
                          </w:p>
                        </w:tc>
                        <w:tc>
                          <w:tcPr>
                            <w:tcW w:w="3261" w:type="dxa"/>
                            <w:tcBorders>
                              <w:top w:val="single" w:sz="4" w:space="0" w:color="auto"/>
                              <w:bottom w:val="single" w:sz="4" w:space="0" w:color="auto"/>
                            </w:tcBorders>
                            <w:shd w:val="clear" w:color="auto" w:fill="FFFFFF"/>
                            <w:tcMar>
                              <w:top w:w="80" w:type="dxa"/>
                              <w:left w:w="80" w:type="dxa"/>
                              <w:bottom w:w="80" w:type="dxa"/>
                              <w:right w:w="80" w:type="dxa"/>
                            </w:tcMar>
                          </w:tcPr>
                          <w:p>
                            <w:pPr>
                              <w:ind w:left="-57" w:right="-57"/>
                              <w:rPr>
                                <w:rFonts w:eastAsia="Arial Unicode MS"/>
                                <w:szCs w:val="24"/>
                                <w:u w:color="262626"/>
                              </w:rPr>
                            </w:pPr>
                            <w:r>
                              <w:rPr>
                                <w:rFonts w:eastAsia="Arial Unicode MS"/>
                                <w:szCs w:val="24"/>
                                <w:u w:color="262626"/>
                              </w:rPr>
                              <w:t>2.1.1. Paaiškinti techninių ir (ar) programinių įrankių pasirinkimą brėžiniams kurti</w:t>
                            </w:r>
                          </w:p>
                        </w:tc>
                        <w:tc>
                          <w:tcPr>
                            <w:tcW w:w="3118" w:type="dxa"/>
                            <w:vMerge/>
                            <w:shd w:val="clear" w:color="auto" w:fill="FFFFFF"/>
                          </w:tcPr>
                          <w:p>
                            <w:pPr>
                              <w:ind w:left="-57" w:right="-57"/>
                              <w:jc w:val="both"/>
                              <w:rPr>
                                <w:iCs/>
                                <w:szCs w:val="24"/>
                                <w:u w:color="262626"/>
                              </w:rPr>
                            </w:pPr>
                          </w:p>
                        </w:tc>
                      </w:tr>
                      <w:tr>
                        <w:trPr>
                          <w:cantSplit/>
                          <w:trHeight w:val="763"/>
                        </w:trPr>
                        <w:tc>
                          <w:tcPr>
                            <w:tcW w:w="3260" w:type="dxa"/>
                            <w:tcBorders>
                              <w:top w:val="single" w:sz="4" w:space="0" w:color="auto"/>
                              <w:bottom w:val="single" w:sz="4" w:space="0" w:color="auto"/>
                            </w:tcBorders>
                            <w:shd w:val="clear" w:color="auto" w:fill="FFFFFF"/>
                            <w:tcMar>
                              <w:top w:w="80" w:type="dxa"/>
                              <w:left w:w="80" w:type="dxa"/>
                              <w:bottom w:w="80" w:type="dxa"/>
                              <w:right w:w="80" w:type="dxa"/>
                            </w:tcMar>
                          </w:tcPr>
                          <w:p>
                            <w:pPr>
                              <w:ind w:left="-57" w:right="-57"/>
                              <w:rPr>
                                <w:rFonts w:eastAsia="Arial Unicode MS"/>
                                <w:szCs w:val="24"/>
                                <w:u w:color="262626"/>
                              </w:rPr>
                            </w:pPr>
                            <w:r>
                              <w:rPr>
                                <w:rFonts w:eastAsia="Arial Unicode MS"/>
                                <w:szCs w:val="24"/>
                                <w:u w:color="262626"/>
                              </w:rPr>
                              <w:t>2.2. Valdyti ir taikyti vektorinės ir taškinės grafikos įrankius.</w:t>
                            </w:r>
                          </w:p>
                        </w:tc>
                        <w:tc>
                          <w:tcPr>
                            <w:tcW w:w="3261" w:type="dxa"/>
                            <w:tcBorders>
                              <w:top w:val="single" w:sz="4" w:space="0" w:color="auto"/>
                              <w:bottom w:val="single" w:sz="4" w:space="0" w:color="auto"/>
                            </w:tcBorders>
                            <w:shd w:val="clear" w:color="auto" w:fill="FFFFFF"/>
                            <w:tcMar>
                              <w:top w:w="80" w:type="dxa"/>
                              <w:left w:w="80" w:type="dxa"/>
                              <w:bottom w:w="80" w:type="dxa"/>
                              <w:right w:w="80" w:type="dxa"/>
                            </w:tcMar>
                          </w:tcPr>
                          <w:p>
                            <w:pPr>
                              <w:ind w:left="-57" w:right="-57"/>
                              <w:rPr>
                                <w:rFonts w:eastAsia="Arial Unicode MS"/>
                                <w:i/>
                                <w:iCs/>
                                <w:szCs w:val="24"/>
                              </w:rPr>
                            </w:pPr>
                            <w:r>
                              <w:rPr>
                                <w:rFonts w:eastAsia="Arial Unicode MS"/>
                                <w:szCs w:val="24"/>
                              </w:rPr>
                              <w:t>2.2.1. Tinkamai atrinkti ir vertinti technines, programines projektavimo priemones</w:t>
                            </w:r>
                          </w:p>
                        </w:tc>
                        <w:tc>
                          <w:tcPr>
                            <w:tcW w:w="3118" w:type="dxa"/>
                            <w:vMerge/>
                            <w:shd w:val="clear" w:color="auto" w:fill="FFFFFF"/>
                          </w:tcPr>
                          <w:p>
                            <w:pPr>
                              <w:ind w:left="-57" w:right="-57"/>
                              <w:jc w:val="both"/>
                              <w:rPr>
                                <w:iCs/>
                                <w:szCs w:val="24"/>
                                <w:u w:color="262626"/>
                                <w:lang w:val="pt-BR"/>
                              </w:rPr>
                            </w:pPr>
                          </w:p>
                        </w:tc>
                      </w:tr>
                      <w:tr>
                        <w:trPr>
                          <w:cantSplit/>
                          <w:trHeight w:val="2389"/>
                        </w:trPr>
                        <w:tc>
                          <w:tcPr>
                            <w:tcW w:w="3260" w:type="dxa"/>
                            <w:tcBorders>
                              <w:top w:val="single" w:sz="4" w:space="0" w:color="auto"/>
                              <w:bottom w:val="single" w:sz="4" w:space="0" w:color="auto"/>
                            </w:tcBorders>
                            <w:shd w:val="clear" w:color="auto" w:fill="FFFFFF"/>
                            <w:tcMar>
                              <w:top w:w="80" w:type="dxa"/>
                              <w:left w:w="80" w:type="dxa"/>
                              <w:bottom w:w="80" w:type="dxa"/>
                              <w:right w:w="80" w:type="dxa"/>
                            </w:tcMar>
                          </w:tcPr>
                          <w:p>
                            <w:pPr>
                              <w:ind w:left="-57" w:right="-57"/>
                              <w:rPr>
                                <w:rFonts w:eastAsia="Arial Unicode MS"/>
                                <w:szCs w:val="24"/>
                                <w:u w:color="262626"/>
                              </w:rPr>
                            </w:pPr>
                            <w:r>
                              <w:rPr>
                                <w:rFonts w:eastAsia="Arial Unicode MS"/>
                                <w:szCs w:val="24"/>
                                <w:u w:color="262626"/>
                              </w:rPr>
                              <w:t>2.3. Tinkamai kurti paveikias prezentacijas.</w:t>
                            </w:r>
                          </w:p>
                        </w:tc>
                        <w:tc>
                          <w:tcPr>
                            <w:tcW w:w="3261" w:type="dxa"/>
                            <w:tcBorders>
                              <w:top w:val="single" w:sz="4" w:space="0" w:color="auto"/>
                              <w:bottom w:val="single" w:sz="4" w:space="0" w:color="auto"/>
                            </w:tcBorders>
                            <w:shd w:val="clear" w:color="auto" w:fill="FFFFFF"/>
                            <w:tcMar>
                              <w:top w:w="80" w:type="dxa"/>
                              <w:left w:w="80" w:type="dxa"/>
                              <w:bottom w:w="80" w:type="dxa"/>
                              <w:right w:w="80" w:type="dxa"/>
                            </w:tcMar>
                          </w:tcPr>
                          <w:p>
                            <w:pPr>
                              <w:ind w:left="-57" w:right="-57"/>
                              <w:rPr>
                                <w:rFonts w:eastAsia="Arial Unicode MS"/>
                                <w:szCs w:val="24"/>
                              </w:rPr>
                            </w:pPr>
                            <w:r>
                              <w:rPr>
                                <w:rFonts w:eastAsia="Arial Unicode MS"/>
                                <w:szCs w:val="24"/>
                              </w:rPr>
                              <w:t>2.3.1. Išmanyti / taikyti vektorinės ir taškinės grafikos techninius, programinius įrankius kūrybiniams projektavimo uždaviniams atlikti.</w:t>
                            </w:r>
                          </w:p>
                          <w:p>
                            <w:pPr>
                              <w:ind w:left="-57" w:right="-57"/>
                              <w:rPr>
                                <w:rFonts w:eastAsia="Arial Unicode MS"/>
                                <w:szCs w:val="24"/>
                                <w:u w:color="262626"/>
                              </w:rPr>
                            </w:pPr>
                            <w:r>
                              <w:rPr>
                                <w:rFonts w:eastAsia="Arial Unicode MS"/>
                                <w:szCs w:val="24"/>
                                <w:u w:color="262626"/>
                              </w:rPr>
                              <w:t>2.3.2. Pasirinkti techninius ir programinius įrankius prezentacijų kūrimui.</w:t>
                            </w:r>
                          </w:p>
                        </w:tc>
                        <w:tc>
                          <w:tcPr>
                            <w:tcW w:w="3118" w:type="dxa"/>
                            <w:vMerge/>
                            <w:shd w:val="clear" w:color="auto" w:fill="FFFFFF"/>
                          </w:tcPr>
                          <w:p>
                            <w:pPr>
                              <w:ind w:left="-57" w:right="-57"/>
                              <w:jc w:val="both"/>
                              <w:rPr>
                                <w:iCs/>
                                <w:szCs w:val="24"/>
                                <w:u w:color="262626"/>
                                <w:lang w:val="pt-BR"/>
                              </w:rPr>
                            </w:pPr>
                          </w:p>
                        </w:tc>
                      </w:tr>
                      <w:tr>
                        <w:trPr>
                          <w:cantSplit/>
                          <w:trHeight w:val="537"/>
                        </w:trPr>
                        <w:tc>
                          <w:tcPr>
                            <w:tcW w:w="6521" w:type="dxa"/>
                            <w:gridSpan w:val="2"/>
                            <w:tcBorders>
                              <w:top w:val="single" w:sz="4" w:space="0" w:color="auto"/>
                              <w:bottom w:val="single" w:sz="4" w:space="0" w:color="auto"/>
                            </w:tcBorders>
                            <w:shd w:val="clear" w:color="auto" w:fill="FFFFFF"/>
                            <w:tcMar>
                              <w:top w:w="80" w:type="dxa"/>
                              <w:left w:w="80" w:type="dxa"/>
                              <w:bottom w:w="80" w:type="dxa"/>
                              <w:right w:w="80" w:type="dxa"/>
                            </w:tcMar>
                            <w:vAlign w:val="center"/>
                          </w:tcPr>
                          <w:p>
                            <w:pPr>
                              <w:ind w:left="-57" w:right="-57"/>
                              <w:jc w:val="center"/>
                              <w:rPr>
                                <w:rFonts w:eastAsia="Arial Unicode MS"/>
                                <w:szCs w:val="24"/>
                              </w:rPr>
                            </w:pPr>
                            <w:r>
                              <w:rPr>
                                <w:rFonts w:eastAsia="Arial Unicode MS"/>
                                <w:szCs w:val="24"/>
                              </w:rPr>
                              <w:t>3. Suprojektuotų objektų, reiškinių, sistemų, procesų iliustravimas, vizualizavimas, prezentavimas ir reprezentavimas</w:t>
                            </w:r>
                          </w:p>
                        </w:tc>
                        <w:tc>
                          <w:tcPr>
                            <w:tcW w:w="3118" w:type="dxa"/>
                            <w:vMerge/>
                            <w:shd w:val="clear" w:color="auto" w:fill="FFFFFF"/>
                          </w:tcPr>
                          <w:p>
                            <w:pPr>
                              <w:ind w:left="-57" w:right="-57"/>
                              <w:jc w:val="both"/>
                              <w:rPr>
                                <w:iCs/>
                                <w:szCs w:val="24"/>
                                <w:u w:color="262626"/>
                                <w:lang w:val="pt-BR"/>
                              </w:rPr>
                            </w:pPr>
                          </w:p>
                        </w:tc>
                      </w:tr>
                      <w:tr>
                        <w:trPr>
                          <w:cantSplit/>
                          <w:trHeight w:val="588"/>
                        </w:trPr>
                        <w:tc>
                          <w:tcPr>
                            <w:tcW w:w="3260" w:type="dxa"/>
                            <w:tcBorders>
                              <w:top w:val="single" w:sz="4" w:space="0" w:color="auto"/>
                              <w:bottom w:val="single" w:sz="4" w:space="0" w:color="auto"/>
                            </w:tcBorders>
                            <w:shd w:val="clear" w:color="auto" w:fill="FFFFFF"/>
                            <w:tcMar>
                              <w:top w:w="80" w:type="dxa"/>
                              <w:left w:w="80" w:type="dxa"/>
                              <w:bottom w:w="80" w:type="dxa"/>
                              <w:right w:w="80" w:type="dxa"/>
                            </w:tcMar>
                          </w:tcPr>
                          <w:p>
                            <w:pPr>
                              <w:tabs>
                                <w:tab w:val="left" w:pos="-108"/>
                              </w:tabs>
                              <w:ind w:left="-57" w:right="-57"/>
                              <w:rPr>
                                <w:rFonts w:eastAsia="Arial Unicode MS"/>
                                <w:i/>
                                <w:iCs/>
                                <w:szCs w:val="24"/>
                              </w:rPr>
                            </w:pPr>
                            <w:r>
                              <w:rPr>
                                <w:rFonts w:eastAsia="Arial Unicode MS"/>
                                <w:szCs w:val="24"/>
                              </w:rPr>
                              <w:t>3.1. Panaudoti vizualizacijų kūrimo principus projektavimo darbui atlikti.</w:t>
                            </w:r>
                          </w:p>
                        </w:tc>
                        <w:tc>
                          <w:tcPr>
                            <w:tcW w:w="3261" w:type="dxa"/>
                            <w:tcBorders>
                              <w:top w:val="single" w:sz="4" w:space="0" w:color="auto"/>
                              <w:bottom w:val="single" w:sz="4" w:space="0" w:color="auto"/>
                            </w:tcBorders>
                            <w:shd w:val="clear" w:color="auto" w:fill="FFFFFF"/>
                            <w:tcMar>
                              <w:top w:w="80" w:type="dxa"/>
                              <w:left w:w="80" w:type="dxa"/>
                              <w:bottom w:w="80" w:type="dxa"/>
                              <w:right w:w="80" w:type="dxa"/>
                            </w:tcMar>
                          </w:tcPr>
                          <w:p>
                            <w:pPr>
                              <w:ind w:left="-57" w:right="-57"/>
                              <w:rPr>
                                <w:rFonts w:eastAsia="Arial Unicode MS"/>
                                <w:szCs w:val="24"/>
                              </w:rPr>
                            </w:pPr>
                            <w:r>
                              <w:rPr>
                                <w:rFonts w:eastAsia="Arial Unicode MS"/>
                                <w:szCs w:val="24"/>
                              </w:rPr>
                              <w:t>3.1.1. Išmanyti / taikyti vizualizacijų kūrimo principus</w:t>
                            </w:r>
                          </w:p>
                        </w:tc>
                        <w:tc>
                          <w:tcPr>
                            <w:tcW w:w="3118" w:type="dxa"/>
                            <w:vMerge/>
                            <w:shd w:val="clear" w:color="auto" w:fill="FFFFFF"/>
                          </w:tcPr>
                          <w:p>
                            <w:pPr>
                              <w:ind w:left="-57" w:right="-57"/>
                              <w:jc w:val="both"/>
                              <w:rPr>
                                <w:iCs/>
                                <w:szCs w:val="24"/>
                                <w:u w:color="262626"/>
                              </w:rPr>
                            </w:pPr>
                          </w:p>
                        </w:tc>
                      </w:tr>
                      <w:tr>
                        <w:trPr>
                          <w:cantSplit/>
                          <w:trHeight w:val="1072"/>
                        </w:trPr>
                        <w:tc>
                          <w:tcPr>
                            <w:tcW w:w="3260" w:type="dxa"/>
                            <w:tcBorders>
                              <w:top w:val="single" w:sz="4" w:space="0" w:color="auto"/>
                              <w:bottom w:val="single" w:sz="4" w:space="0" w:color="auto"/>
                            </w:tcBorders>
                            <w:shd w:val="clear" w:color="auto" w:fill="FFFFFF"/>
                            <w:tcMar>
                              <w:top w:w="80" w:type="dxa"/>
                              <w:left w:w="80" w:type="dxa"/>
                              <w:bottom w:w="80" w:type="dxa"/>
                              <w:right w:w="80" w:type="dxa"/>
                            </w:tcMar>
                          </w:tcPr>
                          <w:p>
                            <w:pPr>
                              <w:ind w:left="-57" w:right="-57"/>
                              <w:rPr>
                                <w:rFonts w:eastAsia="Arial Unicode MS"/>
                                <w:szCs w:val="24"/>
                                <w:u w:color="262626"/>
                              </w:rPr>
                            </w:pPr>
                            <w:r>
                              <w:rPr>
                                <w:rFonts w:eastAsia="Arial Unicode MS"/>
                                <w:szCs w:val="24"/>
                                <w:u w:color="262626"/>
                              </w:rPr>
                              <w:t>3.2. Taikyti tinkamus įrankius įvairioms prezentacijoms kurti ir pristatyti.</w:t>
                            </w:r>
                          </w:p>
                        </w:tc>
                        <w:tc>
                          <w:tcPr>
                            <w:tcW w:w="3261" w:type="dxa"/>
                            <w:tcBorders>
                              <w:top w:val="single" w:sz="4" w:space="0" w:color="auto"/>
                              <w:bottom w:val="single" w:sz="4" w:space="0" w:color="auto"/>
                            </w:tcBorders>
                            <w:shd w:val="clear" w:color="auto" w:fill="FFFFFF"/>
                            <w:tcMar>
                              <w:top w:w="80" w:type="dxa"/>
                              <w:left w:w="80" w:type="dxa"/>
                              <w:bottom w:w="80" w:type="dxa"/>
                              <w:right w:w="80" w:type="dxa"/>
                            </w:tcMar>
                          </w:tcPr>
                          <w:p>
                            <w:pPr>
                              <w:ind w:left="-57" w:right="-57"/>
                              <w:rPr>
                                <w:rFonts w:eastAsia="Arial Unicode MS"/>
                                <w:szCs w:val="24"/>
                              </w:rPr>
                            </w:pPr>
                            <w:r>
                              <w:rPr>
                                <w:rFonts w:eastAsia="Arial Unicode MS"/>
                                <w:szCs w:val="24"/>
                              </w:rPr>
                              <w:t>3.2.1. Paaiškinti prezentavimo ir reprezentavimo sąvokas, atskleisti tikslingo technologijų pasirinkimo motyvus</w:t>
                            </w:r>
                          </w:p>
                        </w:tc>
                        <w:tc>
                          <w:tcPr>
                            <w:tcW w:w="3118" w:type="dxa"/>
                            <w:vMerge/>
                            <w:shd w:val="clear" w:color="auto" w:fill="FFFFFF"/>
                          </w:tcPr>
                          <w:p>
                            <w:pPr>
                              <w:ind w:left="-57" w:right="-57"/>
                              <w:jc w:val="both"/>
                              <w:rPr>
                                <w:iCs/>
                                <w:szCs w:val="24"/>
                                <w:u w:color="262626"/>
                              </w:rPr>
                            </w:pPr>
                          </w:p>
                        </w:tc>
                      </w:tr>
                      <w:tr>
                        <w:trPr>
                          <w:cantSplit/>
                          <w:trHeight w:val="239"/>
                        </w:trPr>
                        <w:tc>
                          <w:tcPr>
                            <w:tcW w:w="6521" w:type="dxa"/>
                            <w:gridSpan w:val="2"/>
                            <w:tcBorders>
                              <w:top w:val="single" w:sz="4" w:space="0" w:color="auto"/>
                              <w:bottom w:val="single" w:sz="4" w:space="0" w:color="auto"/>
                            </w:tcBorders>
                            <w:shd w:val="clear" w:color="auto" w:fill="FFFFFF"/>
                            <w:tcMar>
                              <w:top w:w="80" w:type="dxa"/>
                              <w:left w:w="80" w:type="dxa"/>
                              <w:bottom w:w="80" w:type="dxa"/>
                              <w:right w:w="80" w:type="dxa"/>
                            </w:tcMar>
                          </w:tcPr>
                          <w:p>
                            <w:pPr>
                              <w:ind w:left="-57" w:right="-57"/>
                              <w:jc w:val="center"/>
                              <w:rPr>
                                <w:rFonts w:eastAsia="Arial Unicode MS"/>
                                <w:szCs w:val="24"/>
                              </w:rPr>
                            </w:pPr>
                            <w:r>
                              <w:rPr>
                                <w:color w:val="000000"/>
                                <w:szCs w:val="24"/>
                                <w:lang w:val="pt-BR"/>
                              </w:rPr>
                              <w:t>4. Inžinerinio projektavimo, vizualizavimo stebėjimas, interpretavimas ir kritinis vertinimas socialinėje kultūrinėje aplinkoje</w:t>
                            </w:r>
                          </w:p>
                        </w:tc>
                        <w:tc>
                          <w:tcPr>
                            <w:tcW w:w="3118" w:type="dxa"/>
                            <w:vMerge/>
                            <w:shd w:val="clear" w:color="auto" w:fill="FFFFFF"/>
                          </w:tcPr>
                          <w:p>
                            <w:pPr>
                              <w:ind w:left="-57" w:right="-57"/>
                              <w:jc w:val="both"/>
                              <w:rPr>
                                <w:iCs/>
                                <w:szCs w:val="24"/>
                                <w:u w:color="262626"/>
                                <w:lang w:val="pt-BR"/>
                              </w:rPr>
                            </w:pPr>
                          </w:p>
                        </w:tc>
                      </w:tr>
                      <w:tr>
                        <w:trPr>
                          <w:cantSplit/>
                          <w:trHeight w:val="345"/>
                        </w:trPr>
                        <w:tc>
                          <w:tcPr>
                            <w:tcW w:w="3260" w:type="dxa"/>
                            <w:tcBorders>
                              <w:top w:val="single" w:sz="4" w:space="0" w:color="auto"/>
                              <w:bottom w:val="single" w:sz="4" w:space="0" w:color="auto"/>
                            </w:tcBorders>
                            <w:shd w:val="clear" w:color="auto" w:fill="FFFFFF"/>
                            <w:tcMar>
                              <w:top w:w="80" w:type="dxa"/>
                              <w:left w:w="80" w:type="dxa"/>
                              <w:bottom w:w="80" w:type="dxa"/>
                              <w:right w:w="80" w:type="dxa"/>
                            </w:tcMar>
                          </w:tcPr>
                          <w:p>
                            <w:pPr>
                              <w:rPr>
                                <w:rFonts w:ascii="Calibri" w:eastAsia="Arial Unicode MS" w:hAnsi="Calibri"/>
                                <w:i/>
                                <w:iCs/>
                                <w:color w:val="000000"/>
                                <w:sz w:val="22"/>
                                <w:szCs w:val="22"/>
                              </w:rPr>
                            </w:pPr>
                            <w:r>
                              <w:rPr>
                                <w:color w:val="000000"/>
                                <w:szCs w:val="24"/>
                                <w:lang w:val="pt-BR"/>
                              </w:rPr>
                              <w:t>4.1. Pagrįsti inžinerinio projektavimo, vizualizavimo ir interpretavimo svarbą ir įtaką savo / artimoje aplinkoje.</w:t>
                            </w:r>
                          </w:p>
                        </w:tc>
                        <w:tc>
                          <w:tcPr>
                            <w:tcW w:w="3261" w:type="dxa"/>
                            <w:tcBorders>
                              <w:top w:val="single" w:sz="4" w:space="0" w:color="auto"/>
                              <w:bottom w:val="single" w:sz="4" w:space="0" w:color="auto"/>
                            </w:tcBorders>
                            <w:shd w:val="clear" w:color="auto" w:fill="FFFFFF"/>
                            <w:tcMar>
                              <w:top w:w="80" w:type="dxa"/>
                              <w:left w:w="80" w:type="dxa"/>
                              <w:bottom w:w="80" w:type="dxa"/>
                              <w:right w:w="80" w:type="dxa"/>
                            </w:tcMar>
                          </w:tcPr>
                          <w:p>
                            <w:pPr>
                              <w:shd w:val="clear" w:color="auto" w:fill="FFFFFF"/>
                              <w:rPr>
                                <w:rFonts w:ascii="Helvetica" w:hAnsi="Helvetica" w:cs="Helvetica"/>
                                <w:color w:val="000000"/>
                                <w:szCs w:val="24"/>
                              </w:rPr>
                            </w:pPr>
                            <w:r>
                              <w:rPr>
                                <w:color w:val="000000"/>
                                <w:szCs w:val="24"/>
                              </w:rPr>
                              <w:t>4.1.1. Pateikti pavyzdžių apie inžinerinio projektavimo, vizualizavimo, interpretavimo svarbą socialinėje kultūrinėje aplinkoje.</w:t>
                            </w:r>
                          </w:p>
                          <w:p>
                            <w:pPr>
                              <w:rPr>
                                <w:rFonts w:eastAsia="Arial Unicode MS"/>
                                <w:szCs w:val="24"/>
                              </w:rPr>
                            </w:pPr>
                            <w:r>
                              <w:rPr>
                                <w:color w:val="000000"/>
                                <w:szCs w:val="24"/>
                              </w:rPr>
                              <w:t>4.1.2. Domėtis, paaiškinti inžinerinio projektavimo naujoves ir pasiekimus šiuolaikinėje aplinkoje.</w:t>
                            </w:r>
                          </w:p>
                        </w:tc>
                        <w:tc>
                          <w:tcPr>
                            <w:tcW w:w="3118" w:type="dxa"/>
                            <w:shd w:val="clear" w:color="auto" w:fill="FFFFFF"/>
                          </w:tcPr>
                          <w:p>
                            <w:pPr>
                              <w:jc w:val="both"/>
                              <w:rPr>
                                <w:iCs/>
                                <w:szCs w:val="24"/>
                                <w:u w:color="262626"/>
                              </w:rPr>
                            </w:pPr>
                          </w:p>
                        </w:tc>
                      </w:tr>
                    </w:tbl>
                    <w:p/>
                  </w:sdtContent>
                </w:sdt>
                <w:sdt>
                  <w:sdtPr>
                    <w:alias w:val="2 pr. 7.2 pp."/>
                    <w:tag w:val="part_225352565c2847f69145b2b7cfbdcae6"/>
                    <w:lock w:val="sdtLocked"/>
                    <w:richText/>
                  </w:sdtPr>
                  <w:sdtContent>
                    <w:p>
                      <w:pPr>
                        <w:tabs>
                          <w:tab w:val="right" w:leader="dot" w:pos="13892"/>
                        </w:tabs>
                        <w:ind w:firstLine="595"/>
                        <w:rPr>
                          <w:szCs w:val="24"/>
                        </w:rPr>
                      </w:pPr>
                      <w:sdt>
                        <w:sdtPr>
                          <w:alias w:val="Numeris"/>
                          <w:tag w:val="nr_225352565c2847f69145b2b7cfbdcae6"/>
                          <w:lock w:val="sdtLocked"/>
                          <w:richText/>
                        </w:sdtPr>
                        <w:sdtContent>
                          <w:r>
                            <w:rPr>
                              <w:color w:val="000000"/>
                              <w:szCs w:val="24"/>
                            </w:rPr>
                            <w:t>7.2</w:t>
                          </w:r>
                        </w:sdtContent>
                      </w:sdt>
                      <w:r>
                        <w:rPr>
                          <w:color w:val="000000"/>
                          <w:szCs w:val="24"/>
                        </w:rPr>
                        <w:t xml:space="preserve">. </w:t>
                      </w:r>
                      <w:r>
                        <w:rPr>
                          <w:szCs w:val="24"/>
                        </w:rPr>
                        <w:br w:type="page"/>
                        <w:t>Vertinimas:</w:t>
                      </w:r>
                    </w:p>
                    <w:p>
                      <w:pPr>
                        <w:tabs>
                          <w:tab w:val="right" w:leader="dot" w:pos="13892"/>
                        </w:tabs>
                        <w:ind w:left="595"/>
                        <w:rPr>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85"/>
                        <w:gridCol w:w="2551"/>
                        <w:gridCol w:w="2552"/>
                        <w:gridCol w:w="2551"/>
                      </w:tblGrid>
                      <w:tr>
                        <w:tc>
                          <w:tcPr>
                            <w:tcW w:w="1985" w:type="dxa"/>
                            <w:vAlign w:val="center"/>
                          </w:tcPr>
                          <w:p>
                            <w:pPr>
                              <w:jc w:val="center"/>
                              <w:rPr>
                                <w:szCs w:val="22"/>
                                <w:lang w:eastAsia="lt-LT"/>
                              </w:rPr>
                            </w:pPr>
                            <w:r>
                              <w:rPr>
                                <w:szCs w:val="22"/>
                                <w:lang w:eastAsia="lt-LT"/>
                              </w:rPr>
                              <w:t xml:space="preserve">Pasiekimų lygiai / </w:t>
                            </w:r>
                          </w:p>
                          <w:p>
                            <w:pPr>
                              <w:jc w:val="center"/>
                              <w:rPr>
                                <w:szCs w:val="22"/>
                                <w:lang w:eastAsia="lt-LT"/>
                              </w:rPr>
                            </w:pPr>
                            <w:r>
                              <w:rPr>
                                <w:szCs w:val="22"/>
                                <w:lang w:eastAsia="lt-LT"/>
                              </w:rPr>
                              <w:t>Veiklos sritys</w:t>
                            </w:r>
                          </w:p>
                        </w:tc>
                        <w:tc>
                          <w:tcPr>
                            <w:tcW w:w="2551" w:type="dxa"/>
                            <w:vAlign w:val="center"/>
                          </w:tcPr>
                          <w:p>
                            <w:pPr>
                              <w:jc w:val="center"/>
                              <w:rPr>
                                <w:szCs w:val="22"/>
                                <w:lang w:eastAsia="lt-LT"/>
                              </w:rPr>
                            </w:pPr>
                            <w:r>
                              <w:rPr>
                                <w:bCs/>
                                <w:szCs w:val="22"/>
                                <w:lang w:eastAsia="lt-LT"/>
                              </w:rPr>
                              <w:t>Patenkinamas</w:t>
                            </w:r>
                          </w:p>
                        </w:tc>
                        <w:tc>
                          <w:tcPr>
                            <w:tcW w:w="2552" w:type="dxa"/>
                            <w:vAlign w:val="center"/>
                          </w:tcPr>
                          <w:p>
                            <w:pPr>
                              <w:jc w:val="center"/>
                              <w:rPr>
                                <w:szCs w:val="22"/>
                                <w:lang w:eastAsia="lt-LT"/>
                              </w:rPr>
                            </w:pPr>
                            <w:r>
                              <w:rPr>
                                <w:bCs/>
                                <w:szCs w:val="22"/>
                                <w:lang w:eastAsia="lt-LT"/>
                              </w:rPr>
                              <w:t>Pagrindinis</w:t>
                            </w:r>
                          </w:p>
                        </w:tc>
                        <w:tc>
                          <w:tcPr>
                            <w:tcW w:w="2551" w:type="dxa"/>
                            <w:vAlign w:val="center"/>
                          </w:tcPr>
                          <w:p>
                            <w:pPr>
                              <w:jc w:val="center"/>
                              <w:rPr>
                                <w:szCs w:val="22"/>
                                <w:lang w:eastAsia="lt-LT"/>
                              </w:rPr>
                            </w:pPr>
                            <w:r>
                              <w:rPr>
                                <w:bCs/>
                                <w:szCs w:val="22"/>
                                <w:lang w:eastAsia="lt-LT"/>
                              </w:rPr>
                              <w:t>Aukštesnysis</w:t>
                            </w:r>
                          </w:p>
                        </w:tc>
                      </w:tr>
                      <w:tr>
                        <w:tc>
                          <w:tcPr>
                            <w:tcW w:w="1985" w:type="dxa"/>
                          </w:tcPr>
                          <w:p>
                            <w:pPr>
                              <w:rPr>
                                <w:szCs w:val="22"/>
                                <w:lang w:eastAsia="lt-LT"/>
                              </w:rPr>
                            </w:pPr>
                            <w:r>
                              <w:rPr>
                                <w:bCs/>
                                <w:szCs w:val="22"/>
                                <w:lang w:eastAsia="lt-LT"/>
                              </w:rPr>
                              <w:t>Žinios ir supratimas</w:t>
                            </w:r>
                          </w:p>
                        </w:tc>
                        <w:tc>
                          <w:tcPr>
                            <w:tcW w:w="2551" w:type="dxa"/>
                          </w:tcPr>
                          <w:p>
                            <w:pPr>
                              <w:rPr>
                                <w:rFonts w:eastAsia="Arial Unicode MS"/>
                                <w:szCs w:val="24"/>
                                <w:lang w:eastAsia="lt-LT"/>
                              </w:rPr>
                            </w:pPr>
                            <w:r>
                              <w:rPr>
                                <w:rFonts w:eastAsia="Arial Unicode MS"/>
                                <w:szCs w:val="24"/>
                                <w:lang w:eastAsia="lt-LT"/>
                              </w:rPr>
                              <w:t xml:space="preserve">Atpažįsta grafinės raiškos priemones, projektavimo būdus, metodus, techninės grafikos, inžinerinio projektavimo, vizualizavimo priemones. Nurodo / nusako, kuo skiriasi eskizas, brėžinys, iliustracija ir vizualizacija. Atpažįsta brėžinio struktūrą, pagrindinius ir papildomus vaizdus, detalės ir visumos santykį, tačiau netiksliai perteikia proporcijas. Nusako, kaip perteikti objekto struktūrą ir tūrį pagal pasirinktą / pateiktą mastelį. Išvardija, kokie gali būti pasirenkami techniniai ir (ar) programiniai įrankiai brėžiniams kurti. Nusako kriterijus, kaip atrinkti </w:t>
                            </w:r>
                            <w:r>
                              <w:rPr>
                                <w:szCs w:val="24"/>
                                <w:lang w:eastAsia="lt-LT"/>
                              </w:rPr>
                              <w:t>technines, programines projektavimo priemones.</w:t>
                            </w:r>
                            <w:r>
                              <w:rPr>
                                <w:rFonts w:eastAsia="Arial Unicode MS"/>
                                <w:szCs w:val="24"/>
                                <w:lang w:eastAsia="lt-LT"/>
                              </w:rPr>
                              <w:t xml:space="preserve"> Nusako, kaip taikyti vektorinės ir taškinės grafikos techninius, programinius įrankius kūrybiniams projektavimo uždaviniams atlikti. Išvardina, kokie techniniai ir programiniai įrankiai naudojami prezentacijų kūrimui. Pristato vizualizacijų kūrimo principus. Apibūdina prezentavimo ir reprezentavimo sąvokas, bet neatskleidžia tikslingo technologijų pasirinkimo motyvų. Pateikia tik vieną pavyzdį </w:t>
                            </w:r>
                            <w:r>
                              <w:rPr>
                                <w:szCs w:val="24"/>
                                <w:lang w:eastAsia="lt-LT"/>
                              </w:rPr>
                              <w:t>apie inžinerinio projektavimo, vizualizavimo, interpretavimo svarbą socialinėje kultūrinėje aplinkoje, bet nepateikia ir nenurodo alternatyvių variantų. Pristato kelias inžinerinio projektavimo naujoves ir pasiekimus šiuolaikinėje aplinkoje</w:t>
                            </w:r>
                          </w:p>
                        </w:tc>
                        <w:tc>
                          <w:tcPr>
                            <w:tcW w:w="2552" w:type="dxa"/>
                          </w:tcPr>
                          <w:p>
                            <w:pPr>
                              <w:rPr>
                                <w:szCs w:val="24"/>
                                <w:lang w:eastAsia="lt-LT"/>
                              </w:rPr>
                            </w:pPr>
                            <w:r>
                              <w:rPr>
                                <w:rFonts w:eastAsia="Arial Unicode MS"/>
                                <w:szCs w:val="24"/>
                                <w:lang w:eastAsia="lt-LT"/>
                              </w:rPr>
                              <w:t>Atpažįsta ir paaiškina grafinės raiškos priemones, projektavimo būdus, metodus, techninės grafikos, inžinerinio projektavimo, vizualizavimo priemones. Nurodo / nusako, kuo skiriasi eskizas, brėžinys, iliustracija, vizualizacija, ir pakomentuoja. Atpažįsta brėžinio struktūrą, pagrindinius ir papildomus vaizdus, detalės ir visumos santykį, tiksliai perteikia proporcijas. Išsamiai paaiškina, kaip perteikti objekto struktūrą ir tūrį pagal pasirinktą / pateiktą mastelį. Paaiškina techninių ir (ar) programinių įrankių pasirinkimą brėžiniams kurti. Nusako kriterijus ir paaiškina, kaip t</w:t>
                            </w:r>
                            <w:r>
                              <w:rPr>
                                <w:szCs w:val="24"/>
                                <w:lang w:eastAsia="lt-LT"/>
                              </w:rPr>
                              <w:t xml:space="preserve">inkamai atrinkti ir vertinti technines, programines projektavimo priemones. </w:t>
                            </w:r>
                            <w:r>
                              <w:rPr>
                                <w:rFonts w:eastAsia="Arial Unicode MS"/>
                                <w:szCs w:val="24"/>
                                <w:lang w:eastAsia="lt-LT"/>
                              </w:rPr>
                              <w:t>Paaiškina, kaip taikyti vektorinės ir taškinės grafikos techninius, programinius įrankius kūrybiniams projektavimo uždaviniams atlikti. Paaiškina, kaip pasirinkti techninius ir programinius įrankius prezentacijų kūrimui. Paaiškina vizualizacijų kūrimo principus, pateikia pavyzdžių. Paaiškina prezentavimo ir reprezentavimo sąvokas, atskleidžia tikslingo technologijų pasirinkimo galimus motyvus. Pateikia kelis alternatyvius pavyzdžius a</w:t>
                            </w:r>
                            <w:r>
                              <w:rPr>
                                <w:szCs w:val="24"/>
                                <w:lang w:eastAsia="lt-LT"/>
                              </w:rPr>
                              <w:t>pie inžinerinio projektavimo, vizualizavimo, interpretavimo svarbą socialinėje kultūrinėje aplinkoje. Pristato ir paaiškina kelias inžinerinio projektavimo naujoves ir pasiekimus šiuolaikinėje aplinkoje</w:t>
                            </w:r>
                          </w:p>
                        </w:tc>
                        <w:tc>
                          <w:tcPr>
                            <w:tcW w:w="2551" w:type="dxa"/>
                          </w:tcPr>
                          <w:p>
                            <w:pPr>
                              <w:rPr>
                                <w:szCs w:val="24"/>
                                <w:lang w:eastAsia="lt-LT"/>
                              </w:rPr>
                            </w:pPr>
                            <w:r>
                              <w:rPr>
                                <w:rFonts w:eastAsia="Arial Unicode MS"/>
                                <w:szCs w:val="24"/>
                                <w:lang w:eastAsia="lt-LT"/>
                              </w:rPr>
                              <w:t>Atpažįsta, atskleidžia ypatumus ir paaiškina grafinės raiškos priemones, projektavimo būdus, metodus, techninės grafikos, inžinerinio projektavimo, vizualizavimo priemones. Nurodo / nusako, kuo skiriasi eskizas, brėžinys, iliustracija, vizualizacija, pakomentuoja ir atskleidžia ypatumus.</w:t>
                            </w:r>
                            <w:r>
                              <w:rPr>
                                <w:szCs w:val="24"/>
                                <w:lang w:eastAsia="lt-LT"/>
                              </w:rPr>
                              <w:t xml:space="preserve"> </w:t>
                            </w:r>
                            <w:r>
                              <w:rPr>
                                <w:rFonts w:eastAsia="Arial Unicode MS"/>
                                <w:szCs w:val="24"/>
                                <w:lang w:eastAsia="lt-LT"/>
                              </w:rPr>
                              <w:t>Atpažįsta ir paaiškina brėžinio struktūrą, pagrindinius ir papildomus vaizdus, detalės ir visumos santykį, tiksliai perteikia proporcijas. Argumentuotai paaiškina, kaip perteikti objekto struktūrą ir tūrį pagal pasirinktą / pateiktą mastelį. Išsamiai paaiškina ir argumentuoja techninių ir (ar) programinių įrankių pasirinkimą brėžiniams kurti. Argumentuotai paaiškina, kaip galima t</w:t>
                            </w:r>
                            <w:r>
                              <w:rPr>
                                <w:szCs w:val="24"/>
                                <w:lang w:eastAsia="lt-LT"/>
                              </w:rPr>
                              <w:t xml:space="preserve">inkamai atrinkti technines, programines projektavimo priemones, atsižvelgiant į numatytus kriterijus. </w:t>
                            </w:r>
                            <w:r>
                              <w:rPr>
                                <w:rFonts w:eastAsia="Arial Unicode MS"/>
                                <w:szCs w:val="24"/>
                                <w:lang w:eastAsia="lt-LT"/>
                              </w:rPr>
                              <w:t>Argumentuotai detalizuoja, kaip taikyti vektorinės ir taškinės grafikos techninius, programinius įrankius kūrybiniams projektavimo uždaviniams atlikti.</w:t>
                            </w:r>
                            <w:r>
                              <w:rPr>
                                <w:szCs w:val="24"/>
                                <w:lang w:eastAsia="lt-LT"/>
                              </w:rPr>
                              <w:t xml:space="preserve"> </w:t>
                            </w:r>
                            <w:r>
                              <w:rPr>
                                <w:rFonts w:eastAsia="Arial Unicode MS"/>
                                <w:szCs w:val="24"/>
                                <w:lang w:eastAsia="lt-LT"/>
                              </w:rPr>
                              <w:t>Kritiškai pakomentuoja, kaip pasirinkti techninius ir programinius įrankius prezentacijų kūrimui. Pakomentuoja vizualizacijų kūrimo principus, pateikia pavyzdžių. Pakomentuoja prezentavimo ir reprezentavimo sąvokas, kritiškai nusako tikslingo technologijų pasirinkimo galimus motyvus. Pateikia alternatyvių pavyzdžių a</w:t>
                            </w:r>
                            <w:r>
                              <w:rPr>
                                <w:szCs w:val="24"/>
                                <w:lang w:eastAsia="lt-LT"/>
                              </w:rPr>
                              <w:t>pie inžinerinio projektavimo, vizualizavimo, interpretavimo svarbą socialinėje kultūrinėje aplinkoje ir pavyzdžius pakomentuoja. Pristato ir kritiškai įvertina daugiau nei kelias inžinerinio projektavimo naujoves ir pasiekimus šiuolaikinėje aplinkoje</w:t>
                            </w:r>
                          </w:p>
                        </w:tc>
                      </w:tr>
                      <w:tr>
                        <w:trPr>
                          <w:trHeight w:val="2730"/>
                        </w:trPr>
                        <w:tc>
                          <w:tcPr>
                            <w:tcW w:w="1985" w:type="dxa"/>
                          </w:tcPr>
                          <w:p>
                            <w:pPr>
                              <w:rPr>
                                <w:bCs/>
                                <w:sz w:val="22"/>
                                <w:szCs w:val="22"/>
                                <w:lang w:eastAsia="lt-LT"/>
                              </w:rPr>
                            </w:pPr>
                            <w:r>
                              <w:rPr>
                                <w:szCs w:val="22"/>
                                <w:lang w:eastAsia="lt-LT"/>
                              </w:rPr>
                              <w:t>Grafinės raiškos, projektavimo, techninės grafikos, vizualizavimo raiškos priemonių pažinimas, įvaldymas ir taikymas</w:t>
                            </w:r>
                          </w:p>
                        </w:tc>
                        <w:tc>
                          <w:tcPr>
                            <w:tcW w:w="2551" w:type="dxa"/>
                          </w:tcPr>
                          <w:p>
                            <w:pPr>
                              <w:rPr>
                                <w:rFonts w:eastAsia="Arial Unicode MS"/>
                                <w:szCs w:val="24"/>
                              </w:rPr>
                            </w:pPr>
                            <w:r>
                              <w:rPr>
                                <w:rFonts w:eastAsia="Arial Unicode MS"/>
                                <w:szCs w:val="24"/>
                              </w:rPr>
                              <w:t>Padedamas pasirenka, kokius naudoti vaizdų prezentavimo ir brėžinių skaitymo principus. Padedamas pasirenka ir taiko grafinės raiškos, techninės grafikos raiškos ir vizualizavimo priemones. Komponuoja brėžinius, vaizdus, bet nederina pagrindinių ir papildomų vaizdų; perteikdamas proporcijas, neatsižvelgia į mastelį. Padedamas kuria brėžinius, naudodamas vektorinės grafikos programas; kuria vizualizacijas vektorinės, taškinės grafikos programomis, bet nekuria prezentacijų kitais programiniais įrankiais</w:t>
                            </w:r>
                          </w:p>
                        </w:tc>
                        <w:tc>
                          <w:tcPr>
                            <w:tcW w:w="2552" w:type="dxa"/>
                          </w:tcPr>
                          <w:p>
                            <w:pPr>
                              <w:rPr>
                                <w:rFonts w:eastAsia="Arial Unicode MS"/>
                                <w:szCs w:val="24"/>
                              </w:rPr>
                            </w:pPr>
                            <w:r>
                              <w:rPr>
                                <w:rFonts w:eastAsia="Arial Unicode MS"/>
                                <w:szCs w:val="24"/>
                              </w:rPr>
                              <w:t>Savarankiškai pasirenka, kokius naudoti vaizdų prezentavimo ir brėžinių skaitymo principus. Savarankiškai įvertina tinkamumą, pasirenka ir taiko grafinės raiškos, techninės grafikos raiškos ir vizualizavimo priemones. Komponuoja brėžinius, vaizdus, derina pagrindinius ir papildomus vaizdus; perteikdamas proporcijas, neatsižvelgia į mastelį. Kuria brėžinius, naudodamas vektorinės grafikos programas; kuria vizualizacijas vektorinės, taškinės grafikos programomis, bet nekuria prezentacijų kitais programiniais įrankiais</w:t>
                            </w:r>
                          </w:p>
                        </w:tc>
                        <w:tc>
                          <w:tcPr>
                            <w:tcW w:w="2551" w:type="dxa"/>
                          </w:tcPr>
                          <w:p>
                            <w:pPr>
                              <w:rPr>
                                <w:rFonts w:eastAsia="Arial Unicode MS"/>
                                <w:szCs w:val="24"/>
                              </w:rPr>
                            </w:pPr>
                            <w:r>
                              <w:rPr>
                                <w:rFonts w:eastAsia="Arial Unicode MS"/>
                                <w:szCs w:val="24"/>
                              </w:rPr>
                              <w:t>Kritiškai įvertinęs, pasirenka, kokius naudoti vaizdų prezentavimo ir brėžinių skaitymo principus. Kritiškai įvertina tinkamumą, pasirenka ir tikslingai taiko grafinės raiškos, techninės grafikos raiškos ir vizualizavimo priemones. Komponuoja brėžinius, vaizdus, derina pagrindinius ir papildomus vaizdus; tinkamai, pagal mastelį perteikia proporcijas. Kuria brėžinius, naudodamas vektorinės grafikos programas; kuria vizualizacijas vektorinės, taškinės grafikos programomis, bet nekuria prezentacijų kitais programiniais įrankiais</w:t>
                            </w:r>
                          </w:p>
                        </w:tc>
                      </w:tr>
                      <w:tr>
                        <w:trPr>
                          <w:trHeight w:val="4951"/>
                        </w:trPr>
                        <w:tc>
                          <w:tcPr>
                            <w:tcW w:w="1985" w:type="dxa"/>
                          </w:tcPr>
                          <w:p>
                            <w:pPr>
                              <w:rPr>
                                <w:bCs/>
                                <w:sz w:val="22"/>
                                <w:szCs w:val="22"/>
                                <w:lang w:eastAsia="lt-LT"/>
                              </w:rPr>
                            </w:pPr>
                            <w:r>
                              <w:rPr>
                                <w:szCs w:val="22"/>
                                <w:lang w:eastAsia="lt-LT"/>
                              </w:rPr>
                              <w:t>Techninių, programinių projektavimo priemonių įvaldymas ir taikymas</w:t>
                            </w:r>
                          </w:p>
                        </w:tc>
                        <w:tc>
                          <w:tcPr>
                            <w:tcW w:w="2551" w:type="dxa"/>
                          </w:tcPr>
                          <w:p>
                            <w:pPr>
                              <w:rPr>
                                <w:szCs w:val="24"/>
                                <w:lang w:eastAsia="lt-LT"/>
                              </w:rPr>
                            </w:pPr>
                            <w:r>
                              <w:rPr>
                                <w:szCs w:val="24"/>
                                <w:lang w:eastAsia="lt-LT"/>
                              </w:rPr>
                              <w:t>Padedamas pasirenka darbo įrankius, naudojamus kurti brėžinius techniniais, programiniais įrankiais. Padedamas panaudoja vektorinės ir taškinės grafikos įrankius. Atsitiktinai pasirenka techninius ir programinius įrankius prezentacijų kūrimui</w:t>
                            </w:r>
                          </w:p>
                        </w:tc>
                        <w:tc>
                          <w:tcPr>
                            <w:tcW w:w="2552" w:type="dxa"/>
                          </w:tcPr>
                          <w:p>
                            <w:pPr>
                              <w:rPr>
                                <w:szCs w:val="24"/>
                                <w:lang w:eastAsia="lt-LT"/>
                              </w:rPr>
                            </w:pPr>
                            <w:r>
                              <w:rPr>
                                <w:szCs w:val="24"/>
                                <w:lang w:eastAsia="lt-LT"/>
                              </w:rPr>
                              <w:t xml:space="preserve">Pasirenka tinkamus darbo įrankius, naudojamus kurti brėžinius techniniais, programiniais įrankiais. Panaudoja vektorinės ir taškinės grafikos įrankius. Atsižvelgdamas į numatytus kriterijus, pasirenka tinkamus techninius ir programinius įrankius prezentacijų kūrimui </w:t>
                            </w:r>
                          </w:p>
                        </w:tc>
                        <w:tc>
                          <w:tcPr>
                            <w:tcW w:w="2551" w:type="dxa"/>
                          </w:tcPr>
                          <w:p>
                            <w:pPr>
                              <w:rPr>
                                <w:szCs w:val="24"/>
                                <w:lang w:eastAsia="lt-LT"/>
                              </w:rPr>
                            </w:pPr>
                            <w:r>
                              <w:rPr>
                                <w:szCs w:val="24"/>
                                <w:lang w:eastAsia="lt-LT"/>
                              </w:rPr>
                              <w:t>Kritiškai įvertinęs, pasirenka tinkamiausius darbo įrankius, naudojamus kurti brėžinius techniniais, programiniais įrankiais. Tinkamai parenka ir panaudoja vektorinės ir taškinės grafikos įrankius. Kritiškai įvertinęs numatytus kriterijus, pasirenka tinkamus techninius ir programinius įrankius prezentacijų kūrimui ir kuria paveikias prezentacijas</w:t>
                            </w:r>
                          </w:p>
                        </w:tc>
                      </w:tr>
                      <w:tr>
                        <w:tc>
                          <w:tcPr>
                            <w:tcW w:w="1985" w:type="dxa"/>
                          </w:tcPr>
                          <w:p>
                            <w:pPr>
                              <w:rPr>
                                <w:bCs/>
                                <w:szCs w:val="22"/>
                                <w:lang w:eastAsia="lt-LT"/>
                              </w:rPr>
                            </w:pPr>
                            <w:r>
                              <w:rPr>
                                <w:szCs w:val="22"/>
                                <w:lang w:eastAsia="lt-LT"/>
                              </w:rPr>
                              <w:t>Suprojektuotų objektų, reiškinių, sistemų, procesų iliustravimas, vizualizavimas, prezentavimas ir reprezentavimas</w:t>
                            </w:r>
                          </w:p>
                        </w:tc>
                        <w:tc>
                          <w:tcPr>
                            <w:tcW w:w="2551" w:type="dxa"/>
                          </w:tcPr>
                          <w:p>
                            <w:pPr>
                              <w:rPr>
                                <w:rFonts w:eastAsia="Arial Unicode MS"/>
                                <w:szCs w:val="24"/>
                                <w:lang w:eastAsia="lt-LT"/>
                              </w:rPr>
                            </w:pPr>
                            <w:r>
                              <w:rPr>
                                <w:rFonts w:eastAsia="Arial Unicode MS"/>
                                <w:szCs w:val="24"/>
                                <w:lang w:eastAsia="lt-LT"/>
                              </w:rPr>
                              <w:t xml:space="preserve">Atlieka projektavimo darbus, nepritaikydamas vizualizacijų kūrimo principų. Kuria ir pristato prezentacijas, neparinkdamas tinkamų įrankių  </w:t>
                            </w:r>
                          </w:p>
                        </w:tc>
                        <w:tc>
                          <w:tcPr>
                            <w:tcW w:w="2552" w:type="dxa"/>
                          </w:tcPr>
                          <w:p>
                            <w:pPr>
                              <w:rPr>
                                <w:rFonts w:eastAsia="Arial Unicode MS"/>
                                <w:szCs w:val="24"/>
                                <w:lang w:eastAsia="lt-LT"/>
                              </w:rPr>
                            </w:pPr>
                            <w:r>
                              <w:rPr>
                                <w:rFonts w:eastAsia="Arial Unicode MS"/>
                                <w:szCs w:val="24"/>
                                <w:lang w:eastAsia="lt-LT"/>
                              </w:rPr>
                              <w:t xml:space="preserve">Atlieka projektavimo darbus, iš dalies pritaikydamas vizualizacijų kūrimo principus. Parenka ganėtinai tinkamus įrankius, kurdamas ir pristatydamas prezentacijas </w:t>
                            </w:r>
                          </w:p>
                        </w:tc>
                        <w:tc>
                          <w:tcPr>
                            <w:tcW w:w="2551" w:type="dxa"/>
                          </w:tcPr>
                          <w:p>
                            <w:pPr>
                              <w:rPr>
                                <w:rFonts w:eastAsia="Arial Unicode MS"/>
                                <w:szCs w:val="24"/>
                                <w:lang w:eastAsia="lt-LT"/>
                              </w:rPr>
                            </w:pPr>
                            <w:r>
                              <w:rPr>
                                <w:rFonts w:eastAsia="Arial Unicode MS"/>
                                <w:szCs w:val="24"/>
                                <w:lang w:eastAsia="lt-LT"/>
                              </w:rPr>
                              <w:t>Atlieka projektavimo darbus, pritaikydamas vizualizacijų kūrimo principus. Parenka tinkamus įrankius, kurdamas ir pristatydamas prezentacijas</w:t>
                            </w:r>
                          </w:p>
                        </w:tc>
                      </w:tr>
                      <w:tr>
                        <w:trPr>
                          <w:trHeight w:val="2757"/>
                        </w:trPr>
                        <w:tc>
                          <w:tcPr>
                            <w:tcW w:w="1985" w:type="dxa"/>
                          </w:tcPr>
                          <w:p>
                            <w:pPr>
                              <w:rPr>
                                <w:bCs/>
                                <w:szCs w:val="22"/>
                                <w:lang w:eastAsia="lt-LT"/>
                              </w:rPr>
                            </w:pPr>
                            <w:r>
                              <w:rPr>
                                <w:szCs w:val="22"/>
                                <w:lang w:eastAsia="lt-LT"/>
                              </w:rPr>
                              <w:t>Inžinerinio projektavimo, vizualizavimo stebėjimas, interpretavimas ir kritinis vertinimas socialinėje kultūrinėje aplinkoje.</w:t>
                            </w:r>
                          </w:p>
                        </w:tc>
                        <w:tc>
                          <w:tcPr>
                            <w:tcW w:w="2551" w:type="dxa"/>
                          </w:tcPr>
                          <w:p>
                            <w:pPr>
                              <w:rPr>
                                <w:szCs w:val="24"/>
                                <w:lang w:eastAsia="lt-LT"/>
                              </w:rPr>
                            </w:pPr>
                            <w:r>
                              <w:rPr>
                                <w:szCs w:val="24"/>
                                <w:lang w:eastAsia="lt-LT"/>
                              </w:rPr>
                              <w:t>Padedamas paaiškina inžinerinio projektavimo, vizualizavimo ir interpretavimo įtaką artimai žmogaus aplinkai</w:t>
                            </w:r>
                          </w:p>
                        </w:tc>
                        <w:tc>
                          <w:tcPr>
                            <w:tcW w:w="2552" w:type="dxa"/>
                          </w:tcPr>
                          <w:p>
                            <w:pPr>
                              <w:rPr>
                                <w:szCs w:val="24"/>
                                <w:lang w:eastAsia="lt-LT"/>
                              </w:rPr>
                            </w:pPr>
                            <w:r>
                              <w:rPr>
                                <w:szCs w:val="24"/>
                                <w:lang w:eastAsia="lt-LT"/>
                              </w:rPr>
                              <w:t xml:space="preserve">Pateikia argumentų, kokią įtaką inžinerinis projektavimas, vizualizavimas ir interpretavimas daro artimai žmogaus aplinkai </w:t>
                            </w:r>
                          </w:p>
                        </w:tc>
                        <w:tc>
                          <w:tcPr>
                            <w:tcW w:w="2551" w:type="dxa"/>
                          </w:tcPr>
                          <w:p>
                            <w:pPr>
                              <w:rPr>
                                <w:szCs w:val="24"/>
                                <w:lang w:eastAsia="lt-LT"/>
                              </w:rPr>
                            </w:pPr>
                            <w:r>
                              <w:rPr>
                                <w:szCs w:val="24"/>
                                <w:lang w:eastAsia="lt-LT"/>
                              </w:rPr>
                              <w:t xml:space="preserve">Pateikia argumentų ir kritiškai įvertina, kokią įtaką inžinerinis projektavimas, vizualizavimas ir interpretavimas daro artimai žmogaus aplinkai </w:t>
                            </w:r>
                          </w:p>
                        </w:tc>
                      </w:tr>
                    </w:tbl>
                    <w:p>
                      <w:pPr>
                        <w:tabs>
                          <w:tab w:val="right" w:leader="dot" w:pos="13892"/>
                        </w:tabs>
                        <w:ind w:firstLine="595"/>
                        <w:rPr>
                          <w:b/>
                          <w:szCs w:val="24"/>
                        </w:rPr>
                      </w:pPr>
                    </w:p>
                  </w:sdtContent>
                </w:sdt>
              </w:sdtContent>
            </w:sdt>
            <w:sdt>
              <w:sdtPr>
                <w:alias w:val="2 pr. 8 p."/>
                <w:tag w:val="part_530b15bd3a59488096a1aca98efea0ef"/>
                <w:lock w:val="sdtLocked"/>
                <w:richText/>
              </w:sdtPr>
              <w:sdtContent>
                <w:p>
                  <w:pPr>
                    <w:tabs>
                      <w:tab w:val="right" w:leader="dot" w:pos="13892"/>
                    </w:tabs>
                    <w:ind w:firstLine="595"/>
                    <w:rPr>
                      <w:bCs/>
                      <w:szCs w:val="24"/>
                    </w:rPr>
                  </w:pPr>
                  <w:sdt>
                    <w:sdtPr>
                      <w:alias w:val="Numeris"/>
                      <w:tag w:val="nr_530b15bd3a59488096a1aca98efea0ef"/>
                      <w:lock w:val="sdtLocked"/>
                      <w:richText/>
                    </w:sdtPr>
                    <w:sdtContent>
                      <w:r>
                        <w:rPr>
                          <w:bCs/>
                          <w:color w:val="000000"/>
                          <w:szCs w:val="24"/>
                        </w:rPr>
                        <w:t>8</w:t>
                      </w:r>
                    </w:sdtContent>
                  </w:sdt>
                  <w:r>
                    <w:rPr>
                      <w:bCs/>
                      <w:color w:val="000000"/>
                      <w:szCs w:val="24"/>
                    </w:rPr>
                    <w:t xml:space="preserve">. </w:t>
                  </w:r>
                  <w:r>
                    <w:rPr>
                      <w:b/>
                      <w:szCs w:val="24"/>
                    </w:rPr>
                    <w:br w:type="page"/>
                  </w:r>
                  <w:r>
                    <w:rPr>
                      <w:bCs/>
                      <w:szCs w:val="24"/>
                    </w:rPr>
                    <w:t>Projektavimo dalyko turinio apimtys, mokinių pasiekimai ir vertinimas 11–12 klasėje:</w:t>
                  </w:r>
                </w:p>
                <w:p>
                  <w:pPr>
                    <w:tabs>
                      <w:tab w:val="left" w:pos="798"/>
                      <w:tab w:val="right" w:leader="dot" w:pos="13892"/>
                    </w:tabs>
                    <w:ind w:left="595"/>
                    <w:jc w:val="both"/>
                    <w:rPr>
                      <w:bCs/>
                      <w:szCs w:val="24"/>
                    </w:rPr>
                  </w:pPr>
                </w:p>
                <w:sdt>
                  <w:sdtPr>
                    <w:alias w:val="2 pr. 8.1 pp."/>
                    <w:tag w:val="part_46a8ebae87824689a036faa8e2a8cd67"/>
                    <w:lock w:val="sdtLocked"/>
                    <w:richText/>
                  </w:sdtPr>
                  <w:sdtContent>
                    <w:p>
                      <w:pPr>
                        <w:tabs>
                          <w:tab w:val="right" w:leader="dot" w:pos="13892"/>
                        </w:tabs>
                        <w:ind w:firstLine="595"/>
                        <w:rPr>
                          <w:szCs w:val="24"/>
                        </w:rPr>
                      </w:pPr>
                      <w:sdt>
                        <w:sdtPr>
                          <w:alias w:val="Numeris"/>
                          <w:tag w:val="nr_46a8ebae87824689a036faa8e2a8cd67"/>
                          <w:lock w:val="sdtLocked"/>
                          <w:richText/>
                        </w:sdtPr>
                        <w:sdtContent>
                          <w:r>
                            <w:rPr>
                              <w:szCs w:val="24"/>
                            </w:rPr>
                            <w:t>8.1</w:t>
                          </w:r>
                        </w:sdtContent>
                      </w:sdt>
                      <w:r>
                        <w:rPr>
                          <w:szCs w:val="24"/>
                        </w:rPr>
                        <w:t>. Mokinių pasiekimai ir turinio apimtys:</w:t>
                      </w:r>
                    </w:p>
                    <w:p>
                      <w:pPr>
                        <w:tabs>
                          <w:tab w:val="right" w:leader="dot" w:pos="13892"/>
                        </w:tabs>
                        <w:ind w:firstLine="595"/>
                        <w:rPr>
                          <w:szCs w:val="24"/>
                        </w:rPr>
                      </w:pPr>
                    </w:p>
                    <w:tbl>
                      <w:tblPr>
                        <w:tblW w:w="9639" w:type="dxa"/>
                        <w:tblInd w:w="8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3189"/>
                        <w:gridCol w:w="3190"/>
                        <w:gridCol w:w="3260"/>
                      </w:tblGrid>
                      <w:tr>
                        <w:trPr>
                          <w:trHeight w:val="2990"/>
                        </w:trPr>
                        <w:tc>
                          <w:tcPr>
                            <w:tcW w:w="9639" w:type="dxa"/>
                            <w:gridSpan w:val="3"/>
                            <w:shd w:val="clear" w:color="auto" w:fill="FFFFFF"/>
                            <w:tcMar>
                              <w:top w:w="80" w:type="dxa"/>
                              <w:left w:w="80" w:type="dxa"/>
                              <w:bottom w:w="80" w:type="dxa"/>
                              <w:right w:w="80" w:type="dxa"/>
                            </w:tcMar>
                          </w:tcPr>
                          <w:p>
                            <w:pPr>
                              <w:jc w:val="both"/>
                              <w:rPr>
                                <w:szCs w:val="24"/>
                              </w:rPr>
                            </w:pPr>
                            <w:r>
                              <w:rPr>
                                <w:rFonts w:eastAsia="Arial Unicode MS"/>
                                <w:szCs w:val="24"/>
                              </w:rPr>
                              <w:t xml:space="preserve">Nuostatos. </w:t>
                            </w:r>
                            <w:r>
                              <w:rPr>
                                <w:rFonts w:eastAsia="Arial Unicode MS"/>
                                <w:szCs w:val="18"/>
                              </w:rPr>
                              <w:t>Siekti</w:t>
                            </w:r>
                            <w:r>
                              <w:rPr>
                                <w:rFonts w:eastAsia="Arial Unicode MS"/>
                                <w:sz w:val="18"/>
                                <w:szCs w:val="18"/>
                              </w:rPr>
                              <w:t xml:space="preserve"> </w:t>
                            </w:r>
                            <w:r>
                              <w:rPr>
                                <w:rFonts w:eastAsia="Arial Unicode MS"/>
                                <w:szCs w:val="24"/>
                              </w:rPr>
                              <w:t>projektavimo veiklas integruoti į inžinerijos iškeltų problemų sprendimą, tikslingai taikant kitų mokomųjų dalykų žinias ir įgūdžius. Suvokti projektavimo reikšmę, atsižvelgiant į realių inžinerijos sprendžiamų problemų kontekstą, įvertinant Lietuvos ir pasaulio inžinerijos pasiekimus ir perspektyvas. Praktiškai taikant perspektyvos sudarymo schemas, formų transformavimo galimybes, siekti lavinti erdvinį mąstymą. Dalyvauti mokyklos ir miesto projektuose, parodose, konkursuose. Gerbti kitų nuomonę ir suvokti bendradarbiavimo reikšmę įvairių inžinerinių projektų sėkmingam įgyvendinimui ir patirties sklaidai.</w:t>
                            </w:r>
                          </w:p>
                          <w:p>
                            <w:pPr>
                              <w:jc w:val="both"/>
                              <w:rPr>
                                <w:szCs w:val="24"/>
                              </w:rPr>
                            </w:pPr>
                            <w:r>
                              <w:rPr>
                                <w:szCs w:val="24"/>
                              </w:rPr>
                              <w:t>Esminis gebėjimas. Remiantis teorinėmis žiniomis, gebėti kurti sudėtingus, kompleksiškus projektavimo sprendimus, įvaldant ir taikant techninę, programinę įrangą, trijų dimensijų, sudėtingų vizualizacijų sprendimams ir kritiniam vertinimui.</w:t>
                            </w:r>
                          </w:p>
                        </w:tc>
                      </w:tr>
                      <w:tr>
                        <w:trPr>
                          <w:trHeight w:val="348"/>
                        </w:trPr>
                        <w:tc>
                          <w:tcPr>
                            <w:tcW w:w="6379" w:type="dxa"/>
                            <w:gridSpan w:val="2"/>
                            <w:shd w:val="clear" w:color="auto" w:fill="FFFFFF"/>
                            <w:tcMar>
                              <w:top w:w="80" w:type="dxa"/>
                              <w:left w:w="80" w:type="dxa"/>
                              <w:bottom w:w="80" w:type="dxa"/>
                              <w:right w:w="80" w:type="dxa"/>
                            </w:tcMar>
                            <w:vAlign w:val="center"/>
                          </w:tcPr>
                          <w:p>
                            <w:pPr>
                              <w:spacing w:line="228" w:lineRule="auto"/>
                              <w:jc w:val="center"/>
                              <w:rPr>
                                <w:szCs w:val="22"/>
                              </w:rPr>
                            </w:pPr>
                            <w:r>
                              <w:rPr>
                                <w:rFonts w:eastAsia="Arial Unicode MS"/>
                                <w:szCs w:val="22"/>
                              </w:rPr>
                              <w:t>Mokinių pasiekimai pagal veiklos sritis</w:t>
                            </w:r>
                          </w:p>
                        </w:tc>
                        <w:tc>
                          <w:tcPr>
                            <w:tcW w:w="3260" w:type="dxa"/>
                            <w:shd w:val="clear" w:color="auto" w:fill="FFFFFF"/>
                            <w:tcMar>
                              <w:top w:w="80" w:type="dxa"/>
                              <w:left w:w="80" w:type="dxa"/>
                              <w:bottom w:w="80" w:type="dxa"/>
                              <w:right w:w="80" w:type="dxa"/>
                            </w:tcMar>
                            <w:vAlign w:val="center"/>
                          </w:tcPr>
                          <w:p>
                            <w:pPr>
                              <w:spacing w:line="228" w:lineRule="auto"/>
                              <w:jc w:val="center"/>
                              <w:rPr>
                                <w:szCs w:val="22"/>
                              </w:rPr>
                            </w:pPr>
                            <w:r>
                              <w:rPr>
                                <w:rFonts w:eastAsia="Arial Unicode MS"/>
                                <w:szCs w:val="22"/>
                              </w:rPr>
                              <w:t>Dalyko turinio apimtys</w:t>
                            </w:r>
                          </w:p>
                        </w:tc>
                      </w:tr>
                      <w:tr>
                        <w:trPr>
                          <w:cantSplit/>
                          <w:trHeight w:val="206"/>
                        </w:trPr>
                        <w:tc>
                          <w:tcPr>
                            <w:tcW w:w="3189" w:type="dxa"/>
                            <w:shd w:val="clear" w:color="auto" w:fill="FFFFFF"/>
                            <w:tcMar>
                              <w:top w:w="80" w:type="dxa"/>
                              <w:left w:w="80" w:type="dxa"/>
                              <w:bottom w:w="80" w:type="dxa"/>
                              <w:right w:w="80" w:type="dxa"/>
                            </w:tcMar>
                          </w:tcPr>
                          <w:p>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szCs w:val="22"/>
                              </w:rPr>
                            </w:pPr>
                            <w:r>
                              <w:rPr>
                                <w:szCs w:val="22"/>
                              </w:rPr>
                              <w:t>Gebėjimai</w:t>
                            </w:r>
                          </w:p>
                        </w:tc>
                        <w:tc>
                          <w:tcPr>
                            <w:tcW w:w="3190" w:type="dxa"/>
                            <w:shd w:val="clear" w:color="auto" w:fill="FFFFFF"/>
                            <w:tcMar>
                              <w:top w:w="80" w:type="dxa"/>
                              <w:left w:w="80" w:type="dxa"/>
                              <w:bottom w:w="80" w:type="dxa"/>
                              <w:right w:w="80" w:type="dxa"/>
                            </w:tcMar>
                          </w:tcPr>
                          <w:p>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szCs w:val="22"/>
                              </w:rPr>
                            </w:pPr>
                            <w:r>
                              <w:rPr>
                                <w:szCs w:val="22"/>
                              </w:rPr>
                              <w:t>Žinios ir supratimas</w:t>
                            </w:r>
                          </w:p>
                        </w:tc>
                        <w:tc>
                          <w:tcPr>
                            <w:tcW w:w="3260" w:type="dxa"/>
                            <w:vMerge w:val="restart"/>
                            <w:shd w:val="clear" w:color="auto" w:fill="FFFFFF"/>
                            <w:tcMar>
                              <w:top w:w="80" w:type="dxa"/>
                              <w:left w:w="80" w:type="dxa"/>
                              <w:bottom w:w="80" w:type="dxa"/>
                              <w:right w:w="80" w:type="dxa"/>
                            </w:tcMar>
                          </w:tcPr>
                          <w:p>
                            <w:pPr>
                              <w:ind w:left="-9" w:right="204"/>
                              <w:rPr>
                                <w:i/>
                                <w:iCs/>
                                <w:szCs w:val="24"/>
                              </w:rPr>
                            </w:pPr>
                            <w:r>
                              <w:rPr>
                                <w:rFonts w:eastAsia="Arial Unicode MS"/>
                                <w:szCs w:val="24"/>
                              </w:rPr>
                              <w:t xml:space="preserve">Sudėtingų objektų bei procesų vaizdavimas brėžiniuose, iliustracijose bei vizualizacijose. Papildomų vaizdų derinimas brėžiniuose. Perspektyvinių vaizdų eskizavimas ir braižymas. Architektūriniai brėžiniai. Schemų ir instrukcijų kūrimas. Inžinerinių produktų specifikavimas. Trijų dimensijų techninės ir programinės įrangos naudojimas brėžiniams, vizualizacijoms ir prezentacijoms kurti. </w:t>
                            </w:r>
                            <w:r>
                              <w:rPr>
                                <w:szCs w:val="24"/>
                              </w:rPr>
                              <w:t>Fotografijos ir videografijos techninės ir programinės įrangos taikymas vizualizacijoms, prezentacijoms kurti. Interaktyvios schemos, brėžiniai, prezentacijos ir pristatymai</w:t>
                            </w:r>
                          </w:p>
                        </w:tc>
                      </w:tr>
                      <w:tr>
                        <w:trPr>
                          <w:cantSplit/>
                          <w:trHeight w:val="500"/>
                        </w:trPr>
                        <w:tc>
                          <w:tcPr>
                            <w:tcW w:w="6379" w:type="dxa"/>
                            <w:gridSpan w:val="2"/>
                            <w:shd w:val="clear" w:color="auto" w:fill="FFFFFF"/>
                            <w:tcMar>
                              <w:top w:w="80" w:type="dxa"/>
                              <w:left w:w="80" w:type="dxa"/>
                              <w:bottom w:w="80" w:type="dxa"/>
                              <w:right w:w="80" w:type="dxa"/>
                            </w:tcMar>
                          </w:tcPr>
                          <w:p>
                            <w:pPr>
                              <w:tabs>
                                <w:tab w:val="left" w:pos="237"/>
                              </w:tabs>
                              <w:ind w:left="34"/>
                              <w:jc w:val="center"/>
                              <w:rPr>
                                <w:rFonts w:eastAsia="Arial Unicode MS"/>
                                <w:szCs w:val="24"/>
                              </w:rPr>
                            </w:pPr>
                            <w:r>
                              <w:rPr>
                                <w:rFonts w:eastAsia="Arial Unicode MS"/>
                                <w:szCs w:val="24"/>
                              </w:rPr>
                              <w:t>1. Grafinės raiškos, projektavimo, techninės grafikos, vizualizavimo raiškos priemonių pažinimas, įvaldymas ir taikymas</w:t>
                            </w:r>
                          </w:p>
                        </w:tc>
                        <w:tc>
                          <w:tcPr>
                            <w:tcW w:w="3260" w:type="dxa"/>
                            <w:vMerge/>
                            <w:shd w:val="clear" w:color="auto" w:fill="FFFFFF"/>
                            <w:tcMar>
                              <w:top w:w="80" w:type="dxa"/>
                              <w:left w:w="80" w:type="dxa"/>
                              <w:bottom w:w="80" w:type="dxa"/>
                              <w:right w:w="80" w:type="dxa"/>
                            </w:tcMar>
                          </w:tcPr>
                          <w:p>
                            <w:pPr>
                              <w:rPr>
                                <w:rFonts w:eastAsia="Arial Unicode MS"/>
                                <w:szCs w:val="24"/>
                              </w:rPr>
                            </w:pPr>
                          </w:p>
                        </w:tc>
                      </w:tr>
                      <w:tr>
                        <w:trPr>
                          <w:cantSplit/>
                          <w:trHeight w:val="884"/>
                        </w:trPr>
                        <w:tc>
                          <w:tcPr>
                            <w:tcW w:w="3189" w:type="dxa"/>
                            <w:tcBorders>
                              <w:bottom w:val="single" w:sz="4" w:space="0" w:color="auto"/>
                            </w:tcBorders>
                            <w:shd w:val="clear" w:color="auto" w:fill="FFFFFF"/>
                            <w:tcMar>
                              <w:top w:w="80" w:type="dxa"/>
                              <w:left w:w="80" w:type="dxa"/>
                              <w:bottom w:w="80" w:type="dxa"/>
                              <w:right w:w="80" w:type="dxa"/>
                            </w:tcMar>
                          </w:tcPr>
                          <w:p>
                            <w:pPr>
                              <w:rPr>
                                <w:rFonts w:eastAsia="Arial Unicode MS"/>
                                <w:szCs w:val="24"/>
                              </w:rPr>
                            </w:pPr>
                            <w:r>
                              <w:rPr>
                                <w:rFonts w:eastAsia="Arial Unicode MS"/>
                                <w:szCs w:val="24"/>
                              </w:rPr>
                              <w:t>1.1. Įvaldyti sudėtingų vaizdų skaitymo principus, ugdyti(s) brėžinių, vizualizacijų skaitymo kompetencijas.</w:t>
                            </w:r>
                          </w:p>
                          <w:p>
                            <w:pPr>
                              <w:jc w:val="both"/>
                              <w:rPr>
                                <w:rFonts w:eastAsia="Arial Unicode MS"/>
                                <w:szCs w:val="24"/>
                              </w:rPr>
                            </w:pPr>
                          </w:p>
                        </w:tc>
                        <w:tc>
                          <w:tcPr>
                            <w:tcW w:w="3190" w:type="dxa"/>
                            <w:tcBorders>
                              <w:bottom w:val="single" w:sz="4" w:space="0" w:color="auto"/>
                            </w:tcBorders>
                            <w:shd w:val="clear" w:color="auto" w:fill="FFFFFF"/>
                            <w:tcMar>
                              <w:top w:w="80" w:type="dxa"/>
                              <w:left w:w="80" w:type="dxa"/>
                              <w:bottom w:w="80" w:type="dxa"/>
                              <w:right w:w="80" w:type="dxa"/>
                            </w:tcMar>
                          </w:tcPr>
                          <w:p>
                            <w:pPr>
                              <w:jc w:val="both"/>
                              <w:rPr>
                                <w:szCs w:val="22"/>
                              </w:rPr>
                            </w:pPr>
                            <w:r>
                              <w:rPr>
                                <w:szCs w:val="22"/>
                              </w:rPr>
                              <w:t xml:space="preserve">1.1.1. </w:t>
                            </w:r>
                            <w:r>
                              <w:rPr>
                                <w:rFonts w:eastAsia="Arial Unicode MS"/>
                                <w:szCs w:val="24"/>
                              </w:rPr>
                              <w:t>Pasirinkti sudėtingų objektų / procesų vaizdavimo būdus ir kūrybingai taikyti brėžiniuose, iliustracijose bei vizualizacijose</w:t>
                            </w:r>
                          </w:p>
                        </w:tc>
                        <w:tc>
                          <w:tcPr>
                            <w:tcW w:w="3260" w:type="dxa"/>
                            <w:vMerge/>
                            <w:shd w:val="clear" w:color="auto" w:fill="FFFFFF"/>
                          </w:tcPr>
                          <w:p>
                            <w:pPr>
                              <w:rPr>
                                <w:rFonts w:eastAsia="Arial Unicode MS"/>
                                <w:szCs w:val="24"/>
                              </w:rPr>
                            </w:pPr>
                          </w:p>
                        </w:tc>
                      </w:tr>
                      <w:tr>
                        <w:trPr>
                          <w:cantSplit/>
                          <w:trHeight w:val="1807"/>
                        </w:trPr>
                        <w:tc>
                          <w:tcPr>
                            <w:tcW w:w="3189" w:type="dxa"/>
                            <w:tcBorders>
                              <w:top w:val="single" w:sz="4" w:space="0" w:color="auto"/>
                            </w:tcBorders>
                            <w:shd w:val="clear" w:color="auto" w:fill="FFFFFF"/>
                            <w:tcMar>
                              <w:top w:w="80" w:type="dxa"/>
                              <w:left w:w="80" w:type="dxa"/>
                              <w:bottom w:w="80" w:type="dxa"/>
                              <w:right w:w="80" w:type="dxa"/>
                            </w:tcMar>
                          </w:tcPr>
                          <w:p>
                            <w:pPr>
                              <w:rPr>
                                <w:rFonts w:eastAsia="Arial Unicode MS"/>
                                <w:szCs w:val="24"/>
                              </w:rPr>
                            </w:pPr>
                            <w:r>
                              <w:rPr>
                                <w:rFonts w:eastAsia="Arial Unicode MS"/>
                                <w:szCs w:val="24"/>
                              </w:rPr>
                              <w:t>1.2. Kūrybiškai / tikslingai taikyti grafinės raiškos, techninės grafikos raiškos principus, vizualizavimo gebėjimus.</w:t>
                            </w:r>
                          </w:p>
                          <w:p>
                            <w:pPr>
                              <w:rPr>
                                <w:rFonts w:eastAsia="Arial Unicode MS"/>
                                <w:i/>
                                <w:iCs/>
                                <w:szCs w:val="24"/>
                                <w:u w:color="262626"/>
                              </w:rPr>
                            </w:pPr>
                          </w:p>
                        </w:tc>
                        <w:tc>
                          <w:tcPr>
                            <w:tcW w:w="3190" w:type="dxa"/>
                            <w:tcBorders>
                              <w:top w:val="single" w:sz="4" w:space="0" w:color="auto"/>
                            </w:tcBorders>
                            <w:shd w:val="clear" w:color="auto" w:fill="FFFFFF"/>
                          </w:tcPr>
                          <w:p>
                            <w:pPr>
                              <w:rPr>
                                <w:rFonts w:eastAsia="Arial Unicode MS"/>
                                <w:szCs w:val="24"/>
                                <w:u w:color="262626"/>
                              </w:rPr>
                            </w:pPr>
                            <w:r>
                              <w:rPr>
                                <w:rFonts w:eastAsia="Arial Unicode MS"/>
                                <w:szCs w:val="24"/>
                                <w:u w:color="262626"/>
                              </w:rPr>
                              <w:t>1.2.1. Kūrybiškai derinti papildomus vaizdus brėžiniuose.</w:t>
                            </w:r>
                          </w:p>
                          <w:p>
                            <w:pPr>
                              <w:rPr>
                                <w:rFonts w:eastAsia="Arial Unicode MS"/>
                                <w:szCs w:val="24"/>
                                <w:u w:color="262626"/>
                              </w:rPr>
                            </w:pPr>
                            <w:r>
                              <w:rPr>
                                <w:rFonts w:eastAsia="Arial Unicode MS"/>
                                <w:szCs w:val="24"/>
                                <w:u w:color="262626"/>
                              </w:rPr>
                              <w:t>1.2.2. Taikyti projektavimo žinias ir įgūdžius, eskizuojant ir braižant perspektyvinius vaizdus.</w:t>
                            </w:r>
                          </w:p>
                        </w:tc>
                        <w:tc>
                          <w:tcPr>
                            <w:tcW w:w="3260" w:type="dxa"/>
                            <w:vMerge/>
                            <w:shd w:val="clear" w:color="auto" w:fill="FFFFFF"/>
                          </w:tcPr>
                          <w:p>
                            <w:pPr>
                              <w:rPr>
                                <w:rFonts w:eastAsia="Arial Unicode MS"/>
                                <w:i/>
                                <w:iCs/>
                                <w:szCs w:val="24"/>
                                <w:u w:color="262626"/>
                              </w:rPr>
                            </w:pPr>
                          </w:p>
                        </w:tc>
                      </w:tr>
                      <w:tr>
                        <w:trPr>
                          <w:cantSplit/>
                          <w:trHeight w:val="530"/>
                        </w:trPr>
                        <w:tc>
                          <w:tcPr>
                            <w:tcW w:w="6379" w:type="dxa"/>
                            <w:gridSpan w:val="2"/>
                            <w:tcBorders>
                              <w:top w:val="single" w:sz="4" w:space="0" w:color="auto"/>
                              <w:bottom w:val="single" w:sz="4" w:space="0" w:color="auto"/>
                            </w:tcBorders>
                            <w:shd w:val="clear" w:color="auto" w:fill="FFFFFF"/>
                            <w:tcMar>
                              <w:top w:w="80" w:type="dxa"/>
                              <w:left w:w="80" w:type="dxa"/>
                              <w:bottom w:w="80" w:type="dxa"/>
                              <w:right w:w="80" w:type="dxa"/>
                            </w:tcMar>
                          </w:tcPr>
                          <w:p>
                            <w:pPr>
                              <w:jc w:val="center"/>
                              <w:rPr>
                                <w:rFonts w:eastAsia="Arial Unicode MS"/>
                                <w:szCs w:val="24"/>
                                <w:u w:color="262626"/>
                              </w:rPr>
                            </w:pPr>
                            <w:r>
                              <w:rPr>
                                <w:rFonts w:eastAsia="Arial Unicode MS"/>
                                <w:szCs w:val="24"/>
                                <w:u w:color="262626"/>
                              </w:rPr>
                              <w:t>2. Techninių, programinių projektavimo priemonių įvaldymas ir taikymas</w:t>
                            </w:r>
                          </w:p>
                        </w:tc>
                        <w:tc>
                          <w:tcPr>
                            <w:tcW w:w="3260" w:type="dxa"/>
                            <w:vMerge/>
                            <w:shd w:val="clear" w:color="auto" w:fill="FFFFFF"/>
                          </w:tcPr>
                          <w:p>
                            <w:pPr>
                              <w:rPr>
                                <w:rFonts w:eastAsia="Arial Unicode MS"/>
                                <w:i/>
                                <w:iCs/>
                                <w:szCs w:val="24"/>
                                <w:u w:color="262626"/>
                              </w:rPr>
                            </w:pPr>
                          </w:p>
                        </w:tc>
                      </w:tr>
                      <w:tr>
                        <w:trPr>
                          <w:cantSplit/>
                          <w:trHeight w:val="530"/>
                        </w:trPr>
                        <w:tc>
                          <w:tcPr>
                            <w:tcW w:w="3189" w:type="dxa"/>
                            <w:tcBorders>
                              <w:top w:val="single" w:sz="4" w:space="0" w:color="auto"/>
                              <w:bottom w:val="single" w:sz="4" w:space="0" w:color="auto"/>
                            </w:tcBorders>
                            <w:shd w:val="clear" w:color="auto" w:fill="FFFFFF"/>
                            <w:tcMar>
                              <w:top w:w="80" w:type="dxa"/>
                              <w:left w:w="80" w:type="dxa"/>
                              <w:bottom w:w="80" w:type="dxa"/>
                              <w:right w:w="80" w:type="dxa"/>
                            </w:tcMar>
                          </w:tcPr>
                          <w:p>
                            <w:pPr>
                              <w:rPr>
                                <w:rFonts w:eastAsia="Arial Unicode MS"/>
                                <w:szCs w:val="24"/>
                              </w:rPr>
                            </w:pPr>
                            <w:r>
                              <w:rPr>
                                <w:rFonts w:eastAsia="Arial Unicode MS"/>
                                <w:szCs w:val="24"/>
                              </w:rPr>
                              <w:t>2.1. Plėtoti techninių ir kūrybinių projektavimo darbų su techninėmis, programinėmis projektavimo priemonėmis įgūdžius.</w:t>
                            </w:r>
                          </w:p>
                        </w:tc>
                        <w:tc>
                          <w:tcPr>
                            <w:tcW w:w="3190" w:type="dxa"/>
                            <w:tcBorders>
                              <w:top w:val="single" w:sz="4" w:space="0" w:color="auto"/>
                              <w:bottom w:val="single" w:sz="4" w:space="0" w:color="auto"/>
                            </w:tcBorders>
                            <w:shd w:val="clear" w:color="auto" w:fill="FFFFFF"/>
                          </w:tcPr>
                          <w:p>
                            <w:pPr>
                              <w:tabs>
                                <w:tab w:val="left" w:pos="629"/>
                              </w:tabs>
                              <w:ind w:left="62"/>
                              <w:rPr>
                                <w:rFonts w:eastAsia="Arial Unicode MS"/>
                                <w:szCs w:val="24"/>
                              </w:rPr>
                            </w:pPr>
                            <w:r>
                              <w:rPr>
                                <w:rFonts w:eastAsia="Arial Unicode MS"/>
                                <w:szCs w:val="24"/>
                              </w:rPr>
                              <w:t>2.1.1. Išmanyti / taikyti trijų dimensijų techninę ir programinę įrangą brėžiniams, vizualizacijoms ir prezentacijoms kurti.</w:t>
                            </w:r>
                          </w:p>
                          <w:p>
                            <w:pPr>
                              <w:tabs>
                                <w:tab w:val="left" w:pos="629"/>
                              </w:tabs>
                              <w:ind w:left="62"/>
                              <w:rPr>
                                <w:rFonts w:eastAsia="Arial Unicode MS"/>
                                <w:szCs w:val="22"/>
                              </w:rPr>
                            </w:pPr>
                            <w:r>
                              <w:rPr>
                                <w:rFonts w:eastAsia="Arial Unicode MS"/>
                                <w:szCs w:val="22"/>
                              </w:rPr>
                              <w:t>2.1.2. Išmanyti / taikyti fotografijos ir videografijos techninę ir programinę įrangą vizualizacijoms, prezentacijoms kurti.</w:t>
                            </w:r>
                          </w:p>
                        </w:tc>
                        <w:tc>
                          <w:tcPr>
                            <w:tcW w:w="3260" w:type="dxa"/>
                            <w:vMerge/>
                            <w:shd w:val="clear" w:color="auto" w:fill="FFFFFF"/>
                          </w:tcPr>
                          <w:p>
                            <w:pPr>
                              <w:rPr>
                                <w:rFonts w:eastAsia="Arial Unicode MS"/>
                                <w:i/>
                                <w:iCs/>
                                <w:szCs w:val="24"/>
                                <w:u w:color="262626"/>
                              </w:rPr>
                            </w:pPr>
                          </w:p>
                        </w:tc>
                      </w:tr>
                    </w:tbl>
                    <w:p>
                      <w:pPr>
                        <w:tabs>
                          <w:tab w:val="right" w:leader="dot" w:pos="13892"/>
                        </w:tabs>
                        <w:ind w:firstLine="595"/>
                        <w:rPr>
                          <w:szCs w:val="24"/>
                        </w:rPr>
                      </w:pPr>
                    </w:p>
                    <w:p>
                      <w:pPr>
                        <w:tabs>
                          <w:tab w:val="right" w:leader="dot" w:pos="13892"/>
                        </w:tabs>
                        <w:ind w:firstLine="595"/>
                        <w:rPr>
                          <w:szCs w:val="24"/>
                        </w:rPr>
                      </w:pPr>
                      <w:r>
                        <w:rPr>
                          <w:szCs w:val="24"/>
                        </w:rPr>
                        <w:br w:type="page"/>
                      </w:r>
                    </w:p>
                    <w:tbl>
                      <w:tblPr>
                        <w:tblW w:w="9639" w:type="dxa"/>
                        <w:tblInd w:w="8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3189"/>
                        <w:gridCol w:w="3190"/>
                        <w:gridCol w:w="3260"/>
                      </w:tblGrid>
                      <w:tr>
                        <w:trPr>
                          <w:trHeight w:val="348"/>
                        </w:trPr>
                        <w:tc>
                          <w:tcPr>
                            <w:tcW w:w="6379" w:type="dxa"/>
                            <w:gridSpan w:val="2"/>
                            <w:shd w:val="clear" w:color="auto" w:fill="FFFFFF"/>
                            <w:tcMar>
                              <w:top w:w="80" w:type="dxa"/>
                              <w:left w:w="80" w:type="dxa"/>
                              <w:bottom w:w="80" w:type="dxa"/>
                              <w:right w:w="80" w:type="dxa"/>
                            </w:tcMar>
                          </w:tcPr>
                          <w:p>
                            <w:pPr>
                              <w:jc w:val="center"/>
                              <w:rPr>
                                <w:rFonts w:eastAsia="Arial Unicode MS"/>
                                <w:szCs w:val="24"/>
                                <w:u w:color="262626"/>
                              </w:rPr>
                            </w:pPr>
                            <w:r>
                              <w:rPr>
                                <w:rFonts w:eastAsia="Arial Unicode MS"/>
                                <w:szCs w:val="24"/>
                                <w:u w:color="262626"/>
                              </w:rPr>
                              <w:t>3. Suprojektuotų objektų, reiškinių, sistemų, procesų iliustravimas, vizualizavimas, prezentavimas ir reprezentavimas</w:t>
                            </w:r>
                          </w:p>
                        </w:tc>
                        <w:tc>
                          <w:tcPr>
                            <w:tcW w:w="3260" w:type="dxa"/>
                            <w:vMerge w:val="restart"/>
                            <w:shd w:val="clear" w:color="auto" w:fill="FFFFFF"/>
                            <w:tcMar>
                              <w:top w:w="80" w:type="dxa"/>
                              <w:left w:w="80" w:type="dxa"/>
                              <w:bottom w:w="80" w:type="dxa"/>
                              <w:right w:w="80" w:type="dxa"/>
                            </w:tcMar>
                            <w:vAlign w:val="center"/>
                          </w:tcPr>
                          <w:p>
                            <w:pPr>
                              <w:spacing w:line="228" w:lineRule="auto"/>
                              <w:jc w:val="center"/>
                              <w:rPr>
                                <w:szCs w:val="22"/>
                              </w:rPr>
                            </w:pPr>
                          </w:p>
                        </w:tc>
                      </w:tr>
                      <w:tr>
                        <w:trPr>
                          <w:cantSplit/>
                          <w:trHeight w:val="1662"/>
                        </w:trPr>
                        <w:tc>
                          <w:tcPr>
                            <w:tcW w:w="3189" w:type="dxa"/>
                            <w:shd w:val="clear" w:color="auto" w:fill="FFFFFF"/>
                            <w:tcMar>
                              <w:top w:w="80" w:type="dxa"/>
                              <w:left w:w="80" w:type="dxa"/>
                              <w:bottom w:w="80" w:type="dxa"/>
                              <w:right w:w="80" w:type="dxa"/>
                            </w:tcMar>
                          </w:tcPr>
                          <w:p>
                            <w:pPr>
                              <w:rPr>
                                <w:rFonts w:eastAsia="Arial Unicode MS"/>
                                <w:szCs w:val="24"/>
                              </w:rPr>
                            </w:pPr>
                            <w:r>
                              <w:rPr>
                                <w:rFonts w:eastAsia="Arial Unicode MS"/>
                                <w:szCs w:val="24"/>
                              </w:rPr>
                              <w:t>3.1. Bendradarbiauti techniniuose ir kūrybiniuose projektuose, pristatyti darbus visuomenėje. Ieškoti efektyvių pristatymų formų.</w:t>
                            </w:r>
                          </w:p>
                        </w:tc>
                        <w:tc>
                          <w:tcPr>
                            <w:tcW w:w="3190" w:type="dxa"/>
                            <w:shd w:val="clear" w:color="auto" w:fill="FFFFFF"/>
                            <w:tcMar>
                              <w:top w:w="80" w:type="dxa"/>
                              <w:left w:w="80" w:type="dxa"/>
                              <w:bottom w:w="80" w:type="dxa"/>
                              <w:right w:w="80" w:type="dxa"/>
                            </w:tcMar>
                          </w:tcPr>
                          <w:p>
                            <w:pPr>
                              <w:rPr>
                                <w:rFonts w:eastAsia="Arial Unicode MS"/>
                                <w:i/>
                                <w:iCs/>
                                <w:szCs w:val="22"/>
                              </w:rPr>
                            </w:pPr>
                            <w:r>
                              <w:rPr>
                                <w:rFonts w:eastAsia="Arial Unicode MS"/>
                                <w:szCs w:val="22"/>
                              </w:rPr>
                              <w:t>3.1.1. Išmanyti / modeliuoti interaktyvias schemas, brėžinius</w:t>
                            </w:r>
                          </w:p>
                        </w:tc>
                        <w:tc>
                          <w:tcPr>
                            <w:tcW w:w="3260" w:type="dxa"/>
                            <w:vMerge/>
                            <w:shd w:val="clear" w:color="auto" w:fill="FFFFFF"/>
                            <w:tcMar>
                              <w:top w:w="80" w:type="dxa"/>
                              <w:left w:w="80" w:type="dxa"/>
                              <w:bottom w:w="80" w:type="dxa"/>
                              <w:right w:w="80" w:type="dxa"/>
                            </w:tcMar>
                          </w:tcPr>
                          <w:p>
                            <w:pPr>
                              <w:ind w:left="-9" w:right="204"/>
                              <w:rPr>
                                <w:i/>
                                <w:iCs/>
                                <w:szCs w:val="24"/>
                              </w:rPr>
                            </w:pPr>
                          </w:p>
                        </w:tc>
                      </w:tr>
                      <w:tr>
                        <w:trPr>
                          <w:cantSplit/>
                          <w:trHeight w:val="500"/>
                        </w:trPr>
                        <w:tc>
                          <w:tcPr>
                            <w:tcW w:w="3189" w:type="dxa"/>
                            <w:shd w:val="clear" w:color="auto" w:fill="FFFFFF"/>
                            <w:tcMar>
                              <w:top w:w="80" w:type="dxa"/>
                              <w:left w:w="80" w:type="dxa"/>
                              <w:bottom w:w="80" w:type="dxa"/>
                              <w:right w:w="80" w:type="dxa"/>
                            </w:tcMar>
                          </w:tcPr>
                          <w:p>
                            <w:pPr>
                              <w:rPr>
                                <w:rFonts w:eastAsia="Arial Unicode MS"/>
                                <w:szCs w:val="24"/>
                              </w:rPr>
                            </w:pPr>
                            <w:r>
                              <w:rPr>
                                <w:rFonts w:eastAsia="Arial Unicode MS"/>
                                <w:szCs w:val="24"/>
                              </w:rPr>
                              <w:t>3.2. Šiuolaikinėmis technologijomis vizualizuoti ir pristatyti savo suprojektuotus objektus, reiškinius, sistemas, procesus virtualioje ir įprastoje aplinkoje.</w:t>
                            </w:r>
                          </w:p>
                        </w:tc>
                        <w:tc>
                          <w:tcPr>
                            <w:tcW w:w="3190" w:type="dxa"/>
                            <w:shd w:val="clear" w:color="auto" w:fill="FFFFFF"/>
                          </w:tcPr>
                          <w:p>
                            <w:pPr>
                              <w:rPr>
                                <w:rFonts w:eastAsia="Arial Unicode MS"/>
                                <w:szCs w:val="24"/>
                                <w:u w:color="262626"/>
                              </w:rPr>
                            </w:pPr>
                            <w:r>
                              <w:rPr>
                                <w:rFonts w:eastAsia="Arial Unicode MS"/>
                                <w:szCs w:val="24"/>
                                <w:u w:color="262626"/>
                              </w:rPr>
                              <w:t>3.2.1. Pasirinkti ir paaiškinti iliustravimo, vizualizavimo, prezentavimo ir reprezentavimo tikslus ir uždavinius. Parinkti tinkamus vizualizavimo būdus</w:t>
                            </w:r>
                          </w:p>
                        </w:tc>
                        <w:tc>
                          <w:tcPr>
                            <w:tcW w:w="3260" w:type="dxa"/>
                            <w:vMerge/>
                            <w:shd w:val="clear" w:color="auto" w:fill="FFFFFF"/>
                            <w:tcMar>
                              <w:top w:w="80" w:type="dxa"/>
                              <w:left w:w="80" w:type="dxa"/>
                              <w:bottom w:w="80" w:type="dxa"/>
                              <w:right w:w="80" w:type="dxa"/>
                            </w:tcMar>
                          </w:tcPr>
                          <w:p>
                            <w:pPr>
                              <w:rPr>
                                <w:rFonts w:eastAsia="Arial Unicode MS"/>
                                <w:szCs w:val="24"/>
                              </w:rPr>
                            </w:pPr>
                          </w:p>
                        </w:tc>
                      </w:tr>
                      <w:tr>
                        <w:trPr>
                          <w:cantSplit/>
                          <w:trHeight w:val="884"/>
                        </w:trPr>
                        <w:tc>
                          <w:tcPr>
                            <w:tcW w:w="6379" w:type="dxa"/>
                            <w:gridSpan w:val="2"/>
                            <w:tcBorders>
                              <w:bottom w:val="single" w:sz="4" w:space="0" w:color="auto"/>
                            </w:tcBorders>
                            <w:shd w:val="clear" w:color="auto" w:fill="FFFFFF"/>
                            <w:tcMar>
                              <w:top w:w="80" w:type="dxa"/>
                              <w:left w:w="80" w:type="dxa"/>
                              <w:bottom w:w="80" w:type="dxa"/>
                              <w:right w:w="80" w:type="dxa"/>
                            </w:tcMar>
                          </w:tcPr>
                          <w:p>
                            <w:pPr>
                              <w:jc w:val="center"/>
                              <w:rPr>
                                <w:rFonts w:eastAsia="Arial Unicode MS"/>
                                <w:szCs w:val="24"/>
                                <w:u w:color="262626"/>
                              </w:rPr>
                            </w:pPr>
                            <w:r>
                              <w:rPr>
                                <w:rFonts w:eastAsia="Arial Unicode MS"/>
                                <w:szCs w:val="24"/>
                                <w:u w:color="262626"/>
                              </w:rPr>
                              <w:t>4. Inžinerinio projektavimo, vizualizavimo stebėjimas, interpretavimas ir kritinis vertinimas socialinėje kultūrinėje aplinkoje</w:t>
                            </w:r>
                          </w:p>
                        </w:tc>
                        <w:tc>
                          <w:tcPr>
                            <w:tcW w:w="3260" w:type="dxa"/>
                            <w:vMerge/>
                            <w:shd w:val="clear" w:color="auto" w:fill="FFFFFF"/>
                          </w:tcPr>
                          <w:p>
                            <w:pPr>
                              <w:rPr>
                                <w:rFonts w:eastAsia="Arial Unicode MS"/>
                                <w:szCs w:val="24"/>
                              </w:rPr>
                            </w:pPr>
                          </w:p>
                        </w:tc>
                      </w:tr>
                      <w:tr>
                        <w:trPr>
                          <w:cantSplit/>
                          <w:trHeight w:val="3588"/>
                        </w:trPr>
                        <w:tc>
                          <w:tcPr>
                            <w:tcW w:w="3189" w:type="dxa"/>
                            <w:tcBorders>
                              <w:top w:val="single" w:sz="4" w:space="0" w:color="auto"/>
                            </w:tcBorders>
                            <w:shd w:val="clear" w:color="auto" w:fill="FFFFFF"/>
                            <w:tcMar>
                              <w:top w:w="80" w:type="dxa"/>
                              <w:left w:w="80" w:type="dxa"/>
                              <w:bottom w:w="80" w:type="dxa"/>
                              <w:right w:w="80" w:type="dxa"/>
                            </w:tcMar>
                          </w:tcPr>
                          <w:p>
                            <w:pPr>
                              <w:rPr>
                                <w:rFonts w:eastAsia="Arial Unicode MS"/>
                                <w:szCs w:val="24"/>
                              </w:rPr>
                            </w:pPr>
                            <w:r>
                              <w:rPr>
                                <w:rFonts w:eastAsia="Arial Unicode MS"/>
                                <w:szCs w:val="24"/>
                              </w:rPr>
                              <w:t>4.1. Diskutuoti apie inžinerinio projektavimo, vizualizavimo ir interpretavimo svarbą / įtaką visuomenei, verslui.</w:t>
                            </w:r>
                          </w:p>
                        </w:tc>
                        <w:tc>
                          <w:tcPr>
                            <w:tcW w:w="3190" w:type="dxa"/>
                            <w:tcBorders>
                              <w:top w:val="single" w:sz="4" w:space="0" w:color="auto"/>
                            </w:tcBorders>
                            <w:shd w:val="clear" w:color="auto" w:fill="FFFFFF"/>
                          </w:tcPr>
                          <w:p>
                            <w:pPr>
                              <w:rPr>
                                <w:rFonts w:eastAsia="Arial Unicode MS"/>
                                <w:szCs w:val="24"/>
                                <w:u w:color="262626"/>
                              </w:rPr>
                            </w:pPr>
                            <w:r>
                              <w:rPr>
                                <w:rFonts w:eastAsia="Arial Unicode MS"/>
                                <w:szCs w:val="24"/>
                                <w:u w:color="262626"/>
                              </w:rPr>
                              <w:t>4.1.1. Taikyti teorines ir praktines žinias, kuriant inžinerines schemas ir specifikuojant produktus.</w:t>
                            </w:r>
                          </w:p>
                          <w:p>
                            <w:pPr>
                              <w:rPr>
                                <w:rFonts w:eastAsia="Arial Unicode MS"/>
                                <w:szCs w:val="24"/>
                                <w:u w:color="262626"/>
                              </w:rPr>
                            </w:pPr>
                            <w:r>
                              <w:rPr>
                                <w:rFonts w:eastAsia="Arial Unicode MS"/>
                                <w:szCs w:val="24"/>
                                <w:u w:color="262626"/>
                              </w:rPr>
                              <w:t>4.1.2. Apžvelgti, apibūdinti ir kritiškai vertinti inžinerinio projektavimo svarbą socialinėje kultūrinėje aplinkoje.</w:t>
                            </w:r>
                          </w:p>
                          <w:p>
                            <w:pPr>
                              <w:rPr>
                                <w:rFonts w:eastAsia="Arial Unicode MS"/>
                                <w:szCs w:val="24"/>
                                <w:u w:color="262626"/>
                              </w:rPr>
                            </w:pPr>
                            <w:r>
                              <w:rPr>
                                <w:rFonts w:eastAsia="Arial Unicode MS"/>
                                <w:szCs w:val="24"/>
                                <w:u w:color="262626"/>
                              </w:rPr>
                              <w:t>4.1.3. Aktyviai domėtis Lietuvos ir pasaulio inžinerinio projektavimo naujovėmis ir pasiekimais.</w:t>
                            </w:r>
                          </w:p>
                        </w:tc>
                        <w:tc>
                          <w:tcPr>
                            <w:tcW w:w="3260" w:type="dxa"/>
                            <w:vMerge/>
                            <w:shd w:val="clear" w:color="auto" w:fill="FFFFFF"/>
                          </w:tcPr>
                          <w:p>
                            <w:pPr>
                              <w:rPr>
                                <w:rFonts w:eastAsia="Arial Unicode MS"/>
                                <w:i/>
                                <w:iCs/>
                                <w:szCs w:val="24"/>
                                <w:u w:color="262626"/>
                              </w:rPr>
                            </w:pPr>
                          </w:p>
                        </w:tc>
                      </w:tr>
                    </w:tbl>
                    <w:p>
                      <w:pPr>
                        <w:spacing w:line="360" w:lineRule="auto"/>
                        <w:rPr>
                          <w:bCs/>
                          <w:color w:val="000000"/>
                          <w:szCs w:val="24"/>
                        </w:rPr>
                      </w:pPr>
                    </w:p>
                  </w:sdtContent>
                </w:sdt>
                <w:sdt>
                  <w:sdtPr>
                    <w:alias w:val="2 pr. 8.2 pp."/>
                    <w:tag w:val="part_ea209cb1414d4032af5a13aa56320c85"/>
                    <w:lock w:val="sdtLocked"/>
                    <w:richText/>
                  </w:sdtPr>
                  <w:sdtContent>
                    <w:p>
                      <w:pPr>
                        <w:ind w:firstLine="595"/>
                        <w:rPr>
                          <w:bCs/>
                          <w:color w:val="000000"/>
                          <w:szCs w:val="24"/>
                        </w:rPr>
                      </w:pPr>
                      <w:sdt>
                        <w:sdtPr>
                          <w:alias w:val="Numeris"/>
                          <w:tag w:val="nr_ea209cb1414d4032af5a13aa56320c85"/>
                          <w:lock w:val="sdtLocked"/>
                          <w:richText/>
                        </w:sdtPr>
                        <w:sdtContent>
                          <w:r>
                            <w:rPr>
                              <w:bCs/>
                              <w:color w:val="000000"/>
                              <w:szCs w:val="24"/>
                            </w:rPr>
                            <w:t>8.2</w:t>
                          </w:r>
                        </w:sdtContent>
                      </w:sdt>
                      <w:r>
                        <w:rPr>
                          <w:bCs/>
                          <w:color w:val="000000"/>
                          <w:szCs w:val="24"/>
                        </w:rPr>
                        <w:t>. Vertinimas:</w:t>
                      </w:r>
                    </w:p>
                    <w:p>
                      <w:pPr>
                        <w:rPr>
                          <w:bCs/>
                          <w:color w:val="000000"/>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5"/>
                        <w:gridCol w:w="2551"/>
                        <w:gridCol w:w="2551"/>
                        <w:gridCol w:w="2552"/>
                      </w:tblGrid>
                      <w:tr>
                        <w:tc>
                          <w:tcPr>
                            <w:tcW w:w="1985" w:type="dxa"/>
                            <w:vAlign w:val="center"/>
                          </w:tcPr>
                          <w:p>
                            <w:pPr>
                              <w:jc w:val="center"/>
                              <w:rPr>
                                <w:szCs w:val="22"/>
                                <w:lang w:eastAsia="lt-LT"/>
                              </w:rPr>
                            </w:pPr>
                            <w:r>
                              <w:rPr>
                                <w:szCs w:val="22"/>
                                <w:lang w:eastAsia="lt-LT"/>
                              </w:rPr>
                              <w:t xml:space="preserve">Pasiekimų lygiai / </w:t>
                            </w:r>
                          </w:p>
                          <w:p>
                            <w:pPr>
                              <w:jc w:val="center"/>
                              <w:rPr>
                                <w:szCs w:val="22"/>
                                <w:lang w:eastAsia="lt-LT"/>
                              </w:rPr>
                            </w:pPr>
                            <w:r>
                              <w:rPr>
                                <w:szCs w:val="22"/>
                                <w:lang w:eastAsia="lt-LT"/>
                              </w:rPr>
                              <w:t>Veiklos sritys</w:t>
                            </w:r>
                          </w:p>
                        </w:tc>
                        <w:tc>
                          <w:tcPr>
                            <w:tcW w:w="2551" w:type="dxa"/>
                            <w:vAlign w:val="center"/>
                          </w:tcPr>
                          <w:p>
                            <w:pPr>
                              <w:jc w:val="center"/>
                              <w:rPr>
                                <w:szCs w:val="22"/>
                                <w:lang w:eastAsia="lt-LT"/>
                              </w:rPr>
                            </w:pPr>
                            <w:r>
                              <w:rPr>
                                <w:bCs/>
                                <w:szCs w:val="22"/>
                                <w:lang w:eastAsia="lt-LT"/>
                              </w:rPr>
                              <w:t>Patenkinamas</w:t>
                            </w:r>
                          </w:p>
                        </w:tc>
                        <w:tc>
                          <w:tcPr>
                            <w:tcW w:w="2551" w:type="dxa"/>
                            <w:vAlign w:val="center"/>
                          </w:tcPr>
                          <w:p>
                            <w:pPr>
                              <w:jc w:val="center"/>
                              <w:rPr>
                                <w:szCs w:val="22"/>
                                <w:lang w:eastAsia="lt-LT"/>
                              </w:rPr>
                            </w:pPr>
                            <w:r>
                              <w:rPr>
                                <w:bCs/>
                                <w:szCs w:val="22"/>
                                <w:lang w:eastAsia="lt-LT"/>
                              </w:rPr>
                              <w:t>Pagrindinis</w:t>
                            </w:r>
                          </w:p>
                        </w:tc>
                        <w:tc>
                          <w:tcPr>
                            <w:tcW w:w="2552" w:type="dxa"/>
                            <w:vAlign w:val="center"/>
                          </w:tcPr>
                          <w:p>
                            <w:pPr>
                              <w:jc w:val="center"/>
                              <w:rPr>
                                <w:szCs w:val="22"/>
                                <w:lang w:eastAsia="lt-LT"/>
                              </w:rPr>
                            </w:pPr>
                            <w:r>
                              <w:rPr>
                                <w:bCs/>
                                <w:szCs w:val="22"/>
                                <w:lang w:eastAsia="lt-LT"/>
                              </w:rPr>
                              <w:t>Aukštesnysis</w:t>
                            </w:r>
                          </w:p>
                        </w:tc>
                      </w:tr>
                      <w:tr>
                        <w:tc>
                          <w:tcPr>
                            <w:tcW w:w="1985" w:type="dxa"/>
                          </w:tcPr>
                          <w:p>
                            <w:pPr>
                              <w:rPr>
                                <w:szCs w:val="22"/>
                                <w:lang w:eastAsia="lt-LT"/>
                              </w:rPr>
                            </w:pPr>
                            <w:r>
                              <w:rPr>
                                <w:bCs/>
                                <w:szCs w:val="22"/>
                                <w:lang w:eastAsia="lt-LT"/>
                              </w:rPr>
                              <w:t>Žinios ir supratimas</w:t>
                            </w:r>
                          </w:p>
                        </w:tc>
                        <w:tc>
                          <w:tcPr>
                            <w:tcW w:w="2551" w:type="dxa"/>
                            <w:vAlign w:val="center"/>
                          </w:tcPr>
                          <w:p>
                            <w:pPr>
                              <w:rPr>
                                <w:bCs/>
                                <w:szCs w:val="22"/>
                                <w:lang w:eastAsia="lt-LT"/>
                              </w:rPr>
                            </w:pPr>
                            <w:r>
                              <w:rPr>
                                <w:szCs w:val="24"/>
                                <w:lang w:eastAsia="lt-LT"/>
                              </w:rPr>
                              <w:t>Fragmentiškai paaiškina, kaip p</w:t>
                            </w:r>
                            <w:r>
                              <w:rPr>
                                <w:rFonts w:eastAsia="Arial Unicode MS"/>
                                <w:szCs w:val="24"/>
                                <w:lang w:eastAsia="lt-LT"/>
                              </w:rPr>
                              <w:t>asirinkti sudėtingų objektų / procesų vaizdavimo būdus ir taikyti brėžiniuose, iliustracijose bei vizualizacijose. Nusako, kaip galima derinti papildomus vaizdus brėžiniuose.</w:t>
                            </w:r>
                          </w:p>
                        </w:tc>
                        <w:tc>
                          <w:tcPr>
                            <w:tcW w:w="2551" w:type="dxa"/>
                            <w:vAlign w:val="center"/>
                          </w:tcPr>
                          <w:p>
                            <w:pPr>
                              <w:rPr>
                                <w:bCs/>
                                <w:szCs w:val="22"/>
                                <w:lang w:eastAsia="lt-LT"/>
                              </w:rPr>
                            </w:pPr>
                            <w:r>
                              <w:rPr>
                                <w:szCs w:val="24"/>
                                <w:lang w:eastAsia="lt-LT"/>
                              </w:rPr>
                              <w:t>Paaiškina, kaip p</w:t>
                            </w:r>
                            <w:r>
                              <w:rPr>
                                <w:rFonts w:eastAsia="Arial Unicode MS"/>
                                <w:szCs w:val="24"/>
                                <w:lang w:eastAsia="lt-LT"/>
                              </w:rPr>
                              <w:t>asirinkti sudėtingų objektų / procesų vaizdavimo būdus ir taikyti brėžiniuose, iliustracijose bei vizualizacijose. Nusako ir pakomentuoja, kaip galima derinti papildomus vaizdus brėžiniuose.</w:t>
                            </w:r>
                          </w:p>
                        </w:tc>
                        <w:tc>
                          <w:tcPr>
                            <w:tcW w:w="2552" w:type="dxa"/>
                            <w:vAlign w:val="center"/>
                          </w:tcPr>
                          <w:p>
                            <w:pPr>
                              <w:rPr>
                                <w:bCs/>
                                <w:szCs w:val="22"/>
                                <w:lang w:eastAsia="lt-LT"/>
                              </w:rPr>
                            </w:pPr>
                            <w:r>
                              <w:rPr>
                                <w:szCs w:val="24"/>
                                <w:lang w:eastAsia="lt-LT"/>
                              </w:rPr>
                              <w:t>Argumentuotai paaiškina, kaip p</w:t>
                            </w:r>
                            <w:r>
                              <w:rPr>
                                <w:rFonts w:eastAsia="Arial Unicode MS"/>
                                <w:szCs w:val="24"/>
                                <w:lang w:eastAsia="lt-LT"/>
                              </w:rPr>
                              <w:t xml:space="preserve">asirinkti sudėtingų objektų / procesų vaizdavimo būdus ir kūrybingai taikyti brėžiniuose, iliustracijose bei vizualizacijose. Nusako ir pakomentuoja, kaip galima kūrybiškai </w:t>
                            </w:r>
                          </w:p>
                        </w:tc>
                      </w:tr>
                    </w:tbl>
                    <w:p>
                      <w:pPr>
                        <w:rPr>
                          <w:bCs/>
                          <w:color w:val="000000"/>
                          <w:sz w:val="4"/>
                          <w:szCs w:val="4"/>
                        </w:rPr>
                      </w:pPr>
                    </w:p>
                    <w:p>
                      <w:pPr>
                        <w:rPr>
                          <w:bCs/>
                          <w:color w:val="000000"/>
                          <w:sz w:val="4"/>
                          <w:szCs w:val="4"/>
                        </w:rPr>
                      </w:pPr>
                      <w:r>
                        <w:rPr>
                          <w:bCs/>
                          <w:color w:val="000000"/>
                          <w:sz w:val="4"/>
                          <w:szCs w:val="4"/>
                        </w:rPr>
                        <w:br w:type="page"/>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5"/>
                        <w:gridCol w:w="2551"/>
                        <w:gridCol w:w="2551"/>
                        <w:gridCol w:w="2552"/>
                      </w:tblGrid>
                      <w:tr>
                        <w:trPr>
                          <w:trHeight w:val="3530"/>
                        </w:trPr>
                        <w:tc>
                          <w:tcPr>
                            <w:tcW w:w="1985" w:type="dxa"/>
                          </w:tcPr>
                          <w:p>
                            <w:pPr>
                              <w:rPr>
                                <w:szCs w:val="22"/>
                                <w:lang w:eastAsia="lt-LT"/>
                              </w:rPr>
                            </w:pPr>
                          </w:p>
                        </w:tc>
                        <w:tc>
                          <w:tcPr>
                            <w:tcW w:w="2551" w:type="dxa"/>
                          </w:tcPr>
                          <w:p>
                            <w:pPr>
                              <w:rPr>
                                <w:szCs w:val="24"/>
                                <w:lang w:eastAsia="lt-LT"/>
                              </w:rPr>
                            </w:pPr>
                            <w:r>
                              <w:rPr>
                                <w:rFonts w:eastAsia="Arial Unicode MS"/>
                                <w:szCs w:val="24"/>
                                <w:lang w:eastAsia="lt-LT"/>
                              </w:rPr>
                              <w:t xml:space="preserve">Pristato pavyzdį, iliustruojantį, kaip taikyti projektavimo žinias ir įgūdžius eskizuojant ir braižant perspektyvinius vaizdus. Nusako veikimo principą ir fragmentiškai paaiškina, kaip galima taikyti trijų dimensijų techninę ir programinę įrangą brėžiniams, vizualizacijoms ir prezentacijoms kurti. Nurodo veikimo principą ir fragmentiškai paaiškina, kaip galima taikyti fotografijos ir videografijos techninę ir programinę įrangą vizualizacijoms, prezentacijoms kurti. Fragmentiškai paaiškina, kaip modeliuoti interaktyvias schemas, brėžinius, pateikia pavyzdį. Pristato galimus iliustravimo, vizualizavimo, prezentavimo ir reprezentavimo tikslus ir uždavinius, bet  negali jų paaiškinti; neparenka tinkamų vizualizavimo būdų. Pateikia tik vieną pavyzdį, kaip galima taikyti teorines ir praktines žinias, kuriant  inžinerines schemas ir specifikuojant produktus, tačiau neapibūdina ir nenurodo alternatyvių variantų. Apžvelgia ir nusako </w:t>
                            </w:r>
                            <w:r>
                              <w:rPr>
                                <w:szCs w:val="24"/>
                                <w:lang w:eastAsia="lt-LT"/>
                              </w:rPr>
                              <w:t xml:space="preserve">inžinerinio projektavimo svarbą socialinėje kultūrinėje aplinkoje, tačiau nedetalizuoja ir kritiškai nevertina. Pristato pavyzdį, iliustruojantį Lietuvos ar pasaulio inžinerinio projektavimo naujoves ir pasiekimus, tačiau nekomentuoja </w:t>
                            </w:r>
                          </w:p>
                        </w:tc>
                        <w:tc>
                          <w:tcPr>
                            <w:tcW w:w="2551" w:type="dxa"/>
                          </w:tcPr>
                          <w:p>
                            <w:pPr>
                              <w:rPr>
                                <w:szCs w:val="24"/>
                                <w:lang w:eastAsia="lt-LT"/>
                              </w:rPr>
                            </w:pPr>
                            <w:r>
                              <w:rPr>
                                <w:rFonts w:eastAsia="Arial Unicode MS"/>
                                <w:szCs w:val="24"/>
                                <w:lang w:eastAsia="lt-LT"/>
                              </w:rPr>
                              <w:t xml:space="preserve">Pristato pavyzdį, iliustruojantį, kaip taikyti projektavimo žinias ir įgūdžius eskizuojant ir braižant perspektyvinius vaizdus. Nusako veikimo principą ir paaiškina, kaip galima taikyti trijų dimensijų techninę ir programinę įrangą brėžiniams, vizualizacijoms ir prezentacijoms kurti, pateikia analogišką pavyzdį. Nurodo veikimo principą ir paaiškina, kaip galima taikyti fotografijos ir videografijos techninę ir programinę įrangą vizualizacijoms, prezentacijoms kurti, pateikia analogišką pavyzdį. Paaiškina, kaip modeliuoti interaktyvias schemas, brėžinius, pateikia analogiškų pavyzdžių. Pristato galimus iliustravimo, vizualizavimo, prezentavimo ir reprezentavimo tikslus ir uždavinius, juos paaiškina; parenka tinkamus vizualizavimo būdus. Pateikia ne mažiau kaip du pavyzdžius, kaip galima taikyti teorines ir praktines žinias,  kuriant  inžinerines schemas ir specifikuojant produktus, tačiau </w:t>
                            </w:r>
                            <w:r>
                              <w:rPr>
                                <w:szCs w:val="24"/>
                                <w:lang w:eastAsia="lt-LT"/>
                              </w:rPr>
                              <w:t xml:space="preserve">neapibūdina alternatyvių variantų. </w:t>
                            </w:r>
                            <w:r>
                              <w:rPr>
                                <w:rFonts w:eastAsia="Arial Unicode MS"/>
                                <w:szCs w:val="24"/>
                                <w:lang w:eastAsia="lt-LT"/>
                              </w:rPr>
                              <w:t xml:space="preserve">Apžvelgia, apibūdina, paaiškina </w:t>
                            </w:r>
                            <w:r>
                              <w:rPr>
                                <w:szCs w:val="24"/>
                                <w:lang w:eastAsia="lt-LT"/>
                              </w:rPr>
                              <w:t>inžinerinio projektavimo svarbą socialinėje kultūrinėje aplinkoje, tačiau ir kritiškai nevertina. Pristato kelis pavyzdžius, iliustruojančius Lietuvos ir pasaulio inžinerinio projektavimo naujoves ir pasiekimus, pavyzdžius paaiškina</w:t>
                            </w:r>
                          </w:p>
                        </w:tc>
                        <w:tc>
                          <w:tcPr>
                            <w:tcW w:w="2552" w:type="dxa"/>
                          </w:tcPr>
                          <w:p>
                            <w:pPr>
                              <w:rPr>
                                <w:rFonts w:eastAsia="Arial Unicode MS"/>
                                <w:szCs w:val="24"/>
                                <w:lang w:eastAsia="lt-LT"/>
                              </w:rPr>
                            </w:pPr>
                            <w:r>
                              <w:rPr>
                                <w:rFonts w:eastAsia="Arial Unicode MS"/>
                                <w:szCs w:val="24"/>
                                <w:lang w:eastAsia="lt-LT"/>
                              </w:rPr>
                              <w:t>derinti papildomus vaizdus brėžiniuose. Pristato pavyzdį, iliustruojantį, kaip taikyti projektavimo žinias ir įgūdžius eskizuojant ir braižant perspektyvinius vaizdus, pavyzdį kritiškai įvertina. Nusako veikimo principą ir išsamiai paaiškina, kaip galima taikyti trijų dimensijų techninę ir programinę įrangą brėžiniams, vizualizacijoms ir prezentacijoms kurti, pateikia kelis analogiškus pavyzdžius. Nurodo veikimo principą ir detaliai paaiškina, kaip galima taikyti fotografijos ir videografijos techninę ir programinę įrangą vizualizacijoms, prezentacijoms kurti, pateikia kelis analogiškus pavyzdžius. Išsamiai paaiškina, kaip modeliuoti interaktyvias schemas, brėžinius, pateikia daugiau nei kelis analogiškus pavyzdžius. Pristato galimus iliustravimo, vizualizavimo, prezentavimo ir reprezentavimo tikslus ir uždavinius, juos argumentuotai paaiškina; parenka tinkamus vizualizavimo būdus ir paaiškina pasirinkimą. Pateikia ne mažiau kaip du alternatyvius pavyzdžius, kaip galima taikyti teorines ir praktines žinias, kuriant inžinerines schemas ir specifikuojant produktus, pavyzdžius argumentuotai pakomentuoja. Apžvelgia, apibūdina ir kritiškai vertina i</w:t>
                            </w:r>
                            <w:r>
                              <w:rPr>
                                <w:szCs w:val="24"/>
                                <w:lang w:eastAsia="lt-LT"/>
                              </w:rPr>
                              <w:t xml:space="preserve">nžinerinio projektavimo svarbą socialinėje kultūrinėje aplinkoje. Pristato daugiau nei kelis pavyzdžius, iliustruojančius Lietuvos ir pasaulio inžinerinio projektavimo naujoves ir pasiekimus, pavyzdžius pakomentuoja </w:t>
                            </w:r>
                          </w:p>
                        </w:tc>
                      </w:tr>
                      <w:tr>
                        <w:tc>
                          <w:tcPr>
                            <w:tcW w:w="1985" w:type="dxa"/>
                          </w:tcPr>
                          <w:p>
                            <w:pPr>
                              <w:rPr>
                                <w:bCs/>
                                <w:sz w:val="22"/>
                                <w:szCs w:val="22"/>
                                <w:lang w:eastAsia="lt-LT"/>
                              </w:rPr>
                            </w:pPr>
                            <w:r>
                              <w:rPr>
                                <w:szCs w:val="22"/>
                                <w:lang w:eastAsia="lt-LT"/>
                              </w:rPr>
                              <w:t>Grafinės raiškos, projektavimo, techninės grafikos, vizualizavimo raiškos priemonių pažinimas, įvaldymas ir taikymas</w:t>
                            </w:r>
                          </w:p>
                        </w:tc>
                        <w:tc>
                          <w:tcPr>
                            <w:tcW w:w="2551" w:type="dxa"/>
                          </w:tcPr>
                          <w:p>
                            <w:pPr>
                              <w:rPr>
                                <w:rFonts w:eastAsia="Arial Unicode MS"/>
                                <w:szCs w:val="24"/>
                              </w:rPr>
                            </w:pPr>
                            <w:r>
                              <w:rPr>
                                <w:rFonts w:eastAsia="Arial Unicode MS"/>
                                <w:szCs w:val="24"/>
                              </w:rPr>
                              <w:t>Renkasi vieną sudėtingą objektų / procesų vaizdavimo būdą ir taiko brėžiniuose, iliustracijose bei vizualizacijose. Sunkiai sekasi derinti papildomus vaizdus brėžiniuose. Taiko kelis grafinės raiškos, techninės grafikos raiškos principus, vizualizavimo gebėjimus</w:t>
                            </w:r>
                          </w:p>
                        </w:tc>
                        <w:tc>
                          <w:tcPr>
                            <w:tcW w:w="2551" w:type="dxa"/>
                          </w:tcPr>
                          <w:p>
                            <w:pPr>
                              <w:rPr>
                                <w:rFonts w:eastAsia="Arial Unicode MS"/>
                                <w:szCs w:val="24"/>
                              </w:rPr>
                            </w:pPr>
                            <w:r>
                              <w:rPr>
                                <w:rFonts w:eastAsia="Arial Unicode MS"/>
                                <w:szCs w:val="24"/>
                              </w:rPr>
                              <w:t>Renkasi kelis sudėtingus objektų / procesų vaizdavimo būdus ir taiko brėžiniuose, iliustracijose bei vizualizacijose. Derina papildomus vaizdus brėžiniuose. Tikslingai taiko įvairius grafinės raiškos, techninės grafikos raiškos principus, vizualizavimo gebėjimus</w:t>
                            </w:r>
                          </w:p>
                        </w:tc>
                        <w:tc>
                          <w:tcPr>
                            <w:tcW w:w="2552" w:type="dxa"/>
                          </w:tcPr>
                          <w:p>
                            <w:pPr>
                              <w:rPr>
                                <w:rFonts w:eastAsia="Arial Unicode MS"/>
                                <w:szCs w:val="24"/>
                              </w:rPr>
                            </w:pPr>
                            <w:r>
                              <w:rPr>
                                <w:rFonts w:eastAsia="Arial Unicode MS"/>
                                <w:szCs w:val="24"/>
                              </w:rPr>
                              <w:t>Renkasi daugiau nei kelis sudėtingus objektų / procesų vaizdavimo būdus ir kūrybingai taiko brėžiniuose, iliustracijose bei vizualizacijose. Kūrybiškai derina papildomus vaizdus brėžiniuose. Kūrybiškai, tikslingai taiko įvairius grafinės raiškos, techninės grafikos raiškos principus, vizualizavimo gebėjimus</w:t>
                            </w:r>
                          </w:p>
                        </w:tc>
                      </w:tr>
                      <w:tr>
                        <w:trPr>
                          <w:trHeight w:val="2713"/>
                        </w:trPr>
                        <w:tc>
                          <w:tcPr>
                            <w:tcW w:w="1985" w:type="dxa"/>
                          </w:tcPr>
                          <w:p>
                            <w:pPr>
                              <w:rPr>
                                <w:bCs/>
                                <w:szCs w:val="24"/>
                                <w:lang w:eastAsia="lt-LT"/>
                              </w:rPr>
                            </w:pPr>
                            <w:r>
                              <w:rPr>
                                <w:szCs w:val="24"/>
                                <w:lang w:eastAsia="lt-LT"/>
                              </w:rPr>
                              <w:t>Techninių, programinių projektavimo priemonių įvaldymas ir taikymas</w:t>
                            </w:r>
                          </w:p>
                        </w:tc>
                        <w:tc>
                          <w:tcPr>
                            <w:tcW w:w="2551" w:type="dxa"/>
                          </w:tcPr>
                          <w:p>
                            <w:pPr>
                              <w:rPr>
                                <w:szCs w:val="24"/>
                                <w:lang w:eastAsia="lt-LT"/>
                              </w:rPr>
                            </w:pPr>
                            <w:r>
                              <w:rPr>
                                <w:szCs w:val="24"/>
                                <w:lang w:eastAsia="lt-LT"/>
                              </w:rPr>
                              <w:t xml:space="preserve">Sunkiai sekasi pasirinkti tinkamas technines, programines projektavimo priemones </w:t>
                            </w:r>
                            <w:r>
                              <w:rPr>
                                <w:rFonts w:eastAsia="Arial Unicode MS"/>
                                <w:szCs w:val="24"/>
                                <w:lang w:eastAsia="lt-LT"/>
                              </w:rPr>
                              <w:t xml:space="preserve">techninių ir kūrybinių projektavimo </w:t>
                            </w:r>
                            <w:r>
                              <w:rPr>
                                <w:szCs w:val="24"/>
                                <w:lang w:eastAsia="lt-LT"/>
                              </w:rPr>
                              <w:t xml:space="preserve">darbų atlikimui. Padedamas naudojasi priemonėmis  </w:t>
                            </w:r>
                          </w:p>
                        </w:tc>
                        <w:tc>
                          <w:tcPr>
                            <w:tcW w:w="2551" w:type="dxa"/>
                          </w:tcPr>
                          <w:p>
                            <w:pPr>
                              <w:rPr>
                                <w:szCs w:val="24"/>
                                <w:lang w:eastAsia="lt-LT"/>
                              </w:rPr>
                            </w:pPr>
                            <w:r>
                              <w:rPr>
                                <w:szCs w:val="24"/>
                                <w:lang w:eastAsia="lt-LT"/>
                              </w:rPr>
                              <w:t xml:space="preserve">Dažniausiai pasirenka tinkamas technines, programines projektavimo priemones </w:t>
                            </w:r>
                            <w:r>
                              <w:rPr>
                                <w:rFonts w:eastAsia="Arial Unicode MS"/>
                                <w:szCs w:val="24"/>
                                <w:lang w:eastAsia="lt-LT"/>
                              </w:rPr>
                              <w:t xml:space="preserve">techninių ir kūrybinių projektavimo </w:t>
                            </w:r>
                            <w:r>
                              <w:rPr>
                                <w:szCs w:val="24"/>
                                <w:lang w:eastAsia="lt-LT"/>
                              </w:rPr>
                              <w:t xml:space="preserve">darbų atlikimui. Geba naudotis priemonėmis savarankiškai </w:t>
                            </w:r>
                          </w:p>
                        </w:tc>
                        <w:tc>
                          <w:tcPr>
                            <w:tcW w:w="2552" w:type="dxa"/>
                          </w:tcPr>
                          <w:p>
                            <w:pPr>
                              <w:rPr>
                                <w:szCs w:val="24"/>
                                <w:lang w:eastAsia="lt-LT"/>
                              </w:rPr>
                            </w:pPr>
                            <w:r>
                              <w:rPr>
                                <w:szCs w:val="24"/>
                                <w:lang w:eastAsia="lt-LT"/>
                              </w:rPr>
                              <w:t xml:space="preserve">Pasirenka tinkamas technines, programines projektavimo priemones </w:t>
                            </w:r>
                            <w:r>
                              <w:rPr>
                                <w:rFonts w:eastAsia="Arial Unicode MS"/>
                                <w:szCs w:val="24"/>
                                <w:lang w:eastAsia="lt-LT"/>
                              </w:rPr>
                              <w:t xml:space="preserve">techninių ir kūrybinių projektavimo </w:t>
                            </w:r>
                            <w:r>
                              <w:rPr>
                                <w:szCs w:val="24"/>
                                <w:lang w:eastAsia="lt-LT"/>
                              </w:rPr>
                              <w:t>darbų atlikimui. Parodo gerus priemonių naudojimosi įgūdžius</w:t>
                            </w:r>
                          </w:p>
                        </w:tc>
                      </w:tr>
                      <w:tr>
                        <w:trPr>
                          <w:trHeight w:val="2439"/>
                        </w:trPr>
                        <w:tc>
                          <w:tcPr>
                            <w:tcW w:w="1985" w:type="dxa"/>
                          </w:tcPr>
                          <w:p>
                            <w:pPr>
                              <w:rPr>
                                <w:bCs/>
                                <w:szCs w:val="24"/>
                                <w:lang w:eastAsia="lt-LT"/>
                              </w:rPr>
                            </w:pPr>
                            <w:r>
                              <w:rPr>
                                <w:szCs w:val="24"/>
                                <w:lang w:eastAsia="lt-LT"/>
                              </w:rPr>
                              <w:t>Suprojektuotų objektų, reiškinių, sistemų, procesų iliustravimas, vizualizavimas, prezentavimas ir reprezentavimas</w:t>
                            </w:r>
                          </w:p>
                        </w:tc>
                        <w:tc>
                          <w:tcPr>
                            <w:tcW w:w="2551" w:type="dxa"/>
                          </w:tcPr>
                          <w:p>
                            <w:pPr>
                              <w:rPr>
                                <w:rFonts w:eastAsia="Arial Unicode MS"/>
                                <w:szCs w:val="24"/>
                                <w:lang w:eastAsia="lt-LT"/>
                              </w:rPr>
                            </w:pPr>
                            <w:r>
                              <w:rPr>
                                <w:rFonts w:eastAsia="Arial Unicode MS"/>
                                <w:szCs w:val="24"/>
                                <w:lang w:eastAsia="lt-LT"/>
                              </w:rPr>
                              <w:t xml:space="preserve">Sunkiai sekasi bendradarbiauti techniniuose ir kūrybiniuose projektuose, pristatyti darbus visuomenėje. Darbus pristato įprasta forma. Padedamas naudojasi </w:t>
                            </w:r>
                            <w:r>
                              <w:rPr>
                                <w:szCs w:val="24"/>
                                <w:lang w:eastAsia="lt-LT"/>
                              </w:rPr>
                              <w:t>š</w:t>
                            </w:r>
                            <w:r>
                              <w:rPr>
                                <w:rFonts w:eastAsia="Arial Unicode MS"/>
                                <w:szCs w:val="24"/>
                                <w:lang w:eastAsia="lt-LT"/>
                              </w:rPr>
                              <w:t>iuolaikinėmis technologijomis vizualizuoti ir pristatyti savo suprojektuotus objektus, reiškinius, sistemas, procesus virtualioje ir įprastoje aplinkoje</w:t>
                            </w:r>
                          </w:p>
                        </w:tc>
                        <w:tc>
                          <w:tcPr>
                            <w:tcW w:w="2551" w:type="dxa"/>
                          </w:tcPr>
                          <w:p>
                            <w:pPr>
                              <w:rPr>
                                <w:rFonts w:eastAsia="Arial Unicode MS"/>
                                <w:szCs w:val="24"/>
                                <w:lang w:eastAsia="lt-LT"/>
                              </w:rPr>
                            </w:pPr>
                            <w:r>
                              <w:rPr>
                                <w:rFonts w:eastAsia="Arial Unicode MS"/>
                                <w:szCs w:val="24"/>
                                <w:lang w:eastAsia="lt-LT"/>
                              </w:rPr>
                              <w:t xml:space="preserve">Dažniausiai bendradarbiauja techniniuose ir kūrybiniuose projektuose, pristato darbus visuomenėje. Pristatydamas darbus, ieško efektyvių formų. Savarankiškai, naudodamasis </w:t>
                            </w:r>
                            <w:r>
                              <w:rPr>
                                <w:szCs w:val="24"/>
                                <w:lang w:eastAsia="lt-LT"/>
                              </w:rPr>
                              <w:t>š</w:t>
                            </w:r>
                            <w:r>
                              <w:rPr>
                                <w:rFonts w:eastAsia="Arial Unicode MS"/>
                                <w:szCs w:val="24"/>
                                <w:lang w:eastAsia="lt-LT"/>
                              </w:rPr>
                              <w:t>iuolaikinėmis technologijomis, vizualizuoja ir pristato savo suprojektuotus objektus, reiškinius, sistemas, procesus virtualioje ir įprastoje aplinkoje</w:t>
                            </w:r>
                          </w:p>
                        </w:tc>
                        <w:tc>
                          <w:tcPr>
                            <w:tcW w:w="2552" w:type="dxa"/>
                          </w:tcPr>
                          <w:p>
                            <w:pPr>
                              <w:rPr>
                                <w:rFonts w:eastAsia="Arial Unicode MS"/>
                                <w:szCs w:val="24"/>
                                <w:lang w:eastAsia="lt-LT"/>
                              </w:rPr>
                            </w:pPr>
                            <w:r>
                              <w:rPr>
                                <w:rFonts w:eastAsia="Arial Unicode MS"/>
                                <w:szCs w:val="24"/>
                                <w:lang w:eastAsia="lt-LT"/>
                              </w:rPr>
                              <w:t>Produktyviai bendradarbiauja techniniuose ir kūrybiniuose projektuose, kūrybingai pristato darbus visuomenėje. Ieško efektyvių, kūrybingų, neįprastų darbo pristatymo formų. Naudodamasis šiuolaikinėmis technologijomis, kūrybiškai ir neįprastai vizualizuoja ir pristato savo suprojektuotus objektus, reiškinius, sistemas, procesus virtualioje ir įprastoje aplinkoje</w:t>
                            </w:r>
                          </w:p>
                        </w:tc>
                      </w:tr>
                      <w:tr>
                        <w:tc>
                          <w:tcPr>
                            <w:tcW w:w="1985" w:type="dxa"/>
                          </w:tcPr>
                          <w:p>
                            <w:pPr>
                              <w:rPr>
                                <w:bCs/>
                                <w:szCs w:val="24"/>
                                <w:lang w:eastAsia="lt-LT"/>
                              </w:rPr>
                            </w:pPr>
                            <w:r>
                              <w:rPr>
                                <w:szCs w:val="24"/>
                                <w:lang w:eastAsia="lt-LT"/>
                              </w:rPr>
                              <w:t>Inžinerinio projektavimo, vizualizavimo stebėjimas, interpretavimas ir kritinis vertinimas socialinėje kultūrinėje aplinkoje</w:t>
                            </w:r>
                          </w:p>
                        </w:tc>
                        <w:tc>
                          <w:tcPr>
                            <w:tcW w:w="2551" w:type="dxa"/>
                          </w:tcPr>
                          <w:p>
                            <w:pPr>
                              <w:rPr>
                                <w:szCs w:val="24"/>
                                <w:lang w:eastAsia="lt-LT"/>
                              </w:rPr>
                            </w:pPr>
                            <w:r>
                              <w:rPr>
                                <w:szCs w:val="24"/>
                                <w:lang w:eastAsia="lt-LT"/>
                              </w:rPr>
                              <w:t>Diskutuodamas iš dalies argumentuoja inžinerinio projektavimo, vizualizavimo ir interpretavimo svarbą / įtaką visuomenei, verslui</w:t>
                            </w:r>
                          </w:p>
                          <w:p>
                            <w:pPr>
                              <w:rPr>
                                <w:szCs w:val="24"/>
                                <w:lang w:eastAsia="lt-LT"/>
                              </w:rPr>
                            </w:pPr>
                          </w:p>
                        </w:tc>
                        <w:tc>
                          <w:tcPr>
                            <w:tcW w:w="2551" w:type="dxa"/>
                          </w:tcPr>
                          <w:p>
                            <w:pPr>
                              <w:rPr>
                                <w:szCs w:val="24"/>
                                <w:lang w:eastAsia="lt-LT"/>
                              </w:rPr>
                            </w:pPr>
                            <w:r>
                              <w:rPr>
                                <w:szCs w:val="24"/>
                                <w:lang w:eastAsia="lt-LT"/>
                              </w:rPr>
                              <w:t>Diskutuodamas nurodo ir detaliai argumentuoja inžinerinio projektavimo, vizualizavimo ir interpretavimo svarbą / įtaką visuomenei, verslui</w:t>
                            </w:r>
                          </w:p>
                          <w:p>
                            <w:pPr>
                              <w:ind w:firstLine="62"/>
                              <w:rPr>
                                <w:szCs w:val="24"/>
                                <w:lang w:eastAsia="lt-LT"/>
                              </w:rPr>
                            </w:pPr>
                          </w:p>
                        </w:tc>
                        <w:tc>
                          <w:tcPr>
                            <w:tcW w:w="2552" w:type="dxa"/>
                          </w:tcPr>
                          <w:p>
                            <w:pPr>
                              <w:rPr>
                                <w:szCs w:val="24"/>
                                <w:lang w:eastAsia="lt-LT"/>
                              </w:rPr>
                            </w:pPr>
                            <w:r>
                              <w:rPr>
                                <w:szCs w:val="24"/>
                                <w:lang w:eastAsia="lt-LT"/>
                              </w:rPr>
                              <w:t>Diskutuodamas išsamiai argumentuoja, kritiškai vertina inžinerinio projektavimo, vizualizavimo ir interpretavimo svarbą / įtaką visuomenei, verslui</w:t>
                            </w:r>
                          </w:p>
                        </w:tc>
                      </w:tr>
                    </w:tbl>
                    <w:p>
                      <w:pPr>
                        <w:rPr>
                          <w:szCs w:val="24"/>
                        </w:rPr>
                      </w:pPr>
                    </w:p>
                    <w:p>
                      <w:pPr>
                        <w:rPr>
                          <w:szCs w:val="24"/>
                        </w:rPr>
                      </w:pPr>
                    </w:p>
                    <w:p>
                      <w:pPr>
                        <w:jc w:val="center"/>
                        <w:rPr>
                          <w:szCs w:val="24"/>
                        </w:rPr>
                      </w:pPr>
                      <w:r>
                        <w:rPr>
                          <w:szCs w:val="24"/>
                        </w:rPr>
                        <w:t>__________________________</w:t>
                      </w:r>
                    </w:p>
                  </w:sdtContent>
                </w:sdt>
              </w:sdtContent>
            </w:sdt>
          </w:sdtContent>
        </w:sdt>
      </w:sdtContent>
    </w:sdt>
    <w:sectPr>
      <w:headerReference w:type="even" r:id="rId9"/>
      <w:headerReference w:type="default" r:id="rId10"/>
      <w:footerReference w:type="even" r:id="rId11"/>
      <w:footerReference w:type="default" r:id="rId12"/>
      <w:headerReference w:type="first" r:id="rId13"/>
      <w:footerReference w:type="first" r:id="rId14"/>
      <w:pgSz w:w="11900" w:h="16840" w:code="9"/>
      <w:pgMar w:top="1134" w:right="567" w:bottom="1134" w:left="1701" w:header="0" w:footer="0" w:gutter="0"/>
      <w:cols w:space="1296"/>
      <w:titlePg/>
      <w:rtlGutter/>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hAnsi="Calibri" w:cs="Calibri"/>
          <w:color w:val="000000"/>
          <w:sz w:val="22"/>
          <w:szCs w:val="22"/>
          <w:lang w:val="en-US"/>
        </w:rPr>
      </w:pPr>
      <w:r>
        <w:rPr>
          <w:rFonts w:ascii="Calibri" w:hAnsi="Calibri" w:cs="Calibri"/>
          <w:color w:val="000000"/>
          <w:sz w:val="22"/>
          <w:szCs w:val="22"/>
          <w:lang w:val="en-US"/>
        </w:rPr>
        <w:separator/>
      </w:r>
    </w:p>
  </w:endnote>
  <w:endnote w:type="continuationSeparator" w:id="0">
    <w:p>
      <w:pPr>
        <w:rPr>
          <w:rFonts w:ascii="Calibri" w:hAnsi="Calibri" w:cs="Calibri"/>
          <w:color w:val="000000"/>
          <w:sz w:val="22"/>
          <w:szCs w:val="22"/>
          <w:lang w:val="en-US"/>
        </w:rPr>
      </w:pPr>
      <w:r>
        <w:rPr>
          <w:rFonts w:ascii="Calibri" w:hAnsi="Calibri" w:cs="Calibri"/>
          <w:color w:val="000000"/>
          <w:sz w:val="22"/>
          <w:szCs w:val="22"/>
          <w:lang w:val="en-US"/>
        </w:rPr>
        <w:continuationSeparator/>
      </w:r>
    </w:p>
    <w:p>
      <w:pPr>
        <w:rPr>
          <w:rFonts w:ascii="Calibri" w:hAnsi="Calibri"/>
          <w:color w:val="000000"/>
          <w:sz w:val="22"/>
          <w:szCs w:val="22"/>
          <w:lang w:val="en-US"/>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BA"/>
    <w:family w:val="swiss"/>
    <w:pitch w:val="variable"/>
    <w:sig w:usb0="20002A87" w:usb1="80000000" w:usb2="00000008"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rFonts w:ascii="Calibri" w:hAnsi="Calibri" w:cs="Calibri"/>
        <w:color w:val="000000"/>
        <w:sz w:val="22"/>
        <w:szCs w:val="22"/>
        <w:lang w:val="en-US"/>
      </w:rPr>
    </w:pPr>
    <w:r>
      <w:rPr>
        <w:rFonts w:ascii="Calibri" w:hAnsi="Calibri" w:cs="Calibri"/>
        <w:color w:val="000000"/>
        <w:sz w:val="22"/>
        <w:szCs w:val="22"/>
        <w:lang w:val="en-US"/>
      </w:rPr>
      <w:fldChar w:fldCharType="begin"/>
    </w:r>
    <w:r>
      <w:rPr>
        <w:rFonts w:ascii="Calibri" w:hAnsi="Calibri" w:cs="Calibri"/>
        <w:color w:val="000000"/>
        <w:sz w:val="22"/>
        <w:szCs w:val="22"/>
        <w:lang w:val="en-US"/>
      </w:rPr>
      <w:instrText xml:space="preserve">PAGE  </w:instrText>
    </w:r>
    <w:r>
      <w:rPr>
        <w:rFonts w:ascii="Calibri" w:hAnsi="Calibri" w:cs="Calibri"/>
        <w:color w:val="000000"/>
        <w:sz w:val="22"/>
        <w:szCs w:val="22"/>
        <w:lang w:val="en-US"/>
      </w:rPr>
      <w:fldChar w:fldCharType="end"/>
    </w:r>
  </w:p>
  <w:p>
    <w:pPr>
      <w:tabs>
        <w:tab w:val="center" w:pos="4320"/>
        <w:tab w:val="right" w:pos="8640"/>
      </w:tabs>
      <w:rPr>
        <w:rFonts w:ascii="Calibri" w:hAnsi="Calibri" w:cs="Calibri"/>
        <w:color w:val="000000"/>
        <w:sz w:val="22"/>
        <w:szCs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ascii="Calibri" w:hAnsi="Calibri"/>
        <w:color w:val="000000"/>
        <w:sz w:val="22"/>
        <w:szCs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ascii="Calibri" w:hAnsi="Calibri"/>
        <w:color w:val="000000"/>
        <w:sz w:val="22"/>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hAnsi="Calibri" w:cs="Calibri"/>
          <w:color w:val="000000"/>
          <w:sz w:val="22"/>
          <w:szCs w:val="22"/>
          <w:lang w:val="en-US"/>
        </w:rPr>
      </w:pPr>
      <w:r>
        <w:rPr>
          <w:rFonts w:ascii="Calibri" w:hAnsi="Calibri" w:cs="Calibri"/>
          <w:color w:val="000000"/>
          <w:sz w:val="22"/>
          <w:szCs w:val="22"/>
          <w:lang w:val="en-US"/>
        </w:rPr>
        <w:separator/>
      </w:r>
    </w:p>
  </w:footnote>
  <w:footnote w:type="continuationSeparator" w:id="0">
    <w:p>
      <w:pPr>
        <w:rPr>
          <w:rFonts w:ascii="Calibri" w:hAnsi="Calibri" w:cs="Calibri"/>
          <w:color w:val="000000"/>
          <w:sz w:val="22"/>
          <w:szCs w:val="22"/>
          <w:lang w:val="en-US"/>
        </w:rPr>
      </w:pPr>
      <w:r>
        <w:rPr>
          <w:rFonts w:ascii="Calibri" w:hAnsi="Calibri" w:cs="Calibri"/>
          <w:color w:val="000000"/>
          <w:sz w:val="22"/>
          <w:szCs w:val="22"/>
          <w:lang w:val="en-US"/>
        </w:rPr>
        <w:continuationSeparator/>
      </w:r>
    </w:p>
  </w:footnote>
  <w:footnote w:type="continuationNotice" w:id="1">
    <w:p>
      <w:pPr>
        <w:rPr>
          <w:rFonts w:ascii="Calibri" w:hAnsi="Calibri" w:cs="Calibri"/>
          <w:color w:val="000000"/>
          <w:sz w:val="22"/>
          <w:szCs w:val="22"/>
          <w:lang w:val="en-US"/>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ascii="Calibri" w:hAnsi="Calibri"/>
        <w:color w:val="000000"/>
        <w:sz w:val="22"/>
        <w:lang w:val="en-US"/>
      </w:rPr>
    </w:pPr>
  </w:p>
  <w:p>
    <w:pPr>
      <w:rPr>
        <w:rFonts w:ascii="Calibri" w:hAnsi="Calibri"/>
        <w:color w:val="000000"/>
        <w:sz w:val="22"/>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jc w:val="center"/>
      <w:rPr>
        <w:color w:val="000000"/>
        <w:szCs w:val="24"/>
        <w:lang w:val="en-US"/>
      </w:rPr>
    </w:pPr>
    <w:r>
      <w:rPr>
        <w:color w:val="000000"/>
        <w:szCs w:val="24"/>
        <w:lang w:val="en-US"/>
      </w:rPr>
      <w:fldChar w:fldCharType="begin"/>
    </w:r>
    <w:r>
      <w:rPr>
        <w:color w:val="000000"/>
        <w:szCs w:val="24"/>
        <w:lang w:val="en-US"/>
      </w:rPr>
      <w:instrText xml:space="preserve"> PAGE   \* MERGEFORMAT </w:instrText>
    </w:r>
    <w:r>
      <w:rPr>
        <w:color w:val="000000"/>
        <w:szCs w:val="24"/>
        <w:lang w:val="en-US"/>
      </w:rPr>
      <w:fldChar w:fldCharType="separate"/>
    </w:r>
    <w:r>
      <w:rPr>
        <w:color w:val="000000"/>
        <w:szCs w:val="24"/>
        <w:lang w:val="en-US"/>
      </w:rPr>
      <w:t>11</w:t>
    </w:r>
    <w:r>
      <w:rPr>
        <w:color w:val="000000"/>
        <w:szCs w:val="24"/>
        <w:lang w:val="en-US"/>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ascii="Calibri" w:hAnsi="Calibri"/>
        <w:color w:val="000000"/>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10"/>
  <w:drawingGridVerticalSpacing w:val="57"/>
  <w:displayHorizontalDrawingGridEvery w:val="2"/>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4D9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C8BABA15-5CBE-40C5-AEC4-A1F49F05F26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31587493">
      <w:marLeft w:val="0"/>
      <w:marRight w:val="0"/>
      <w:marTop w:val="0"/>
      <w:marBottom w:val="0"/>
      <w:divBdr>
        <w:top w:val="none" w:sz="0" w:space="0" w:color="auto"/>
        <w:left w:val="none" w:sz="0" w:space="0" w:color="auto"/>
        <w:bottom w:val="none" w:sz="0" w:space="0" w:color="auto"/>
        <w:right w:val="none" w:sz="0" w:space="0" w:color="auto"/>
      </w:divBdr>
    </w:div>
    <w:div w:id="1431587520">
      <w:marLeft w:val="0"/>
      <w:marRight w:val="0"/>
      <w:marTop w:val="0"/>
      <w:marBottom w:val="0"/>
      <w:divBdr>
        <w:top w:val="none" w:sz="0" w:space="0" w:color="auto"/>
        <w:left w:val="none" w:sz="0" w:space="0" w:color="auto"/>
        <w:bottom w:val="none" w:sz="0" w:space="0" w:color="auto"/>
        <w:right w:val="none" w:sz="0" w:space="0" w:color="auto"/>
      </w:divBdr>
      <w:divsChild>
        <w:div w:id="1431587525">
          <w:marLeft w:val="0"/>
          <w:marRight w:val="0"/>
          <w:marTop w:val="0"/>
          <w:marBottom w:val="0"/>
          <w:divBdr>
            <w:top w:val="none" w:sz="0" w:space="0" w:color="auto"/>
            <w:left w:val="none" w:sz="0" w:space="0" w:color="auto"/>
            <w:bottom w:val="none" w:sz="0" w:space="0" w:color="auto"/>
            <w:right w:val="none" w:sz="0" w:space="0" w:color="auto"/>
          </w:divBdr>
          <w:divsChild>
            <w:div w:id="1431587471">
              <w:marLeft w:val="0"/>
              <w:marRight w:val="0"/>
              <w:marTop w:val="0"/>
              <w:marBottom w:val="0"/>
              <w:divBdr>
                <w:top w:val="none" w:sz="0" w:space="0" w:color="auto"/>
                <w:left w:val="none" w:sz="0" w:space="0" w:color="auto"/>
                <w:bottom w:val="none" w:sz="0" w:space="0" w:color="auto"/>
                <w:right w:val="none" w:sz="0" w:space="0" w:color="auto"/>
              </w:divBdr>
              <w:divsChild>
                <w:div w:id="1431587517">
                  <w:marLeft w:val="0"/>
                  <w:marRight w:val="0"/>
                  <w:marTop w:val="0"/>
                  <w:marBottom w:val="0"/>
                  <w:divBdr>
                    <w:top w:val="none" w:sz="0" w:space="0" w:color="auto"/>
                    <w:left w:val="none" w:sz="0" w:space="0" w:color="auto"/>
                    <w:bottom w:val="none" w:sz="0" w:space="0" w:color="auto"/>
                    <w:right w:val="none" w:sz="0" w:space="0" w:color="auto"/>
                  </w:divBdr>
                  <w:divsChild>
                    <w:div w:id="1431587473">
                      <w:marLeft w:val="0"/>
                      <w:marRight w:val="0"/>
                      <w:marTop w:val="0"/>
                      <w:marBottom w:val="0"/>
                      <w:divBdr>
                        <w:top w:val="none" w:sz="0" w:space="0" w:color="auto"/>
                        <w:left w:val="none" w:sz="0" w:space="0" w:color="auto"/>
                        <w:bottom w:val="none" w:sz="0" w:space="0" w:color="auto"/>
                        <w:right w:val="none" w:sz="0" w:space="0" w:color="auto"/>
                      </w:divBdr>
                      <w:divsChild>
                        <w:div w:id="1431587508">
                          <w:marLeft w:val="0"/>
                          <w:marRight w:val="0"/>
                          <w:marTop w:val="0"/>
                          <w:marBottom w:val="0"/>
                          <w:divBdr>
                            <w:top w:val="none" w:sz="0" w:space="0" w:color="auto"/>
                            <w:left w:val="none" w:sz="0" w:space="0" w:color="auto"/>
                            <w:bottom w:val="none" w:sz="0" w:space="0" w:color="auto"/>
                            <w:right w:val="none" w:sz="0" w:space="0" w:color="auto"/>
                          </w:divBdr>
                          <w:divsChild>
                            <w:div w:id="1431587498">
                              <w:marLeft w:val="0"/>
                              <w:marRight w:val="0"/>
                              <w:marTop w:val="0"/>
                              <w:marBottom w:val="0"/>
                              <w:divBdr>
                                <w:top w:val="none" w:sz="0" w:space="0" w:color="auto"/>
                                <w:left w:val="none" w:sz="0" w:space="0" w:color="auto"/>
                                <w:bottom w:val="none" w:sz="0" w:space="0" w:color="auto"/>
                                <w:right w:val="none" w:sz="0" w:space="0" w:color="auto"/>
                              </w:divBdr>
                              <w:divsChild>
                                <w:div w:id="1431587482">
                                  <w:marLeft w:val="0"/>
                                  <w:marRight w:val="0"/>
                                  <w:marTop w:val="0"/>
                                  <w:marBottom w:val="0"/>
                                  <w:divBdr>
                                    <w:top w:val="none" w:sz="0" w:space="0" w:color="auto"/>
                                    <w:left w:val="none" w:sz="0" w:space="0" w:color="auto"/>
                                    <w:bottom w:val="none" w:sz="0" w:space="0" w:color="auto"/>
                                    <w:right w:val="none" w:sz="0" w:space="0" w:color="auto"/>
                                  </w:divBdr>
                                  <w:divsChild>
                                    <w:div w:id="1431587474">
                                      <w:marLeft w:val="0"/>
                                      <w:marRight w:val="0"/>
                                      <w:marTop w:val="0"/>
                                      <w:marBottom w:val="0"/>
                                      <w:divBdr>
                                        <w:top w:val="none" w:sz="0" w:space="0" w:color="auto"/>
                                        <w:left w:val="none" w:sz="0" w:space="0" w:color="auto"/>
                                        <w:bottom w:val="none" w:sz="0" w:space="0" w:color="auto"/>
                                        <w:right w:val="none" w:sz="0" w:space="0" w:color="auto"/>
                                      </w:divBdr>
                                      <w:divsChild>
                                        <w:div w:id="1431587513">
                                          <w:marLeft w:val="0"/>
                                          <w:marRight w:val="0"/>
                                          <w:marTop w:val="0"/>
                                          <w:marBottom w:val="0"/>
                                          <w:divBdr>
                                            <w:top w:val="none" w:sz="0" w:space="0" w:color="auto"/>
                                            <w:left w:val="none" w:sz="0" w:space="0" w:color="auto"/>
                                            <w:bottom w:val="none" w:sz="0" w:space="0" w:color="auto"/>
                                            <w:right w:val="none" w:sz="0" w:space="0" w:color="auto"/>
                                          </w:divBdr>
                                          <w:divsChild>
                                            <w:div w:id="1431587468">
                                              <w:marLeft w:val="0"/>
                                              <w:marRight w:val="0"/>
                                              <w:marTop w:val="0"/>
                                              <w:marBottom w:val="0"/>
                                              <w:divBdr>
                                                <w:top w:val="none" w:sz="0" w:space="0" w:color="auto"/>
                                                <w:left w:val="none" w:sz="0" w:space="0" w:color="auto"/>
                                                <w:bottom w:val="none" w:sz="0" w:space="0" w:color="auto"/>
                                                <w:right w:val="none" w:sz="0" w:space="0" w:color="auto"/>
                                              </w:divBdr>
                                              <w:divsChild>
                                                <w:div w:id="1431587483">
                                                  <w:marLeft w:val="0"/>
                                                  <w:marRight w:val="0"/>
                                                  <w:marTop w:val="0"/>
                                                  <w:marBottom w:val="0"/>
                                                  <w:divBdr>
                                                    <w:top w:val="none" w:sz="0" w:space="0" w:color="auto"/>
                                                    <w:left w:val="none" w:sz="0" w:space="0" w:color="auto"/>
                                                    <w:bottom w:val="none" w:sz="0" w:space="0" w:color="auto"/>
                                                    <w:right w:val="none" w:sz="0" w:space="0" w:color="auto"/>
                                                  </w:divBdr>
                                                  <w:divsChild>
                                                    <w:div w:id="1431587494">
                                                      <w:marLeft w:val="0"/>
                                                      <w:marRight w:val="0"/>
                                                      <w:marTop w:val="0"/>
                                                      <w:marBottom w:val="0"/>
                                                      <w:divBdr>
                                                        <w:top w:val="none" w:sz="0" w:space="0" w:color="auto"/>
                                                        <w:left w:val="none" w:sz="0" w:space="0" w:color="auto"/>
                                                        <w:bottom w:val="none" w:sz="0" w:space="0" w:color="auto"/>
                                                        <w:right w:val="none" w:sz="0" w:space="0" w:color="auto"/>
                                                      </w:divBdr>
                                                      <w:divsChild>
                                                        <w:div w:id="1431587522">
                                                          <w:marLeft w:val="0"/>
                                                          <w:marRight w:val="0"/>
                                                          <w:marTop w:val="0"/>
                                                          <w:marBottom w:val="0"/>
                                                          <w:divBdr>
                                                            <w:top w:val="none" w:sz="0" w:space="0" w:color="auto"/>
                                                            <w:left w:val="none" w:sz="0" w:space="0" w:color="auto"/>
                                                            <w:bottom w:val="none" w:sz="0" w:space="0" w:color="auto"/>
                                                            <w:right w:val="none" w:sz="0" w:space="0" w:color="auto"/>
                                                          </w:divBdr>
                                                          <w:divsChild>
                                                            <w:div w:id="1431587532">
                                                              <w:marLeft w:val="0"/>
                                                              <w:marRight w:val="0"/>
                                                              <w:marTop w:val="0"/>
                                                              <w:marBottom w:val="0"/>
                                                              <w:divBdr>
                                                                <w:top w:val="none" w:sz="0" w:space="0" w:color="auto"/>
                                                                <w:left w:val="none" w:sz="0" w:space="0" w:color="auto"/>
                                                                <w:bottom w:val="none" w:sz="0" w:space="0" w:color="auto"/>
                                                                <w:right w:val="none" w:sz="0" w:space="0" w:color="auto"/>
                                                              </w:divBdr>
                                                              <w:divsChild>
                                                                <w:div w:id="1431587486">
                                                                  <w:marLeft w:val="0"/>
                                                                  <w:marRight w:val="0"/>
                                                                  <w:marTop w:val="0"/>
                                                                  <w:marBottom w:val="0"/>
                                                                  <w:divBdr>
                                                                    <w:top w:val="none" w:sz="0" w:space="0" w:color="auto"/>
                                                                    <w:left w:val="none" w:sz="0" w:space="0" w:color="auto"/>
                                                                    <w:bottom w:val="none" w:sz="0" w:space="0" w:color="auto"/>
                                                                    <w:right w:val="none" w:sz="0" w:space="0" w:color="auto"/>
                                                                  </w:divBdr>
                                                                  <w:divsChild>
                                                                    <w:div w:id="1431587511">
                                                                      <w:marLeft w:val="0"/>
                                                                      <w:marRight w:val="0"/>
                                                                      <w:marTop w:val="0"/>
                                                                      <w:marBottom w:val="0"/>
                                                                      <w:divBdr>
                                                                        <w:top w:val="none" w:sz="0" w:space="0" w:color="auto"/>
                                                                        <w:left w:val="none" w:sz="0" w:space="0" w:color="auto"/>
                                                                        <w:bottom w:val="none" w:sz="0" w:space="0" w:color="auto"/>
                                                                        <w:right w:val="none" w:sz="0" w:space="0" w:color="auto"/>
                                                                      </w:divBdr>
                                                                      <w:divsChild>
                                                                        <w:div w:id="1431587469">
                                                                          <w:marLeft w:val="0"/>
                                                                          <w:marRight w:val="0"/>
                                                                          <w:marTop w:val="0"/>
                                                                          <w:marBottom w:val="0"/>
                                                                          <w:divBdr>
                                                                            <w:top w:val="none" w:sz="0" w:space="0" w:color="auto"/>
                                                                            <w:left w:val="none" w:sz="0" w:space="0" w:color="auto"/>
                                                                            <w:bottom w:val="none" w:sz="0" w:space="0" w:color="auto"/>
                                                                            <w:right w:val="none" w:sz="0" w:space="0" w:color="auto"/>
                                                                          </w:divBdr>
                                                                          <w:divsChild>
                                                                            <w:div w:id="1431587491">
                                                                              <w:marLeft w:val="0"/>
                                                                              <w:marRight w:val="0"/>
                                                                              <w:marTop w:val="0"/>
                                                                              <w:marBottom w:val="0"/>
                                                                              <w:divBdr>
                                                                                <w:top w:val="none" w:sz="0" w:space="0" w:color="auto"/>
                                                                                <w:left w:val="none" w:sz="0" w:space="0" w:color="auto"/>
                                                                                <w:bottom w:val="none" w:sz="0" w:space="0" w:color="auto"/>
                                                                                <w:right w:val="none" w:sz="0" w:space="0" w:color="auto"/>
                                                                              </w:divBdr>
                                                                              <w:divsChild>
                                                                                <w:div w:id="1431587487">
                                                                                  <w:marLeft w:val="0"/>
                                                                                  <w:marRight w:val="0"/>
                                                                                  <w:marTop w:val="0"/>
                                                                                  <w:marBottom w:val="0"/>
                                                                                  <w:divBdr>
                                                                                    <w:top w:val="none" w:sz="0" w:space="0" w:color="auto"/>
                                                                                    <w:left w:val="none" w:sz="0" w:space="0" w:color="auto"/>
                                                                                    <w:bottom w:val="none" w:sz="0" w:space="0" w:color="auto"/>
                                                                                    <w:right w:val="none" w:sz="0" w:space="0" w:color="auto"/>
                                                                                  </w:divBdr>
                                                                                  <w:divsChild>
                                                                                    <w:div w:id="1431587495">
                                                                                      <w:marLeft w:val="0"/>
                                                                                      <w:marRight w:val="0"/>
                                                                                      <w:marTop w:val="0"/>
                                                                                      <w:marBottom w:val="0"/>
                                                                                      <w:divBdr>
                                                                                        <w:top w:val="none" w:sz="0" w:space="0" w:color="auto"/>
                                                                                        <w:left w:val="none" w:sz="0" w:space="0" w:color="auto"/>
                                                                                        <w:bottom w:val="none" w:sz="0" w:space="0" w:color="auto"/>
                                                                                        <w:right w:val="none" w:sz="0" w:space="0" w:color="auto"/>
                                                                                      </w:divBdr>
                                                                                      <w:divsChild>
                                                                                        <w:div w:id="1431587518">
                                                                                          <w:marLeft w:val="0"/>
                                                                                          <w:marRight w:val="0"/>
                                                                                          <w:marTop w:val="0"/>
                                                                                          <w:marBottom w:val="0"/>
                                                                                          <w:divBdr>
                                                                                            <w:top w:val="none" w:sz="0" w:space="0" w:color="auto"/>
                                                                                            <w:left w:val="none" w:sz="0" w:space="0" w:color="auto"/>
                                                                                            <w:bottom w:val="none" w:sz="0" w:space="0" w:color="auto"/>
                                                                                            <w:right w:val="none" w:sz="0" w:space="0" w:color="auto"/>
                                                                                          </w:divBdr>
                                                                                          <w:divsChild>
                                                                                            <w:div w:id="1431587497">
                                                                                              <w:marLeft w:val="0"/>
                                                                                              <w:marRight w:val="0"/>
                                                                                              <w:marTop w:val="0"/>
                                                                                              <w:marBottom w:val="0"/>
                                                                                              <w:divBdr>
                                                                                                <w:top w:val="none" w:sz="0" w:space="0" w:color="auto"/>
                                                                                                <w:left w:val="none" w:sz="0" w:space="0" w:color="auto"/>
                                                                                                <w:bottom w:val="none" w:sz="0" w:space="0" w:color="auto"/>
                                                                                                <w:right w:val="none" w:sz="0" w:space="0" w:color="auto"/>
                                                                                              </w:divBdr>
                                                                                              <w:divsChild>
                                                                                                <w:div w:id="1431587499">
                                                                                                  <w:marLeft w:val="0"/>
                                                                                                  <w:marRight w:val="0"/>
                                                                                                  <w:marTop w:val="0"/>
                                                                                                  <w:marBottom w:val="0"/>
                                                                                                  <w:divBdr>
                                                                                                    <w:top w:val="none" w:sz="0" w:space="0" w:color="auto"/>
                                                                                                    <w:left w:val="none" w:sz="0" w:space="0" w:color="auto"/>
                                                                                                    <w:bottom w:val="none" w:sz="0" w:space="0" w:color="auto"/>
                                                                                                    <w:right w:val="none" w:sz="0" w:space="0" w:color="auto"/>
                                                                                                  </w:divBdr>
                                                                                                  <w:divsChild>
                                                                                                    <w:div w:id="1431587515">
                                                                                                      <w:marLeft w:val="0"/>
                                                                                                      <w:marRight w:val="0"/>
                                                                                                      <w:marTop w:val="0"/>
                                                                                                      <w:marBottom w:val="0"/>
                                                                                                      <w:divBdr>
                                                                                                        <w:top w:val="none" w:sz="0" w:space="0" w:color="auto"/>
                                                                                                        <w:left w:val="none" w:sz="0" w:space="0" w:color="auto"/>
                                                                                                        <w:bottom w:val="none" w:sz="0" w:space="0" w:color="auto"/>
                                                                                                        <w:right w:val="none" w:sz="0" w:space="0" w:color="auto"/>
                                                                                                      </w:divBdr>
                                                                                                      <w:divsChild>
                                                                                                        <w:div w:id="1431587521">
                                                                                                          <w:marLeft w:val="0"/>
                                                                                                          <w:marRight w:val="0"/>
                                                                                                          <w:marTop w:val="0"/>
                                                                                                          <w:marBottom w:val="0"/>
                                                                                                          <w:divBdr>
                                                                                                            <w:top w:val="none" w:sz="0" w:space="0" w:color="auto"/>
                                                                                                            <w:left w:val="none" w:sz="0" w:space="0" w:color="auto"/>
                                                                                                            <w:bottom w:val="none" w:sz="0" w:space="0" w:color="auto"/>
                                                                                                            <w:right w:val="none" w:sz="0" w:space="0" w:color="auto"/>
                                                                                                          </w:divBdr>
                                                                                                          <w:divsChild>
                                                                                                            <w:div w:id="1431587519">
                                                                                                              <w:marLeft w:val="0"/>
                                                                                                              <w:marRight w:val="0"/>
                                                                                                              <w:marTop w:val="0"/>
                                                                                                              <w:marBottom w:val="0"/>
                                                                                                              <w:divBdr>
                                                                                                                <w:top w:val="none" w:sz="0" w:space="0" w:color="auto"/>
                                                                                                                <w:left w:val="none" w:sz="0" w:space="0" w:color="auto"/>
                                                                                                                <w:bottom w:val="none" w:sz="0" w:space="0" w:color="auto"/>
                                                                                                                <w:right w:val="none" w:sz="0" w:space="0" w:color="auto"/>
                                                                                                              </w:divBdr>
                                                                                                              <w:divsChild>
                                                                                                                <w:div w:id="1431587507">
                                                                                                                  <w:marLeft w:val="0"/>
                                                                                                                  <w:marRight w:val="0"/>
                                                                                                                  <w:marTop w:val="0"/>
                                                                                                                  <w:marBottom w:val="0"/>
                                                                                                                  <w:divBdr>
                                                                                                                    <w:top w:val="none" w:sz="0" w:space="0" w:color="auto"/>
                                                                                                                    <w:left w:val="none" w:sz="0" w:space="0" w:color="auto"/>
                                                                                                                    <w:bottom w:val="none" w:sz="0" w:space="0" w:color="auto"/>
                                                                                                                    <w:right w:val="none" w:sz="0" w:space="0" w:color="auto"/>
                                                                                                                  </w:divBdr>
                                                                                                                  <w:divsChild>
                                                                                                                    <w:div w:id="1431587503">
                                                                                                                      <w:marLeft w:val="0"/>
                                                                                                                      <w:marRight w:val="0"/>
                                                                                                                      <w:marTop w:val="0"/>
                                                                                                                      <w:marBottom w:val="0"/>
                                                                                                                      <w:divBdr>
                                                                                                                        <w:top w:val="none" w:sz="0" w:space="0" w:color="auto"/>
                                                                                                                        <w:left w:val="none" w:sz="0" w:space="0" w:color="auto"/>
                                                                                                                        <w:bottom w:val="none" w:sz="0" w:space="0" w:color="auto"/>
                                                                                                                        <w:right w:val="none" w:sz="0" w:space="0" w:color="auto"/>
                                                                                                                      </w:divBdr>
                                                                                                                      <w:divsChild>
                                                                                                                        <w:div w:id="1431587466">
                                                                                                                          <w:marLeft w:val="0"/>
                                                                                                                          <w:marRight w:val="0"/>
                                                                                                                          <w:marTop w:val="0"/>
                                                                                                                          <w:marBottom w:val="0"/>
                                                                                                                          <w:divBdr>
                                                                                                                            <w:top w:val="none" w:sz="0" w:space="0" w:color="auto"/>
                                                                                                                            <w:left w:val="none" w:sz="0" w:space="0" w:color="auto"/>
                                                                                                                            <w:bottom w:val="none" w:sz="0" w:space="0" w:color="auto"/>
                                                                                                                            <w:right w:val="none" w:sz="0" w:space="0" w:color="auto"/>
                                                                                                                          </w:divBdr>
                                                                                                                          <w:divsChild>
                                                                                                                            <w:div w:id="1431587512">
                                                                                                                              <w:marLeft w:val="0"/>
                                                                                                                              <w:marRight w:val="0"/>
                                                                                                                              <w:marTop w:val="0"/>
                                                                                                                              <w:marBottom w:val="0"/>
                                                                                                                              <w:divBdr>
                                                                                                                                <w:top w:val="none" w:sz="0" w:space="0" w:color="auto"/>
                                                                                                                                <w:left w:val="none" w:sz="0" w:space="0" w:color="auto"/>
                                                                                                                                <w:bottom w:val="none" w:sz="0" w:space="0" w:color="auto"/>
                                                                                                                                <w:right w:val="none" w:sz="0" w:space="0" w:color="auto"/>
                                                                                                                              </w:divBdr>
                                                                                                                              <w:divsChild>
                                                                                                                                <w:div w:id="1431587501">
                                                                                                                                  <w:marLeft w:val="0"/>
                                                                                                                                  <w:marRight w:val="0"/>
                                                                                                                                  <w:marTop w:val="0"/>
                                                                                                                                  <w:marBottom w:val="0"/>
                                                                                                                                  <w:divBdr>
                                                                                                                                    <w:top w:val="none" w:sz="0" w:space="0" w:color="auto"/>
                                                                                                                                    <w:left w:val="none" w:sz="0" w:space="0" w:color="auto"/>
                                                                                                                                    <w:bottom w:val="none" w:sz="0" w:space="0" w:color="auto"/>
                                                                                                                                    <w:right w:val="none" w:sz="0" w:space="0" w:color="auto"/>
                                                                                                                                  </w:divBdr>
                                                                                                                                  <w:divsChild>
                                                                                                                                    <w:div w:id="1431587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31587527">
      <w:marLeft w:val="0"/>
      <w:marRight w:val="0"/>
      <w:marTop w:val="0"/>
      <w:marBottom w:val="0"/>
      <w:divBdr>
        <w:top w:val="none" w:sz="0" w:space="0" w:color="auto"/>
        <w:left w:val="none" w:sz="0" w:space="0" w:color="auto"/>
        <w:bottom w:val="none" w:sz="0" w:space="0" w:color="auto"/>
        <w:right w:val="none" w:sz="0" w:space="0" w:color="auto"/>
      </w:divBdr>
      <w:divsChild>
        <w:div w:id="1431587481">
          <w:marLeft w:val="0"/>
          <w:marRight w:val="0"/>
          <w:marTop w:val="0"/>
          <w:marBottom w:val="0"/>
          <w:divBdr>
            <w:top w:val="none" w:sz="0" w:space="0" w:color="auto"/>
            <w:left w:val="none" w:sz="0" w:space="0" w:color="auto"/>
            <w:bottom w:val="none" w:sz="0" w:space="0" w:color="auto"/>
            <w:right w:val="none" w:sz="0" w:space="0" w:color="auto"/>
          </w:divBdr>
          <w:divsChild>
            <w:div w:id="1431587472">
              <w:marLeft w:val="0"/>
              <w:marRight w:val="0"/>
              <w:marTop w:val="0"/>
              <w:marBottom w:val="0"/>
              <w:divBdr>
                <w:top w:val="none" w:sz="0" w:space="0" w:color="auto"/>
                <w:left w:val="none" w:sz="0" w:space="0" w:color="auto"/>
                <w:bottom w:val="none" w:sz="0" w:space="0" w:color="auto"/>
                <w:right w:val="none" w:sz="0" w:space="0" w:color="auto"/>
              </w:divBdr>
              <w:divsChild>
                <w:div w:id="1431587489">
                  <w:marLeft w:val="0"/>
                  <w:marRight w:val="0"/>
                  <w:marTop w:val="0"/>
                  <w:marBottom w:val="0"/>
                  <w:divBdr>
                    <w:top w:val="none" w:sz="0" w:space="0" w:color="auto"/>
                    <w:left w:val="none" w:sz="0" w:space="0" w:color="auto"/>
                    <w:bottom w:val="none" w:sz="0" w:space="0" w:color="auto"/>
                    <w:right w:val="none" w:sz="0" w:space="0" w:color="auto"/>
                  </w:divBdr>
                  <w:divsChild>
                    <w:div w:id="1431587533">
                      <w:marLeft w:val="0"/>
                      <w:marRight w:val="0"/>
                      <w:marTop w:val="0"/>
                      <w:marBottom w:val="0"/>
                      <w:divBdr>
                        <w:top w:val="none" w:sz="0" w:space="0" w:color="auto"/>
                        <w:left w:val="none" w:sz="0" w:space="0" w:color="auto"/>
                        <w:bottom w:val="none" w:sz="0" w:space="0" w:color="auto"/>
                        <w:right w:val="none" w:sz="0" w:space="0" w:color="auto"/>
                      </w:divBdr>
                      <w:divsChild>
                        <w:div w:id="1431587531">
                          <w:marLeft w:val="0"/>
                          <w:marRight w:val="0"/>
                          <w:marTop w:val="0"/>
                          <w:marBottom w:val="0"/>
                          <w:divBdr>
                            <w:top w:val="none" w:sz="0" w:space="0" w:color="auto"/>
                            <w:left w:val="none" w:sz="0" w:space="0" w:color="auto"/>
                            <w:bottom w:val="none" w:sz="0" w:space="0" w:color="auto"/>
                            <w:right w:val="none" w:sz="0" w:space="0" w:color="auto"/>
                          </w:divBdr>
                          <w:divsChild>
                            <w:div w:id="1431587529">
                              <w:marLeft w:val="0"/>
                              <w:marRight w:val="0"/>
                              <w:marTop w:val="0"/>
                              <w:marBottom w:val="0"/>
                              <w:divBdr>
                                <w:top w:val="none" w:sz="0" w:space="0" w:color="auto"/>
                                <w:left w:val="none" w:sz="0" w:space="0" w:color="auto"/>
                                <w:bottom w:val="none" w:sz="0" w:space="0" w:color="auto"/>
                                <w:right w:val="none" w:sz="0" w:space="0" w:color="auto"/>
                              </w:divBdr>
                              <w:divsChild>
                                <w:div w:id="1431587500">
                                  <w:marLeft w:val="0"/>
                                  <w:marRight w:val="0"/>
                                  <w:marTop w:val="0"/>
                                  <w:marBottom w:val="0"/>
                                  <w:divBdr>
                                    <w:top w:val="none" w:sz="0" w:space="0" w:color="auto"/>
                                    <w:left w:val="none" w:sz="0" w:space="0" w:color="auto"/>
                                    <w:bottom w:val="none" w:sz="0" w:space="0" w:color="auto"/>
                                    <w:right w:val="none" w:sz="0" w:space="0" w:color="auto"/>
                                  </w:divBdr>
                                  <w:divsChild>
                                    <w:div w:id="1431587496">
                                      <w:marLeft w:val="0"/>
                                      <w:marRight w:val="0"/>
                                      <w:marTop w:val="0"/>
                                      <w:marBottom w:val="0"/>
                                      <w:divBdr>
                                        <w:top w:val="none" w:sz="0" w:space="0" w:color="auto"/>
                                        <w:left w:val="none" w:sz="0" w:space="0" w:color="auto"/>
                                        <w:bottom w:val="none" w:sz="0" w:space="0" w:color="auto"/>
                                        <w:right w:val="none" w:sz="0" w:space="0" w:color="auto"/>
                                      </w:divBdr>
                                      <w:divsChild>
                                        <w:div w:id="1431587467">
                                          <w:marLeft w:val="0"/>
                                          <w:marRight w:val="0"/>
                                          <w:marTop w:val="0"/>
                                          <w:marBottom w:val="0"/>
                                          <w:divBdr>
                                            <w:top w:val="none" w:sz="0" w:space="0" w:color="auto"/>
                                            <w:left w:val="none" w:sz="0" w:space="0" w:color="auto"/>
                                            <w:bottom w:val="none" w:sz="0" w:space="0" w:color="auto"/>
                                            <w:right w:val="none" w:sz="0" w:space="0" w:color="auto"/>
                                          </w:divBdr>
                                          <w:divsChild>
                                            <w:div w:id="1431587479">
                                              <w:marLeft w:val="0"/>
                                              <w:marRight w:val="0"/>
                                              <w:marTop w:val="0"/>
                                              <w:marBottom w:val="0"/>
                                              <w:divBdr>
                                                <w:top w:val="none" w:sz="0" w:space="0" w:color="auto"/>
                                                <w:left w:val="none" w:sz="0" w:space="0" w:color="auto"/>
                                                <w:bottom w:val="none" w:sz="0" w:space="0" w:color="auto"/>
                                                <w:right w:val="none" w:sz="0" w:space="0" w:color="auto"/>
                                              </w:divBdr>
                                              <w:divsChild>
                                                <w:div w:id="1431587475">
                                                  <w:marLeft w:val="0"/>
                                                  <w:marRight w:val="0"/>
                                                  <w:marTop w:val="0"/>
                                                  <w:marBottom w:val="0"/>
                                                  <w:divBdr>
                                                    <w:top w:val="none" w:sz="0" w:space="0" w:color="auto"/>
                                                    <w:left w:val="none" w:sz="0" w:space="0" w:color="auto"/>
                                                    <w:bottom w:val="none" w:sz="0" w:space="0" w:color="auto"/>
                                                    <w:right w:val="none" w:sz="0" w:space="0" w:color="auto"/>
                                                  </w:divBdr>
                                                  <w:divsChild>
                                                    <w:div w:id="1431587509">
                                                      <w:marLeft w:val="0"/>
                                                      <w:marRight w:val="0"/>
                                                      <w:marTop w:val="0"/>
                                                      <w:marBottom w:val="0"/>
                                                      <w:divBdr>
                                                        <w:top w:val="none" w:sz="0" w:space="0" w:color="auto"/>
                                                        <w:left w:val="none" w:sz="0" w:space="0" w:color="auto"/>
                                                        <w:bottom w:val="none" w:sz="0" w:space="0" w:color="auto"/>
                                                        <w:right w:val="none" w:sz="0" w:space="0" w:color="auto"/>
                                                      </w:divBdr>
                                                      <w:divsChild>
                                                        <w:div w:id="1431587485">
                                                          <w:marLeft w:val="0"/>
                                                          <w:marRight w:val="0"/>
                                                          <w:marTop w:val="0"/>
                                                          <w:marBottom w:val="0"/>
                                                          <w:divBdr>
                                                            <w:top w:val="none" w:sz="0" w:space="0" w:color="auto"/>
                                                            <w:left w:val="none" w:sz="0" w:space="0" w:color="auto"/>
                                                            <w:bottom w:val="none" w:sz="0" w:space="0" w:color="auto"/>
                                                            <w:right w:val="none" w:sz="0" w:space="0" w:color="auto"/>
                                                          </w:divBdr>
                                                          <w:divsChild>
                                                            <w:div w:id="1431587492">
                                                              <w:marLeft w:val="0"/>
                                                              <w:marRight w:val="0"/>
                                                              <w:marTop w:val="0"/>
                                                              <w:marBottom w:val="0"/>
                                                              <w:divBdr>
                                                                <w:top w:val="none" w:sz="0" w:space="0" w:color="auto"/>
                                                                <w:left w:val="none" w:sz="0" w:space="0" w:color="auto"/>
                                                                <w:bottom w:val="none" w:sz="0" w:space="0" w:color="auto"/>
                                                                <w:right w:val="none" w:sz="0" w:space="0" w:color="auto"/>
                                                              </w:divBdr>
                                                              <w:divsChild>
                                                                <w:div w:id="1431587528">
                                                                  <w:marLeft w:val="0"/>
                                                                  <w:marRight w:val="0"/>
                                                                  <w:marTop w:val="0"/>
                                                                  <w:marBottom w:val="0"/>
                                                                  <w:divBdr>
                                                                    <w:top w:val="none" w:sz="0" w:space="0" w:color="auto"/>
                                                                    <w:left w:val="none" w:sz="0" w:space="0" w:color="auto"/>
                                                                    <w:bottom w:val="none" w:sz="0" w:space="0" w:color="auto"/>
                                                                    <w:right w:val="none" w:sz="0" w:space="0" w:color="auto"/>
                                                                  </w:divBdr>
                                                                  <w:divsChild>
                                                                    <w:div w:id="1431587504">
                                                                      <w:marLeft w:val="0"/>
                                                                      <w:marRight w:val="0"/>
                                                                      <w:marTop w:val="0"/>
                                                                      <w:marBottom w:val="0"/>
                                                                      <w:divBdr>
                                                                        <w:top w:val="none" w:sz="0" w:space="0" w:color="auto"/>
                                                                        <w:left w:val="none" w:sz="0" w:space="0" w:color="auto"/>
                                                                        <w:bottom w:val="none" w:sz="0" w:space="0" w:color="auto"/>
                                                                        <w:right w:val="none" w:sz="0" w:space="0" w:color="auto"/>
                                                                      </w:divBdr>
                                                                      <w:divsChild>
                                                                        <w:div w:id="1431587480">
                                                                          <w:marLeft w:val="0"/>
                                                                          <w:marRight w:val="0"/>
                                                                          <w:marTop w:val="0"/>
                                                                          <w:marBottom w:val="0"/>
                                                                          <w:divBdr>
                                                                            <w:top w:val="none" w:sz="0" w:space="0" w:color="auto"/>
                                                                            <w:left w:val="none" w:sz="0" w:space="0" w:color="auto"/>
                                                                            <w:bottom w:val="none" w:sz="0" w:space="0" w:color="auto"/>
                                                                            <w:right w:val="none" w:sz="0" w:space="0" w:color="auto"/>
                                                                          </w:divBdr>
                                                                          <w:divsChild>
                                                                            <w:div w:id="1431587524">
                                                                              <w:marLeft w:val="0"/>
                                                                              <w:marRight w:val="0"/>
                                                                              <w:marTop w:val="0"/>
                                                                              <w:marBottom w:val="0"/>
                                                                              <w:divBdr>
                                                                                <w:top w:val="none" w:sz="0" w:space="0" w:color="auto"/>
                                                                                <w:left w:val="none" w:sz="0" w:space="0" w:color="auto"/>
                                                                                <w:bottom w:val="none" w:sz="0" w:space="0" w:color="auto"/>
                                                                                <w:right w:val="none" w:sz="0" w:space="0" w:color="auto"/>
                                                                              </w:divBdr>
                                                                              <w:divsChild>
                                                                                <w:div w:id="1431587505">
                                                                                  <w:marLeft w:val="0"/>
                                                                                  <w:marRight w:val="0"/>
                                                                                  <w:marTop w:val="0"/>
                                                                                  <w:marBottom w:val="0"/>
                                                                                  <w:divBdr>
                                                                                    <w:top w:val="none" w:sz="0" w:space="0" w:color="auto"/>
                                                                                    <w:left w:val="none" w:sz="0" w:space="0" w:color="auto"/>
                                                                                    <w:bottom w:val="none" w:sz="0" w:space="0" w:color="auto"/>
                                                                                    <w:right w:val="none" w:sz="0" w:space="0" w:color="auto"/>
                                                                                  </w:divBdr>
                                                                                  <w:divsChild>
                                                                                    <w:div w:id="1431587488">
                                                                                      <w:marLeft w:val="0"/>
                                                                                      <w:marRight w:val="0"/>
                                                                                      <w:marTop w:val="0"/>
                                                                                      <w:marBottom w:val="0"/>
                                                                                      <w:divBdr>
                                                                                        <w:top w:val="none" w:sz="0" w:space="0" w:color="auto"/>
                                                                                        <w:left w:val="none" w:sz="0" w:space="0" w:color="auto"/>
                                                                                        <w:bottom w:val="none" w:sz="0" w:space="0" w:color="auto"/>
                                                                                        <w:right w:val="none" w:sz="0" w:space="0" w:color="auto"/>
                                                                                      </w:divBdr>
                                                                                      <w:divsChild>
                                                                                        <w:div w:id="1431587506">
                                                                                          <w:marLeft w:val="0"/>
                                                                                          <w:marRight w:val="0"/>
                                                                                          <w:marTop w:val="0"/>
                                                                                          <w:marBottom w:val="0"/>
                                                                                          <w:divBdr>
                                                                                            <w:top w:val="none" w:sz="0" w:space="0" w:color="auto"/>
                                                                                            <w:left w:val="none" w:sz="0" w:space="0" w:color="auto"/>
                                                                                            <w:bottom w:val="none" w:sz="0" w:space="0" w:color="auto"/>
                                                                                            <w:right w:val="none" w:sz="0" w:space="0" w:color="auto"/>
                                                                                          </w:divBdr>
                                                                                          <w:divsChild>
                                                                                            <w:div w:id="1431587477">
                                                                                              <w:marLeft w:val="0"/>
                                                                                              <w:marRight w:val="0"/>
                                                                                              <w:marTop w:val="0"/>
                                                                                              <w:marBottom w:val="0"/>
                                                                                              <w:divBdr>
                                                                                                <w:top w:val="none" w:sz="0" w:space="0" w:color="auto"/>
                                                                                                <w:left w:val="none" w:sz="0" w:space="0" w:color="auto"/>
                                                                                                <w:bottom w:val="none" w:sz="0" w:space="0" w:color="auto"/>
                                                                                                <w:right w:val="none" w:sz="0" w:space="0" w:color="auto"/>
                                                                                              </w:divBdr>
                                                                                              <w:divsChild>
                                                                                                <w:div w:id="1431587490">
                                                                                                  <w:marLeft w:val="0"/>
                                                                                                  <w:marRight w:val="0"/>
                                                                                                  <w:marTop w:val="0"/>
                                                                                                  <w:marBottom w:val="0"/>
                                                                                                  <w:divBdr>
                                                                                                    <w:top w:val="none" w:sz="0" w:space="0" w:color="auto"/>
                                                                                                    <w:left w:val="none" w:sz="0" w:space="0" w:color="auto"/>
                                                                                                    <w:bottom w:val="none" w:sz="0" w:space="0" w:color="auto"/>
                                                                                                    <w:right w:val="none" w:sz="0" w:space="0" w:color="auto"/>
                                                                                                  </w:divBdr>
                                                                                                  <w:divsChild>
                                                                                                    <w:div w:id="1431587476">
                                                                                                      <w:marLeft w:val="0"/>
                                                                                                      <w:marRight w:val="0"/>
                                                                                                      <w:marTop w:val="0"/>
                                                                                                      <w:marBottom w:val="0"/>
                                                                                                      <w:divBdr>
                                                                                                        <w:top w:val="none" w:sz="0" w:space="0" w:color="auto"/>
                                                                                                        <w:left w:val="none" w:sz="0" w:space="0" w:color="auto"/>
                                                                                                        <w:bottom w:val="none" w:sz="0" w:space="0" w:color="auto"/>
                                                                                                        <w:right w:val="none" w:sz="0" w:space="0" w:color="auto"/>
                                                                                                      </w:divBdr>
                                                                                                      <w:divsChild>
                                                                                                        <w:div w:id="1431587470">
                                                                                                          <w:marLeft w:val="0"/>
                                                                                                          <w:marRight w:val="0"/>
                                                                                                          <w:marTop w:val="0"/>
                                                                                                          <w:marBottom w:val="0"/>
                                                                                                          <w:divBdr>
                                                                                                            <w:top w:val="none" w:sz="0" w:space="0" w:color="auto"/>
                                                                                                            <w:left w:val="none" w:sz="0" w:space="0" w:color="auto"/>
                                                                                                            <w:bottom w:val="none" w:sz="0" w:space="0" w:color="auto"/>
                                                                                                            <w:right w:val="none" w:sz="0" w:space="0" w:color="auto"/>
                                                                                                          </w:divBdr>
                                                                                                          <w:divsChild>
                                                                                                            <w:div w:id="1431587530">
                                                                                                              <w:marLeft w:val="0"/>
                                                                                                              <w:marRight w:val="0"/>
                                                                                                              <w:marTop w:val="0"/>
                                                                                                              <w:marBottom w:val="0"/>
                                                                                                              <w:divBdr>
                                                                                                                <w:top w:val="none" w:sz="0" w:space="0" w:color="auto"/>
                                                                                                                <w:left w:val="none" w:sz="0" w:space="0" w:color="auto"/>
                                                                                                                <w:bottom w:val="none" w:sz="0" w:space="0" w:color="auto"/>
                                                                                                                <w:right w:val="none" w:sz="0" w:space="0" w:color="auto"/>
                                                                                                              </w:divBdr>
                                                                                                              <w:divsChild>
                                                                                                                <w:div w:id="1431587514">
                                                                                                                  <w:marLeft w:val="0"/>
                                                                                                                  <w:marRight w:val="0"/>
                                                                                                                  <w:marTop w:val="0"/>
                                                                                                                  <w:marBottom w:val="0"/>
                                                                                                                  <w:divBdr>
                                                                                                                    <w:top w:val="none" w:sz="0" w:space="0" w:color="auto"/>
                                                                                                                    <w:left w:val="none" w:sz="0" w:space="0" w:color="auto"/>
                                                                                                                    <w:bottom w:val="none" w:sz="0" w:space="0" w:color="auto"/>
                                                                                                                    <w:right w:val="none" w:sz="0" w:space="0" w:color="auto"/>
                                                                                                                  </w:divBdr>
                                                                                                                  <w:divsChild>
                                                                                                                    <w:div w:id="1431587526">
                                                                                                                      <w:marLeft w:val="0"/>
                                                                                                                      <w:marRight w:val="0"/>
                                                                                                                      <w:marTop w:val="0"/>
                                                                                                                      <w:marBottom w:val="0"/>
                                                                                                                      <w:divBdr>
                                                                                                                        <w:top w:val="none" w:sz="0" w:space="0" w:color="auto"/>
                                                                                                                        <w:left w:val="none" w:sz="0" w:space="0" w:color="auto"/>
                                                                                                                        <w:bottom w:val="none" w:sz="0" w:space="0" w:color="auto"/>
                                                                                                                        <w:right w:val="none" w:sz="0" w:space="0" w:color="auto"/>
                                                                                                                      </w:divBdr>
                                                                                                                      <w:divsChild>
                                                                                                                        <w:div w:id="1431587510">
                                                                                                                          <w:marLeft w:val="0"/>
                                                                                                                          <w:marRight w:val="0"/>
                                                                                                                          <w:marTop w:val="0"/>
                                                                                                                          <w:marBottom w:val="0"/>
                                                                                                                          <w:divBdr>
                                                                                                                            <w:top w:val="none" w:sz="0" w:space="0" w:color="auto"/>
                                                                                                                            <w:left w:val="none" w:sz="0" w:space="0" w:color="auto"/>
                                                                                                                            <w:bottom w:val="none" w:sz="0" w:space="0" w:color="auto"/>
                                                                                                                            <w:right w:val="none" w:sz="0" w:space="0" w:color="auto"/>
                                                                                                                          </w:divBdr>
                                                                                                                          <w:divsChild>
                                                                                                                            <w:div w:id="1431587478">
                                                                                                                              <w:marLeft w:val="0"/>
                                                                                                                              <w:marRight w:val="0"/>
                                                                                                                              <w:marTop w:val="0"/>
                                                                                                                              <w:marBottom w:val="0"/>
                                                                                                                              <w:divBdr>
                                                                                                                                <w:top w:val="none" w:sz="0" w:space="0" w:color="auto"/>
                                                                                                                                <w:left w:val="none" w:sz="0" w:space="0" w:color="auto"/>
                                                                                                                                <w:bottom w:val="none" w:sz="0" w:space="0" w:color="auto"/>
                                                                                                                                <w:right w:val="none" w:sz="0" w:space="0" w:color="auto"/>
                                                                                                                              </w:divBdr>
                                                                                                                              <w:divsChild>
                                                                                                                                <w:div w:id="1431587465">
                                                                                                                                  <w:marLeft w:val="0"/>
                                                                                                                                  <w:marRight w:val="0"/>
                                                                                                                                  <w:marTop w:val="0"/>
                                                                                                                                  <w:marBottom w:val="0"/>
                                                                                                                                  <w:divBdr>
                                                                                                                                    <w:top w:val="none" w:sz="0" w:space="0" w:color="auto"/>
                                                                                                                                    <w:left w:val="none" w:sz="0" w:space="0" w:color="auto"/>
                                                                                                                                    <w:bottom w:val="none" w:sz="0" w:space="0" w:color="auto"/>
                                                                                                                                    <w:right w:val="none" w:sz="0" w:space="0" w:color="auto"/>
                                                                                                                                  </w:divBdr>
                                                                                                                                  <w:divsChild>
                                                                                                                                    <w:div w:id="1431587484">
                                                                                                                                      <w:marLeft w:val="0"/>
                                                                                                                                      <w:marRight w:val="0"/>
                                                                                                                                      <w:marTop w:val="0"/>
                                                                                                                                      <w:marBottom w:val="0"/>
                                                                                                                                      <w:divBdr>
                                                                                                                                        <w:top w:val="none" w:sz="0" w:space="0" w:color="auto"/>
                                                                                                                                        <w:left w:val="none" w:sz="0" w:space="0" w:color="auto"/>
                                                                                                                                        <w:bottom w:val="none" w:sz="0" w:space="0" w:color="auto"/>
                                                                                                                                        <w:right w:val="none" w:sz="0" w:space="0" w:color="auto"/>
                                                                                                                                      </w:divBdr>
                                                                                                                                    </w:div>
                                                                                                                                    <w:div w:id="1431587516">
                                                                                                                                      <w:marLeft w:val="0"/>
                                                                                                                                      <w:marRight w:val="0"/>
                                                                                                                                      <w:marTop w:val="0"/>
                                                                                                                                      <w:marBottom w:val="0"/>
                                                                                                                                      <w:divBdr>
                                                                                                                                        <w:top w:val="none" w:sz="0" w:space="0" w:color="auto"/>
                                                                                                                                        <w:left w:val="none" w:sz="0" w:space="0" w:color="auto"/>
                                                                                                                                        <w:bottom w:val="none" w:sz="0" w:space="0" w:color="auto"/>
                                                                                                                                        <w:right w:val="none" w:sz="0" w:space="0" w:color="auto"/>
                                                                                                                                      </w:divBdr>
                                                                                                                                    </w:div>
                                                                                                                                    <w:div w:id="1431587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p="http://schemas.microsoft.com/office/2006/metadata/properties"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xmlns:dms="http://schemas.microsoft.com/office/2006/documentManagement/types"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scan_status xmlns="http://schemas.microsoft.com/sharepoint/v3" xsi:nil="true"/>
    <ParentID xmlns="http://schemas.microsoft.com/sharepoint/v3">0</ParentID>
    <sendToRecSrv xmlns="http://schemas.microsoft.com/sharepoint/v3">true</sendToRecSrv>
    <tmpFile xmlns="http://schemas.microsoft.com/sharepoint/v3">false</tmpFile>
    <RegUpdate xmlns="E6298736-2320-4CE1-97C6-9F781D725734" xsi:nil="true"/>
    <GUID_ID xmlns="http://schemas.microsoft.com/sharepoint/v3">827b28d4-3b72-457b-99ba-cfa0e6a0852b</GUID_ID>
    <ListID xmlns="E6298736-2320-4CE1-97C6-9F781D725734" xsi:nil="true"/>
    <IsDeleted xmlns="http://schemas.microsoft.com/sharepoint/v3" xsi:nil="true"/>
    <LocalFile xmlns="http://schemas.microsoft.com/sharepoint/v3" xsi:nil="true"/>
    <tmpVersion xmlns="http://schemas.microsoft.com/sharepoint/v3">false</tmpVersion>
  </documentManagement>
</p:properties>
</file>

<file path=customXml/item4.xml><?xml version="1.0" encoding="utf-8"?>
<Parts xmlns="http://lrs.lt/TAIS/DocParts">
  <Part Type="priedas" Nr="2" Abbr="2 pr." Title="SPECIALIZUOTO UGDYMO KRYPTIES PROGRAMŲ (PAGRINDINIO UGDYMO KARTU SU INŽINERINIU UGDYMU PROGRAMOS ANTROSIOS DALIES IR VIDURINIO UGDYMO KARTU SU INŽINERINIU UGDYMU PROGRAMOS) INŽINERINIO UGDYMO DALIES PROJEKTAVIMO BENDROJI PROGRAMA" DocPartId="df4b34f1066a4ec488bd9937bc4e7402" PartId="1b56729c301b4225bd49133f4664aa70">
    <Part Type="skyrius" Nr="1" Title="BENDROSIOS NUOSTATOS" DocPartId="ac6e89fe3efe4e4e975896011dfe1b3b" PartId="4ec255a663ce42d08593b845caf62b19">
      <Part Type="punktas" Nr="1" Abbr="2 pr. 1 p." DocPartId="b79051ef69604a49b74dde5ecce9a8e7" PartId="93a4b8da34ba44b6bbf523e6196db7e8"/>
      <Part Type="punktas" Nr="2" Abbr="2 pr. 2 p." DocPartId="31c53af994c44f00bb7a60a6875f08c6" PartId="6c4fd2b0b5ad4f608f69740e7f6cc1b5"/>
      <Part Type="punktas" Nr="3" Abbr="2 pr. 3 p." DocPartId="2c04d7bf92f3437eb2885194b8c52604" PartId="da870e32d95947ce992c0ffece1a0ed2"/>
      <Part Type="punktas" Nr="4" Abbr="2 pr. 4 p." DocPartId="bbd8682e26b54fe1b0ead584232db9b0" PartId="ac536392095e45898faacf82f51f36ee">
        <Part Type="papunktis" Nr="4.1" Abbr="2 pr. 4.1 pp." DocPartId="21250db7729340579fbe33559325d941" PartId="b99bcdc4139f4754bfd73cc17d3023c2"/>
        <Part Type="papunktis" Nr="4.2" Abbr="2 pr. 4.2 pp." DocPartId="fdc0a10c01a64befac0b10d44fd87a96" PartId="c659b71ae60649cc8427387fc0349ce4"/>
        <Part Type="papunktis" Nr="4.3" Abbr="2 pr. 4.3 pp." DocPartId="8009cecca2b545988e86971c9a3f8556" PartId="b8ecc637fff34986936cb677db6ba786"/>
        <Part Type="papunktis" Nr="4.4" Abbr="2 pr. 4.4 pp." DocPartId="8d3f05f361264a44826ee78384ffa07f" PartId="9e622d06e7c84b2aad9a222aa0acac40"/>
        <Part Type="papunktis" Nr="4.5" Abbr="2 pr. 4.5 pp." DocPartId="57645a28ff1940c3943f2ec39ff1f57f" PartId="dce3b4ccfe95466fbaee071e2bada3c0"/>
      </Part>
      <Part Type="punktas" Nr="5" Abbr="2 pr. 5 p." DocPartId="85e32c618ff24565a18a6c59ab918c01" PartId="ac0c2806403a454e8c09b7ab5fe59982">
        <Part Type="papunktis" Nr="5.1" Abbr="2 pr. 5.1 pp." DocPartId="0df6d6f911d74f298ea63a1c8f9e7de0" PartId="78c7ddc2711d4581adb6d0e99b76a87d"/>
        <Part Type="papunktis" Nr="5.2" Abbr="2 pr. 5.2 pp." DocPartId="d124c11525c24c5aba724f4acf9c1ef9" PartId="61e751363ead4858a76f2ebb9093992a"/>
        <Part Type="papunktis" Nr="5.3" Abbr="2 pr. 5.3 pp." DocPartId="bc31b2967550495aa3000769e9c25a31" PartId="73103fe7146b44de905b90b2306024ae"/>
        <Part Type="papunktis" Nr="5.4" Abbr="2 pr. 5.4 pp." DocPartId="19c546a51ff84eb98ede1cb1e0923510" PartId="c8b2c5500aec467bb46cbf8655757196"/>
        <Part Type="papunktis" Nr="5.5" Abbr="2 pr. 5.5 pp." DocPartId="15ac9bd4fdef40a2a4faa9dfb9781714" PartId="08148fa8972c40eea4ddb2267d2ad4ca"/>
      </Part>
      <Part Type="punktas" Nr="6" Abbr="2 pr. 6 p." DocPartId="a257b60b2ffc497cadce611c40949cc8" PartId="c00f59ecc2214a96b9f89eeea2ecc10f">
        <Part Type="papunktis" Nr="6.1" Abbr="2 pr. 6.1 pp." DocPartId="c1f2239ff1004b56b4dbfba89af16737" PartId="b015134ae1494b769bf422761423ddd7"/>
        <Part Type="papunktis" Nr="6.2" Abbr="2 pr. 6.2 pp." DocPartId="b8608f4c66bb4088a71db1873f2fff2c" PartId="63ff864f81d8461b876ed45e65af5a10"/>
        <Part Type="papunktis" Nr="6.3" Abbr="2 pr. 6.3 pp." DocPartId="b4c9320097d04c35ba44f6ceecdde3e9" PartId="0c27132ad1e746f6b65531a3671df03f"/>
        <Part Type="papunktis" Nr="6.4" Abbr="2 pr. 6.4 pp." DocPartId="ec26bb5c42de4d0f896595451f4f5170" PartId="06b38ae75450403eaa4db013ce366be8"/>
      </Part>
    </Part>
    <Part Type="skyrius" Nr="2" Title="PROJEKTAVIMO TURINIO APIMTYS, MOKINIŲ PASIEKIMAI IR VERTINIMAS" DocPartId="dfd7d366b14341ffa82d7ce9c022c9da" PartId="8cc30181c77e4a3bb506dd32c8b8d78e">
      <Part Type="punktas" Nr="7" Abbr="2 pr. 7 p." DocPartId="557e80eeb9f84bdd827f95cf7b5dc636" PartId="3472453e339a4c3fb2699b6d14ffd65e">
        <Part Type="papunktis" Nr="7.1" Abbr="2 pr. 7.1 pp." DocPartId="2577b7a4b11641dcab1ab8eb8cddd670" PartId="a94cd76040084094bbf4ea69334be179"/>
        <Part Type="papunktis" Nr="7.2" Abbr="2 pr. 7.2 pp." DocPartId="4e2ab1fa70264deaa7de6f1c0ec85d94" PartId="225352565c2847f69145b2b7cfbdcae6"/>
      </Part>
      <Part Type="punktas" Nr="8" Abbr="2 pr. 8 p." DocPartId="44216517ec124f96af873c3a0236e54b" PartId="530b15bd3a59488096a1aca98efea0ef">
        <Part Type="papunktis" Nr="8.1" Abbr="2 pr. 8.1 pp." DocPartId="ab14758a312a440fb0bae691479cc9c6" PartId="46a8ebae87824689a036faa8e2a8cd67"/>
        <Part Type="papunktis" Nr="8.2" Abbr="2 pr. 8.2 pp." DocPartId="25b0195dba1b4f289fe779c25d4535db" PartId="ea209cb1414d4032af5a13aa56320c85"/>
      </Part>
    </Part>
  </Part>
</Parts>
</file>

<file path=customXml/itemProps1.xml><?xml version="1.0" encoding="utf-8"?>
<ds:datastoreItem xmlns:ds="http://schemas.openxmlformats.org/officeDocument/2006/customXml" ds:itemID="{926B8178-F375-406C-9455-D7CA7A88DB6A}">
  <ds:schemaRefs>
    <ds:schemaRef ds:uri="http://schemas.microsoft.com/sharepoint/v3/contenttype/forms"/>
  </ds:schemaRefs>
</ds:datastoreItem>
</file>

<file path=customXml/itemProps2.xml><?xml version="1.0" encoding="utf-8"?>
<ds:datastoreItem xmlns:ds="http://schemas.openxmlformats.org/officeDocument/2006/customXml" ds:itemID="{F384ECA9-4385-47F5-8D41-E7A809857D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BB3B9050-DB0E-44E1-9920-7077CFE9A0BA}">
  <ds:schemaRefs>
    <ds:schemaRef ds:uri="http://schemas.microsoft.com/office/2006/metadata/properties"/>
    <ds:schemaRef ds:uri="http://schemas.microsoft.com/sharepoint/v3"/>
    <ds:schemaRef ds:uri="E6298736-2320-4CE1-97C6-9F781D725734"/>
  </ds:schemaRefs>
</ds:datastoreItem>
</file>

<file path=customXml/itemProps4.xml><?xml version="1.0" encoding="utf-8"?>
<ds:datastoreItem xmlns:ds="http://schemas.openxmlformats.org/officeDocument/2006/customXml" ds:itemID="{B3FB1DE3-533C-4A9D-9820-E99B9ECBD49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2982</Words>
  <Characters>24786</Characters>
  <Application>Microsoft Office Word</Application>
  <DocSecurity>4</DocSecurity>
  <Lines>1239</Lines>
  <Paragraphs>168</Paragraphs>
  <ScaleCrop>false</ScaleCrop>
  <Company/>
  <LinksUpToDate>false</LinksUpToDate>
  <CharactersWithSpaces>27600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2023-08-31T13:35:00Z</dcterms:created>
  <dc:creator>Aurimas ir Jurga</dc:creator>
  <lastModifiedBy>adlibuser</lastModifiedBy>
  <lastPrinted>2014-05-05T08:51:00Z</lastPrinted>
  <dcterms:modified xsi:type="dcterms:W3CDTF">2023-08-31T13:35:00Z</dcterms:modified>
  <revision>2</revision>
  <dc:title>INzINERIJA_projektavimas_08_06.docx</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0x0101004CFA3388CF824506A898AFC7B16E666B00B0E1CA725842C14DB37AB631CDC2E79A</vt:lpwstr>
  </property>
</Properties>
</file>